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928" w:lineRule="exact" w:before="0"/>
        <w:ind w:left="825" w:right="0" w:firstLine="0"/>
        <w:jc w:val="left"/>
        <w:rPr>
          <w:rFonts w:ascii="Arial" w:hAnsi="Arial" w:cs="Arial" w:eastAsia="Arial" w:hint="default"/>
          <w:sz w:val="82"/>
          <w:szCs w:val="82"/>
        </w:rPr>
      </w:pPr>
      <w:r>
        <w:rPr/>
        <w:pict>
          <v:group style="position:absolute;margin-left:219.315796pt;margin-top:9.16pt;width:60pt;height:37pt;mso-position-horizontal-relative:page;mso-position-vertical-relative:paragraph;z-index:0" coordorigin="4386,183" coordsize="1200,740">
            <v:shape style="position:absolute;left:5010;top:183;width:576;height:739" type="#_x0000_t75" stroked="false">
              <v:imagedata r:id="rId5" o:title=""/>
            </v:shape>
            <v:shape style="position:absolute;left:4386;top:183;width:566;height:739" type="#_x0000_t75" stroked="false">
              <v:imagedata r:id="rId6" o:title=""/>
            </v:shape>
            <w10:wrap type="none"/>
          </v:group>
        </w:pict>
      </w:r>
      <w:r>
        <w:rPr/>
        <w:pict>
          <v:shape style="position:absolute;margin-left:0pt;margin-top:107.080002pt;width:595.0801pt;height:648.48pt;mso-position-horizontal-relative:page;mso-position-vertical-relative:paragraph;z-index:1048" type="#_x0000_t75" stroked="false">
            <v:imagedata r:id="rId7" o:title=""/>
          </v:shape>
        </w:pict>
      </w:r>
      <w:r>
        <w:rPr/>
        <w:pict>
          <v:shape style="position:absolute;margin-left:312.896912pt;margin-top:9.16pt;width:29.2741pt;height:36.96pt;mso-position-horizontal-relative:page;mso-position-vertical-relative:paragraph;z-index:1072" type="#_x0000_t75" stroked="false">
            <v:imagedata r:id="rId8" o:title=""/>
          </v:shape>
        </w:pict>
      </w:r>
      <w:r>
        <w:rPr>
          <w:rFonts w:ascii="Arial"/>
          <w:color w:val="ED1A23"/>
          <w:sz w:val="82"/>
        </w:rPr>
        <w:t>Fengdong</w:t>
      </w:r>
      <w:r>
        <w:rPr>
          <w:rFonts w:ascii="Arial"/>
          <w:sz w:val="82"/>
        </w:rPr>
      </w:r>
    </w:p>
    <w:p>
      <w:pPr>
        <w:spacing w:after="0" w:line="928" w:lineRule="exact"/>
        <w:jc w:val="left"/>
        <w:rPr>
          <w:rFonts w:ascii="Arial" w:hAnsi="Arial" w:cs="Arial" w:eastAsia="Arial" w:hint="default"/>
          <w:sz w:val="82"/>
          <w:szCs w:val="82"/>
        </w:rPr>
        <w:sectPr>
          <w:type w:val="continuous"/>
          <w:pgSz w:w="11910" w:h="16840"/>
          <w:pgMar w:top="1440" w:bottom="0" w:left="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7"/>
          <w:szCs w:val="27"/>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398" w:lineRule="auto" w:before="263"/>
        <w:ind w:right="0" w:firstLine="482"/>
        <w:jc w:val="left"/>
        <w:rPr>
          <w:b w:val="0"/>
          <w:bCs w:val="0"/>
        </w:rPr>
      </w:pPr>
      <w:r>
        <w:rPr>
          <w:w w:val="95"/>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240" w:lineRule="auto" w:before="146"/>
        <w:ind w:left="636"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2"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郜翀</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公务</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向建华</w:t>
            </w:r>
          </w:p>
        </w:tc>
      </w:tr>
    </w:tbl>
    <w:p>
      <w:pPr>
        <w:spacing w:line="240" w:lineRule="auto" w:before="0"/>
        <w:rPr>
          <w:rFonts w:ascii="宋体" w:hAnsi="宋体" w:cs="宋体" w:eastAsia="宋体" w:hint="default"/>
          <w:b/>
          <w:bCs/>
          <w:sz w:val="16"/>
          <w:szCs w:val="16"/>
        </w:rPr>
      </w:pPr>
    </w:p>
    <w:p>
      <w:pPr>
        <w:pStyle w:val="Heading2"/>
        <w:spacing w:line="240" w:lineRule="auto" w:before="26"/>
        <w:ind w:left="636" w:right="0"/>
        <w:jc w:val="left"/>
        <w:rPr>
          <w:b w:val="0"/>
          <w:bCs w:val="0"/>
        </w:rPr>
      </w:pPr>
      <w:r>
        <w:rPr/>
        <w:t>公司经本次董事会审议通过的利润分配预案为：以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4"/>
        </w:rPr>
        <w:t> </w:t>
      </w:r>
      <w:r>
        <w:rPr/>
        <w:t>日的公司总股本</w:t>
      </w:r>
      <w:r>
        <w:rPr>
          <w:b w:val="0"/>
          <w:bCs w:val="0"/>
        </w:rPr>
      </w:r>
    </w:p>
    <w:p>
      <w:pPr>
        <w:pStyle w:val="Heading2"/>
        <w:spacing w:line="374" w:lineRule="auto" w:before="188"/>
        <w:ind w:right="0"/>
        <w:jc w:val="left"/>
        <w:rPr>
          <w:b w:val="0"/>
          <w:bCs w:val="0"/>
        </w:rPr>
      </w:pPr>
      <w:r>
        <w:rPr>
          <w:rFonts w:ascii="Times New Roman" w:hAnsi="Times New Roman" w:cs="Times New Roman" w:eastAsia="Times New Roman" w:hint="default"/>
        </w:rPr>
        <w:t>268,000,000</w:t>
      </w:r>
      <w:r>
        <w:rPr>
          <w:rFonts w:ascii="Times New Roman" w:hAnsi="Times New Roman" w:cs="Times New Roman" w:eastAsia="Times New Roman" w:hint="default"/>
          <w:spacing w:val="2"/>
        </w:rPr>
        <w:t> </w:t>
      </w:r>
      <w:r>
        <w:rPr>
          <w:spacing w:val="-9"/>
          <w:w w:val="99"/>
        </w:rPr>
        <w:t>股为基数，向全体股东每</w:t>
      </w:r>
      <w:r>
        <w:rPr>
          <w:spacing w:val="-55"/>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w w:val="99"/>
        </w:rPr>
        <w:t>股派发现金红利</w:t>
      </w:r>
      <w:r>
        <w:rPr>
          <w:spacing w:val="-57"/>
          <w:w w:val="99"/>
        </w:rPr>
        <w:t> </w:t>
      </w:r>
      <w:r>
        <w:rPr>
          <w:rFonts w:ascii="Times New Roman" w:hAnsi="Times New Roman" w:cs="Times New Roman" w:eastAsia="Times New Roman" w:hint="default"/>
        </w:rPr>
        <w:t>0.30</w:t>
      </w:r>
      <w:r>
        <w:rPr>
          <w:rFonts w:ascii="Times New Roman" w:hAnsi="Times New Roman" w:cs="Times New Roman" w:eastAsia="Times New Roman" w:hint="default"/>
          <w:spacing w:val="2"/>
        </w:rPr>
        <w:t> </w:t>
      </w:r>
      <w:r>
        <w:rPr>
          <w:spacing w:val="-33"/>
          <w:w w:val="99"/>
        </w:rPr>
        <w:t>元（含税），送红股</w:t>
      </w:r>
      <w:r>
        <w:rPr>
          <w:spacing w:val="-56"/>
          <w:w w:val="99"/>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5"/>
          <w:w w:val="99"/>
        </w:rPr>
        <w:t>股（含税），</w:t>
      </w:r>
      <w:r>
        <w:rPr>
          <w:w w:val="99"/>
        </w:rPr>
        <w:t> </w:t>
      </w:r>
      <w:r>
        <w:rPr/>
        <w:t>不以公积金转增股本。</w:t>
      </w:r>
      <w:r>
        <w:rPr>
          <w:b w:val="0"/>
          <w:bCs w:val="0"/>
        </w:rPr>
      </w:r>
    </w:p>
    <w:p>
      <w:pPr>
        <w:pStyle w:val="Heading2"/>
        <w:spacing w:line="396" w:lineRule="auto" w:before="172"/>
        <w:ind w:right="0" w:firstLine="482"/>
        <w:jc w:val="left"/>
        <w:rPr>
          <w:b w:val="0"/>
          <w:bCs w:val="0"/>
        </w:rPr>
      </w:pPr>
      <w:r>
        <w:rPr>
          <w:w w:val="95"/>
        </w:rPr>
        <w:t>公司负责人朱文明、主管会计工作负责人徐仕俊及会计机构负责人（会计主管人员）徐</w:t>
      </w:r>
      <w:r>
        <w:rPr>
          <w:w w:val="99"/>
        </w:rPr>
        <w:t> </w:t>
      </w:r>
      <w:r>
        <w:rPr/>
        <w:t>仕俊声明：保证年度报告中财务报告的真实、准确、完整。</w:t>
      </w:r>
      <w:r>
        <w:rPr>
          <w:b w:val="0"/>
          <w:bCs w:val="0"/>
        </w:rPr>
      </w:r>
    </w:p>
    <w:p>
      <w:pPr>
        <w:spacing w:after="0" w:line="396" w:lineRule="auto"/>
        <w:jc w:val="left"/>
        <w:sectPr>
          <w:headerReference w:type="default" r:id="rId9"/>
          <w:footerReference w:type="default" r:id="rId10"/>
          <w:pgSz w:w="11910" w:h="16840"/>
          <w:pgMar w:header="691" w:footer="979" w:top="110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255"/>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22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before="22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before="22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内部控制</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before="227"/>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137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691" w:footer="979" w:top="1100" w:bottom="1160" w:left="980" w:right="0"/>
        </w:sectPr>
      </w:pPr>
    </w:p>
    <w:p>
      <w:pPr>
        <w:spacing w:before="893"/>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47"/>
        <w:gridCol w:w="827"/>
        <w:gridCol w:w="5966"/>
      </w:tblGrid>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公司、本公司、丰东股份</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本公司控股子公司上海丰东热处理工程有限公司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工程技术</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本公司控股子公司江苏丰东热处理及表面改性工程技术研究有限公司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本公司控股子公司南京丰东热处理工程有限公司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本公司控股子公司重庆丰东热处理工程有限公司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本公司控股子公司青岛丰东热处理有限公司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本公司控股子公司潍坊丰东热处理有限公司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本公司控股子公司天津丰东热处理有限公司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本公司控股子公司北京丰东建通工业炉科技有限公司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本公司控股子公司盐城丰东特种炉业有限公司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本公司控股子公司长春丰东热处理有限公司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丰东祺耀</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本公司控股子公司盐城丰东祺耀工业炉有限公司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本公司控股子公司广州鑫润丰东热处理有限公司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本公司合营公司盐城高周波热炼有限公司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本公司合营公司江苏石川岛丰东真空技术有限公司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本公司联营公司广州丰东热炼有限公司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1"/>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7"/>
        <w:rPr>
          <w:rFonts w:ascii="宋体" w:hAnsi="宋体" w:cs="宋体" w:eastAsia="宋体" w:hint="default"/>
          <w:b/>
          <w:bCs/>
          <w:sz w:val="34"/>
          <w:szCs w:val="34"/>
        </w:rPr>
      </w:pPr>
    </w:p>
    <w:p>
      <w:pPr>
        <w:pStyle w:val="Heading2"/>
        <w:spacing w:line="458" w:lineRule="auto"/>
        <w:ind w:right="0" w:firstLine="482"/>
        <w:jc w:val="left"/>
        <w:rPr>
          <w:b w:val="0"/>
          <w:bCs w:val="0"/>
        </w:rPr>
      </w:pPr>
      <w:r>
        <w:rPr>
          <w:spacing w:val="-4"/>
          <w:w w:val="99"/>
        </w:rPr>
        <w:t>公司不存在在生产经营状况、财务状况和持续盈利能力方面有严重不利影响的风险因素。</w:t>
      </w:r>
      <w:r>
        <w:rPr>
          <w:w w:val="99"/>
        </w:rPr>
        <w:t> </w:t>
      </w:r>
      <w:r>
        <w:rPr>
          <w:spacing w:val="-3"/>
        </w:rPr>
        <w:t>对于公司经营中的相关风险分析，详见本报告</w:t>
      </w:r>
      <w:r>
        <w:rPr>
          <w:rFonts w:ascii="Times New Roman" w:hAnsi="Times New Roman" w:cs="Times New Roman" w:eastAsia="Times New Roman" w:hint="default"/>
          <w:spacing w:val="-3"/>
        </w:rPr>
        <w:t>“</w:t>
      </w:r>
      <w:r>
        <w:rPr>
          <w:spacing w:val="-3"/>
        </w:rPr>
        <w:t>第四节 </w:t>
      </w:r>
      <w:r>
        <w:rPr/>
        <w:t>董事会报告</w:t>
      </w:r>
      <w:r>
        <w:rPr>
          <w:spacing w:val="-8"/>
        </w:rPr>
        <w:t> </w:t>
      </w:r>
      <w:r>
        <w:rPr>
          <w:spacing w:val="-6"/>
        </w:rPr>
        <w:t>八、公司未来发展的展望</w:t>
      </w:r>
      <w:r>
        <w:rPr>
          <w:b w:val="0"/>
          <w:bCs w:val="0"/>
          <w:spacing w:val="-6"/>
        </w:rPr>
      </w:r>
    </w:p>
    <w:p>
      <w:pPr>
        <w:pStyle w:val="Heading2"/>
        <w:spacing w:line="240" w:lineRule="auto" w:before="26"/>
        <w:ind w:right="0"/>
        <w:jc w:val="left"/>
        <w:rPr>
          <w:b w:val="0"/>
          <w:bCs w:val="0"/>
        </w:rPr>
      </w:pPr>
      <w:r>
        <w:rPr/>
        <w:t>（七）可能面临的风险及应对措施</w:t>
      </w:r>
      <w:r>
        <w:rPr>
          <w:rFonts w:ascii="Times New Roman" w:hAnsi="Times New Roman" w:cs="Times New Roman" w:eastAsia="Times New Roman" w:hint="default"/>
        </w:rPr>
        <w:t>”</w:t>
      </w:r>
      <w:r>
        <w:rPr/>
        <w:t>部分。</w:t>
      </w:r>
      <w:r>
        <w:rPr>
          <w:b w:val="0"/>
          <w:bCs w:val="0"/>
        </w:rPr>
      </w:r>
    </w:p>
    <w:p>
      <w:pPr>
        <w:spacing w:after="0" w:line="240" w:lineRule="auto"/>
        <w:jc w:val="left"/>
        <w:sectPr>
          <w:pgSz w:w="11910" w:h="16840"/>
          <w:pgMar w:header="691"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54"/>
        <w:ind w:right="978"/>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丰东股份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002530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丰东股份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Jiangsu Fengdong Thermal Technology</w:t>
            </w:r>
            <w:r>
              <w:rPr>
                <w:rFonts w:ascii="Times New Roman"/>
                <w:spacing w:val="-28"/>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朱文明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江苏省大丰市经济开发区南翔西路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江苏省大丰市经济开发区南翔西路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http://www.fengdong.com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2">
              <w:r>
                <w:rPr>
                  <w:rFonts w:ascii="Times New Roman"/>
                  <w:sz w:val="18"/>
                </w:rPr>
                <w:t>fengdong@fengdong.com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662"/>
        <w:gridCol w:w="3651"/>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韦平</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江苏省大丰市经济开发区南翔西路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江苏省大丰市经济开发区南翔西路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0515-83282838</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0515-83282838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0515-83282843</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0515-83282843</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fengdong@fengdong.com</w:t>
              </w:r>
            </w:hyperlink>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fengdong@fengdong.com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85"/>
        <w:gridCol w:w="1594"/>
        <w:gridCol w:w="1607"/>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7" w:type="dxa"/>
            <w:vMerge w:val="restart"/>
            <w:tcBorders>
              <w:top w:val="single" w:sz="4" w:space="0" w:color="000000"/>
              <w:left w:val="single" w:sz="4" w:space="0" w:color="000000"/>
              <w:right w:val="single" w:sz="4" w:space="0" w:color="000000"/>
            </w:tcBorders>
          </w:tcPr>
          <w:p>
            <w:pPr>
              <w:pStyle w:val="TableParagraph"/>
              <w:spacing w:line="319" w:lineRule="auto" w:before="51"/>
              <w:ind w:left="35" w:right="119"/>
              <w:jc w:val="left"/>
              <w:rPr>
                <w:rFonts w:ascii="宋体" w:hAnsi="宋体" w:cs="宋体" w:eastAsia="宋体" w:hint="default"/>
                <w:sz w:val="18"/>
                <w:szCs w:val="18"/>
              </w:rPr>
            </w:pPr>
            <w:r>
              <w:rPr>
                <w:rFonts w:ascii="宋体" w:hAnsi="宋体" w:cs="宋体" w:eastAsia="宋体" w:hint="default"/>
                <w:sz w:val="18"/>
                <w:szCs w:val="18"/>
              </w:rPr>
              <w:t>江苏省盐城工商行 政管理局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320900400000915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320982608684500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60868450-0</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607"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607"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7" w:type="dxa"/>
            <w:vMerge w:val="restart"/>
            <w:tcBorders>
              <w:top w:val="single" w:sz="4" w:space="0" w:color="000000"/>
              <w:left w:val="single" w:sz="4" w:space="0" w:color="000000"/>
              <w:right w:val="single" w:sz="4" w:space="0" w:color="000000"/>
            </w:tcBorders>
          </w:tcPr>
          <w:p>
            <w:pPr>
              <w:pStyle w:val="TableParagraph"/>
              <w:spacing w:line="319" w:lineRule="auto" w:before="51"/>
              <w:ind w:left="35" w:right="119"/>
              <w:jc w:val="left"/>
              <w:rPr>
                <w:rFonts w:ascii="宋体" w:hAnsi="宋体" w:cs="宋体" w:eastAsia="宋体" w:hint="default"/>
                <w:sz w:val="18"/>
                <w:szCs w:val="18"/>
              </w:rPr>
            </w:pPr>
            <w:r>
              <w:rPr>
                <w:rFonts w:ascii="宋体" w:hAnsi="宋体" w:cs="宋体" w:eastAsia="宋体" w:hint="default"/>
                <w:sz w:val="18"/>
                <w:szCs w:val="18"/>
              </w:rPr>
              <w:t>江苏省盐城工商行 政管理局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320900400000915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320982608684500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60868450-0</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607"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607"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610"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89" w:type="dxa"/>
            <w:gridSpan w:val="4"/>
            <w:vMerge w:val="restart"/>
            <w:tcBorders>
              <w:top w:val="single" w:sz="4" w:space="0" w:color="000000"/>
              <w:left w:val="single" w:sz="9" w:space="0" w:color="D2D2D2"/>
              <w:right w:val="single" w:sz="4" w:space="0" w:color="000000"/>
            </w:tcBorders>
          </w:tcPr>
          <w:p>
            <w:pPr>
              <w:pStyle w:val="TableParagraph"/>
              <w:spacing w:line="312" w:lineRule="auto" w:before="51"/>
              <w:ind w:left="28" w:right="22" w:firstLine="36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年第一次临时股东大会审议，通过了《关于增加公司经营范围的</w:t>
            </w:r>
            <w:r>
              <w:rPr>
                <w:rFonts w:ascii="宋体" w:hAnsi="宋体" w:cs="宋体" w:eastAsia="宋体" w:hint="default"/>
                <w:sz w:val="18"/>
                <w:szCs w:val="18"/>
              </w:rPr>
              <w:t> </w:t>
            </w:r>
            <w:r>
              <w:rPr>
                <w:rFonts w:ascii="宋体" w:hAnsi="宋体" w:cs="宋体" w:eastAsia="宋体" w:hint="default"/>
                <w:spacing w:val="-5"/>
                <w:sz w:val="18"/>
                <w:szCs w:val="18"/>
              </w:rPr>
              <w:t>议案》，同意公司经营范围中增加“设备租赁”；增加后公司经营范围为：开发、</w:t>
            </w:r>
            <w:r>
              <w:rPr>
                <w:rFonts w:ascii="宋体" w:hAnsi="宋体" w:cs="宋体" w:eastAsia="宋体" w:hint="default"/>
                <w:sz w:val="18"/>
                <w:szCs w:val="18"/>
              </w:rPr>
              <w:t> 生产热处理设备及其辅助设备并销售本公司自产产品；承接金属零件的热处理加 工业务；提供热处理设备的保修维修服务；提供专业热处理技术咨询服务；设备 租赁。公司于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日完成了工商变更登记手续，企业法人营业执照注 册号为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320900400000915</w:t>
            </w:r>
            <w:r>
              <w:rPr>
                <w:rFonts w:ascii="宋体" w:hAnsi="宋体" w:cs="宋体" w:eastAsia="宋体" w:hint="default"/>
                <w:sz w:val="18"/>
                <w:szCs w:val="18"/>
              </w:rPr>
              <w:t>。</w:t>
            </w:r>
          </w:p>
        </w:tc>
      </w:tr>
      <w:tr>
        <w:trPr>
          <w:trHeight w:val="744"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89" w:type="dxa"/>
            <w:gridSpan w:val="4"/>
            <w:vMerge/>
            <w:tcBorders>
              <w:left w:val="single" w:sz="9" w:space="0" w:color="D2D2D2"/>
              <w:right w:val="single" w:sz="4" w:space="0" w:color="000000"/>
            </w:tcBorders>
          </w:tcPr>
          <w:p>
            <w:pPr/>
          </w:p>
        </w:tc>
      </w:tr>
      <w:tr>
        <w:trPr>
          <w:trHeight w:val="608"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89" w:type="dxa"/>
            <w:gridSpan w:val="4"/>
            <w:vMerge/>
            <w:tcBorders>
              <w:left w:val="single" w:sz="9" w:space="0" w:color="D2D2D2"/>
              <w:bottom w:val="single" w:sz="4" w:space="0" w:color="000000"/>
              <w:right w:val="single" w:sz="4" w:space="0" w:color="000000"/>
            </w:tcBorders>
          </w:tcPr>
          <w:p>
            <w:pPr/>
          </w:p>
        </w:tc>
      </w:tr>
      <w:tr>
        <w:trPr>
          <w:trHeight w:val="402"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9"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687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冯家俊、郑珮</w:t>
            </w:r>
          </w:p>
        </w:tc>
      </w:tr>
    </w:tbl>
    <w:p>
      <w:pPr>
        <w:spacing w:line="240" w:lineRule="auto" w:before="11"/>
        <w:rPr>
          <w:rFonts w:ascii="宋体" w:hAnsi="宋体" w:cs="宋体" w:eastAsia="宋体" w:hint="default"/>
          <w:sz w:val="15"/>
          <w:szCs w:val="15"/>
        </w:rPr>
      </w:pPr>
    </w:p>
    <w:p>
      <w:pPr>
        <w:pStyle w:val="BodyText"/>
        <w:spacing w:line="240" w:lineRule="auto" w:before="44"/>
        <w:ind w:left="514" w:right="0"/>
        <w:jc w:val="left"/>
      </w:pPr>
      <w:r>
        <w:rPr/>
        <w:t>公司聘请的报告期内履行持续督导职责的保荐机构</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836"/>
        <w:gridCol w:w="1842"/>
        <w:gridCol w:w="2196"/>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0"/>
              <w:jc w:val="right"/>
              <w:rPr>
                <w:rFonts w:ascii="宋体" w:hAnsi="宋体" w:cs="宋体" w:eastAsia="宋体" w:hint="default"/>
                <w:sz w:val="18"/>
                <w:szCs w:val="18"/>
              </w:rPr>
            </w:pPr>
            <w:r>
              <w:rPr>
                <w:rFonts w:ascii="宋体" w:hAnsi="宋体" w:cs="宋体" w:eastAsia="宋体" w:hint="default"/>
                <w:sz w:val="18"/>
                <w:szCs w:val="18"/>
              </w:rPr>
              <w:t>保荐机构名称</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1"/>
              <w:jc w:val="right"/>
              <w:rPr>
                <w:rFonts w:ascii="宋体" w:hAnsi="宋体" w:cs="宋体" w:eastAsia="宋体" w:hint="default"/>
                <w:sz w:val="18"/>
                <w:szCs w:val="18"/>
              </w:rPr>
            </w:pPr>
            <w:r>
              <w:rPr>
                <w:rFonts w:ascii="宋体" w:hAnsi="宋体" w:cs="宋体" w:eastAsia="宋体" w:hint="default"/>
                <w:sz w:val="18"/>
                <w:szCs w:val="18"/>
              </w:rPr>
              <w:t>万联证券有限责任公司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广州市天河区珠江东路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白树锋、李鸿</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2010.12.31-2015.12.31</w:t>
            </w:r>
          </w:p>
        </w:tc>
      </w:tr>
    </w:tbl>
    <w:p>
      <w:pPr>
        <w:spacing w:line="240" w:lineRule="auto" w:before="11"/>
        <w:rPr>
          <w:rFonts w:ascii="宋体" w:hAnsi="宋体" w:cs="宋体" w:eastAsia="宋体" w:hint="default"/>
          <w:sz w:val="15"/>
          <w:szCs w:val="15"/>
        </w:rPr>
      </w:pPr>
    </w:p>
    <w:p>
      <w:pPr>
        <w:pStyle w:val="BodyText"/>
        <w:spacing w:line="240" w:lineRule="auto" w:before="44"/>
        <w:ind w:left="514" w:right="0"/>
        <w:jc w:val="left"/>
      </w:pPr>
      <w:r>
        <w:rPr/>
        <w:t>公司聘请的报告期内履行持续督导职责的财务顾问</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308"/>
        <w:gridCol w:w="1387"/>
        <w:gridCol w:w="1684"/>
        <w:gridCol w:w="1684"/>
        <w:gridCol w:w="168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367,175,382.04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383,443,040.35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343,135,830.49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30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32,733,440.80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43,053,161.40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50,101,739.39</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25,063,432.66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40,528,514.58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48,559,395.92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30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33,662,027.14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1,080,951.23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3,014.11%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33,751,220.03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 </w:t>
            </w:r>
            <w:r>
              <w:rPr>
                <w:rFonts w:ascii="宋体" w:hAnsi="宋体" w:cs="宋体" w:eastAsia="宋体" w:hint="default"/>
                <w:sz w:val="18"/>
                <w:szCs w:val="18"/>
              </w:rPr>
              <w:t>个百分点</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9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1,001,245,853.57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853,401,195.22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841,842,157.54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30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670,748,273.91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650,519,989.02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623,533,384.24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1335"/>
        <w:gridCol w:w="1322"/>
        <w:gridCol w:w="1324"/>
        <w:gridCol w:w="2904"/>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非流动资产处置损益（包括已计提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资产减值准备的冲销部分）</w:t>
            </w:r>
          </w:p>
        </w:tc>
        <w:tc>
          <w:tcPr>
            <w:tcW w:w="1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1,761,199.53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-43,157.94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278,762.85</w:t>
            </w:r>
          </w:p>
        </w:tc>
        <w:tc>
          <w:tcPr>
            <w:tcW w:w="29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1324"/>
        <w:gridCol w:w="1322"/>
        <w:gridCol w:w="1324"/>
        <w:gridCol w:w="2904"/>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 收返还、减免</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1,147,715.50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714,311.83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824,591.42</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9"/>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业务密切相关，按照国家统一标准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定额或定量享受的政府补助除外）</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7,248,391.60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3,594,596.73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2,081,319.00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本报告期内计入当期损益的政府补 助中，其中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元为国家重 点新产品计划战略性创新产品资金； </w:t>
            </w:r>
            <w:r>
              <w:rPr>
                <w:rFonts w:ascii="Times New Roman" w:hAnsi="Times New Roman" w:cs="Times New Roman" w:eastAsia="Times New Roman" w:hint="default"/>
                <w:sz w:val="18"/>
                <w:szCs w:val="18"/>
              </w:rPr>
              <w:t>1,636,363.68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元为全新一代等离子渗 氮设备研发及产业化项目收益</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 入和支出</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-807,160.00</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-1,015,827.76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-977,746.41</w:t>
            </w:r>
            <w:r>
              <w:rPr>
                <w:rFonts w:ascii="Times New Roman"/>
                <w:sz w:val="18"/>
              </w:rPr>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1,511,421.37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576,058.16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495,161.67</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39"/>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168,717.12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149,217.88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169,421.72</w:t>
            </w: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7,670,008.14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2,524,646.82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1,542,343.47</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5"/>
          <w:szCs w:val="15"/>
        </w:rPr>
      </w:pPr>
    </w:p>
    <w:p>
      <w:pPr>
        <w:pStyle w:val="BodyText"/>
        <w:spacing w:line="240" w:lineRule="auto" w:before="44"/>
        <w:ind w:left="51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left="153" w:right="1118"/>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2" w:lineRule="auto"/>
        <w:ind w:left="153" w:right="1117" w:firstLine="360"/>
        <w:jc w:val="left"/>
      </w:pPr>
      <w:r>
        <w:rPr/>
        <w:t>公司报告期不存在将根据《公开发行证券的公司信息披露解释性公告第</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2"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0"/>
        <w:jc w:val="left"/>
        <w:rPr>
          <w:b w:val="0"/>
          <w:bCs w:val="0"/>
        </w:rPr>
      </w:pPr>
      <w:bookmarkStart w:name="一、概述" w:id="19"/>
      <w:bookmarkEnd w:id="19"/>
      <w:r>
        <w:rPr>
          <w:b w:val="0"/>
          <w:bCs w:val="0"/>
        </w:rPr>
      </w:r>
      <w:r>
        <w:rPr/>
        <w:t>一、概述</w:t>
      </w:r>
      <w:r>
        <w:rPr>
          <w:b w:val="0"/>
          <w:bCs w:val="0"/>
        </w:rPr>
      </w:r>
    </w:p>
    <w:p>
      <w:pPr>
        <w:spacing w:line="240" w:lineRule="auto" w:before="2"/>
        <w:rPr>
          <w:rFonts w:ascii="宋体" w:hAnsi="宋体" w:cs="宋体" w:eastAsia="宋体" w:hint="default"/>
          <w:b/>
          <w:bCs/>
          <w:sz w:val="29"/>
          <w:szCs w:val="29"/>
        </w:rPr>
      </w:pPr>
    </w:p>
    <w:p>
      <w:pPr>
        <w:pStyle w:val="BodyText"/>
        <w:spacing w:line="321" w:lineRule="auto"/>
        <w:ind w:left="153" w:right="1129" w:firstLine="357"/>
        <w:jc w:val="both"/>
      </w:pPr>
      <w:r>
        <w:rPr>
          <w:rFonts w:ascii="Times New Roman" w:hAnsi="Times New Roman" w:cs="Times New Roman" w:eastAsia="Times New Roman" w:hint="default"/>
          <w:spacing w:val="-2"/>
        </w:rPr>
        <w:t>2014</w:t>
      </w:r>
      <w:r>
        <w:rPr>
          <w:spacing w:val="-2"/>
        </w:rPr>
        <w:t>年，中国经济开启了向新常态转换之路：外需低迷、内需放缓，经济增速出现小幅下滑。机械工业在</w:t>
      </w:r>
      <w:r>
        <w:rPr>
          <w:rFonts w:ascii="Times New Roman" w:hAnsi="Times New Roman" w:cs="Times New Roman" w:eastAsia="Times New Roman" w:hint="default"/>
          <w:spacing w:val="-2"/>
        </w:rPr>
        <w:t>2014</w:t>
      </w:r>
      <w:r>
        <w:rPr>
          <w:spacing w:val="-2"/>
        </w:rPr>
        <w:t>年基本实</w:t>
      </w:r>
      <w:r>
        <w:rPr/>
        <w:t> </w:t>
      </w:r>
      <w:r>
        <w:rPr>
          <w:spacing w:val="-2"/>
        </w:rPr>
        <w:t>现了稳中有进，其中对外贸易形势向好，新产品、新工艺研发趋于活跃，高端装备自主创新成果也不断涌现。热处理是机械</w:t>
      </w:r>
      <w:r>
        <w:rPr>
          <w:spacing w:val="-66"/>
        </w:rPr>
        <w:t> </w:t>
      </w:r>
      <w:r>
        <w:rPr>
          <w:spacing w:val="-66"/>
        </w:rPr>
      </w:r>
      <w:r>
        <w:rPr>
          <w:spacing w:val="-2"/>
        </w:rPr>
        <w:t>工业的重要组成部分，是现代制造业生产链上不可或缺的极其重要环节，其发展态势与机械制造业紧密关联。纵观全年，公</w:t>
      </w:r>
      <w:r>
        <w:rPr>
          <w:spacing w:val="-66"/>
        </w:rPr>
        <w:t> </w:t>
      </w:r>
      <w:r>
        <w:rPr>
          <w:spacing w:val="-66"/>
        </w:rPr>
      </w:r>
      <w:r>
        <w:rPr/>
        <w:t>司已逐步摆脱</w:t>
      </w:r>
      <w:r>
        <w:rPr>
          <w:rFonts w:ascii="Times New Roman" w:hAnsi="Times New Roman" w:cs="Times New Roman" w:eastAsia="Times New Roman" w:hint="default"/>
        </w:rPr>
        <w:t>2013</w:t>
      </w:r>
      <w:r>
        <w:rPr/>
        <w:t>年下半年以来的下行发展态势，逐渐趋缓并有所企稳。</w:t>
      </w:r>
    </w:p>
    <w:p>
      <w:pPr>
        <w:pStyle w:val="BodyText"/>
        <w:spacing w:line="312" w:lineRule="auto" w:before="42"/>
        <w:ind w:left="153" w:right="1036" w:firstLine="357"/>
        <w:jc w:val="left"/>
      </w:pPr>
      <w:r>
        <w:rPr/>
        <w:t>报告期内，在设备业务方面，公司始终坚持以市场开拓和技术创新为中心，并研发推出了一批具有竞争力的创新产品， 拓宽了装备业务的市场覆盖范围；在专业热处理加工业务方面，以</w:t>
      </w:r>
      <w:r>
        <w:rPr>
          <w:rFonts w:ascii="Times New Roman" w:hAnsi="Times New Roman" w:cs="Times New Roman" w:eastAsia="Times New Roman" w:hint="default"/>
        </w:rPr>
        <w:t>“</w:t>
      </w:r>
      <w:r>
        <w:rPr/>
        <w:t>厂中厂</w:t>
      </w:r>
      <w:r>
        <w:rPr>
          <w:rFonts w:ascii="Times New Roman" w:hAnsi="Times New Roman" w:cs="Times New Roman" w:eastAsia="Times New Roman" w:hint="default"/>
        </w:rPr>
        <w:t>”</w:t>
      </w:r>
      <w:r>
        <w:rPr/>
        <w:t>经营模式投资设立了两个热处理连锁服务中心， </w:t>
      </w:r>
      <w:r>
        <w:rPr>
          <w:spacing w:val="-3"/>
        </w:rPr>
        <w:t>符合公司的热处理加工连锁战略规划，有利于进一步完善热处理服务全国连锁布局。</w:t>
      </w:r>
      <w:r>
        <w:rPr>
          <w:rFonts w:ascii="Times New Roman" w:hAnsi="Times New Roman" w:cs="Times New Roman" w:eastAsia="Times New Roman" w:hint="default"/>
          <w:spacing w:val="-3"/>
        </w:rPr>
        <w:t>2014</w:t>
      </w:r>
      <w:r>
        <w:rPr>
          <w:spacing w:val="-3"/>
        </w:rPr>
        <w:t>年全年实现营业收入</w:t>
      </w:r>
      <w:r>
        <w:rPr>
          <w:rFonts w:ascii="Times New Roman" w:hAnsi="Times New Roman" w:cs="Times New Roman" w:eastAsia="Times New Roman" w:hint="default"/>
          <w:spacing w:val="-3"/>
        </w:rPr>
        <w:t>36,717.54</w:t>
      </w:r>
      <w:r>
        <w:rPr>
          <w:spacing w:val="-3"/>
        </w:rPr>
        <w:t>万元，</w:t>
      </w:r>
      <w:r>
        <w:rPr>
          <w:spacing w:val="-78"/>
        </w:rPr>
        <w:t> </w:t>
      </w:r>
      <w:r>
        <w:rPr>
          <w:spacing w:val="-78"/>
        </w:rPr>
      </w:r>
      <w:r>
        <w:rPr>
          <w:spacing w:val="5"/>
        </w:rPr>
        <w:t>较上年下降</w:t>
      </w:r>
      <w:r>
        <w:rPr>
          <w:rFonts w:ascii="Times New Roman" w:hAnsi="Times New Roman" w:cs="Times New Roman" w:eastAsia="Times New Roman" w:hint="default"/>
          <w:spacing w:val="5"/>
        </w:rPr>
        <w:t>4.24%</w:t>
      </w:r>
      <w:r>
        <w:rPr>
          <w:spacing w:val="5"/>
        </w:rPr>
        <w:t>，实现利润总额及归属于上市公司股东的净利润分别为</w:t>
      </w:r>
      <w:r>
        <w:rPr>
          <w:rFonts w:ascii="Times New Roman" w:hAnsi="Times New Roman" w:cs="Times New Roman" w:eastAsia="Times New Roman" w:hint="default"/>
          <w:spacing w:val="5"/>
        </w:rPr>
        <w:t>4,256.58</w:t>
      </w:r>
      <w:r>
        <w:rPr>
          <w:spacing w:val="5"/>
        </w:rPr>
        <w:t>万元和</w:t>
      </w:r>
      <w:r>
        <w:rPr>
          <w:rFonts w:ascii="Times New Roman" w:hAnsi="Times New Roman" w:cs="Times New Roman" w:eastAsia="Times New Roman" w:hint="default"/>
          <w:spacing w:val="5"/>
        </w:rPr>
        <w:t>3,273.34</w:t>
      </w:r>
      <w:r>
        <w:rPr>
          <w:spacing w:val="5"/>
        </w:rPr>
        <w:t>万元，较上年分别下降</w:t>
      </w:r>
      <w:r>
        <w:rPr>
          <w:spacing w:val="-66"/>
        </w:rPr>
        <w:t> </w:t>
      </w:r>
      <w:r>
        <w:rPr>
          <w:spacing w:val="-66"/>
        </w:rPr>
      </w:r>
      <w:r>
        <w:rPr>
          <w:rFonts w:ascii="Times New Roman" w:hAnsi="Times New Roman" w:cs="Times New Roman" w:eastAsia="Times New Roman" w:hint="default"/>
        </w:rPr>
        <w:t>19.15%</w:t>
      </w:r>
      <w:r>
        <w:rPr/>
        <w:t>和</w:t>
      </w:r>
      <w:r>
        <w:rPr>
          <w:rFonts w:ascii="Times New Roman" w:hAnsi="Times New Roman" w:cs="Times New Roman" w:eastAsia="Times New Roman" w:hint="default"/>
        </w:rPr>
        <w:t>23.97%</w:t>
      </w:r>
      <w:r>
        <w:rPr/>
        <w:t>。</w:t>
      </w:r>
    </w:p>
    <w:p>
      <w:pPr>
        <w:spacing w:line="240" w:lineRule="auto" w:before="4"/>
        <w:rPr>
          <w:rFonts w:ascii="宋体" w:hAnsi="宋体" w:cs="宋体" w:eastAsia="宋体" w:hint="default"/>
          <w:sz w:val="17"/>
          <w:szCs w:val="17"/>
        </w:rPr>
      </w:pPr>
    </w:p>
    <w:p>
      <w:pPr>
        <w:pStyle w:val="Heading2"/>
        <w:spacing w:line="240" w:lineRule="auto"/>
        <w:ind w:left="154"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033" w:firstLine="360"/>
        <w:jc w:val="left"/>
      </w:pPr>
      <w:r>
        <w:rPr>
          <w:spacing w:val="-2"/>
        </w:rPr>
        <w:t>公司主营业务主要分为三大块：热处理设备制造、专业热处理加工以及热处理售后服务。公司利润构成和利润来源未发</w:t>
      </w:r>
      <w:r>
        <w:rPr/>
        <w:t> 生重大变动。</w:t>
      </w:r>
      <w:r>
        <w:rPr>
          <w:rFonts w:ascii="Times New Roman" w:hAnsi="Times New Roman" w:cs="Times New Roman" w:eastAsia="Times New Roman" w:hint="default"/>
        </w:rPr>
        <w:t>2014</w:t>
      </w:r>
      <w:r>
        <w:rPr/>
        <w:t>年，公司继续按照《招股说明书》披露的公司发展战略和经营计划开展生产经营工作：立足于现有业务， </w:t>
      </w:r>
      <w:r>
        <w:rPr>
          <w:spacing w:val="-2"/>
        </w:rPr>
        <w:t>在产品开发、人员培育和扩充、技术开发、国际化经营等方面与《招股说明书》披露的经营计划保持一致，部分募集资金投</w:t>
      </w:r>
      <w:r>
        <w:rPr>
          <w:spacing w:val="-68"/>
        </w:rPr>
        <w:t> </w:t>
      </w:r>
      <w:r>
        <w:rPr>
          <w:spacing w:val="-68"/>
        </w:rPr>
      </w:r>
      <w:r>
        <w:rPr>
          <w:spacing w:val="-2"/>
        </w:rPr>
        <w:t>资项目如期实现了预期收益。近年来由于我国机械工业转入中低速增长周期，热处理行业也受到了较大影响，本着谨慎和投</w:t>
      </w:r>
      <w:r>
        <w:rPr>
          <w:spacing w:val="-66"/>
        </w:rPr>
        <w:t> </w:t>
      </w:r>
      <w:r>
        <w:rPr>
          <w:spacing w:val="-66"/>
        </w:rPr>
      </w:r>
      <w:r>
        <w:rPr/>
        <w:t>资有保障的原则，公司部分募集资金使用计划进展相对缓慢。</w:t>
      </w:r>
    </w:p>
    <w:p>
      <w:pPr>
        <w:pStyle w:val="BodyText"/>
        <w:spacing w:line="240" w:lineRule="auto" w:before="60"/>
        <w:ind w:left="0" w:right="1216"/>
        <w:jc w:val="right"/>
      </w:pPr>
      <w:r>
        <w:rPr/>
        <w:t>单位：元</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553"/>
        <w:gridCol w:w="1559"/>
        <w:gridCol w:w="1418"/>
        <w:gridCol w:w="991"/>
        <w:gridCol w:w="3162"/>
      </w:tblGrid>
      <w:tr>
        <w:trPr>
          <w:trHeight w:val="337"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28"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418" w:right="0"/>
              <w:jc w:val="left"/>
              <w:rPr>
                <w:rFonts w:ascii="宋体" w:hAnsi="宋体" w:cs="宋体" w:eastAsia="宋体" w:hint="default"/>
                <w:sz w:val="18"/>
                <w:szCs w:val="18"/>
              </w:rPr>
            </w:pPr>
            <w:r>
              <w:rPr>
                <w:rFonts w:ascii="宋体" w:hAnsi="宋体" w:cs="宋体" w:eastAsia="宋体" w:hint="default"/>
                <w:sz w:val="18"/>
                <w:szCs w:val="18"/>
              </w:rPr>
              <w:t>同比变动</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tc>
      </w:tr>
      <w:tr>
        <w:trPr>
          <w:trHeight w:val="359"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367,175,382.04</w:t>
            </w:r>
          </w:p>
        </w:tc>
        <w:tc>
          <w:tcPr>
            <w:tcW w:w="14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383,443,040.35</w:t>
            </w:r>
          </w:p>
        </w:tc>
        <w:tc>
          <w:tcPr>
            <w:tcW w:w="9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-4.24%</w:t>
            </w:r>
          </w:p>
        </w:tc>
        <w:tc>
          <w:tcPr>
            <w:tcW w:w="3162" w:type="dxa"/>
            <w:tcBorders>
              <w:top w:val="single" w:sz="10" w:space="0" w:color="000000"/>
              <w:left w:val="single" w:sz="6" w:space="0" w:color="000000"/>
              <w:bottom w:val="single" w:sz="6" w:space="0" w:color="000000"/>
              <w:right w:val="single" w:sz="6" w:space="0" w:color="000000"/>
            </w:tcBorders>
          </w:tcPr>
          <w:p>
            <w:pPr/>
          </w:p>
        </w:tc>
      </w:tr>
      <w:tr>
        <w:trPr>
          <w:trHeight w:val="35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252,129,423.85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right"/>
              <w:rPr>
                <w:rFonts w:ascii="Times New Roman" w:hAnsi="Times New Roman" w:cs="Times New Roman" w:eastAsia="Times New Roman" w:hint="default"/>
                <w:sz w:val="18"/>
                <w:szCs w:val="18"/>
              </w:rPr>
            </w:pPr>
            <w:r>
              <w:rPr>
                <w:rFonts w:ascii="Times New Roman"/>
                <w:spacing w:val="-1"/>
                <w:sz w:val="18"/>
              </w:rPr>
              <w:t>271,849,709.20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-7.25%</w:t>
            </w:r>
          </w:p>
        </w:tc>
        <w:tc>
          <w:tcPr>
            <w:tcW w:w="316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16,856,846.05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16,804,951.35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0.31%</w:t>
            </w:r>
          </w:p>
        </w:tc>
        <w:tc>
          <w:tcPr>
            <w:tcW w:w="316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65,637,581.04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48,440,035.28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35.50%</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left"/>
              <w:rPr>
                <w:rFonts w:ascii="宋体" w:hAnsi="宋体" w:cs="宋体" w:eastAsia="宋体" w:hint="default"/>
                <w:sz w:val="18"/>
                <w:szCs w:val="18"/>
              </w:rPr>
            </w:pPr>
            <w:r>
              <w:rPr>
                <w:rFonts w:ascii="宋体" w:hAnsi="宋体" w:cs="宋体" w:eastAsia="宋体" w:hint="default"/>
                <w:sz w:val="18"/>
                <w:szCs w:val="18"/>
              </w:rPr>
              <w:t>主要系人工成本及研发费增加所致</w:t>
            </w:r>
          </w:p>
        </w:tc>
      </w:tr>
      <w:tr>
        <w:trPr>
          <w:trHeight w:val="51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604,911.74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-1,499,218.97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140.35%</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 w:right="82"/>
              <w:jc w:val="left"/>
              <w:rPr>
                <w:rFonts w:ascii="宋体" w:hAnsi="宋体" w:cs="宋体" w:eastAsia="宋体" w:hint="default"/>
                <w:sz w:val="18"/>
                <w:szCs w:val="18"/>
              </w:rPr>
            </w:pPr>
            <w:r>
              <w:rPr>
                <w:rFonts w:ascii="宋体" w:hAnsi="宋体" w:cs="宋体" w:eastAsia="宋体" w:hint="default"/>
                <w:sz w:val="18"/>
                <w:szCs w:val="18"/>
              </w:rPr>
              <w:t>主要系本期利息收入减少且贷款利息支 出增加所致</w:t>
            </w:r>
          </w:p>
        </w:tc>
      </w:tr>
      <w:tr>
        <w:trPr>
          <w:trHeight w:val="35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42,565,783.95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52,649,041.91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-19.15%</w:t>
            </w:r>
          </w:p>
        </w:tc>
        <w:tc>
          <w:tcPr>
            <w:tcW w:w="3162" w:type="dxa"/>
            <w:tcBorders>
              <w:top w:val="single" w:sz="6" w:space="0" w:color="000000"/>
              <w:left w:val="single" w:sz="6" w:space="0" w:color="000000"/>
              <w:bottom w:val="single" w:sz="6" w:space="0" w:color="000000"/>
              <w:right w:val="single" w:sz="6" w:space="0" w:color="000000"/>
            </w:tcBorders>
          </w:tcPr>
          <w:p>
            <w:pPr/>
          </w:p>
        </w:tc>
      </w:tr>
      <w:tr>
        <w:trPr>
          <w:trHeight w:val="51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2"/>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32,733,440.80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43,053,161.40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-23.97%</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 w:right="82"/>
              <w:jc w:val="left"/>
              <w:rPr>
                <w:rFonts w:ascii="宋体" w:hAnsi="宋体" w:cs="宋体" w:eastAsia="宋体" w:hint="default"/>
                <w:sz w:val="18"/>
                <w:szCs w:val="18"/>
              </w:rPr>
            </w:pPr>
            <w:r>
              <w:rPr>
                <w:rFonts w:ascii="宋体" w:hAnsi="宋体" w:cs="宋体" w:eastAsia="宋体" w:hint="default"/>
                <w:sz w:val="18"/>
                <w:szCs w:val="18"/>
              </w:rPr>
              <w:t>主要系热处理设备业务收入下降及人工 成本、研发费用增加所致</w:t>
            </w:r>
          </w:p>
        </w:tc>
      </w:tr>
      <w:tr>
        <w:trPr>
          <w:trHeight w:val="35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21,205,519.49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19,723,219.07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7.52%</w:t>
            </w:r>
          </w:p>
        </w:tc>
        <w:tc>
          <w:tcPr>
            <w:tcW w:w="3162"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33,662,027.14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1,080,951.23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3014.11%</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left"/>
              <w:rPr>
                <w:rFonts w:ascii="宋体" w:hAnsi="宋体" w:cs="宋体" w:eastAsia="宋体" w:hint="default"/>
                <w:sz w:val="18"/>
                <w:szCs w:val="18"/>
              </w:rPr>
            </w:pPr>
            <w:r>
              <w:rPr>
                <w:rFonts w:ascii="宋体" w:hAnsi="宋体" w:cs="宋体" w:eastAsia="宋体" w:hint="default"/>
                <w:sz w:val="18"/>
                <w:szCs w:val="18"/>
              </w:rPr>
              <w:t>主要系销售收现增加所致</w:t>
            </w:r>
          </w:p>
        </w:tc>
      </w:tr>
      <w:tr>
        <w:trPr>
          <w:trHeight w:val="515"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-62,712,975.11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right"/>
              <w:rPr>
                <w:rFonts w:ascii="Times New Roman" w:hAnsi="Times New Roman" w:cs="Times New Roman" w:eastAsia="Times New Roman" w:hint="default"/>
                <w:sz w:val="18"/>
                <w:szCs w:val="18"/>
              </w:rPr>
            </w:pPr>
            <w:r>
              <w:rPr>
                <w:rFonts w:ascii="Times New Roman"/>
                <w:spacing w:val="-1"/>
                <w:sz w:val="18"/>
              </w:rPr>
              <w:t>-20,367,652.93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w w:val="95"/>
                <w:sz w:val="18"/>
              </w:rPr>
              <w:t>-207.90%</w:t>
            </w:r>
            <w:r>
              <w:rPr>
                <w:rFonts w:ascii="Times New Roman"/>
                <w:sz w:val="18"/>
              </w:rPr>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3" w:right="82"/>
              <w:jc w:val="left"/>
              <w:rPr>
                <w:rFonts w:ascii="宋体" w:hAnsi="宋体" w:cs="宋体" w:eastAsia="宋体" w:hint="default"/>
                <w:sz w:val="18"/>
                <w:szCs w:val="18"/>
              </w:rPr>
            </w:pPr>
            <w:r>
              <w:rPr>
                <w:rFonts w:ascii="宋体" w:hAnsi="宋体" w:cs="宋体" w:eastAsia="宋体" w:hint="default"/>
                <w:sz w:val="18"/>
                <w:szCs w:val="18"/>
              </w:rPr>
              <w:t>主要系子公司天津丰东新购土地及新建 厂房所致</w:t>
            </w:r>
          </w:p>
        </w:tc>
      </w:tr>
      <w:tr>
        <w:trPr>
          <w:trHeight w:val="756" w:hRule="exact"/>
        </w:trPr>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44,684,158.05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-12,412,424.73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460.00%</w:t>
            </w:r>
          </w:p>
        </w:tc>
        <w:tc>
          <w:tcPr>
            <w:tcW w:w="3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3" w:right="83"/>
              <w:jc w:val="both"/>
              <w:rPr>
                <w:rFonts w:ascii="宋体" w:hAnsi="宋体" w:cs="宋体" w:eastAsia="宋体" w:hint="default"/>
                <w:sz w:val="18"/>
                <w:szCs w:val="18"/>
              </w:rPr>
            </w:pPr>
            <w:r>
              <w:rPr>
                <w:rFonts w:ascii="宋体" w:hAnsi="宋体" w:cs="宋体" w:eastAsia="宋体" w:hint="default"/>
                <w:sz w:val="18"/>
                <w:szCs w:val="18"/>
              </w:rPr>
              <w:t>主要系公司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年度偿还债务支付的现 金远大于本期及子公司天津丰东全体股 东增资所致</w:t>
            </w:r>
          </w:p>
        </w:tc>
      </w:tr>
    </w:tbl>
    <w:p>
      <w:pPr>
        <w:spacing w:after="0" w:line="240" w:lineRule="exact"/>
        <w:jc w:val="both"/>
        <w:rPr>
          <w:rFonts w:ascii="宋体" w:hAnsi="宋体" w:cs="宋体" w:eastAsia="宋体" w:hint="default"/>
          <w:sz w:val="18"/>
          <w:szCs w:val="18"/>
        </w:rPr>
        <w:sectPr>
          <w:pgSz w:w="11910" w:h="16840"/>
          <w:pgMar w:header="691" w:footer="979" w:top="1100" w:bottom="1160" w:left="980" w:right="0"/>
        </w:sectPr>
      </w:pPr>
    </w:p>
    <w:p>
      <w:pPr>
        <w:spacing w:line="240" w:lineRule="auto" w:before="8"/>
        <w:rPr>
          <w:rFonts w:ascii="宋体" w:hAnsi="宋体" w:cs="宋体" w:eastAsia="宋体" w:hint="default"/>
          <w:sz w:val="24"/>
          <w:szCs w:val="24"/>
        </w:rPr>
      </w:pPr>
    </w:p>
    <w:p>
      <w:pPr>
        <w:pStyle w:val="BodyText"/>
        <w:spacing w:line="364" w:lineRule="auto" w:before="44"/>
        <w:ind w:right="1033"/>
        <w:jc w:val="left"/>
      </w:pPr>
      <w:r>
        <w:rPr/>
        <w:t>公司回顾总结前期披露的发展战略和经营计划在报告期内的进展情况 报告期内，公司按照</w:t>
      </w:r>
      <w:r>
        <w:rPr>
          <w:rFonts w:ascii="Times New Roman" w:hAnsi="Times New Roman" w:cs="Times New Roman" w:eastAsia="Times New Roman" w:hint="default"/>
        </w:rPr>
        <w:t>2013</w:t>
      </w:r>
      <w:r>
        <w:rPr/>
        <w:t>年度董事会制定的经营计划有序开展各项工作，在热处理连锁服务网点布局、人才梯队建设、</w:t>
      </w:r>
    </w:p>
    <w:p>
      <w:pPr>
        <w:pStyle w:val="BodyText"/>
        <w:spacing w:line="203" w:lineRule="exact"/>
        <w:ind w:left="154" w:right="0"/>
        <w:jc w:val="both"/>
      </w:pPr>
      <w:r>
        <w:rPr/>
        <w:t>完善业务流程、优化技术设计、持续产品创新、强化内控执行等方面均取得了一定的成效；募集资金投资项目按照投资计划</w:t>
      </w:r>
    </w:p>
    <w:p>
      <w:pPr>
        <w:pStyle w:val="BodyText"/>
        <w:spacing w:line="376" w:lineRule="auto" w:before="85"/>
        <w:ind w:right="1118" w:hanging="360"/>
        <w:jc w:val="left"/>
      </w:pPr>
      <w:r>
        <w:rPr/>
        <w:t>有步骤地进行。 </w:t>
      </w:r>
      <w:r>
        <w:rPr>
          <w:spacing w:val="-2"/>
        </w:rPr>
        <w:t>一直以来公司主营业务收入中热处理设备业务收入占据主导地位，为优化公司业务结构，提高抗风险能力，近年来，公</w:t>
      </w:r>
    </w:p>
    <w:p>
      <w:pPr>
        <w:pStyle w:val="BodyText"/>
        <w:spacing w:line="217" w:lineRule="exact"/>
        <w:ind w:left="154" w:right="0"/>
        <w:jc w:val="both"/>
      </w:pPr>
      <w:r>
        <w:rPr/>
        <w:t>司在持续加大热处理设备研发投入的基础上，进一步加强了热处理加工及售后服务业务的拓展。报告期内，公司主营业务结</w:t>
      </w:r>
    </w:p>
    <w:p>
      <w:pPr>
        <w:pStyle w:val="BodyText"/>
        <w:spacing w:line="326" w:lineRule="auto" w:before="85"/>
        <w:ind w:left="154" w:right="1132"/>
        <w:jc w:val="both"/>
      </w:pPr>
      <w:r>
        <w:rPr>
          <w:spacing w:val="-2"/>
        </w:rPr>
        <w:t>构中，专业热处理加工及售后服务业务均实现了较快增长，而设备制造业务由于受国内机械制造业投资整体放缓及结构调整</w:t>
      </w:r>
      <w:r>
        <w:rPr>
          <w:spacing w:val="-64"/>
        </w:rPr>
        <w:t> </w:t>
      </w:r>
      <w:r>
        <w:rPr>
          <w:spacing w:val="-64"/>
        </w:rPr>
      </w:r>
      <w:r>
        <w:rPr>
          <w:spacing w:val="-2"/>
        </w:rPr>
        <w:t>等因素的影响，出现了较大幅度的下滑，新投入的热处理加工网点产能尚未完全释放，热处理加工业务收入和售后服务业务</w:t>
      </w:r>
      <w:r>
        <w:rPr>
          <w:spacing w:val="-66"/>
        </w:rPr>
        <w:t> </w:t>
      </w:r>
      <w:r>
        <w:rPr>
          <w:spacing w:val="-66"/>
        </w:rPr>
      </w:r>
      <w:r>
        <w:rPr/>
        <w:t>收入的增长尚未能弥补设备收入减少对公司主营业务收入的影响，从而导致未能完成全年经营目标计划。</w:t>
      </w:r>
    </w:p>
    <w:p>
      <w:pPr>
        <w:pStyle w:val="BodyText"/>
        <w:spacing w:line="240" w:lineRule="auto" w:before="139"/>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0033"/>
        <w:jc w:val="left"/>
      </w:pPr>
      <w:r>
        <w:rPr/>
        <w:t>说明 无</w:t>
      </w:r>
    </w:p>
    <w:p>
      <w:pPr>
        <w:pStyle w:val="BodyText"/>
        <w:spacing w:line="240" w:lineRule="auto" w:before="29"/>
        <w:ind w:right="0"/>
        <w:jc w:val="left"/>
      </w:pPr>
      <w:r>
        <w:rPr/>
        <w:t>公司实物销售收入是否大于劳务收入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126.32%</w:t>
            </w:r>
          </w:p>
        </w:tc>
      </w:tr>
    </w:tbl>
    <w:p>
      <w:pPr>
        <w:pStyle w:val="BodyText"/>
        <w:spacing w:line="240" w:lineRule="auto" w:before="51"/>
        <w:ind w:left="51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38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库存量本年比上年同期增加</w:t>
      </w:r>
      <w:r>
        <w:rPr>
          <w:rFonts w:ascii="Times New Roman" w:hAnsi="Times New Roman" w:cs="Times New Roman" w:eastAsia="Times New Roman" w:hint="default"/>
        </w:rPr>
        <w:t>126.32%</w:t>
      </w:r>
      <w:r>
        <w:rPr/>
        <w:t>，主要系期末客户订单增加引起生产增加所致。 公司重大的在手订单情况</w:t>
      </w:r>
    </w:p>
    <w:p>
      <w:pPr>
        <w:pStyle w:val="BodyText"/>
        <w:spacing w:line="338" w:lineRule="auto" w:before="43"/>
        <w:ind w:right="6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415" w:lineRule="auto" w:before="43"/>
        <w:ind w:right="8593"/>
        <w:jc w:val="left"/>
      </w:pPr>
      <w:r>
        <w:rPr/>
        <w:pict>
          <v:shape style="position:absolute;margin-left:56.459999pt;margin-top:40.741730pt;width:479.2pt;height:4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43,375,453.93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11.81%</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44"/>
        <w:ind w:left="51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10,256,410.27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9,726,495.73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2.65%</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9,725,695.13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2.65%</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7,068,562.24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1.92%</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6,598,290.56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1.80%</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43,375,453.93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11.81%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30"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225,750,444.15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256,771,875.08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-12.08%</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26,378,979.70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15,077,834.12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74.95%</w:t>
            </w:r>
          </w:p>
        </w:tc>
      </w:tr>
    </w:tbl>
    <w:p>
      <w:pPr>
        <w:spacing w:line="240" w:lineRule="auto" w:before="11"/>
        <w:rPr>
          <w:rFonts w:ascii="宋体" w:hAnsi="宋体" w:cs="宋体" w:eastAsia="宋体" w:hint="default"/>
          <w:sz w:val="15"/>
          <w:szCs w:val="15"/>
        </w:rPr>
      </w:pPr>
    </w:p>
    <w:p>
      <w:pPr>
        <w:pStyle w:val="BodyText"/>
        <w:spacing w:line="240" w:lineRule="auto" w:before="44"/>
        <w:ind w:left="514" w:right="0"/>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30"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132,106,550.81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181,410,040.35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-27.18%</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93,643,893.34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75,361,834.73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24.26%</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26,378,979.70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15,077,834.12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74.95%</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5457"/>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38,874,859.38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日本东方工程株式会社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13,089,940.68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8,690,220.43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8,077,148.79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6,097,277.47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2,920,272.01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38,874,859.38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7"/>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560"/>
        <w:gridCol w:w="1702"/>
        <w:gridCol w:w="1701"/>
        <w:gridCol w:w="1276"/>
        <w:gridCol w:w="3402"/>
      </w:tblGrid>
      <w:tr>
        <w:trPr>
          <w:trHeight w:val="432"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26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537" w:right="0"/>
              <w:jc w:val="left"/>
              <w:rPr>
                <w:rFonts w:ascii="宋体" w:hAnsi="宋体" w:cs="宋体" w:eastAsia="宋体" w:hint="default"/>
                <w:sz w:val="18"/>
                <w:szCs w:val="18"/>
              </w:rPr>
            </w:pPr>
            <w:r>
              <w:rPr>
                <w:rFonts w:ascii="宋体" w:hAnsi="宋体" w:cs="宋体" w:eastAsia="宋体" w:hint="default"/>
                <w:sz w:val="18"/>
                <w:szCs w:val="18"/>
              </w:rPr>
              <w:t>同比变动</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tc>
      </w:tr>
      <w:tr>
        <w:trPr>
          <w:trHeight w:val="40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left="647" w:right="0"/>
              <w:jc w:val="left"/>
              <w:rPr>
                <w:rFonts w:ascii="Times New Roman" w:hAnsi="Times New Roman" w:cs="Times New Roman" w:eastAsia="Times New Roman" w:hint="default"/>
                <w:sz w:val="18"/>
                <w:szCs w:val="18"/>
              </w:rPr>
            </w:pPr>
            <w:r>
              <w:rPr>
                <w:rFonts w:ascii="Times New Roman"/>
                <w:sz w:val="18"/>
              </w:rPr>
              <w:t>16,856,846.05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49" w:right="0"/>
              <w:jc w:val="left"/>
              <w:rPr>
                <w:rFonts w:ascii="Times New Roman" w:hAnsi="Times New Roman" w:cs="Times New Roman" w:eastAsia="Times New Roman" w:hint="default"/>
                <w:sz w:val="18"/>
                <w:szCs w:val="18"/>
              </w:rPr>
            </w:pPr>
            <w:r>
              <w:rPr>
                <w:rFonts w:ascii="Times New Roman"/>
                <w:sz w:val="18"/>
              </w:rPr>
              <w:t>16,804,951.35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93" w:right="0"/>
              <w:jc w:val="left"/>
              <w:rPr>
                <w:rFonts w:ascii="Times New Roman" w:hAnsi="Times New Roman" w:cs="Times New Roman" w:eastAsia="Times New Roman" w:hint="default"/>
                <w:sz w:val="18"/>
                <w:szCs w:val="18"/>
              </w:rPr>
            </w:pPr>
            <w:r>
              <w:rPr>
                <w:rFonts w:ascii="Times New Roman"/>
                <w:sz w:val="18"/>
              </w:rPr>
              <w:t>0.31%</w:t>
            </w:r>
          </w:p>
        </w:tc>
        <w:tc>
          <w:tcPr>
            <w:tcW w:w="340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560"/>
        <w:gridCol w:w="1702"/>
        <w:gridCol w:w="1701"/>
        <w:gridCol w:w="1276"/>
        <w:gridCol w:w="3402"/>
      </w:tblGrid>
      <w:tr>
        <w:trPr>
          <w:trHeight w:val="407"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65,637,581.04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48,440,035.28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35.50%</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主要系人工成本及研发费增加所致</w:t>
            </w:r>
          </w:p>
        </w:tc>
      </w:tr>
      <w:tr>
        <w:trPr>
          <w:trHeight w:val="593"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604,911.74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-1,499,218.97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140.35%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25"/>
              <w:ind w:left="2" w:right="143"/>
              <w:jc w:val="left"/>
              <w:rPr>
                <w:rFonts w:ascii="宋体" w:hAnsi="宋体" w:cs="宋体" w:eastAsia="宋体" w:hint="default"/>
                <w:sz w:val="18"/>
                <w:szCs w:val="18"/>
              </w:rPr>
            </w:pPr>
            <w:r>
              <w:rPr>
                <w:rFonts w:ascii="宋体" w:hAnsi="宋体" w:cs="宋体" w:eastAsia="宋体" w:hint="default"/>
                <w:sz w:val="18"/>
                <w:szCs w:val="18"/>
              </w:rPr>
              <w:t>主要系本期利息收入减少且贷款利息支出 增加所致</w:t>
            </w:r>
          </w:p>
        </w:tc>
      </w:tr>
      <w:tr>
        <w:trPr>
          <w:trHeight w:val="355"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right"/>
              <w:rPr>
                <w:rFonts w:ascii="Times New Roman" w:hAnsi="Times New Roman" w:cs="Times New Roman" w:eastAsia="Times New Roman" w:hint="default"/>
                <w:sz w:val="18"/>
                <w:szCs w:val="18"/>
              </w:rPr>
            </w:pPr>
            <w:r>
              <w:rPr>
                <w:rFonts w:ascii="Times New Roman"/>
                <w:spacing w:val="-1"/>
                <w:sz w:val="18"/>
              </w:rPr>
              <w:t>2,507,874.36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right"/>
              <w:rPr>
                <w:rFonts w:ascii="Times New Roman" w:hAnsi="Times New Roman" w:cs="Times New Roman" w:eastAsia="Times New Roman" w:hint="default"/>
                <w:sz w:val="18"/>
                <w:szCs w:val="18"/>
              </w:rPr>
            </w:pPr>
            <w:r>
              <w:rPr>
                <w:rFonts w:ascii="Times New Roman"/>
                <w:spacing w:val="-1"/>
                <w:sz w:val="18"/>
              </w:rPr>
              <w:t>3,004,068.66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z w:val="18"/>
              </w:rPr>
              <w:t>-16.52%</w:t>
            </w:r>
          </w:p>
        </w:tc>
        <w:tc>
          <w:tcPr>
            <w:tcW w:w="3402"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7,668,185.24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8,424,086.71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-8.97%</w:t>
            </w:r>
          </w:p>
        </w:tc>
        <w:tc>
          <w:tcPr>
            <w:tcW w:w="340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3"/>
        <w:spacing w:line="240" w:lineRule="auto" w:before="35"/>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BodyText"/>
        <w:spacing w:line="240" w:lineRule="auto" w:before="44"/>
        <w:ind w:left="0" w:right="1229"/>
        <w:jc w:val="right"/>
      </w:pPr>
      <w:r>
        <w:rPr/>
        <w:t>单位：元</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119"/>
        <w:gridCol w:w="1559"/>
        <w:gridCol w:w="1560"/>
        <w:gridCol w:w="1701"/>
        <w:gridCol w:w="1702"/>
      </w:tblGrid>
      <w:tr>
        <w:trPr>
          <w:trHeight w:val="653" w:hRule="exact"/>
        </w:trPr>
        <w:tc>
          <w:tcPr>
            <w:tcW w:w="3119"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559"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240" w:lineRule="auto" w:before="16"/>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560"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240" w:lineRule="auto" w:before="16"/>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701"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240" w:lineRule="auto" w:before="16"/>
              <w:ind w:left="48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702"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300" w:lineRule="auto" w:before="16"/>
              <w:ind w:left="482" w:right="47" w:hanging="435"/>
              <w:jc w:val="left"/>
              <w:rPr>
                <w:rFonts w:ascii="宋体" w:hAnsi="宋体" w:cs="宋体" w:eastAsia="宋体" w:hint="default"/>
                <w:sz w:val="18"/>
                <w:szCs w:val="18"/>
              </w:rPr>
            </w:pPr>
            <w:r>
              <w:rPr>
                <w:rFonts w:ascii="宋体" w:hAnsi="宋体" w:cs="宋体" w:eastAsia="宋体" w:hint="default"/>
                <w:sz w:val="18"/>
                <w:szCs w:val="18"/>
              </w:rPr>
              <w:t>同比变动</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 原因说明</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21,205,519.49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19,723,219.07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7.52%</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pacing w:val="-1"/>
                <w:sz w:val="18"/>
                <w:szCs w:val="18"/>
              </w:rPr>
              <w:t>上升</w:t>
            </w:r>
            <w:r>
              <w:rPr>
                <w:rFonts w:ascii="Times New Roman" w:hAnsi="Times New Roman" w:cs="Times New Roman" w:eastAsia="Times New Roman" w:hint="default"/>
                <w:spacing w:val="-1"/>
                <w:sz w:val="18"/>
                <w:szCs w:val="18"/>
              </w:rPr>
              <w:t>0.64</w:t>
            </w:r>
            <w:r>
              <w:rPr>
                <w:rFonts w:ascii="宋体" w:hAnsi="宋体" w:cs="宋体" w:eastAsia="宋体" w:hint="default"/>
                <w:spacing w:val="-1"/>
                <w:sz w:val="18"/>
                <w:szCs w:val="18"/>
              </w:rPr>
              <w:t>个百分点</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shd w:val="clear" w:color="auto" w:fill="C6C6C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研发投入占净资产比例（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pacing w:val="-1"/>
                <w:sz w:val="18"/>
                <w:szCs w:val="18"/>
              </w:rPr>
              <w:t>下降</w:t>
            </w:r>
            <w:r>
              <w:rPr>
                <w:rFonts w:ascii="Times New Roman" w:hAnsi="Times New Roman" w:cs="Times New Roman" w:eastAsia="Times New Roman" w:hint="default"/>
                <w:spacing w:val="-1"/>
                <w:sz w:val="18"/>
                <w:szCs w:val="18"/>
              </w:rPr>
              <w:t>0.01</w:t>
            </w:r>
            <w:r>
              <w:rPr>
                <w:rFonts w:ascii="宋体" w:hAnsi="宋体" w:cs="宋体" w:eastAsia="宋体" w:hint="default"/>
                <w:spacing w:val="-1"/>
                <w:sz w:val="18"/>
                <w:szCs w:val="18"/>
              </w:rPr>
              <w:t>个百分点</w:t>
            </w: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9"/>
          <w:szCs w:val="9"/>
        </w:rPr>
      </w:pPr>
    </w:p>
    <w:p>
      <w:pPr>
        <w:pStyle w:val="BodyText"/>
        <w:spacing w:line="312" w:lineRule="auto" w:before="44"/>
        <w:ind w:left="153" w:right="1129" w:firstLine="360"/>
        <w:jc w:val="both"/>
      </w:pPr>
      <w:r>
        <w:rPr>
          <w:spacing w:val="-1"/>
        </w:rPr>
        <w:t>报告期内，公司研发投入金额为</w:t>
      </w:r>
      <w:r>
        <w:rPr>
          <w:rFonts w:ascii="Times New Roman" w:hAnsi="Times New Roman" w:cs="Times New Roman" w:eastAsia="Times New Roman" w:hint="default"/>
          <w:spacing w:val="-1"/>
        </w:rPr>
        <w:t>21,205,519.49</w:t>
      </w:r>
      <w:r>
        <w:rPr>
          <w:spacing w:val="-1"/>
        </w:rPr>
        <w:t>元，主要用于活性屏离子氮化炉、网带式钎焊炉生产线、燃气加热落底铝</w:t>
      </w:r>
      <w:r>
        <w:rPr/>
        <w:t> </w:t>
      </w:r>
      <w:r>
        <w:rPr>
          <w:spacing w:val="-2"/>
        </w:rPr>
        <w:t>合金时效炉生产线、热处理连续式前清洗生产线、燃气网带式等温淬火炉生产线、空气循环网带式回火炉生产线等热处理设</w:t>
      </w:r>
      <w:r>
        <w:rPr>
          <w:spacing w:val="-66"/>
        </w:rPr>
        <w:t> </w:t>
      </w:r>
      <w:r>
        <w:rPr>
          <w:spacing w:val="-66"/>
        </w:rPr>
      </w:r>
      <w:r>
        <w:rPr>
          <w:spacing w:val="-2"/>
        </w:rPr>
        <w:t>备及工艺技术的研发，重点实施了</w:t>
      </w:r>
      <w:r>
        <w:rPr>
          <w:rFonts w:ascii="Times New Roman" w:hAnsi="Times New Roman" w:cs="Times New Roman" w:eastAsia="Times New Roman" w:hint="default"/>
          <w:spacing w:val="-2"/>
        </w:rPr>
        <w:t>“</w:t>
      </w:r>
      <w:r>
        <w:rPr>
          <w:spacing w:val="-2"/>
        </w:rPr>
        <w:t>热处理温度场与流场模拟、淬火冷却数值模拟</w:t>
      </w:r>
      <w:r>
        <w:rPr>
          <w:rFonts w:ascii="Times New Roman" w:hAnsi="Times New Roman" w:cs="Times New Roman" w:eastAsia="Times New Roman" w:hint="default"/>
          <w:spacing w:val="-2"/>
        </w:rPr>
        <w:t>”</w:t>
      </w:r>
      <w:r>
        <w:rPr>
          <w:spacing w:val="-2"/>
        </w:rPr>
        <w:t>等研发项目。与此同时，公司下半年启动</w:t>
      </w:r>
      <w:r>
        <w:rPr>
          <w:spacing w:val="-44"/>
        </w:rPr>
        <w:t> </w:t>
      </w:r>
      <w:r>
        <w:rPr>
          <w:spacing w:val="-44"/>
        </w:rPr>
      </w:r>
      <w:r>
        <w:rPr>
          <w:spacing w:val="-1"/>
        </w:rPr>
        <w:t>的</w:t>
      </w:r>
      <w:r>
        <w:rPr>
          <w:rFonts w:ascii="Times New Roman" w:hAnsi="Times New Roman" w:cs="Times New Roman" w:eastAsia="Times New Roman" w:hint="default"/>
          <w:spacing w:val="-1"/>
        </w:rPr>
        <w:t>ERP</w:t>
      </w:r>
      <w:r>
        <w:rPr>
          <w:spacing w:val="-1"/>
        </w:rPr>
        <w:t>企业信息化管理系统已于</w:t>
      </w:r>
      <w:r>
        <w:rPr>
          <w:rFonts w:ascii="Times New Roman" w:hAnsi="Times New Roman" w:cs="Times New Roman" w:eastAsia="Times New Roman" w:hint="default"/>
          <w:spacing w:val="-1"/>
        </w:rPr>
        <w:t>2014</w:t>
      </w:r>
      <w:r>
        <w:rPr>
          <w:spacing w:val="-1"/>
        </w:rPr>
        <w:t>年底正式上线运行。公司被国家人社部批准设立国家级</w:t>
      </w:r>
      <w:r>
        <w:rPr>
          <w:rFonts w:ascii="Times New Roman" w:hAnsi="Times New Roman" w:cs="Times New Roman" w:eastAsia="Times New Roman" w:hint="default"/>
          <w:spacing w:val="-1"/>
        </w:rPr>
        <w:t>“</w:t>
      </w:r>
      <w:r>
        <w:rPr>
          <w:spacing w:val="-1"/>
        </w:rPr>
        <w:t>博士后科研工作站</w:t>
      </w:r>
      <w:r>
        <w:rPr>
          <w:rFonts w:ascii="Times New Roman" w:hAnsi="Times New Roman" w:cs="Times New Roman" w:eastAsia="Times New Roman" w:hint="default"/>
          <w:spacing w:val="-1"/>
        </w:rPr>
        <w:t>”</w:t>
      </w:r>
      <w:r>
        <w:rPr>
          <w:spacing w:val="-1"/>
        </w:rPr>
        <w:t>，为公司持</w:t>
      </w:r>
      <w:r>
        <w:rPr>
          <w:spacing w:val="-64"/>
        </w:rPr>
        <w:t> </w:t>
      </w:r>
      <w:r>
        <w:rPr>
          <w:spacing w:val="-64"/>
        </w:rPr>
      </w:r>
      <w:r>
        <w:rPr/>
        <w:t>续引进高层次人才开展研发合作创造了条件。公司技术中心被国家发改委、科技部等五部门联合评审确定为</w:t>
      </w:r>
      <w:r>
        <w:rPr>
          <w:rFonts w:ascii="Times New Roman" w:hAnsi="Times New Roman" w:cs="Times New Roman" w:eastAsia="Times New Roman" w:hint="default"/>
        </w:rPr>
        <w:t>“</w:t>
      </w:r>
      <w:r>
        <w:rPr/>
        <w:t>国家认定企业 技术中心</w:t>
      </w:r>
      <w:r>
        <w:rPr>
          <w:rFonts w:ascii="Times New Roman" w:hAnsi="Times New Roman" w:cs="Times New Roman" w:eastAsia="Times New Roman" w:hint="default"/>
        </w:rPr>
        <w:t>”</w:t>
      </w:r>
      <w:r>
        <w:rPr/>
        <w:t>，是国内热处理行业唯一的国家级技术中心，是公司技术创新的重要里程碑，标志着公司已正式进入国家级科技 创新平台，为更多承担国家级科研项目创造了条件。</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6"/>
        <w:gridCol w:w="2161"/>
        <w:gridCol w:w="2151"/>
        <w:gridCol w:w="2149"/>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471,075,257.88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431,034,011.44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437,413,230.74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429,953,060.21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33,662,027.14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1,080,951.23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3,014.11%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9,164,639.32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6,493,343.91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71,877,614.43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26,860,996.84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-62,712,975.11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-20,367,652.93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-207.90%</w:t>
            </w:r>
            <w:r>
              <w:rPr>
                <w:rFonts w:ascii="Times New Roman"/>
                <w:sz w:val="18"/>
              </w:rPr>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81,178,065.00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36,493,906.95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82,412,424.73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44,684,158.05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-12,412,424.73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15,549,843.09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-31,514,805.39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149.34%</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691"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w:t>
      </w:r>
      <w:r>
        <w:rPr>
          <w:rFonts w:ascii="Times New Roman" w:hAnsi="Times New Roman" w:cs="Times New Roman" w:eastAsia="Times New Roman" w:hint="default"/>
        </w:rPr>
        <w:t>1</w:t>
      </w:r>
      <w:r>
        <w:rPr/>
        <w:t>）经营活动产生的现金流量净额本年比上年同期增长</w:t>
      </w:r>
      <w:r>
        <w:rPr>
          <w:rFonts w:ascii="Times New Roman" w:hAnsi="Times New Roman" w:cs="Times New Roman" w:eastAsia="Times New Roman" w:hint="default"/>
        </w:rPr>
        <w:t>3014.11%</w:t>
      </w:r>
      <w:r>
        <w:rPr/>
        <w:t>，主要系销售收现增加所致；</w:t>
      </w:r>
    </w:p>
    <w:p>
      <w:pPr>
        <w:pStyle w:val="BodyText"/>
        <w:spacing w:line="240" w:lineRule="auto" w:before="63"/>
        <w:ind w:right="0"/>
        <w:jc w:val="left"/>
      </w:pPr>
      <w:r>
        <w:rPr/>
        <w:t>（</w:t>
      </w:r>
      <w:r>
        <w:rPr>
          <w:rFonts w:ascii="Times New Roman" w:hAnsi="Times New Roman" w:cs="Times New Roman" w:eastAsia="Times New Roman" w:hint="default"/>
        </w:rPr>
        <w:t>2</w:t>
      </w:r>
      <w:r>
        <w:rPr/>
        <w:t>）投资活动产生的现金流量净额本年比上年同期下降</w:t>
      </w:r>
      <w:r>
        <w:rPr>
          <w:rFonts w:ascii="Times New Roman" w:hAnsi="Times New Roman" w:cs="Times New Roman" w:eastAsia="Times New Roman" w:hint="default"/>
        </w:rPr>
        <w:t>207.90%</w:t>
      </w:r>
      <w:r>
        <w:rPr/>
        <w:t>，主要系子公司天津丰东新购土地及新建厂房所致；</w:t>
      </w:r>
    </w:p>
    <w:p>
      <w:pPr>
        <w:pStyle w:val="BodyText"/>
        <w:spacing w:line="300" w:lineRule="auto" w:before="63"/>
        <w:ind w:left="153" w:right="1198" w:firstLine="360"/>
        <w:jc w:val="left"/>
      </w:pPr>
      <w:r>
        <w:rPr/>
        <w:t>（</w:t>
      </w:r>
      <w:r>
        <w:rPr>
          <w:rFonts w:ascii="Times New Roman" w:hAnsi="Times New Roman" w:cs="Times New Roman" w:eastAsia="Times New Roman" w:hint="default"/>
        </w:rPr>
        <w:t>3</w:t>
      </w:r>
      <w:r>
        <w:rPr/>
        <w:t>）筹资活动产生的现金流量净额本年比上年同期增长</w:t>
      </w:r>
      <w:r>
        <w:rPr>
          <w:rFonts w:ascii="Times New Roman" w:hAnsi="Times New Roman" w:cs="Times New Roman" w:eastAsia="Times New Roman" w:hint="default"/>
        </w:rPr>
        <w:t>460.00%</w:t>
      </w:r>
      <w:r>
        <w:rPr/>
        <w:t>，主要系公司</w:t>
      </w:r>
      <w:r>
        <w:rPr>
          <w:rFonts w:ascii="Times New Roman" w:hAnsi="Times New Roman" w:cs="Times New Roman" w:eastAsia="Times New Roman" w:hint="default"/>
        </w:rPr>
        <w:t>2013</w:t>
      </w:r>
      <w:r>
        <w:rPr/>
        <w:t>年度偿还债务支付的现金远大于本 期及子公司天津丰东全体股东增资所致。</w:t>
      </w:r>
    </w:p>
    <w:p>
      <w:pPr>
        <w:pStyle w:val="BodyText"/>
        <w:spacing w:line="240" w:lineRule="auto" w:before="152"/>
        <w:ind w:right="0"/>
        <w:jc w:val="left"/>
      </w:pPr>
      <w:r>
        <w:rPr/>
        <w:t>报告期内公司经营活动的现金流量与本年度净利润存在重大差异的原因说明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367,175,382.04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252,129,423.85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185,793,204.40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132,106,550.81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136,952,091.82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93,643,893.34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44,430,085.82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26,378,979.70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236,916,106.75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156,759,240.88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24,914,697.01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14,103,985.31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22,462,086.51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15,567,691.02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21,533,182.60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18,877,735.04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10,062,976.09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9,228,959.15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28,255,489.92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22,362,736.86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3,778,486.32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2,702,489.88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19,252,356.84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12,526,585.71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1276"/>
        <w:gridCol w:w="1276"/>
        <w:gridCol w:w="1276"/>
        <w:gridCol w:w="1134"/>
        <w:gridCol w:w="1914"/>
      </w:tblGrid>
      <w:tr>
        <w:trPr>
          <w:trHeight w:val="330"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3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7"/>
        <w:gridCol w:w="1337"/>
        <w:gridCol w:w="1276"/>
        <w:gridCol w:w="1276"/>
        <w:gridCol w:w="1276"/>
        <w:gridCol w:w="1134"/>
        <w:gridCol w:w="1914"/>
      </w:tblGrid>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222,060,206.93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22.18%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206,510,363.84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24.20%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141,110,483.83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14.09%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112,354,794.08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193,150,255.92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19.29%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151,211,062.30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17.72%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91,617,710.83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74,588,550.15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216,606,512.84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21.63%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210,699,056.15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24.69%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23,573,670.14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3,788,554.87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1.91%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228"/>
        <w:gridCol w:w="1217"/>
        <w:gridCol w:w="1218"/>
        <w:gridCol w:w="1218"/>
        <w:gridCol w:w="1701"/>
        <w:gridCol w:w="1631"/>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445" w:type="dxa"/>
            <w:gridSpan w:val="2"/>
            <w:vMerge/>
            <w:tcBorders>
              <w:left w:val="single" w:sz="4" w:space="0" w:color="000000"/>
              <w:bottom w:val="single" w:sz="4" w:space="0" w:color="000000"/>
              <w:right w:val="single" w:sz="4" w:space="0" w:color="000000"/>
            </w:tcBorders>
            <w:shd w:val="clear" w:color="auto" w:fill="D2D2D2"/>
          </w:tcPr>
          <w:p>
            <w:pPr/>
          </w:p>
        </w:tc>
        <w:tc>
          <w:tcPr>
            <w:tcW w:w="2436" w:type="dxa"/>
            <w:gridSpan w:val="2"/>
            <w:vMerge/>
            <w:tcBorders>
              <w:left w:val="single" w:sz="4" w:space="0" w:color="000000"/>
              <w:bottom w:val="single" w:sz="4" w:space="0" w:color="000000"/>
              <w:right w:val="single" w:sz="4" w:space="0" w:color="000000"/>
            </w:tcBorders>
            <w:shd w:val="clear" w:color="auto" w:fill="D2D2D2"/>
          </w:tcPr>
          <w:p>
            <w:pPr/>
          </w:p>
        </w:tc>
        <w:tc>
          <w:tcPr>
            <w:tcW w:w="1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2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701" w:type="dxa"/>
            <w:vMerge/>
            <w:tcBorders>
              <w:left w:val="single" w:sz="4" w:space="0" w:color="000000"/>
              <w:bottom w:val="nil" w:sz="6" w:space="0" w:color="auto"/>
              <w:right w:val="single" w:sz="4" w:space="0" w:color="000000"/>
            </w:tcBorders>
            <w:shd w:val="clear" w:color="auto" w:fill="D2D2D2"/>
          </w:tcPr>
          <w:p>
            <w:pPr/>
          </w:p>
        </w:tc>
        <w:tc>
          <w:tcPr>
            <w:tcW w:w="16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8" w:type="dxa"/>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0.48 </w:t>
            </w:r>
            <w:r>
              <w:rPr>
                <w:rFonts w:ascii="宋体" w:hAnsi="宋体" w:cs="宋体" w:eastAsia="宋体" w:hint="default"/>
                <w:sz w:val="18"/>
                <w:szCs w:val="18"/>
              </w:rPr>
              <w:t>个百分点</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 </w:t>
            </w:r>
            <w:r>
              <w:rPr>
                <w:rFonts w:ascii="宋体" w:hAnsi="宋体" w:cs="宋体" w:eastAsia="宋体" w:hint="default"/>
                <w:sz w:val="18"/>
                <w:szCs w:val="18"/>
              </w:rPr>
              <w:t>个百分点</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五、核心竞争力分析" w:id="32"/>
      <w:bookmarkEnd w:id="32"/>
      <w:r>
        <w:rPr>
          <w:b w:val="0"/>
          <w:bCs w:val="0"/>
        </w:rPr>
      </w:r>
      <w:r>
        <w:rPr/>
        <w:t>五、核心竞争力分析</w:t>
      </w:r>
      <w:r>
        <w:rPr>
          <w:b w:val="0"/>
          <w:bCs w:val="0"/>
        </w:rPr>
      </w:r>
    </w:p>
    <w:p>
      <w:pPr>
        <w:spacing w:line="240" w:lineRule="auto" w:before="3"/>
        <w:rPr>
          <w:rFonts w:ascii="宋体" w:hAnsi="宋体" w:cs="宋体" w:eastAsia="宋体" w:hint="default"/>
          <w:b/>
          <w:bCs/>
          <w:sz w:val="29"/>
          <w:szCs w:val="29"/>
        </w:rPr>
      </w:pPr>
    </w:p>
    <w:p>
      <w:pPr>
        <w:pStyle w:val="BodyText"/>
        <w:spacing w:line="240" w:lineRule="auto"/>
        <w:ind w:right="0"/>
        <w:jc w:val="left"/>
      </w:pPr>
      <w:r>
        <w:rPr/>
        <w:t>报告期内公司核心竞争力未发生重大变化。</w:t>
      </w:r>
    </w:p>
    <w:p>
      <w:pPr>
        <w:pStyle w:val="Heading4"/>
        <w:spacing w:line="240" w:lineRule="auto" w:before="147"/>
        <w:ind w:right="0"/>
        <w:jc w:val="left"/>
        <w:rPr>
          <w:b w:val="0"/>
          <w:bCs w:val="0"/>
        </w:rPr>
      </w:pPr>
      <w:r>
        <w:rPr>
          <w:rFonts w:ascii="Times New Roman" w:hAnsi="Times New Roman" w:cs="Times New Roman" w:eastAsia="Times New Roman" w:hint="default"/>
        </w:rPr>
        <w:t>1</w:t>
      </w:r>
      <w:r>
        <w:rPr/>
        <w:t>、技术优势</w:t>
      </w:r>
      <w:r>
        <w:rPr>
          <w:b w:val="0"/>
          <w:bCs w:val="0"/>
        </w:rPr>
      </w:r>
    </w:p>
    <w:p>
      <w:pPr>
        <w:pStyle w:val="BodyText"/>
        <w:spacing w:line="316" w:lineRule="auto" w:before="132"/>
        <w:ind w:left="154" w:right="1131" w:firstLine="360"/>
        <w:jc w:val="both"/>
      </w:pPr>
      <w:r>
        <w:rPr/>
        <w:t>公司始终重视技术的研究与创新，</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年获得发明专利授权</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项、实用新型专利授权</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项、软件著作权</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项；公司牵 头起草的 </w:t>
      </w:r>
      <w:r>
        <w:rPr>
          <w:rFonts w:ascii="Times New Roman" w:hAnsi="Times New Roman" w:cs="Times New Roman" w:eastAsia="Times New Roman" w:hint="default"/>
        </w:rPr>
        <w:t>3 </w:t>
      </w:r>
      <w:r>
        <w:rPr/>
        <w:t>项国家标准、</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3"/>
        </w:rPr>
        <w:t>项行业标准获得批准公布。公司被国家人社部批准设立国家级“博士后科研工作站”，为公司持</w:t>
      </w:r>
      <w:r>
        <w:rPr/>
        <w:t> </w:t>
      </w:r>
      <w:r>
        <w:rPr>
          <w:spacing w:val="-2"/>
        </w:rPr>
        <w:t>续引进高层次人才开展研发合作创造了条件。公司技术中心被评为“国家认定企业技术中心”，是国内热处理行业唯一的国</w:t>
      </w:r>
      <w:r>
        <w:rPr>
          <w:spacing w:val="-66"/>
        </w:rPr>
        <w:t> </w:t>
      </w:r>
      <w:r>
        <w:rPr>
          <w:spacing w:val="-66"/>
        </w:rPr>
      </w:r>
      <w:r>
        <w:rPr>
          <w:spacing w:val="-2"/>
        </w:rPr>
        <w:t>家级技术中心，是公司技术创新的重要里程碑，标志着公司已正式进入国家级科技创新平台体系，具备承担更多国家级科研</w:t>
      </w:r>
      <w:r>
        <w:rPr>
          <w:spacing w:val="-66"/>
        </w:rPr>
        <w:t> </w:t>
      </w:r>
      <w:r>
        <w:rPr>
          <w:spacing w:val="-66"/>
        </w:rPr>
      </w:r>
      <w:r>
        <w:rPr/>
        <w:t>项目的条件。</w:t>
      </w:r>
    </w:p>
    <w:p>
      <w:pPr>
        <w:pStyle w:val="BodyText"/>
        <w:spacing w:line="367" w:lineRule="auto" w:before="89"/>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、产品优势</w:t>
      </w:r>
      <w:r>
        <w:rPr>
          <w:rFonts w:ascii="宋体" w:hAnsi="宋体" w:cs="宋体" w:eastAsia="宋体" w:hint="default"/>
          <w:b/>
          <w:bCs/>
          <w:w w:val="99"/>
        </w:rPr>
        <w:t> </w:t>
      </w:r>
      <w:r>
        <w:rPr>
          <w:spacing w:val="-2"/>
        </w:rPr>
        <w:t>公司热处理设备的主营产品主要是可控气氛炉和真空炉，该两大类产品在性价比及节能减排方面具有显著优势，符合国</w:t>
      </w:r>
    </w:p>
    <w:p>
      <w:pPr>
        <w:pStyle w:val="BodyText"/>
        <w:spacing w:line="314" w:lineRule="auto"/>
        <w:ind w:left="153" w:right="1131"/>
        <w:jc w:val="both"/>
      </w:pPr>
      <w:r>
        <w:rPr>
          <w:spacing w:val="-2"/>
        </w:rPr>
        <w:t>家加快节能减排技术研发的产业政策，并在众多行业及领域得到了推广应用。报告期内研发成功的活性屏离子氮化炉、网带</w:t>
      </w:r>
      <w:r>
        <w:rPr>
          <w:spacing w:val="-66"/>
        </w:rPr>
        <w:t> </w:t>
      </w:r>
      <w:r>
        <w:rPr>
          <w:spacing w:val="-66"/>
        </w:rPr>
      </w:r>
      <w:r>
        <w:rPr>
          <w:spacing w:val="-2"/>
        </w:rPr>
        <w:t>式钎焊炉生产线、燃气加热落底铝合金时效炉生产线、热处理连续式前清洗生产线、燃气网带式等温淬火炉生产线等装备将</w:t>
      </w:r>
      <w:r>
        <w:rPr>
          <w:spacing w:val="-66"/>
        </w:rPr>
        <w:t> </w:t>
      </w:r>
      <w:r>
        <w:rPr>
          <w:spacing w:val="-66"/>
        </w:rPr>
      </w:r>
      <w:r>
        <w:rPr/>
        <w:t>在更多的行业领域中得到应用，为公司保持在热处理设备市场的竞争优势打下了良好的基础。到目前为止，公司已有</w:t>
      </w:r>
      <w:r>
        <w:rPr>
          <w:rFonts w:ascii="Times New Roman" w:hAnsi="Times New Roman" w:cs="Times New Roman" w:eastAsia="Times New Roman" w:hint="default"/>
        </w:rPr>
        <w:t>5</w:t>
      </w:r>
      <w:r>
        <w:rPr/>
        <w:t>款产 </w:t>
      </w:r>
      <w:r>
        <w:rPr>
          <w:spacing w:val="-2"/>
        </w:rPr>
        <w:t>品被国家工信部认定为节能减排机电产品。公司研发的</w:t>
      </w:r>
      <w:r>
        <w:rPr>
          <w:rFonts w:ascii="Times New Roman" w:hAnsi="Times New Roman" w:cs="Times New Roman" w:eastAsia="Times New Roman" w:hint="default"/>
          <w:spacing w:val="-2"/>
        </w:rPr>
        <w:t>“ASPN</w:t>
      </w:r>
      <w:r>
        <w:rPr>
          <w:rFonts w:ascii="Times New Roman" w:hAnsi="Times New Roman" w:cs="Times New Roman" w:eastAsia="Times New Roman" w:hint="default"/>
          <w:spacing w:val="35"/>
        </w:rPr>
        <w:t> </w:t>
      </w:r>
      <w:r>
        <w:rPr>
          <w:spacing w:val="-2"/>
        </w:rPr>
        <w:t>活性屏离子氮化炉</w:t>
      </w:r>
      <w:r>
        <w:rPr>
          <w:rFonts w:ascii="Times New Roman" w:hAnsi="Times New Roman" w:cs="Times New Roman" w:eastAsia="Times New Roman" w:hint="default"/>
          <w:spacing w:val="-2"/>
        </w:rPr>
        <w:t>”</w:t>
      </w:r>
      <w:r>
        <w:rPr>
          <w:spacing w:val="-2"/>
        </w:rPr>
        <w:t>被国家科技部、环保部等四部门联合评审</w:t>
      </w:r>
      <w:r>
        <w:rPr>
          <w:spacing w:val="-87"/>
        </w:rPr>
        <w:t> </w:t>
      </w:r>
      <w:r>
        <w:rPr>
          <w:spacing w:val="-87"/>
        </w:rPr>
      </w:r>
      <w:r>
        <w:rPr>
          <w:spacing w:val="-2"/>
        </w:rPr>
        <w:t>确定为</w:t>
      </w:r>
      <w:r>
        <w:rPr>
          <w:rFonts w:ascii="Times New Roman" w:hAnsi="Times New Roman" w:cs="Times New Roman" w:eastAsia="Times New Roman" w:hint="default"/>
          <w:spacing w:val="-2"/>
        </w:rPr>
        <w:t>“2014</w:t>
      </w:r>
      <w:r>
        <w:rPr>
          <w:spacing w:val="-2"/>
        </w:rPr>
        <w:t>年度国家战略性创新产品</w:t>
      </w:r>
      <w:r>
        <w:rPr>
          <w:rFonts w:ascii="Times New Roman" w:hAnsi="Times New Roman" w:cs="Times New Roman" w:eastAsia="Times New Roman" w:hint="default"/>
          <w:spacing w:val="-2"/>
        </w:rPr>
        <w:t>”</w:t>
      </w:r>
      <w:r>
        <w:rPr>
          <w:spacing w:val="-2"/>
        </w:rPr>
        <w:t>。公司每年研发投入的项目进一步丰富了公司的产品线，为公司的装备向更多行业及</w:t>
      </w:r>
      <w:r>
        <w:rPr>
          <w:spacing w:val="-40"/>
        </w:rPr>
        <w:t> </w:t>
      </w:r>
      <w:r>
        <w:rPr>
          <w:spacing w:val="-40"/>
        </w:rPr>
      </w:r>
      <w:r>
        <w:rPr/>
        <w:t>领域的拓展和应用打下基础。</w:t>
      </w:r>
    </w:p>
    <w:p>
      <w:pPr>
        <w:pStyle w:val="BodyText"/>
        <w:spacing w:line="367" w:lineRule="auto" w:before="91"/>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、经营模式优势</w:t>
      </w:r>
      <w:r>
        <w:rPr>
          <w:rFonts w:ascii="宋体" w:hAnsi="宋体" w:cs="宋体" w:eastAsia="宋体" w:hint="default"/>
          <w:b/>
          <w:bCs/>
          <w:w w:val="99"/>
        </w:rPr>
        <w:t> </w:t>
      </w:r>
      <w:r>
        <w:rPr>
          <w:spacing w:val="-2"/>
        </w:rPr>
        <w:t>公司采取热处理设备制造与专业热处理加工服务并举的独特经营模式，这两块业务互为补充、互相促进，同时不断强化</w:t>
      </w:r>
    </w:p>
    <w:p>
      <w:pPr>
        <w:pStyle w:val="BodyText"/>
        <w:spacing w:line="224" w:lineRule="exact"/>
        <w:ind w:left="154" w:right="0"/>
        <w:jc w:val="both"/>
      </w:pPr>
      <w:r>
        <w:rPr/>
        <w:t>的售后服务业务，也将成为公司新的利润增长点。经过近四年的努力，专业热处理加工连锁经营模式逐渐形成，加工业务收</w:t>
      </w:r>
    </w:p>
    <w:p>
      <w:pPr>
        <w:pStyle w:val="BodyText"/>
        <w:spacing w:line="240" w:lineRule="auto" w:before="85"/>
        <w:ind w:left="154" w:right="0"/>
        <w:jc w:val="both"/>
      </w:pPr>
      <w:r>
        <w:rPr/>
        <w:t>入在公司主营业务收入中的占比已逐步提升，为进一步实现公司优化主营业务结构的战略目标打好坚实基础。</w:t>
      </w:r>
    </w:p>
    <w:p>
      <w:pPr>
        <w:spacing w:after="0" w:line="240" w:lineRule="auto"/>
        <w:jc w:val="both"/>
        <w:sectPr>
          <w:pgSz w:w="11910" w:h="16840"/>
          <w:pgMar w:header="691" w:footer="979" w:top="1100" w:bottom="1160" w:left="980" w:right="0"/>
        </w:sectPr>
      </w:pPr>
    </w:p>
    <w:p>
      <w:pPr>
        <w:spacing w:line="240" w:lineRule="auto" w:before="7"/>
        <w:rPr>
          <w:rFonts w:ascii="宋体" w:hAnsi="宋体" w:cs="宋体" w:eastAsia="宋体" w:hint="default"/>
          <w:sz w:val="24"/>
          <w:szCs w:val="24"/>
        </w:rPr>
      </w:pPr>
      <w:r>
        <w:rPr/>
        <w:pict>
          <v:group style="position:absolute;margin-left:418.5pt;margin-top:637.539978pt;width:116.5pt;height:21pt;mso-position-horizontal-relative:page;mso-position-vertical-relative:page;z-index:-821104" coordorigin="8370,12751" coordsize="2330,420">
            <v:shape style="position:absolute;left:8370;top:12751;width:2330;height:420" coordorigin="8370,12751" coordsize="2330,420" path="m8370,13171l10699,13171,10699,12751,8370,12751,8370,13171xe" filled="true" fillcolor="#ffffff" stroked="false">
              <v:path arrowok="t"/>
              <v:fill type="solid"/>
            </v:shape>
            <w10:wrap type="none"/>
          </v:group>
        </w:pict>
      </w:r>
    </w:p>
    <w:p>
      <w:pPr>
        <w:pStyle w:val="BodyText"/>
        <w:spacing w:line="369" w:lineRule="auto" w:before="44"/>
        <w:ind w:left="514" w:right="1118" w:firstLine="1"/>
        <w:jc w:val="left"/>
      </w:pPr>
      <w:r>
        <w:rPr>
          <w:rFonts w:ascii="Times New Roman" w:hAnsi="Times New Roman" w:cs="Times New Roman" w:eastAsia="Times New Roman" w:hint="default"/>
          <w:b/>
          <w:bCs/>
        </w:rPr>
        <w:t>4</w:t>
      </w:r>
      <w:r>
        <w:rPr>
          <w:rFonts w:ascii="宋体" w:hAnsi="宋体" w:cs="宋体" w:eastAsia="宋体" w:hint="default"/>
          <w:b/>
          <w:bCs/>
        </w:rPr>
        <w:t>、管理优势</w:t>
      </w:r>
      <w:r>
        <w:rPr>
          <w:rFonts w:ascii="宋体" w:hAnsi="宋体" w:cs="宋体" w:eastAsia="宋体" w:hint="default"/>
          <w:b/>
          <w:bCs/>
          <w:w w:val="99"/>
        </w:rPr>
        <w:t> </w:t>
      </w:r>
      <w:r>
        <w:rPr>
          <w:spacing w:val="-2"/>
        </w:rPr>
        <w:t>在设备制造方面，公司经过</w:t>
      </w:r>
      <w:r>
        <w:rPr>
          <w:rFonts w:ascii="Times New Roman" w:hAnsi="Times New Roman" w:cs="Times New Roman" w:eastAsia="Times New Roman" w:hint="default"/>
          <w:spacing w:val="-2"/>
        </w:rPr>
        <w:t>20</w:t>
      </w:r>
      <w:r>
        <w:rPr>
          <w:spacing w:val="-2"/>
        </w:rPr>
        <w:t>多年的积累，形成了丰富的热处理设备制造、工艺设计、质量控制等经验；在专业热处理</w:t>
      </w:r>
    </w:p>
    <w:p>
      <w:pPr>
        <w:pStyle w:val="BodyText"/>
        <w:spacing w:line="198" w:lineRule="exact"/>
        <w:ind w:left="153" w:right="0"/>
        <w:jc w:val="left"/>
      </w:pPr>
      <w:r>
        <w:rPr/>
        <w:t>加工方面，公司积累了丰富热处理加工工艺开发、热处理加工专用工装设计、各种热处理设备的使用维护和保养、热处理质</w:t>
      </w:r>
    </w:p>
    <w:p>
      <w:pPr>
        <w:pStyle w:val="BodyText"/>
        <w:spacing w:line="319" w:lineRule="auto" w:before="85"/>
        <w:ind w:left="153" w:right="1079"/>
        <w:jc w:val="both"/>
      </w:pPr>
      <w:r>
        <w:rPr>
          <w:spacing w:val="-2"/>
        </w:rPr>
        <w:t>量检验、热处理加工质量管理体系维护等多方面管理经验，目前正打造热处理加工专业人员快速培训体系、工艺研发支持平</w:t>
      </w:r>
      <w:r>
        <w:rPr>
          <w:spacing w:val="-66"/>
        </w:rPr>
        <w:t> </w:t>
      </w:r>
      <w:r>
        <w:rPr>
          <w:spacing w:val="-66"/>
        </w:rPr>
      </w:r>
      <w:r>
        <w:rPr/>
        <w:t>台和提炼规范连锁加工运营模式。设备制造及热处理加工</w:t>
      </w:r>
      <w:r>
        <w:rPr>
          <w:rFonts w:ascii="Times New Roman" w:hAnsi="Times New Roman" w:cs="Times New Roman" w:eastAsia="Times New Roman" w:hint="default"/>
        </w:rPr>
        <w:t>ERP</w:t>
      </w:r>
      <w:r>
        <w:rPr/>
        <w:t>信息化系统的建设，为公司优化流程、提升效率、控制成本、 </w:t>
      </w:r>
      <w:r>
        <w:rPr>
          <w:spacing w:val="-2"/>
        </w:rPr>
        <w:t>发展业务等提供了有力的保障。投资管理队伍正逐步加强，投资调研论证、风险评估及规范操作能力不断提高，对已投资企</w:t>
      </w:r>
      <w:r>
        <w:rPr>
          <w:spacing w:val="-66"/>
        </w:rPr>
        <w:t> </w:t>
      </w:r>
      <w:r>
        <w:rPr>
          <w:spacing w:val="-66"/>
        </w:rPr>
      </w:r>
      <w:r>
        <w:rPr/>
        <w:t>业经营目标达成的管控和监督规范运行等方面均有较大的进步。</w:t>
      </w:r>
    </w:p>
    <w:p>
      <w:pPr>
        <w:pStyle w:val="BodyText"/>
        <w:spacing w:line="369" w:lineRule="auto" w:before="86"/>
        <w:ind w:left="514" w:right="0" w:firstLine="1"/>
        <w:jc w:val="left"/>
      </w:pPr>
      <w:r>
        <w:rPr>
          <w:rFonts w:ascii="Times New Roman" w:hAnsi="Times New Roman" w:cs="Times New Roman" w:eastAsia="Times New Roman" w:hint="default"/>
          <w:b/>
          <w:bCs/>
        </w:rPr>
        <w:t>5</w:t>
      </w:r>
      <w:r>
        <w:rPr>
          <w:rFonts w:ascii="宋体" w:hAnsi="宋体" w:cs="宋体" w:eastAsia="宋体" w:hint="default"/>
          <w:b/>
          <w:bCs/>
        </w:rPr>
        <w:t>、质量和品牌优势</w:t>
      </w:r>
      <w:r>
        <w:rPr>
          <w:rFonts w:ascii="宋体" w:hAnsi="宋体" w:cs="宋体" w:eastAsia="宋体" w:hint="default"/>
          <w:b/>
          <w:bCs/>
          <w:w w:val="99"/>
        </w:rPr>
        <w:t> </w:t>
      </w:r>
      <w:r>
        <w:rPr>
          <w:spacing w:val="-2"/>
        </w:rPr>
        <w:t>作为机械制造关键工序，热处理设备质量和热处理加工服务质量对最终产品的性能会产生重大影响，因此公司高度重视</w:t>
      </w:r>
    </w:p>
    <w:p>
      <w:pPr>
        <w:pStyle w:val="BodyText"/>
        <w:spacing w:line="236" w:lineRule="exact"/>
        <w:ind w:left="153" w:right="0"/>
        <w:jc w:val="left"/>
      </w:pPr>
      <w:r>
        <w:rPr/>
        <w:t>产品制造和加工服务质量管理工作。公司在国内热处理行业率先通过了</w:t>
      </w:r>
      <w:r>
        <w:rPr>
          <w:rFonts w:ascii="Times New Roman" w:hAnsi="Times New Roman" w:cs="Times New Roman" w:eastAsia="Times New Roman" w:hint="default"/>
        </w:rPr>
        <w:t>ISO9001</w:t>
      </w:r>
      <w:r>
        <w:rPr/>
        <w:t>质量体系认证和</w:t>
      </w:r>
      <w:r>
        <w:rPr>
          <w:rFonts w:ascii="Times New Roman" w:hAnsi="Times New Roman" w:cs="Times New Roman" w:eastAsia="Times New Roman" w:hint="default"/>
        </w:rPr>
        <w:t>ISO14001</w:t>
      </w:r>
      <w:r>
        <w:rPr/>
        <w:t>环境体系认证，专</w:t>
      </w:r>
    </w:p>
    <w:p>
      <w:pPr>
        <w:pStyle w:val="BodyText"/>
        <w:spacing w:line="307" w:lineRule="auto" w:before="71"/>
        <w:ind w:left="153" w:right="1053"/>
        <w:jc w:val="left"/>
      </w:pPr>
      <w:r>
        <w:rPr/>
        <w:t>业热处理加工企业均通过了</w:t>
      </w:r>
      <w:r>
        <w:rPr>
          <w:rFonts w:ascii="Times New Roman" w:hAnsi="Times New Roman" w:cs="Times New Roman" w:eastAsia="Times New Roman" w:hint="default"/>
        </w:rPr>
        <w:t>TS16949</w:t>
      </w:r>
      <w:r>
        <w:rPr/>
        <w:t>汽车质量体系认证，公司全面推进</w:t>
      </w:r>
      <w:r>
        <w:rPr>
          <w:rFonts w:ascii="Times New Roman" w:hAnsi="Times New Roman" w:cs="Times New Roman" w:eastAsia="Times New Roman" w:hint="default"/>
        </w:rPr>
        <w:t>5S</w:t>
      </w:r>
      <w:r>
        <w:rPr/>
        <w:t>现场管理和</w:t>
      </w:r>
      <w:r>
        <w:rPr>
          <w:rFonts w:ascii="Times New Roman" w:hAnsi="Times New Roman" w:cs="Times New Roman" w:eastAsia="Times New Roman" w:hint="default"/>
        </w:rPr>
        <w:t>TQC</w:t>
      </w:r>
      <w:r>
        <w:rPr/>
        <w:t>全面质量管理，公司热处理实验室 获得国家认可委</w:t>
      </w:r>
      <w:r>
        <w:rPr>
          <w:rFonts w:ascii="Times New Roman" w:hAnsi="Times New Roman" w:cs="Times New Roman" w:eastAsia="Times New Roman" w:hint="default"/>
        </w:rPr>
        <w:t>CNAS</w:t>
      </w:r>
      <w:r>
        <w:rPr/>
        <w:t>资格认定</w:t>
      </w:r>
      <w:r>
        <w:rPr>
          <w:rFonts w:ascii="Times New Roman" w:hAnsi="Times New Roman" w:cs="Times New Roman" w:eastAsia="Times New Roman" w:hint="default"/>
        </w:rPr>
        <w:t>,</w:t>
      </w:r>
      <w:r>
        <w:rPr/>
        <w:t>出具的热处理设备检测、金属材料及热处理金相检测报告可获得国内外广泛认可。经过</w:t>
      </w:r>
      <w:r>
        <w:rPr>
          <w:rFonts w:ascii="Times New Roman" w:hAnsi="Times New Roman" w:cs="Times New Roman" w:eastAsia="Times New Roman" w:hint="default"/>
        </w:rPr>
        <w:t>20 </w:t>
      </w:r>
      <w:r>
        <w:rPr/>
        <w:t>多年的积累，</w:t>
      </w:r>
      <w:r>
        <w:rPr>
          <w:rFonts w:ascii="Times New Roman" w:hAnsi="Times New Roman" w:cs="Times New Roman" w:eastAsia="Times New Roman" w:hint="default"/>
        </w:rPr>
        <w:t>“</w:t>
      </w:r>
      <w:r>
        <w:rPr/>
        <w:t>丰东</w:t>
      </w:r>
      <w:r>
        <w:rPr>
          <w:rFonts w:ascii="Times New Roman" w:hAnsi="Times New Roman" w:cs="Times New Roman" w:eastAsia="Times New Roman" w:hint="default"/>
        </w:rPr>
        <w:t>”</w:t>
      </w:r>
      <w:r>
        <w:rPr/>
        <w:t>品牌在汽车零部件、机械基础件、工程机械、航空航天、军工、船舶等行业已经具有了较高的知名度。</w:t>
      </w:r>
    </w:p>
    <w:p>
      <w:pPr>
        <w:spacing w:line="240" w:lineRule="auto" w:before="11"/>
        <w:rPr>
          <w:rFonts w:ascii="宋体" w:hAnsi="宋体" w:cs="宋体" w:eastAsia="宋体" w:hint="default"/>
          <w:sz w:val="17"/>
          <w:szCs w:val="17"/>
        </w:rPr>
      </w:pPr>
    </w:p>
    <w:p>
      <w:pPr>
        <w:pStyle w:val="Heading2"/>
        <w:spacing w:line="240" w:lineRule="auto"/>
        <w:ind w:left="154"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19"/>
        <w:gridCol w:w="4112"/>
        <w:gridCol w:w="2339"/>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51" w:right="0"/>
              <w:jc w:val="left"/>
              <w:rPr>
                <w:rFonts w:ascii="Times New Roman" w:hAnsi="Times New Roman" w:cs="Times New Roman" w:eastAsia="Times New Roman" w:hint="default"/>
                <w:sz w:val="18"/>
                <w:szCs w:val="18"/>
              </w:rPr>
            </w:pPr>
            <w:r>
              <w:rPr>
                <w:rFonts w:ascii="Times New Roman"/>
                <w:sz w:val="18"/>
              </w:rPr>
              <w:t>55,617,735.00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562.91%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3" w:right="83" w:hanging="900"/>
              <w:jc w:val="left"/>
              <w:rPr>
                <w:rFonts w:ascii="宋体" w:hAnsi="宋体" w:cs="宋体" w:eastAsia="宋体" w:hint="default"/>
                <w:sz w:val="18"/>
                <w:szCs w:val="18"/>
              </w:rPr>
            </w:pPr>
            <w:r>
              <w:rPr>
                <w:rFonts w:ascii="宋体" w:hAnsi="宋体" w:cs="宋体" w:eastAsia="宋体" w:hint="default"/>
                <w:sz w:val="18"/>
                <w:szCs w:val="18"/>
              </w:rPr>
              <w:t>上市公司占被投资公司权益 比例</w:t>
            </w:r>
          </w:p>
        </w:tc>
      </w:tr>
      <w:tr>
        <w:trPr>
          <w:trHeight w:val="121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5"/>
              <w:ind w:left="22" w:right="21"/>
              <w:jc w:val="both"/>
              <w:rPr>
                <w:rFonts w:ascii="宋体" w:hAnsi="宋体" w:cs="宋体" w:eastAsia="宋体" w:hint="default"/>
                <w:sz w:val="18"/>
                <w:szCs w:val="18"/>
              </w:rPr>
            </w:pPr>
            <w:r>
              <w:rPr>
                <w:rFonts w:ascii="宋体" w:hAnsi="宋体" w:cs="宋体" w:eastAsia="宋体" w:hint="default"/>
                <w:spacing w:val="-4"/>
                <w:sz w:val="18"/>
                <w:szCs w:val="18"/>
              </w:rPr>
              <w:t>精密轮胎模具零部件、金属机械配件热处理加工；销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售热处理设备及零部件、热处理工装、模具材料、金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属切削刀具、机械设备及零部件；热处理技术咨询及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检测服务。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93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22"/>
              <w:jc w:val="both"/>
              <w:rPr>
                <w:rFonts w:ascii="宋体" w:hAnsi="宋体" w:cs="宋体" w:eastAsia="宋体" w:hint="default"/>
                <w:sz w:val="18"/>
                <w:szCs w:val="18"/>
              </w:rPr>
            </w:pPr>
            <w:r>
              <w:rPr>
                <w:rFonts w:ascii="宋体" w:hAnsi="宋体" w:cs="宋体" w:eastAsia="宋体" w:hint="default"/>
                <w:spacing w:val="-4"/>
                <w:sz w:val="18"/>
                <w:szCs w:val="18"/>
              </w:rPr>
              <w:t>热处理加工；研发、生产、销售国内外先进的热处理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设备、加热设备及备品备件；金属制品加工；科技信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息咨询服务。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z w:val="18"/>
              </w:rPr>
              <w:t>55.00%</w:t>
            </w:r>
          </w:p>
        </w:tc>
      </w:tr>
      <w:tr>
        <w:trPr>
          <w:trHeight w:val="121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85" w:lineRule="auto"/>
              <w:ind w:left="22" w:right="24"/>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热处理设备的研制、销售；热处理工艺研究、试验 </w:t>
            </w:r>
            <w:r>
              <w:rPr>
                <w:rFonts w:ascii="宋体" w:hAnsi="宋体" w:cs="宋体" w:eastAsia="宋体" w:hint="default"/>
                <w:spacing w:val="-4"/>
                <w:sz w:val="18"/>
                <w:szCs w:val="18"/>
              </w:rPr>
              <w:t>验证及推广；热处理设备及材料性能的检测；热处理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专业人才的培训；热处理技术咨询服务；金属零件的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热处理加工。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121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4"/>
              <w:ind w:left="22" w:right="21"/>
              <w:jc w:val="left"/>
              <w:rPr>
                <w:rFonts w:ascii="宋体" w:hAnsi="宋体" w:cs="宋体" w:eastAsia="宋体" w:hint="default"/>
                <w:sz w:val="18"/>
                <w:szCs w:val="18"/>
              </w:rPr>
            </w:pPr>
            <w:r>
              <w:rPr>
                <w:rFonts w:ascii="宋体" w:hAnsi="宋体" w:cs="宋体" w:eastAsia="宋体" w:hint="default"/>
                <w:spacing w:val="-4"/>
                <w:sz w:val="18"/>
                <w:szCs w:val="18"/>
              </w:rPr>
              <w:t>真空热处理炉的营销策划、设计、制造、销售和售后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服务；真空热处理炉及其零部件的进出口、佣金代理</w:t>
            </w:r>
          </w:p>
          <w:p>
            <w:pPr>
              <w:pStyle w:val="TableParagraph"/>
              <w:spacing w:line="285"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（拍卖除外）和批发；热处理加工服务和热处理技术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19"/>
        <w:gridCol w:w="4112"/>
        <w:gridCol w:w="2339"/>
      </w:tblGrid>
      <w:tr>
        <w:trPr>
          <w:trHeight w:val="37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热处理设备研发、设计、制造、销售和维修服务。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60.00%</w:t>
            </w:r>
          </w:p>
        </w:tc>
      </w:tr>
      <w:tr>
        <w:trPr>
          <w:trHeight w:val="37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金属制品业。</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75.00%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6"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both"/>
              <w:rPr>
                <w:rFonts w:ascii="宋体" w:hAnsi="宋体" w:cs="宋体" w:eastAsia="宋体" w:hint="default"/>
                <w:sz w:val="18"/>
                <w:szCs w:val="18"/>
              </w:rPr>
            </w:pPr>
            <w:r>
              <w:rPr>
                <w:rFonts w:ascii="宋体" w:hAnsi="宋体" w:cs="宋体" w:eastAsia="宋体" w:hint="default"/>
                <w:sz w:val="18"/>
                <w:szCs w:val="18"/>
              </w:rPr>
              <w:t>江苏大丰 农村商业 银行</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6,615,826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84,476.20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3,969,700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6,615,826</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84,476.20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16"/>
          <w:szCs w:val="16"/>
        </w:rPr>
      </w:pPr>
    </w:p>
    <w:p>
      <w:pPr>
        <w:pStyle w:val="Heading3"/>
        <w:spacing w:line="240" w:lineRule="auto" w:before="35"/>
        <w:ind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3"/>
          <w:szCs w:val="23"/>
        </w:rPr>
      </w:pPr>
    </w:p>
    <w:p>
      <w:pPr>
        <w:pStyle w:val="BodyText"/>
        <w:spacing w:line="345"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5"/>
        <w:rPr>
          <w:rFonts w:ascii="宋体" w:hAnsi="宋体" w:cs="宋体" w:eastAsia="宋体" w:hint="default"/>
          <w:b/>
          <w:bCs/>
          <w:sz w:val="23"/>
          <w:szCs w:val="23"/>
        </w:rPr>
      </w:pPr>
    </w:p>
    <w:p>
      <w:pPr>
        <w:pStyle w:val="BodyText"/>
        <w:spacing w:line="345" w:lineRule="auto"/>
        <w:ind w:right="6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
        <w:rPr>
          <w:rFonts w:ascii="宋体" w:hAnsi="宋体" w:cs="宋体" w:eastAsia="宋体" w:hint="default"/>
          <w:b/>
          <w:bCs/>
          <w:sz w:val="25"/>
          <w:szCs w:val="25"/>
        </w:rPr>
      </w:pPr>
    </w:p>
    <w:p>
      <w:pPr>
        <w:pStyle w:val="Heading3"/>
        <w:spacing w:line="240" w:lineRule="auto"/>
        <w:ind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3"/>
          <w:szCs w:val="23"/>
        </w:rPr>
      </w:pPr>
    </w:p>
    <w:p>
      <w:pPr>
        <w:pStyle w:val="BodyText"/>
        <w:spacing w:line="345"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3"/>
          <w:szCs w:val="23"/>
        </w:rPr>
      </w:pPr>
    </w:p>
    <w:p>
      <w:pPr>
        <w:pStyle w:val="BodyText"/>
        <w:spacing w:line="345"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3"/>
          <w:szCs w:val="23"/>
        </w:rPr>
      </w:pPr>
    </w:p>
    <w:p>
      <w:pPr>
        <w:pStyle w:val="BodyText"/>
        <w:spacing w:line="345"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91" w:footer="979" w:top="1100" w:bottom="1160" w:left="980" w:right="0"/>
        </w:sectPr>
      </w:pPr>
    </w:p>
    <w:p>
      <w:pPr>
        <w:spacing w:line="240" w:lineRule="auto" w:before="8"/>
        <w:rPr>
          <w:rFonts w:ascii="宋体" w:hAnsi="宋体" w:cs="宋体" w:eastAsia="宋体" w:hint="default"/>
          <w:sz w:val="22"/>
          <w:szCs w:val="22"/>
        </w:rPr>
      </w:pPr>
    </w:p>
    <w:p>
      <w:pPr>
        <w:pStyle w:val="Heading3"/>
        <w:spacing w:line="240" w:lineRule="auto" w:before="35"/>
        <w:ind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76"/>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left="0" w:right="1139"/>
        <w:jc w:val="right"/>
      </w:pPr>
      <w:r>
        <w:rPr/>
        <w:pict>
          <v:shape style="position:absolute;margin-left:56.459999pt;margin-top:-139.528259pt;width:479.2pt;height:237.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37,120.35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5,016.45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33,106.55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2,190.14</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2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1757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文核准，并经深圳证券交易所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深证上〔</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429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文同意 </w:t>
                        </w:r>
                        <w:r>
                          <w:rPr>
                            <w:rFonts w:ascii="宋体" w:hAnsi="宋体" w:cs="宋体" w:eastAsia="宋体" w:hint="default"/>
                            <w:spacing w:val="-2"/>
                            <w:w w:val="99"/>
                            <w:sz w:val="18"/>
                            <w:szCs w:val="18"/>
                          </w:rPr>
                          <w:t>本公司向社会公开发行人民币普通股（</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3,400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万股，每股面值为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元（人民币，下同），每股发行价格为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3"/>
                            <w:sz w:val="18"/>
                            <w:szCs w:val="18"/>
                          </w:rPr>
                          <w:t> </w:t>
                        </w:r>
                        <w:r>
                          <w:rPr>
                            <w:rFonts w:ascii="宋体" w:hAnsi="宋体" w:cs="宋体" w:eastAsia="宋体" w:hint="default"/>
                            <w:sz w:val="18"/>
                            <w:szCs w:val="18"/>
                          </w:rPr>
                          <w:t>募集资金总额为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408,000,000.00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元，扣除保荐及承销费用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30,194,400.00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元后，募集资金余额为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377,805,600.00 </w:t>
                        </w:r>
                        <w:r>
                          <w:rPr>
                            <w:rFonts w:ascii="宋体" w:hAnsi="宋体" w:cs="宋体" w:eastAsia="宋体" w:hint="default"/>
                            <w:spacing w:val="-8"/>
                            <w:sz w:val="18"/>
                            <w:szCs w:val="18"/>
                          </w:rPr>
                          <w:t>元，于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日全部存入本公司在中国银行股份有限公司盐城分行开立的募集资金验资专户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880108538018095001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账号中，</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扣减审计费、验资费、律师费、信息披露费等其他发行费用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6,602,086.76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371,203,513.24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上述募集资金净额已经上海众华沪银会计师事务所有限公司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《验资报告》审验。</w:t>
                        </w:r>
                      </w:p>
                    </w:tc>
                  </w:tr>
                </w:tbl>
                <w:p>
                  <w:pPr/>
                </w:p>
              </w:txbxContent>
            </v:textbox>
            <w10:wrap type="none"/>
          </v:shape>
        </w:pict>
      </w:r>
      <w:r>
        <w:rPr/>
        <w:t>，</w:t>
      </w:r>
    </w:p>
    <w:p>
      <w:pPr>
        <w:pStyle w:val="BodyText"/>
        <w:spacing w:line="240" w:lineRule="auto" w:before="76"/>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5"/>
        <w:ind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936"/>
        <w:gridCol w:w="628"/>
        <w:gridCol w:w="782"/>
        <w:gridCol w:w="786"/>
      </w:tblGrid>
      <w:tr>
        <w:trPr>
          <w:trHeight w:val="131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8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上海丰东年加工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w:t>
            </w:r>
          </w:p>
          <w:p>
            <w:pPr>
              <w:pStyle w:val="TableParagraph"/>
              <w:spacing w:line="242" w:lineRule="auto"/>
              <w:ind w:left="22" w:right="111"/>
              <w:jc w:val="left"/>
              <w:rPr>
                <w:rFonts w:ascii="宋体" w:hAnsi="宋体" w:cs="宋体" w:eastAsia="宋体" w:hint="default"/>
                <w:sz w:val="18"/>
                <w:szCs w:val="18"/>
              </w:rPr>
            </w:pPr>
            <w:r>
              <w:rPr>
                <w:rFonts w:ascii="宋体" w:hAnsi="宋体" w:cs="宋体" w:eastAsia="宋体" w:hint="default"/>
                <w:sz w:val="18"/>
                <w:szCs w:val="18"/>
              </w:rPr>
              <w:t>吨精密热处理专业化 配套项目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4,848.22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99.35%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632.36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南京丰东年热加工</w:t>
            </w:r>
          </w:p>
          <w:p>
            <w:pPr>
              <w:pStyle w:val="TableParagraph"/>
              <w:spacing w:line="238" w:lineRule="exact" w:before="24"/>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吨金属材料生 产线项目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692.39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3,689.83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92.25%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292.43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9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重庆丰东年加工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p>
          <w:p>
            <w:pPr>
              <w:pStyle w:val="TableParagraph"/>
              <w:spacing w:line="244" w:lineRule="auto"/>
              <w:ind w:left="22" w:right="111"/>
              <w:jc w:val="both"/>
              <w:rPr>
                <w:rFonts w:ascii="宋体" w:hAnsi="宋体" w:cs="宋体" w:eastAsia="宋体" w:hint="default"/>
                <w:sz w:val="18"/>
                <w:szCs w:val="18"/>
              </w:rPr>
            </w:pPr>
            <w:r>
              <w:rPr>
                <w:rFonts w:ascii="宋体" w:hAnsi="宋体" w:cs="宋体" w:eastAsia="宋体" w:hint="default"/>
                <w:sz w:val="18"/>
                <w:szCs w:val="18"/>
              </w:rPr>
              <w:t>吨汽摩等金属件节能 热处理技术改造建设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3,800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1,609.86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361.64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1,538.31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72" w:right="0"/>
              <w:jc w:val="center"/>
              <w:rPr>
                <w:rFonts w:ascii="Times New Roman" w:hAnsi="Times New Roman" w:cs="Times New Roman" w:eastAsia="Times New Roman" w:hint="default"/>
                <w:sz w:val="18"/>
                <w:szCs w:val="18"/>
              </w:rPr>
            </w:pPr>
            <w:r>
              <w:rPr>
                <w:rFonts w:ascii="Times New Roman"/>
                <w:sz w:val="18"/>
              </w:rPr>
              <w:t>95.56%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58.54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天津丰东热处理设备</w:t>
            </w:r>
          </w:p>
          <w:p>
            <w:pPr>
              <w:pStyle w:val="TableParagraph"/>
              <w:spacing w:line="242" w:lineRule="auto" w:before="4"/>
              <w:ind w:left="22" w:right="111"/>
              <w:jc w:val="left"/>
              <w:rPr>
                <w:rFonts w:ascii="宋体" w:hAnsi="宋体" w:cs="宋体" w:eastAsia="宋体" w:hint="default"/>
                <w:sz w:val="18"/>
                <w:szCs w:val="18"/>
              </w:rPr>
            </w:pPr>
            <w:r>
              <w:rPr>
                <w:rFonts w:ascii="宋体" w:hAnsi="宋体" w:cs="宋体" w:eastAsia="宋体" w:hint="default"/>
                <w:sz w:val="18"/>
                <w:szCs w:val="18"/>
              </w:rPr>
              <w:t>的研发、制造和热处 理加工项目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2,190.14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2,190.14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公司本部热处理工艺</w:t>
            </w:r>
          </w:p>
          <w:p>
            <w:pPr>
              <w:pStyle w:val="TableParagraph"/>
              <w:spacing w:line="242" w:lineRule="auto" w:before="4"/>
              <w:ind w:left="22" w:right="111"/>
              <w:jc w:val="left"/>
              <w:rPr>
                <w:rFonts w:ascii="宋体" w:hAnsi="宋体" w:cs="宋体" w:eastAsia="宋体" w:hint="default"/>
                <w:sz w:val="18"/>
                <w:szCs w:val="18"/>
              </w:rPr>
            </w:pPr>
            <w:r>
              <w:rPr>
                <w:rFonts w:ascii="宋体" w:hAnsi="宋体" w:cs="宋体" w:eastAsia="宋体" w:hint="default"/>
                <w:sz w:val="18"/>
                <w:szCs w:val="18"/>
              </w:rPr>
              <w:t>装备技术研发中心项 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1,928.43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77.14%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3,685.24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14,194.93</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983.33</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8.1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194"/>
                    <w:gridCol w:w="582"/>
                    <w:gridCol w:w="776"/>
                    <w:gridCol w:w="776"/>
                    <w:gridCol w:w="781"/>
                    <w:gridCol w:w="782"/>
                    <w:gridCol w:w="781"/>
                    <w:gridCol w:w="936"/>
                    <w:gridCol w:w="628"/>
                    <w:gridCol w:w="782"/>
                    <w:gridCol w:w="786"/>
                  </w:tblGrid>
                  <w:tr>
                    <w:trPr>
                      <w:trHeight w:val="38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研发中心大厦项目</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101.45%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收购重庆丰东股权</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180.3</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收购青岛丰东股权</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投资设立北京丰东</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6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1"/>
                          <w:jc w:val="both"/>
                          <w:rPr>
                            <w:rFonts w:ascii="宋体" w:hAnsi="宋体" w:cs="宋体" w:eastAsia="宋体" w:hint="default"/>
                            <w:sz w:val="18"/>
                            <w:szCs w:val="18"/>
                          </w:rPr>
                        </w:pPr>
                        <w:r>
                          <w:rPr>
                            <w:rFonts w:ascii="宋体" w:hAnsi="宋体" w:cs="宋体" w:eastAsia="宋体" w:hint="default"/>
                            <w:sz w:val="18"/>
                            <w:szCs w:val="18"/>
                          </w:rPr>
                          <w:t>天津丰东热处理设备 的研发、制造和热处 理加工项目</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866.63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866.63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859.99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859.99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2" w:right="0"/>
                          <w:jc w:val="center"/>
                          <w:rPr>
                            <w:rFonts w:ascii="Times New Roman" w:hAnsi="Times New Roman" w:cs="Times New Roman" w:eastAsia="Times New Roman" w:hint="default"/>
                            <w:sz w:val="18"/>
                            <w:szCs w:val="18"/>
                          </w:rPr>
                        </w:pPr>
                        <w:r>
                          <w:rPr>
                            <w:rFonts w:ascii="Times New Roman"/>
                            <w:sz w:val="18"/>
                          </w:rPr>
                          <w:t>99.23%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1"/>
                          <w:jc w:val="left"/>
                          <w:rPr>
                            <w:rFonts w:ascii="宋体" w:hAnsi="宋体" w:cs="宋体" w:eastAsia="宋体" w:hint="default"/>
                            <w:sz w:val="18"/>
                            <w:szCs w:val="18"/>
                          </w:rPr>
                        </w:pPr>
                        <w:r>
                          <w:rPr>
                            <w:rFonts w:ascii="宋体" w:hAnsi="宋体" w:cs="宋体" w:eastAsia="宋体" w:hint="default"/>
                            <w:sz w:val="18"/>
                            <w:szCs w:val="18"/>
                          </w:rPr>
                          <w:t>潍坊丰东热处理配套 加工服务项目</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375.23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116.29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0"/>
                          <w:ind w:left="13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9,548.42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9,548.42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6,500</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left="184" w:right="0"/>
                          <w:jc w:val="center"/>
                          <w:rPr>
                            <w:rFonts w:ascii="Times New Roman" w:hAnsi="Times New Roman" w:cs="Times New Roman" w:eastAsia="Times New Roman" w:hint="default"/>
                            <w:sz w:val="18"/>
                            <w:szCs w:val="18"/>
                          </w:rPr>
                        </w:pPr>
                        <w:r>
                          <w:rPr>
                            <w:rFonts w:ascii="Times New Roman"/>
                            <w:sz w:val="18"/>
                          </w:rPr>
                          <w:t>68.07%</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26"/>
                          <w:jc w:val="right"/>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21,940.35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21,940.35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1,331.21</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0"/>
                          <w:ind w:right="14"/>
                          <w:jc w:val="right"/>
                          <w:rPr>
                            <w:rFonts w:ascii="Times New Roman" w:hAnsi="Times New Roman" w:cs="Times New Roman" w:eastAsia="Times New Roman" w:hint="default"/>
                            <w:sz w:val="18"/>
                            <w:szCs w:val="18"/>
                          </w:rPr>
                        </w:pPr>
                        <w:r>
                          <w:rPr>
                            <w:rFonts w:ascii="Times New Roman"/>
                            <w:spacing w:val="-1"/>
                            <w:sz w:val="18"/>
                          </w:rPr>
                          <w:t>18,911.62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13" w:space="0" w:color="D2D2D2"/>
                          <w:bottom w:val="single" w:sz="4" w:space="0" w:color="000000"/>
                          <w:right w:val="single" w:sz="9" w:space="0" w:color="D2D2D2"/>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26"/>
                          <w:jc w:val="right"/>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37,120.35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37,120.35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5,016.45</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0"/>
                          <w:ind w:right="14"/>
                          <w:jc w:val="right"/>
                          <w:rPr>
                            <w:rFonts w:ascii="Times New Roman" w:hAnsi="Times New Roman" w:cs="Times New Roman" w:eastAsia="Times New Roman" w:hint="default"/>
                            <w:sz w:val="18"/>
                            <w:szCs w:val="18"/>
                          </w:rPr>
                        </w:pPr>
                        <w:r>
                          <w:rPr>
                            <w:rFonts w:ascii="Times New Roman"/>
                            <w:sz w:val="18"/>
                          </w:rPr>
                          <w:t>33,106.55</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7"/>
                          <w:ind w:left="43" w:right="0"/>
                          <w:jc w:val="center"/>
                          <w:rPr>
                            <w:rFonts w:ascii="Times New Roman" w:hAnsi="Times New Roman" w:cs="Times New Roman" w:eastAsia="Times New Roman" w:hint="default"/>
                            <w:sz w:val="15"/>
                            <w:szCs w:val="15"/>
                          </w:rPr>
                        </w:pPr>
                        <w:r>
                          <w:rPr>
                            <w:rFonts w:ascii="Times New Roman"/>
                            <w:sz w:val="15"/>
                          </w:rPr>
                          <w:t>1,099.62</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26"/>
                          <w:jc w:val="right"/>
                          <w:rPr>
                            <w:rFonts w:ascii="Times New Roman" w:hAnsi="Times New Roman" w:cs="Times New Roman" w:eastAsia="Times New Roman" w:hint="default"/>
                            <w:sz w:val="18"/>
                            <w:szCs w:val="18"/>
                          </w:rPr>
                        </w:pPr>
                        <w:r>
                          <w:rPr>
                            <w:rFonts w:ascii="Times New Roman"/>
                            <w:sz w:val="18"/>
                          </w:rPr>
                          <w:t>--</w:t>
                        </w:r>
                      </w:p>
                    </w:tc>
                  </w:tr>
                  <w:tr>
                    <w:trPr>
                      <w:trHeight w:val="1017"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35" w:lineRule="auto" w:before="25"/>
                          <w:ind w:left="16" w:right="23" w:firstLine="345"/>
                          <w:jc w:val="both"/>
                          <w:rPr>
                            <w:rFonts w:ascii="宋体" w:hAnsi="宋体" w:cs="宋体" w:eastAsia="宋体" w:hint="default"/>
                            <w:sz w:val="18"/>
                            <w:szCs w:val="18"/>
                          </w:rPr>
                        </w:pPr>
                        <w:r>
                          <w:rPr>
                            <w:rFonts w:ascii="宋体" w:hAnsi="宋体" w:cs="宋体" w:eastAsia="宋体" w:hint="default"/>
                            <w:sz w:val="18"/>
                            <w:szCs w:val="18"/>
                          </w:rPr>
                          <w:t>公司本部热处理工艺装备技术研发中心项目：该项目是科研项目，主要是研发智能可控气氛渗 氮、渗碳多用炉、智能真空超高压气淬、真空渗碳油淬炉、等离子热处理炉等试验装置；热处理温 度场、流场模拟、淬火工艺数值模拟等热处理工艺技术开发；</w:t>
                        </w:r>
                        <w:r>
                          <w:rPr>
                            <w:rFonts w:ascii="Times New Roman" w:hAnsi="Times New Roman" w:cs="Times New Roman" w:eastAsia="Times New Roman" w:hint="default"/>
                            <w:sz w:val="18"/>
                            <w:szCs w:val="18"/>
                          </w:rPr>
                          <w:t>PDM </w:t>
                        </w:r>
                        <w:r>
                          <w:rPr>
                            <w:rFonts w:ascii="宋体" w:hAnsi="宋体" w:cs="宋体" w:eastAsia="宋体" w:hint="default"/>
                            <w:sz w:val="18"/>
                            <w:szCs w:val="18"/>
                          </w:rPr>
                          <w:t>图文档信息系统及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企业信 息化管理系统等内容。其中</w:t>
                        </w:r>
                        <w:r>
                          <w:rPr>
                            <w:rFonts w:ascii="Times New Roman" w:hAnsi="Times New Roman" w:cs="Times New Roman" w:eastAsia="Times New Roman" w:hint="default"/>
                            <w:sz w:val="18"/>
                            <w:szCs w:val="18"/>
                          </w:rPr>
                          <w:t>“</w:t>
                        </w:r>
                        <w:r>
                          <w:rPr>
                            <w:rFonts w:ascii="宋体" w:hAnsi="宋体" w:cs="宋体" w:eastAsia="宋体" w:hint="default"/>
                            <w:sz w:val="18"/>
                            <w:szCs w:val="18"/>
                          </w:rPr>
                          <w:t>智能可控气氛渗碳加热多用炉试验装置</w:t>
                        </w:r>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智能可控气氛渗氮多用炉 试验装置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真空等离子热处理炉试验装置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智能真空渗碳油淬炉试验装置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智能热处理模拟 试验装置</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w:t>
                        </w:r>
                      </w:p>
                      <w:p>
                        <w:pPr>
                          <w:pStyle w:val="TableParagraph"/>
                          <w:spacing w:line="235" w:lineRule="auto" w:before="36"/>
                          <w:ind w:left="16" w:right="1" w:firstLine="34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年公司重点实施了“热处理温度场与流场模拟、淬火冷却数值模拟”等方面的研发工作， 下半年实施的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企业信息化管理系统已经正式运行。</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年公司将重点加强“无人化热处理工 厂及工艺数据库系统”等方面的研发工作，进一步提高公司的设计研发、生产服务、经营管理水平 提升公司的综合竞争能力。预计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年底“热处理工艺装备技术研发中心项目”将全部完成。</w:t>
                        </w:r>
                      </w:p>
                      <w:p>
                        <w:pPr>
                          <w:pStyle w:val="TableParagraph"/>
                          <w:spacing w:line="240" w:lineRule="exact" w:before="49"/>
                          <w:ind w:left="16" w:right="23" w:firstLine="345"/>
                          <w:jc w:val="left"/>
                          <w:rPr>
                            <w:rFonts w:ascii="宋体" w:hAnsi="宋体" w:cs="宋体" w:eastAsia="宋体" w:hint="default"/>
                            <w:sz w:val="18"/>
                            <w:szCs w:val="18"/>
                          </w:rPr>
                        </w:pPr>
                        <w:r>
                          <w:rPr>
                            <w:rFonts w:ascii="宋体" w:hAnsi="宋体" w:cs="宋体" w:eastAsia="宋体" w:hint="default"/>
                            <w:sz w:val="18"/>
                            <w:szCs w:val="18"/>
                          </w:rPr>
                          <w:t>该项目计划投资额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日，已投入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2,135.16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万元，其中已按合同 条款申请支付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1,928.43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万元，占计划投资额的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77.14%</w:t>
                        </w:r>
                        <w:r>
                          <w:rPr>
                            <w:rFonts w:ascii="宋体" w:hAnsi="宋体" w:cs="宋体" w:eastAsia="宋体" w:hint="default"/>
                            <w:sz w:val="18"/>
                            <w:szCs w:val="18"/>
                          </w:rPr>
                          <w:t>。</w:t>
                        </w:r>
                      </w:p>
                    </w:tc>
                  </w:tr>
                  <w:tr>
                    <w:trPr>
                      <w:trHeight w:val="996"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vMerge/>
                        <w:tcBorders>
                          <w:left w:val="single" w:sz="9" w:space="0" w:color="D2D2D2"/>
                          <w:right w:val="single" w:sz="4" w:space="0" w:color="000000"/>
                        </w:tcBorders>
                      </w:tcPr>
                      <w:p>
                        <w:pPr/>
                      </w:p>
                    </w:tc>
                  </w:tr>
                  <w:tr>
                    <w:trPr>
                      <w:trHeight w:val="1018"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69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310"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89"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22"/>
                          <w:ind w:left="361" w:right="0"/>
                          <w:jc w:val="left"/>
                          <w:rPr>
                            <w:rFonts w:ascii="宋体" w:hAnsi="宋体" w:cs="宋体" w:eastAsia="宋体" w:hint="default"/>
                            <w:sz w:val="18"/>
                            <w:szCs w:val="18"/>
                          </w:rPr>
                        </w:pPr>
                        <w:r>
                          <w:rPr>
                            <w:rFonts w:ascii="宋体" w:hAnsi="宋体" w:cs="宋体" w:eastAsia="宋体" w:hint="default"/>
                            <w:sz w:val="18"/>
                            <w:szCs w:val="18"/>
                          </w:rPr>
                          <w:t>公司本次募集资金净额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37,120.35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万元，其中超募资金金额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21,940.35 </w:t>
                        </w:r>
                        <w:r>
                          <w:rPr>
                            <w:rFonts w:ascii="宋体" w:hAnsi="宋体" w:cs="宋体" w:eastAsia="宋体" w:hint="default"/>
                            <w:sz w:val="18"/>
                            <w:szCs w:val="18"/>
                          </w:rPr>
                          <w:t>万元。</w:t>
                        </w:r>
                      </w:p>
                      <w:p>
                        <w:pPr>
                          <w:pStyle w:val="TableParagraph"/>
                          <w:spacing w:line="245" w:lineRule="exact" w:before="30"/>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日，经公司第二届董事会第三次会议审议通过，同意公司使用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募资金偿还银行贷款及使用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万元超募资金永久性补充公司流动资金。公司于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39" w:lineRule="exact"/>
                          <w:ind w:left="16" w:right="0"/>
                          <w:jc w:val="left"/>
                          <w:rPr>
                            <w:rFonts w:ascii="宋体" w:hAnsi="宋体" w:cs="宋体" w:eastAsia="宋体" w:hint="default"/>
                            <w:sz w:val="18"/>
                            <w:szCs w:val="18"/>
                          </w:rPr>
                        </w:pP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万元归还江苏大丰农村合作银行借款</w:t>
                        </w:r>
                        <w:r>
                          <w:rPr>
                            <w:rFonts w:ascii="宋体" w:hAnsi="宋体" w:cs="宋体" w:eastAsia="宋体" w:hint="default"/>
                            <w:spacing w:val="-82"/>
                            <w:sz w:val="18"/>
                            <w:szCs w:val="18"/>
                          </w:rPr>
                          <w:t>，</w:t>
                        </w:r>
                        <w:r>
                          <w:rPr>
                            <w:rFonts w:ascii="宋体" w:hAnsi="宋体" w:cs="宋体" w:eastAsia="宋体" w:hint="default"/>
                            <w:sz w:val="18"/>
                            <w:szCs w:val="18"/>
                          </w:rPr>
                          <w:t>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万元归还中国农业银行股份有限公司大丰</w:t>
                        </w:r>
                      </w:p>
                      <w:p>
                        <w:pPr>
                          <w:pStyle w:val="TableParagraph"/>
                          <w:spacing w:line="244" w:lineRule="exact"/>
                          <w:ind w:left="16" w:right="0"/>
                          <w:jc w:val="left"/>
                          <w:rPr>
                            <w:rFonts w:ascii="宋体" w:hAnsi="宋体" w:cs="宋体" w:eastAsia="宋体" w:hint="default"/>
                            <w:sz w:val="18"/>
                            <w:szCs w:val="18"/>
                          </w:rPr>
                        </w:pPr>
                        <w:r>
                          <w:rPr>
                            <w:rFonts w:ascii="宋体" w:hAnsi="宋体" w:cs="宋体" w:eastAsia="宋体" w:hint="default"/>
                            <w:sz w:val="18"/>
                            <w:szCs w:val="18"/>
                          </w:rPr>
                          <w:t>支行借款，并将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万元转出募集资金专户，补充公司流动资金。</w:t>
                        </w:r>
                      </w:p>
                      <w:p>
                        <w:pPr>
                          <w:pStyle w:val="TableParagraph"/>
                          <w:spacing w:line="245" w:lineRule="exact" w:before="31"/>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日，经公司第二届董事会第五次会议审议通过，同意公司使用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w:t>
                        </w:r>
                      </w:p>
                      <w:p>
                        <w:pPr>
                          <w:pStyle w:val="TableParagraph"/>
                          <w:spacing w:line="245" w:lineRule="exact"/>
                          <w:ind w:left="16" w:right="0"/>
                          <w:jc w:val="left"/>
                          <w:rPr>
                            <w:rFonts w:ascii="宋体" w:hAnsi="宋体" w:cs="宋体" w:eastAsia="宋体" w:hint="default"/>
                            <w:sz w:val="18"/>
                            <w:szCs w:val="18"/>
                          </w:rPr>
                        </w:pPr>
                        <w:r>
                          <w:rPr>
                            <w:rFonts w:ascii="宋体" w:hAnsi="宋体" w:cs="宋体" w:eastAsia="宋体" w:hint="default"/>
                            <w:sz w:val="18"/>
                            <w:szCs w:val="18"/>
                          </w:rPr>
                          <w:t>募资金建设研发中心大厦项目。研发中心大厦已于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日交付使用。</w:t>
                        </w:r>
                      </w:p>
                      <w:p>
                        <w:pPr>
                          <w:pStyle w:val="TableParagraph"/>
                          <w:spacing w:line="230" w:lineRule="auto" w:before="39"/>
                          <w:ind w:left="16" w:right="23" w:firstLine="345"/>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日，经公司第二届董事会第七次会议审议通过，同意公司使用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180.30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万元超 募资金收购子公司重庆丰东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3.772%</w:t>
                        </w:r>
                        <w:r>
                          <w:rPr>
                            <w:rFonts w:ascii="宋体" w:hAnsi="宋体" w:cs="宋体" w:eastAsia="宋体" w:hint="default"/>
                            <w:sz w:val="18"/>
                            <w:szCs w:val="18"/>
                          </w:rPr>
                          <w:t>股权和使用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万元超募资金收购子公司青岛丰东</w:t>
                        </w:r>
                        <w:r>
                          <w:rPr>
                            <w:rFonts w:ascii="宋体" w:hAnsi="宋体" w:cs="宋体" w:eastAsia="宋体" w:hint="default"/>
                            <w:spacing w:val="-46"/>
                            <w:sz w:val="18"/>
                            <w:szCs w:val="18"/>
                          </w:rPr>
                          <w:t> </w:t>
                        </w:r>
                        <w:r>
                          <w:rPr>
                            <w:rFonts w:ascii="Times New Roman" w:hAnsi="Times New Roman" w:cs="Times New Roman" w:eastAsia="Times New Roman" w:hint="default"/>
                            <w:spacing w:val="-10"/>
                            <w:sz w:val="18"/>
                            <w:szCs w:val="18"/>
                          </w:rPr>
                          <w:t>49%</w:t>
                        </w:r>
                        <w:r>
                          <w:rPr>
                            <w:rFonts w:ascii="宋体" w:hAnsi="宋体" w:cs="宋体" w:eastAsia="宋体" w:hint="default"/>
                            <w:spacing w:val="-10"/>
                            <w:sz w:val="18"/>
                            <w:szCs w:val="18"/>
                          </w:rPr>
                          <w:t>股权。公</w:t>
                        </w:r>
                        <w:r>
                          <w:rPr>
                            <w:rFonts w:ascii="宋体" w:hAnsi="宋体" w:cs="宋体" w:eastAsia="宋体" w:hint="default"/>
                            <w:sz w:val="18"/>
                            <w:szCs w:val="18"/>
                          </w:rPr>
                          <w:t> 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日完成向上述子公司股东支付股权转让款，并已完成工商变更 手续。</w:t>
                        </w:r>
                      </w:p>
                      <w:p>
                        <w:pPr>
                          <w:pStyle w:val="TableParagraph"/>
                          <w:spacing w:line="245" w:lineRule="exact" w:before="46"/>
                          <w:ind w:left="36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日，经公司第二届董事会第十七次会议审议通过，同意公司使用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240" w:lineRule="exact"/>
                          <w:ind w:left="16" w:right="0"/>
                          <w:jc w:val="left"/>
                          <w:rPr>
                            <w:rFonts w:ascii="宋体" w:hAnsi="宋体" w:cs="宋体" w:eastAsia="宋体" w:hint="default"/>
                            <w:sz w:val="18"/>
                            <w:szCs w:val="18"/>
                          </w:rPr>
                        </w:pPr>
                        <w:r>
                          <w:rPr>
                            <w:rFonts w:ascii="宋体" w:hAnsi="宋体" w:cs="宋体" w:eastAsia="宋体" w:hint="default"/>
                            <w:sz w:val="18"/>
                            <w:szCs w:val="18"/>
                          </w:rPr>
                          <w:t>超募资金偿还银行贷款及使用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万元超募资金永久性补充公司流动资金。公司于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万元转出募集资金专户，其中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日归还中国建设银行股份</w:t>
                        </w:r>
                      </w:p>
                    </w:tc>
                  </w:tr>
                  <w:tr>
                    <w:trPr>
                      <w:trHeight w:val="684"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1"/>
                        <w:vMerge/>
                        <w:tcBorders>
                          <w:left w:val="single" w:sz="9" w:space="0" w:color="D2D2D2"/>
                          <w:right w:val="single" w:sz="4" w:space="0" w:color="000000"/>
                        </w:tcBorders>
                      </w:tcPr>
                      <w:p>
                        <w:pPr/>
                      </w:p>
                    </w:tc>
                  </w:tr>
                  <w:tr>
                    <w:trPr>
                      <w:trHeight w:val="1599"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left="0" w:right="1139"/>
        <w:jc w:val="right"/>
      </w:pPr>
      <w:r>
        <w:rPr/>
        <w:t>，</w:t>
      </w:r>
    </w:p>
    <w:p>
      <w:pPr>
        <w:spacing w:after="0" w:line="240" w:lineRule="auto"/>
        <w:jc w:val="right"/>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331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有限公司大丰支行借款。</w:t>
            </w:r>
          </w:p>
          <w:p>
            <w:pPr>
              <w:pStyle w:val="TableParagraph"/>
              <w:spacing w:line="245" w:lineRule="exact" w:before="45"/>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日，经公司第二届董事会第十九次会议审议通过，同意公司使用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万元超</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募资金投资设立子公司北京丰东</w:t>
            </w:r>
            <w:r>
              <w:rPr>
                <w:rFonts w:ascii="宋体" w:hAnsi="宋体" w:cs="宋体" w:eastAsia="宋体" w:hint="default"/>
                <w:spacing w:val="-90"/>
                <w:sz w:val="18"/>
                <w:szCs w:val="18"/>
              </w:rPr>
              <w:t>。</w:t>
            </w: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日汇出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万元注册资金</w:t>
            </w:r>
            <w:r>
              <w:rPr>
                <w:rFonts w:ascii="宋体" w:hAnsi="宋体" w:cs="宋体" w:eastAsia="宋体" w:hint="default"/>
                <w:spacing w:val="-90"/>
                <w:sz w:val="18"/>
                <w:szCs w:val="18"/>
              </w:rPr>
              <w:t>，</w:t>
            </w:r>
            <w:r>
              <w:rPr>
                <w:rFonts w:ascii="宋体" w:hAnsi="宋体" w:cs="宋体" w:eastAsia="宋体" w:hint="default"/>
                <w:sz w:val="18"/>
                <w:szCs w:val="18"/>
              </w:rPr>
              <w:t>北京丰东于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日完成工商登记手续。</w:t>
            </w:r>
          </w:p>
          <w:p>
            <w:pPr>
              <w:pStyle w:val="TableParagraph"/>
              <w:spacing w:line="230" w:lineRule="auto" w:before="39"/>
              <w:ind w:left="22" w:right="20" w:firstLine="345"/>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元超募资金增资天津丰东，并由天津丰东实施</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热处理设备的研发、制造和热处理加工项目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。公司</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万元超募资金转出，用于支付增资款。</w:t>
            </w:r>
          </w:p>
          <w:p>
            <w:pPr>
              <w:pStyle w:val="TableParagraph"/>
              <w:spacing w:line="245" w:lineRule="exact" w:before="33"/>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日，经公司第二届董事会第二十五次会议审议通过，同意公司使用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元超募资金投资设立子公司潍坊丰东</w:t>
            </w:r>
            <w:r>
              <w:rPr>
                <w:rFonts w:ascii="宋体" w:hAnsi="宋体" w:cs="宋体" w:eastAsia="宋体" w:hint="default"/>
                <w:spacing w:val="-28"/>
                <w:sz w:val="18"/>
                <w:szCs w:val="18"/>
              </w:rPr>
              <w:t>。</w:t>
            </w:r>
            <w:r>
              <w:rPr>
                <w:rFonts w:ascii="宋体" w:hAnsi="宋体" w:cs="宋体" w:eastAsia="宋体" w:hint="default"/>
                <w:sz w:val="18"/>
                <w:szCs w:val="18"/>
              </w:rPr>
              <w:t>根据潍坊丰</w:t>
            </w:r>
            <w:r>
              <w:rPr>
                <w:rFonts w:ascii="宋体" w:hAnsi="宋体" w:cs="宋体" w:eastAsia="宋体" w:hint="default"/>
                <w:spacing w:val="-28"/>
                <w:sz w:val="18"/>
                <w:szCs w:val="18"/>
              </w:rPr>
              <w:t>东</w:t>
            </w:r>
            <w:r>
              <w:rPr>
                <w:rFonts w:ascii="宋体" w:hAnsi="宋体" w:cs="宋体" w:eastAsia="宋体" w:hint="default"/>
                <w:sz w:val="18"/>
                <w:szCs w:val="18"/>
              </w:rPr>
              <w:t>《公司章程</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日向潍坊</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丰东支付首期出资款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日支付剩余出资款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5" w:lineRule="exact" w:before="31"/>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日，经公司第三届董事会第六次会议审议通过，同意公司使用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3,048.42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38" w:lineRule="exact" w:before="16"/>
              <w:ind w:left="22" w:right="22"/>
              <w:jc w:val="left"/>
              <w:rPr>
                <w:rFonts w:ascii="宋体" w:hAnsi="宋体" w:cs="宋体" w:eastAsia="宋体" w:hint="default"/>
                <w:sz w:val="18"/>
                <w:szCs w:val="18"/>
              </w:rPr>
            </w:pPr>
            <w:r>
              <w:rPr>
                <w:rFonts w:ascii="宋体" w:hAnsi="宋体" w:cs="宋体" w:eastAsia="宋体" w:hint="default"/>
                <w:sz w:val="18"/>
                <w:szCs w:val="18"/>
              </w:rPr>
              <w:t>超募资金及利息永久性补充公司流动资金。截至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日，该资金暂未从募集资金专户中</w:t>
            </w:r>
            <w:r>
              <w:rPr>
                <w:rFonts w:ascii="宋体" w:hAnsi="宋体" w:cs="宋体" w:eastAsia="宋体" w:hint="default"/>
                <w:sz w:val="18"/>
                <w:szCs w:val="18"/>
              </w:rPr>
              <w:t> 转出。</w:t>
            </w:r>
          </w:p>
        </w:tc>
      </w:tr>
      <w:tr>
        <w:trPr>
          <w:trHeight w:val="695"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9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8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79"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6" w:right="0"/>
              <w:jc w:val="center"/>
              <w:rPr>
                <w:rFonts w:ascii="宋体" w:hAnsi="宋体" w:cs="宋体" w:eastAsia="宋体" w:hint="default"/>
                <w:sz w:val="18"/>
                <w:szCs w:val="18"/>
              </w:rPr>
            </w:pPr>
            <w:r>
              <w:rPr>
                <w:rFonts w:ascii="宋体" w:hAnsi="宋体" w:cs="宋体" w:eastAsia="宋体" w:hint="default"/>
                <w:sz w:val="18"/>
                <w:szCs w:val="18"/>
              </w:rPr>
              <w:t>公司在募集资金到位前已先期建设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吨精密热处理专业化配套项目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年热加工</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吨金属材料生产线项目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年加工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吨汽摩等金属件节能热处理技术改造建设项目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述项目使用自筹资金预先投入募投项目的实际投资额为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2,051.96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万元，已经上海众华沪银会计师事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务所有限公司出具的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《关于江苏丰东热技术股份有限公司以自筹资金预</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先投入募投项目的鉴证报告》审验确认。</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日公司第二届董事会第四次会议审议通过 </w:t>
            </w:r>
            <w:r>
              <w:rPr>
                <w:rFonts w:ascii="宋体" w:hAnsi="宋体" w:cs="宋体" w:eastAsia="宋体" w:hint="default"/>
                <w:spacing w:val="-4"/>
                <w:sz w:val="18"/>
                <w:szCs w:val="18"/>
              </w:rPr>
              <w:t>了《关于用募集资金置换预先已投入募投项目自筹资金的议案》，同意使用募集资金置换已预先投入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募投项目的自筹资金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2,051.96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日，南京丰东从募集资金专户中置换转出前期</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投入的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404.31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日，上海昂先置换转出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1,365.95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日，重庆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丰东置换转出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万元。前期投入置换转出没有发生违规操作。</w:t>
            </w:r>
          </w:p>
        </w:tc>
      </w:tr>
      <w:tr>
        <w:trPr>
          <w:trHeight w:val="5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82" w:right="0"/>
              <w:jc w:val="left"/>
              <w:rPr>
                <w:rFonts w:ascii="宋体" w:hAnsi="宋体" w:cs="宋体" w:eastAsia="宋体" w:hint="default"/>
                <w:sz w:val="18"/>
                <w:szCs w:val="18"/>
              </w:rPr>
            </w:pPr>
            <w:r>
              <w:rPr>
                <w:rFonts w:ascii="宋体" w:hAnsi="宋体" w:cs="宋体" w:eastAsia="宋体" w:hint="default"/>
                <w:sz w:val="18"/>
                <w:szCs w:val="18"/>
              </w:rPr>
              <w:t>所有尚未使用的募集资金均存储于募集资金专项账户和以定期存单、通知存款方式存放。</w:t>
            </w:r>
          </w:p>
        </w:tc>
      </w:tr>
      <w:tr>
        <w:trPr>
          <w:trHeight w:val="79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1" w:firstLine="360"/>
              <w:jc w:val="both"/>
              <w:rPr>
                <w:rFonts w:ascii="宋体" w:hAnsi="宋体" w:cs="宋体" w:eastAsia="宋体" w:hint="default"/>
                <w:sz w:val="18"/>
                <w:szCs w:val="18"/>
              </w:rPr>
            </w:pPr>
            <w:r>
              <w:rPr>
                <w:rFonts w:ascii="宋体" w:hAnsi="宋体" w:cs="宋体" w:eastAsia="宋体" w:hint="default"/>
                <w:spacing w:val="-5"/>
                <w:sz w:val="18"/>
                <w:szCs w:val="18"/>
              </w:rPr>
              <w:t>报告期内，公司已按照《深圳证券交易所股票上市规则》、《深圳证券交易所中小企业板上市公</w:t>
            </w:r>
            <w:r>
              <w:rPr>
                <w:rFonts w:ascii="宋体" w:hAnsi="宋体" w:cs="宋体" w:eastAsia="宋体" w:hint="default"/>
                <w:sz w:val="18"/>
                <w:szCs w:val="18"/>
              </w:rPr>
              <w:t> 司规范运作指引》及公司《募集资金使用管理办法》等相关规定披露募集资金存放与使用情况，不 存在募集资金管理的违规情形。</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1206"/>
        <w:gridCol w:w="852"/>
        <w:gridCol w:w="810"/>
        <w:gridCol w:w="951"/>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8"/>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 w:right="55"/>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9" w:right="38"/>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1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5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重庆丰东年 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重庆丰东年 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1,609.86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361.64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1,538.31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95.56%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58.54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1206"/>
        <w:gridCol w:w="852"/>
        <w:gridCol w:w="810"/>
        <w:gridCol w:w="962"/>
      </w:tblGrid>
      <w:tr>
        <w:trPr>
          <w:trHeight w:val="12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7"/>
              <w:jc w:val="both"/>
              <w:rPr>
                <w:rFonts w:ascii="宋体" w:hAnsi="宋体" w:cs="宋体" w:eastAsia="宋体" w:hint="default"/>
                <w:sz w:val="18"/>
                <w:szCs w:val="18"/>
              </w:rPr>
            </w:pPr>
            <w:r>
              <w:rPr>
                <w:rFonts w:ascii="宋体" w:hAnsi="宋体" w:cs="宋体" w:eastAsia="宋体" w:hint="default"/>
                <w:sz w:val="18"/>
                <w:szCs w:val="18"/>
              </w:rPr>
              <w:t>吨汽摩等金 属件节能热 处理技术改 造建设项目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both"/>
              <w:rPr>
                <w:rFonts w:ascii="宋体" w:hAnsi="宋体" w:cs="宋体" w:eastAsia="宋体" w:hint="default"/>
                <w:sz w:val="18"/>
                <w:szCs w:val="18"/>
              </w:rPr>
            </w:pPr>
            <w:r>
              <w:rPr>
                <w:rFonts w:ascii="宋体" w:hAnsi="宋体" w:cs="宋体" w:eastAsia="宋体" w:hint="default"/>
                <w:sz w:val="18"/>
                <w:szCs w:val="18"/>
              </w:rPr>
              <w:t>吨汽摩等金 属件节能热 处理技术改 造建设项目</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（部分）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17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4" w:lineRule="auto"/>
              <w:ind w:left="22" w:right="27"/>
              <w:jc w:val="both"/>
              <w:rPr>
                <w:rFonts w:ascii="宋体" w:hAnsi="宋体" w:cs="宋体" w:eastAsia="宋体" w:hint="default"/>
                <w:sz w:val="18"/>
                <w:szCs w:val="18"/>
              </w:rPr>
            </w:pPr>
            <w:r>
              <w:rPr>
                <w:rFonts w:ascii="宋体" w:hAnsi="宋体" w:cs="宋体" w:eastAsia="宋体" w:hint="default"/>
                <w:sz w:val="18"/>
                <w:szCs w:val="18"/>
              </w:rPr>
              <w:t>天津丰东热 处理设备的 研发、制造 和热处理加 工项目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重庆丰东年 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p>
            <w:pPr>
              <w:pStyle w:val="TableParagraph"/>
              <w:spacing w:line="240" w:lineRule="exact" w:before="5"/>
              <w:ind w:left="22" w:right="23"/>
              <w:jc w:val="both"/>
              <w:rPr>
                <w:rFonts w:ascii="宋体" w:hAnsi="宋体" w:cs="宋体" w:eastAsia="宋体" w:hint="default"/>
                <w:sz w:val="18"/>
                <w:szCs w:val="18"/>
              </w:rPr>
            </w:pPr>
            <w:r>
              <w:rPr>
                <w:rFonts w:ascii="宋体" w:hAnsi="宋体" w:cs="宋体" w:eastAsia="宋体" w:hint="default"/>
                <w:sz w:val="18"/>
                <w:szCs w:val="18"/>
              </w:rPr>
              <w:t>吨汽摩等金 属件节能热 处理技术改 造建设项目</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（部分）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2,190.14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3,800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2,551.78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3,728.45</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58.54</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401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4"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3" w:firstLine="360"/>
              <w:jc w:val="both"/>
              <w:rPr>
                <w:rFonts w:ascii="宋体" w:hAnsi="宋体" w:cs="宋体" w:eastAsia="宋体" w:hint="default"/>
                <w:sz w:val="18"/>
                <w:szCs w:val="18"/>
              </w:rPr>
            </w:pPr>
            <w:r>
              <w:rPr>
                <w:rFonts w:ascii="宋体" w:hAnsi="宋体" w:cs="宋体" w:eastAsia="宋体" w:hint="default"/>
                <w:sz w:val="18"/>
                <w:szCs w:val="18"/>
              </w:rPr>
              <w:t>重庆丰东募投项目变更原因：由于项目用地情况发生变化以及近年来受下游客户 经营形势影响较大，本着谨慎和保障投资效益的综合考虑，重庆丰东改建推杆炉及真 空炉热处理加工厂房以及部分机器设备的购置计划停止实施。另一方面，重庆丰东募 投项目实施以来，已对原有厂房进行了改造，同时根据生产需要购置了渗碳淬火线、 真空清洗机、辅助设备及检测设备等，根据对未来市场的判断，重庆丰东目前的生产 空间以及设备组成（含已有投资计划但尚未落实的项目）已经能够满足未来较长一段 时间的加工产能需要。</w:t>
            </w:r>
          </w:p>
          <w:p>
            <w:pPr>
              <w:pStyle w:val="TableParagraph"/>
              <w:spacing w:line="240" w:lineRule="auto" w:before="41"/>
              <w:ind w:left="23" w:right="21" w:firstLine="360"/>
              <w:jc w:val="both"/>
              <w:rPr>
                <w:rFonts w:ascii="宋体" w:hAnsi="宋体" w:cs="宋体" w:eastAsia="宋体" w:hint="default"/>
                <w:sz w:val="18"/>
                <w:szCs w:val="18"/>
              </w:rPr>
            </w:pPr>
            <w:r>
              <w:rPr>
                <w:rFonts w:ascii="宋体" w:hAnsi="宋体" w:cs="宋体" w:eastAsia="宋体" w:hint="default"/>
                <w:spacing w:val="-1"/>
                <w:sz w:val="18"/>
                <w:szCs w:val="18"/>
              </w:rPr>
              <w:t>公司经营管理层经过周密的论证、分析比较后认为将原重庆丰东募投项目的剩余</w:t>
            </w:r>
            <w:r>
              <w:rPr>
                <w:rFonts w:ascii="宋体" w:hAnsi="宋体" w:cs="宋体" w:eastAsia="宋体" w:hint="default"/>
                <w:sz w:val="18"/>
                <w:szCs w:val="18"/>
              </w:rPr>
              <w:t> 募集资金变更为实施天津丰东</w:t>
            </w:r>
            <w:r>
              <w:rPr>
                <w:rFonts w:ascii="Times New Roman" w:hAnsi="Times New Roman" w:cs="Times New Roman" w:eastAsia="Times New Roman" w:hint="default"/>
                <w:sz w:val="18"/>
                <w:szCs w:val="18"/>
              </w:rPr>
              <w:t>“</w:t>
            </w:r>
            <w:r>
              <w:rPr>
                <w:rFonts w:ascii="宋体" w:hAnsi="宋体" w:cs="宋体" w:eastAsia="宋体" w:hint="default"/>
                <w:sz w:val="18"/>
                <w:szCs w:val="18"/>
              </w:rPr>
              <w:t>热处理设备的研发、制造和热处理加工项目</w:t>
            </w:r>
            <w:r>
              <w:rPr>
                <w:rFonts w:ascii="Times New Roman" w:hAnsi="Times New Roman" w:cs="Times New Roman" w:eastAsia="Times New Roman" w:hint="default"/>
                <w:sz w:val="18"/>
                <w:szCs w:val="18"/>
              </w:rPr>
              <w:t>”</w:t>
            </w:r>
            <w:r>
              <w:rPr>
                <w:rFonts w:ascii="宋体" w:hAnsi="宋体" w:cs="宋体" w:eastAsia="宋体" w:hint="default"/>
                <w:sz w:val="18"/>
                <w:szCs w:val="18"/>
              </w:rPr>
              <w:t>，将能够 </w:t>
            </w:r>
            <w:r>
              <w:rPr>
                <w:rFonts w:ascii="宋体" w:hAnsi="宋体" w:cs="宋体" w:eastAsia="宋体" w:hint="default"/>
                <w:spacing w:val="-1"/>
                <w:sz w:val="18"/>
                <w:szCs w:val="18"/>
              </w:rPr>
              <w:t>带来较好的市场前景和经济效益，有利于公司战略的实施，变更后的项目投资效益更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好、盈利能力更强、市场前景更为明确。</w:t>
            </w:r>
          </w:p>
          <w:p>
            <w:pPr>
              <w:pStyle w:val="TableParagraph"/>
              <w:spacing w:line="235" w:lineRule="auto" w:before="48"/>
              <w:ind w:left="23" w:right="21" w:firstLine="360"/>
              <w:jc w:val="left"/>
              <w:rPr>
                <w:rFonts w:ascii="宋体" w:hAnsi="宋体" w:cs="宋体" w:eastAsia="宋体" w:hint="default"/>
                <w:sz w:val="18"/>
                <w:szCs w:val="18"/>
              </w:rPr>
            </w:pPr>
            <w:r>
              <w:rPr>
                <w:rFonts w:ascii="宋体" w:hAnsi="宋体" w:cs="宋体" w:eastAsia="宋体" w:hint="default"/>
                <w:sz w:val="18"/>
                <w:szCs w:val="18"/>
              </w:rPr>
              <w:t>本次募投项目变更已经公司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年第一次临时股东大会审议通过，相关公告已 披露在巨潮资讯网等指定信息媒体：</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日《关于拟对控股子公司重庆丰东</w:t>
            </w:r>
            <w:r>
              <w:rPr>
                <w:rFonts w:ascii="宋体" w:hAnsi="宋体" w:cs="宋体" w:eastAsia="宋体" w:hint="default"/>
                <w:sz w:val="18"/>
                <w:szCs w:val="18"/>
              </w:rPr>
              <w:t> </w:t>
            </w:r>
            <w:r>
              <w:rPr>
                <w:rFonts w:ascii="宋体" w:hAnsi="宋体" w:cs="宋体" w:eastAsia="宋体" w:hint="default"/>
                <w:spacing w:val="-6"/>
                <w:sz w:val="18"/>
                <w:szCs w:val="18"/>
              </w:rPr>
              <w:t>神五热处理工程有限公司减资的公告》、《关于天津丰东热处理有限公司股权结构调整</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4"/>
                <w:sz w:val="18"/>
                <w:szCs w:val="18"/>
              </w:rPr>
              <w:t>及增资的公告》、《关于拟变更部分募集资金投资项目的公告》；</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pacing w:val="-6"/>
                <w:sz w:val="18"/>
                <w:szCs w:val="18"/>
              </w:rPr>
              <w:t>年第一次临时股东大会决议公告》。</w:t>
            </w:r>
          </w:p>
        </w:tc>
      </w:tr>
      <w:tr>
        <w:trPr>
          <w:trHeight w:val="57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1"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691" w:footer="979" w:top="110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440" w:bottom="0" w:left="980" w:right="0"/>
          <w:cols w:num="2" w:equalWidth="0">
            <w:col w:w="2675" w:space="5885"/>
            <w:col w:w="237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784"/>
        <w:gridCol w:w="955"/>
        <w:gridCol w:w="958"/>
        <w:gridCol w:w="956"/>
        <w:gridCol w:w="956"/>
        <w:gridCol w:w="956"/>
        <w:gridCol w:w="957"/>
        <w:gridCol w:w="958"/>
        <w:gridCol w:w="956"/>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上海丰东热 处理工程有 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热处理加工 及技术开 发、咨询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80,656,232.49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75,726,262.88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36,910,176.42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12,028,718.69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9,209,883.92</w:t>
            </w:r>
          </w:p>
        </w:tc>
      </w:tr>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南京丰东热 处理工程有 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机械配件专 业热处理加 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2,752.25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57,487,799.17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51,827,380.69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27,967,591.62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5,739,966.16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4,289,299.29</w:t>
            </w:r>
          </w:p>
        </w:tc>
      </w:tr>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重庆丰东热 处理工程有 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金属零部件 的热处理及 表面加工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5" w:right="0"/>
              <w:jc w:val="center"/>
              <w:rPr>
                <w:rFonts w:ascii="Times New Roman" w:hAnsi="Times New Roman" w:cs="Times New Roman" w:eastAsia="Times New Roman" w:hint="default"/>
                <w:sz w:val="15"/>
                <w:szCs w:val="15"/>
              </w:rPr>
            </w:pPr>
            <w:r>
              <w:rPr>
                <w:rFonts w:ascii="Times New Roman"/>
                <w:sz w:val="15"/>
              </w:rPr>
              <w:t>33,797,099.21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26,177,053.27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7" w:right="0"/>
              <w:jc w:val="left"/>
              <w:rPr>
                <w:rFonts w:ascii="Times New Roman" w:hAnsi="Times New Roman" w:cs="Times New Roman" w:eastAsia="Times New Roman" w:hint="default"/>
                <w:sz w:val="15"/>
                <w:szCs w:val="15"/>
              </w:rPr>
            </w:pPr>
            <w:r>
              <w:rPr>
                <w:rFonts w:ascii="Times New Roman"/>
                <w:sz w:val="15"/>
              </w:rPr>
              <w:t>23,119,492.22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23" w:right="0"/>
              <w:jc w:val="left"/>
              <w:rPr>
                <w:rFonts w:ascii="Times New Roman" w:hAnsi="Times New Roman" w:cs="Times New Roman" w:eastAsia="Times New Roman" w:hint="default"/>
                <w:sz w:val="15"/>
                <w:szCs w:val="15"/>
              </w:rPr>
            </w:pPr>
            <w:r>
              <w:rPr>
                <w:rFonts w:ascii="Times New Roman"/>
                <w:sz w:val="15"/>
              </w:rPr>
              <w:t>37,129.79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1,283,760.96</w:t>
            </w:r>
          </w:p>
        </w:tc>
      </w:tr>
    </w:tbl>
    <w:p>
      <w:pPr>
        <w:spacing w:after="0" w:line="240" w:lineRule="auto"/>
        <w:jc w:val="left"/>
        <w:rPr>
          <w:rFonts w:ascii="Times New Roman" w:hAnsi="Times New Roman" w:cs="Times New Roman" w:eastAsia="Times New Roman" w:hint="default"/>
          <w:sz w:val="15"/>
          <w:szCs w:val="15"/>
        </w:rPr>
        <w:sectPr>
          <w:type w:val="continuous"/>
          <w:pgSz w:w="11910" w:h="16840"/>
          <w:pgMar w:top="1440" w:bottom="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48.5pt;margin-top:235.429977pt;width:47.35pt;height:34.6pt;mso-position-horizontal-relative:page;mso-position-vertical-relative:page;z-index:-821032" coordorigin="4970,4709" coordsize="947,692">
            <v:group style="position:absolute;left:4981;top:4720;width:2;height:321" coordorigin="4981,4720" coordsize="2,321">
              <v:shape style="position:absolute;left:4981;top:4720;width:2;height:321" coordorigin="4981,4720" coordsize="0,321" path="m4981,4720l4981,5040e" filled="false" stroked="true" strokeweight="1.140pt" strokecolor="#ffffff">
                <v:path arrowok="t"/>
              </v:shape>
            </v:group>
            <v:group style="position:absolute;left:4970;top:5040;width:947;height:360" coordorigin="4970,5040" coordsize="947,360">
              <v:shape style="position:absolute;left:4970;top:5040;width:947;height:360" coordorigin="4970,5040" coordsize="947,360" path="m4970,5400l5917,5400,5917,5040,4970,5040,4970,5400xe" filled="true" fillcolor="#ffffff" stroked="false">
                <v:path arrowok="t"/>
                <v:fill type="solid"/>
              </v:shape>
            </v:group>
            <v:group style="position:absolute;left:4993;top:4720;width:902;height:321" coordorigin="4993,4720" coordsize="902,321">
              <v:shape style="position:absolute;left:4993;top:4720;width:902;height:321" coordorigin="4993,4720" coordsize="902,321" path="m4993,5040l5894,5040,5894,4720,4993,4720,4993,5040xe" filled="true" fillcolor="#ffffff" stroked="false">
                <v:path arrowok="t"/>
                <v:fill type="solid"/>
              </v:shape>
            </v:group>
            <w10:wrap type="none"/>
          </v:group>
        </w:pict>
      </w:r>
      <w:r>
        <w:rPr/>
        <w:pict>
          <v:group style="position:absolute;margin-left:248.5pt;margin-top:440.019989pt;width:47.35pt;height:34.6pt;mso-position-horizontal-relative:page;mso-position-vertical-relative:page;z-index:-821008" coordorigin="4970,8800" coordsize="947,692">
            <v:group style="position:absolute;left:4970;top:8800;width:947;height:360" coordorigin="4970,8800" coordsize="947,360">
              <v:shape style="position:absolute;left:4970;top:8800;width:947;height:360" coordorigin="4970,8800" coordsize="947,360" path="m4970,9160l5917,9160,5917,8800,4970,8800,4970,9160xe" filled="true" fillcolor="#ffffff" stroked="false">
                <v:path arrowok="t"/>
                <v:fill type="solid"/>
              </v:shape>
            </v:group>
            <v:group style="position:absolute;left:4981;top:9160;width:2;height:321" coordorigin="4981,9160" coordsize="2,321">
              <v:shape style="position:absolute;left:4981;top:9160;width:2;height:321" coordorigin="4981,9160" coordsize="0,321" path="m4981,9160l4981,9481e" filled="false" stroked="true" strokeweight="1.140pt" strokecolor="#ffffff">
                <v:path arrowok="t"/>
              </v:shape>
            </v:group>
            <v:group style="position:absolute;left:4993;top:9160;width:902;height:321" coordorigin="4993,9160" coordsize="902,321">
              <v:shape style="position:absolute;left:4993;top:9160;width:902;height:321" coordorigin="4993,9160" coordsize="902,321" path="m4993,9481l5894,9481,5894,9160,4993,9160,4993,948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784"/>
        <w:gridCol w:w="955"/>
        <w:gridCol w:w="958"/>
        <w:gridCol w:w="956"/>
        <w:gridCol w:w="956"/>
        <w:gridCol w:w="956"/>
        <w:gridCol w:w="957"/>
        <w:gridCol w:w="958"/>
        <w:gridCol w:w="956"/>
      </w:tblGrid>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青岛丰东热 处理有限公 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3"/>
              <w:jc w:val="left"/>
              <w:rPr>
                <w:rFonts w:ascii="宋体" w:hAnsi="宋体" w:cs="宋体" w:eastAsia="宋体" w:hint="default"/>
                <w:sz w:val="18"/>
                <w:szCs w:val="18"/>
              </w:rPr>
            </w:pPr>
            <w:r>
              <w:rPr>
                <w:rFonts w:ascii="宋体" w:hAnsi="宋体" w:cs="宋体" w:eastAsia="宋体" w:hint="default"/>
                <w:sz w:val="18"/>
                <w:szCs w:val="18"/>
              </w:rPr>
              <w:t>热处理及表 面处理加工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32,090,659.91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20,575,554.43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37,204,666.41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4,315,584.98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4,071,398.20</w:t>
            </w:r>
          </w:p>
        </w:tc>
      </w:tr>
      <w:tr>
        <w:trPr>
          <w:trHeight w:val="12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江苏丰东热 处理及表面 改性工程技 术研究有限 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热处理设备 的研制及热 处理工艺、 试验、验证 及推广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1"/>
              <w:jc w:val="right"/>
              <w:rPr>
                <w:rFonts w:ascii="Times New Roman" w:hAnsi="Times New Roman" w:cs="Times New Roman" w:eastAsia="Times New Roman" w:hint="default"/>
                <w:sz w:val="15"/>
                <w:szCs w:val="15"/>
              </w:rPr>
            </w:pPr>
            <w:r>
              <w:rPr>
                <w:rFonts w:ascii="Times New Roman"/>
                <w:spacing w:val="-1"/>
                <w:sz w:val="15"/>
              </w:rPr>
              <w:t>6,954,782.16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0"/>
              <w:jc w:val="right"/>
              <w:rPr>
                <w:rFonts w:ascii="Times New Roman" w:hAnsi="Times New Roman" w:cs="Times New Roman" w:eastAsia="Times New Roman" w:hint="default"/>
                <w:sz w:val="15"/>
                <w:szCs w:val="15"/>
              </w:rPr>
            </w:pPr>
            <w:r>
              <w:rPr>
                <w:rFonts w:ascii="Times New Roman"/>
                <w:spacing w:val="-1"/>
                <w:sz w:val="15"/>
              </w:rPr>
              <w:t>5,875,063.69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1"/>
              <w:jc w:val="right"/>
              <w:rPr>
                <w:rFonts w:ascii="Times New Roman" w:hAnsi="Times New Roman" w:cs="Times New Roman" w:eastAsia="Times New Roman" w:hint="default"/>
                <w:sz w:val="15"/>
                <w:szCs w:val="15"/>
              </w:rPr>
            </w:pPr>
            <w:r>
              <w:rPr>
                <w:rFonts w:ascii="Times New Roman"/>
                <w:spacing w:val="-1"/>
                <w:sz w:val="15"/>
              </w:rPr>
              <w:t>6,754,584.38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1"/>
              <w:jc w:val="right"/>
              <w:rPr>
                <w:rFonts w:ascii="Times New Roman" w:hAnsi="Times New Roman" w:cs="Times New Roman" w:eastAsia="Times New Roman" w:hint="default"/>
                <w:sz w:val="15"/>
                <w:szCs w:val="15"/>
              </w:rPr>
            </w:pPr>
            <w:r>
              <w:rPr>
                <w:rFonts w:ascii="Times New Roman"/>
                <w:spacing w:val="-1"/>
                <w:sz w:val="15"/>
              </w:rPr>
              <w:t>888,266.56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0"/>
              <w:jc w:val="right"/>
              <w:rPr>
                <w:rFonts w:ascii="Times New Roman" w:hAnsi="Times New Roman" w:cs="Times New Roman" w:eastAsia="Times New Roman" w:hint="default"/>
                <w:sz w:val="15"/>
                <w:szCs w:val="15"/>
              </w:rPr>
            </w:pPr>
            <w:r>
              <w:rPr>
                <w:rFonts w:ascii="Times New Roman"/>
                <w:spacing w:val="-1"/>
                <w:sz w:val="15"/>
              </w:rPr>
              <w:t>649,992.81</w:t>
            </w:r>
          </w:p>
        </w:tc>
      </w:tr>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天津丰东热 处理有限公 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金属制品加 工、科技信 息咨询服务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99,472,773.14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95,608,518.36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34,193,510.16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2,902,749.02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2,110,116.24</w:t>
            </w:r>
          </w:p>
        </w:tc>
      </w:tr>
      <w:tr>
        <w:trPr>
          <w:trHeight w:val="10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01"/>
              <w:jc w:val="both"/>
              <w:rPr>
                <w:rFonts w:ascii="宋体" w:hAnsi="宋体" w:cs="宋体" w:eastAsia="宋体" w:hint="default"/>
                <w:sz w:val="18"/>
                <w:szCs w:val="18"/>
              </w:rPr>
            </w:pPr>
            <w:r>
              <w:rPr>
                <w:rFonts w:ascii="宋体" w:hAnsi="宋体" w:cs="宋体" w:eastAsia="宋体" w:hint="default"/>
                <w:sz w:val="18"/>
                <w:szCs w:val="18"/>
              </w:rPr>
              <w:t>北京丰东建 通工业炉科 技有限公司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生产热处理 设备及技术 </w:t>
            </w:r>
            <w:r>
              <w:rPr>
                <w:rFonts w:ascii="宋体" w:hAnsi="宋体" w:cs="宋体" w:eastAsia="宋体" w:hint="default"/>
                <w:spacing w:val="-18"/>
                <w:sz w:val="18"/>
                <w:szCs w:val="18"/>
              </w:rPr>
              <w:t>开发、转让</w:t>
            </w:r>
            <w:r>
              <w:rPr>
                <w:rFonts w:ascii="宋体" w:hAnsi="宋体" w:cs="宋体" w:eastAsia="宋体" w:hint="default"/>
                <w:sz w:val="18"/>
                <w:szCs w:val="18"/>
              </w:rPr>
              <w:t> 咨询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18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172"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33,788,175.43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10,223,934.06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36,215,919.42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370,240.92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191,629.99</w:t>
            </w:r>
          </w:p>
        </w:tc>
      </w:tr>
      <w:tr>
        <w:trPr>
          <w:trHeight w:val="12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01"/>
              <w:jc w:val="both"/>
              <w:rPr>
                <w:rFonts w:ascii="宋体" w:hAnsi="宋体" w:cs="宋体" w:eastAsia="宋体" w:hint="default"/>
                <w:sz w:val="18"/>
                <w:szCs w:val="18"/>
              </w:rPr>
            </w:pPr>
            <w:r>
              <w:rPr>
                <w:rFonts w:ascii="宋体" w:hAnsi="宋体" w:cs="宋体" w:eastAsia="宋体" w:hint="default"/>
                <w:sz w:val="18"/>
                <w:szCs w:val="18"/>
              </w:rPr>
              <w:t>长春丰东热 处理有限公 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推杆式连续 炉和转底炉 为主的成套 热处理设备 的研制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2"/>
              <w:jc w:val="right"/>
              <w:rPr>
                <w:rFonts w:ascii="Times New Roman" w:hAnsi="Times New Roman" w:cs="Times New Roman" w:eastAsia="Times New Roman" w:hint="default"/>
                <w:sz w:val="15"/>
                <w:szCs w:val="15"/>
              </w:rPr>
            </w:pPr>
            <w:r>
              <w:rPr>
                <w:rFonts w:ascii="Times New Roman"/>
                <w:spacing w:val="-1"/>
                <w:sz w:val="15"/>
              </w:rPr>
              <w:t>21,767,771.21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0"/>
              <w:jc w:val="right"/>
              <w:rPr>
                <w:rFonts w:ascii="Times New Roman" w:hAnsi="Times New Roman" w:cs="Times New Roman" w:eastAsia="Times New Roman" w:hint="default"/>
                <w:sz w:val="15"/>
                <w:szCs w:val="15"/>
              </w:rPr>
            </w:pPr>
            <w:r>
              <w:rPr>
                <w:rFonts w:ascii="Times New Roman"/>
                <w:spacing w:val="-1"/>
                <w:sz w:val="15"/>
              </w:rPr>
              <w:t>8,532,649.04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1"/>
              <w:jc w:val="right"/>
              <w:rPr>
                <w:rFonts w:ascii="Times New Roman" w:hAnsi="Times New Roman" w:cs="Times New Roman" w:eastAsia="Times New Roman" w:hint="default"/>
                <w:sz w:val="15"/>
                <w:szCs w:val="15"/>
              </w:rPr>
            </w:pPr>
            <w:r>
              <w:rPr>
                <w:rFonts w:ascii="Times New Roman"/>
                <w:spacing w:val="-1"/>
                <w:sz w:val="15"/>
              </w:rPr>
              <w:t>18,610,827.78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1"/>
              <w:jc w:val="right"/>
              <w:rPr>
                <w:rFonts w:ascii="Times New Roman" w:hAnsi="Times New Roman" w:cs="Times New Roman" w:eastAsia="Times New Roman" w:hint="default"/>
                <w:sz w:val="15"/>
                <w:szCs w:val="15"/>
              </w:rPr>
            </w:pPr>
            <w:r>
              <w:rPr>
                <w:rFonts w:ascii="Times New Roman"/>
                <w:spacing w:val="-1"/>
                <w:sz w:val="15"/>
              </w:rPr>
              <w:t>408,846.66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0"/>
              <w:jc w:val="right"/>
              <w:rPr>
                <w:rFonts w:ascii="Times New Roman" w:hAnsi="Times New Roman" w:cs="Times New Roman" w:eastAsia="Times New Roman" w:hint="default"/>
                <w:sz w:val="15"/>
                <w:szCs w:val="15"/>
              </w:rPr>
            </w:pPr>
            <w:r>
              <w:rPr>
                <w:rFonts w:ascii="Times New Roman"/>
                <w:spacing w:val="-1"/>
                <w:sz w:val="15"/>
              </w:rPr>
              <w:t>319,590.94</w:t>
            </w:r>
          </w:p>
        </w:tc>
      </w:tr>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盐城丰东特 种炉业有限 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生产热处理 设备及零部 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5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80.417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34,140,265.33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11,691,881.75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46,770,692.01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2,263,993.36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2,193,260.99</w:t>
            </w:r>
          </w:p>
        </w:tc>
      </w:tr>
      <w:tr>
        <w:trPr>
          <w:trHeight w:val="12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01"/>
              <w:jc w:val="both"/>
              <w:rPr>
                <w:rFonts w:ascii="宋体" w:hAnsi="宋体" w:cs="宋体" w:eastAsia="宋体" w:hint="default"/>
                <w:sz w:val="18"/>
                <w:szCs w:val="18"/>
              </w:rPr>
            </w:pPr>
            <w:r>
              <w:rPr>
                <w:rFonts w:ascii="宋体" w:hAnsi="宋体" w:cs="宋体" w:eastAsia="宋体" w:hint="default"/>
                <w:sz w:val="18"/>
                <w:szCs w:val="18"/>
              </w:rPr>
              <w:t>潍坊丰东热 处理有限公 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精密轮胎模 具零部件、 金属机械配 件热处理加 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2"/>
              <w:jc w:val="right"/>
              <w:rPr>
                <w:rFonts w:ascii="Times New Roman" w:hAnsi="Times New Roman" w:cs="Times New Roman" w:eastAsia="Times New Roman" w:hint="default"/>
                <w:sz w:val="15"/>
                <w:szCs w:val="15"/>
              </w:rPr>
            </w:pPr>
            <w:r>
              <w:rPr>
                <w:rFonts w:ascii="Times New Roman"/>
                <w:spacing w:val="-1"/>
                <w:sz w:val="15"/>
              </w:rPr>
              <w:t>12,724,003.31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0"/>
              <w:jc w:val="right"/>
              <w:rPr>
                <w:rFonts w:ascii="Times New Roman" w:hAnsi="Times New Roman" w:cs="Times New Roman" w:eastAsia="Times New Roman" w:hint="default"/>
                <w:sz w:val="15"/>
                <w:szCs w:val="15"/>
              </w:rPr>
            </w:pPr>
            <w:r>
              <w:rPr>
                <w:rFonts w:ascii="Times New Roman"/>
                <w:spacing w:val="-1"/>
                <w:sz w:val="15"/>
              </w:rPr>
              <w:t>6,162,852.60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1"/>
              <w:jc w:val="right"/>
              <w:rPr>
                <w:rFonts w:ascii="Times New Roman" w:hAnsi="Times New Roman" w:cs="Times New Roman" w:eastAsia="Times New Roman" w:hint="default"/>
                <w:sz w:val="15"/>
                <w:szCs w:val="15"/>
              </w:rPr>
            </w:pPr>
            <w:r>
              <w:rPr>
                <w:rFonts w:ascii="Times New Roman"/>
                <w:spacing w:val="-1"/>
                <w:sz w:val="15"/>
              </w:rPr>
              <w:t>5,728,770.19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1"/>
              <w:jc w:val="right"/>
              <w:rPr>
                <w:rFonts w:ascii="Times New Roman" w:hAnsi="Times New Roman" w:cs="Times New Roman" w:eastAsia="Times New Roman" w:hint="default"/>
                <w:sz w:val="15"/>
                <w:szCs w:val="15"/>
              </w:rPr>
            </w:pPr>
            <w:r>
              <w:rPr>
                <w:rFonts w:ascii="Times New Roman"/>
                <w:spacing w:val="-1"/>
                <w:sz w:val="15"/>
              </w:rPr>
              <w:t>1,553,455.23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0"/>
              <w:jc w:val="right"/>
              <w:rPr>
                <w:rFonts w:ascii="Times New Roman" w:hAnsi="Times New Roman" w:cs="Times New Roman" w:eastAsia="Times New Roman" w:hint="default"/>
                <w:sz w:val="15"/>
                <w:szCs w:val="15"/>
              </w:rPr>
            </w:pPr>
            <w:r>
              <w:rPr>
                <w:rFonts w:ascii="Times New Roman"/>
                <w:spacing w:val="-1"/>
                <w:sz w:val="15"/>
              </w:rPr>
              <w:t>1,162,852.60</w:t>
            </w:r>
          </w:p>
        </w:tc>
      </w:tr>
      <w:tr>
        <w:trPr>
          <w:trHeight w:val="10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01"/>
              <w:jc w:val="both"/>
              <w:rPr>
                <w:rFonts w:ascii="宋体" w:hAnsi="宋体" w:cs="宋体" w:eastAsia="宋体" w:hint="default"/>
                <w:sz w:val="18"/>
                <w:szCs w:val="18"/>
              </w:rPr>
            </w:pPr>
            <w:r>
              <w:rPr>
                <w:rFonts w:ascii="宋体" w:hAnsi="宋体" w:cs="宋体" w:eastAsia="宋体" w:hint="default"/>
                <w:sz w:val="18"/>
                <w:szCs w:val="18"/>
              </w:rPr>
              <w:t>盐城丰东祺 耀工业炉有 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热处理设备 </w:t>
            </w:r>
            <w:r>
              <w:rPr>
                <w:rFonts w:ascii="宋体" w:hAnsi="宋体" w:cs="宋体" w:eastAsia="宋体" w:hint="default"/>
                <w:spacing w:val="-18"/>
                <w:sz w:val="18"/>
                <w:szCs w:val="18"/>
              </w:rPr>
              <w:t>研发、设计</w:t>
            </w:r>
            <w:r>
              <w:rPr>
                <w:rFonts w:ascii="宋体" w:hAnsi="宋体" w:cs="宋体" w:eastAsia="宋体" w:hint="default"/>
                <w:sz w:val="18"/>
                <w:szCs w:val="18"/>
              </w:rPr>
              <w:t> 制造、销售 和维修服务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tabs>
                <w:tab w:pos="337" w:val="left" w:leader="none"/>
              </w:tabs>
              <w:spacing w:line="258" w:lineRule="exact" w:before="262"/>
              <w:ind w:left="-124" w:right="427"/>
              <w:jc w:val="center"/>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position w:val="-11"/>
                <w:sz w:val="18"/>
                <w:szCs w:val="18"/>
              </w:rPr>
              <w:t>万</w:t>
            </w:r>
            <w:r>
              <w:rPr>
                <w:rFonts w:ascii="宋体" w:hAnsi="宋体" w:cs="宋体" w:eastAsia="宋体" w:hint="default"/>
                <w:sz w:val="18"/>
                <w:szCs w:val="18"/>
              </w:rPr>
            </w:r>
          </w:p>
          <w:p>
            <w:pPr>
              <w:pStyle w:val="TableParagraph"/>
              <w:spacing w:line="110" w:lineRule="exact"/>
              <w:ind w:right="629"/>
              <w:jc w:val="center"/>
              <w:rPr>
                <w:rFonts w:ascii="Times New Roman" w:hAnsi="Times New Roman" w:cs="Times New Roman" w:eastAsia="Times New Roman" w:hint="default"/>
                <w:sz w:val="18"/>
                <w:szCs w:val="18"/>
              </w:rPr>
            </w:pPr>
            <w:r>
              <w:rPr>
                <w:rFonts w:ascii="Times New Roman"/>
                <w:sz w:val="18"/>
              </w:rPr>
              <w:t>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2,040,063.62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1,017,952.15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-242,674.06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-182,047.85</w:t>
            </w:r>
          </w:p>
        </w:tc>
      </w:tr>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1"/>
              <w:jc w:val="both"/>
              <w:rPr>
                <w:rFonts w:ascii="宋体" w:hAnsi="宋体" w:cs="宋体" w:eastAsia="宋体" w:hint="default"/>
                <w:sz w:val="18"/>
                <w:szCs w:val="18"/>
              </w:rPr>
            </w:pPr>
            <w:r>
              <w:rPr>
                <w:rFonts w:ascii="宋体" w:hAnsi="宋体" w:cs="宋体" w:eastAsia="宋体" w:hint="default"/>
                <w:sz w:val="18"/>
                <w:szCs w:val="18"/>
              </w:rPr>
              <w:t>广州鑫润丰 东热处理有 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金属制品业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5,939,080.82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5,603,209.67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-532,804.44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-396,790.33</w:t>
            </w:r>
          </w:p>
        </w:tc>
      </w:tr>
      <w:tr>
        <w:trPr>
          <w:trHeight w:val="20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4" w:lineRule="auto"/>
              <w:ind w:left="22" w:right="201"/>
              <w:jc w:val="both"/>
              <w:rPr>
                <w:rFonts w:ascii="宋体" w:hAnsi="宋体" w:cs="宋体" w:eastAsia="宋体" w:hint="default"/>
                <w:sz w:val="18"/>
                <w:szCs w:val="18"/>
              </w:rPr>
            </w:pPr>
            <w:r>
              <w:rPr>
                <w:rFonts w:ascii="宋体" w:hAnsi="宋体" w:cs="宋体" w:eastAsia="宋体" w:hint="default"/>
                <w:sz w:val="18"/>
                <w:szCs w:val="18"/>
              </w:rPr>
              <w:t>盐城高周波 热炼有限公 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高频电源装 置、感应加 热设备以及 各种附属设 备制造，金 属零部件的 感应加热热 处理加工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1,266.315</w:t>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179,280,865.2</w:t>
            </w:r>
          </w:p>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z w:val="15"/>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129,501,580.9</w:t>
            </w:r>
          </w:p>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z w:val="15"/>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77,480,474.08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11,475,619.22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10,893,591.51</w:t>
            </w:r>
          </w:p>
        </w:tc>
      </w:tr>
      <w:tr>
        <w:trPr>
          <w:trHeight w:val="12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01"/>
              <w:jc w:val="both"/>
              <w:rPr>
                <w:rFonts w:ascii="宋体" w:hAnsi="宋体" w:cs="宋体" w:eastAsia="宋体" w:hint="default"/>
                <w:sz w:val="18"/>
                <w:szCs w:val="18"/>
              </w:rPr>
            </w:pPr>
            <w:r>
              <w:rPr>
                <w:rFonts w:ascii="宋体" w:hAnsi="宋体" w:cs="宋体" w:eastAsia="宋体" w:hint="default"/>
                <w:sz w:val="18"/>
                <w:szCs w:val="18"/>
              </w:rPr>
              <w:t>江苏石川岛 丰东真空技 术有限公司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真空热处理 炉的营销策 划、设计、 制造、销售 和售后服务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2"/>
              <w:jc w:val="right"/>
              <w:rPr>
                <w:rFonts w:ascii="Times New Roman" w:hAnsi="Times New Roman" w:cs="Times New Roman" w:eastAsia="Times New Roman" w:hint="default"/>
                <w:sz w:val="15"/>
                <w:szCs w:val="15"/>
              </w:rPr>
            </w:pPr>
            <w:r>
              <w:rPr>
                <w:rFonts w:ascii="Times New Roman"/>
                <w:spacing w:val="-1"/>
                <w:sz w:val="15"/>
              </w:rPr>
              <w:t>35,477,030.54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1"/>
              <w:jc w:val="right"/>
              <w:rPr>
                <w:rFonts w:ascii="Times New Roman" w:hAnsi="Times New Roman" w:cs="Times New Roman" w:eastAsia="Times New Roman" w:hint="default"/>
                <w:sz w:val="15"/>
                <w:szCs w:val="15"/>
              </w:rPr>
            </w:pPr>
            <w:r>
              <w:rPr>
                <w:rFonts w:ascii="Times New Roman"/>
                <w:spacing w:val="-1"/>
                <w:sz w:val="15"/>
              </w:rPr>
              <w:t>29,241,352.92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1"/>
              <w:jc w:val="right"/>
              <w:rPr>
                <w:rFonts w:ascii="Times New Roman" w:hAnsi="Times New Roman" w:cs="Times New Roman" w:eastAsia="Times New Roman" w:hint="default"/>
                <w:sz w:val="15"/>
                <w:szCs w:val="15"/>
              </w:rPr>
            </w:pPr>
            <w:r>
              <w:rPr>
                <w:rFonts w:ascii="Times New Roman"/>
                <w:spacing w:val="-1"/>
                <w:sz w:val="15"/>
              </w:rPr>
              <w:t>1,105,829.16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3"/>
              <w:jc w:val="right"/>
              <w:rPr>
                <w:rFonts w:ascii="Times New Roman" w:hAnsi="Times New Roman" w:cs="Times New Roman" w:eastAsia="Times New Roman" w:hint="default"/>
                <w:sz w:val="15"/>
                <w:szCs w:val="15"/>
              </w:rPr>
            </w:pPr>
            <w:r>
              <w:rPr>
                <w:rFonts w:ascii="Times New Roman"/>
                <w:spacing w:val="-1"/>
                <w:sz w:val="15"/>
              </w:rPr>
              <w:t>-998,870.26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20"/>
              <w:jc w:val="right"/>
              <w:rPr>
                <w:rFonts w:ascii="Times New Roman" w:hAnsi="Times New Roman" w:cs="Times New Roman" w:eastAsia="Times New Roman" w:hint="default"/>
                <w:sz w:val="15"/>
                <w:szCs w:val="15"/>
              </w:rPr>
            </w:pPr>
            <w:r>
              <w:rPr>
                <w:rFonts w:ascii="Times New Roman"/>
                <w:spacing w:val="-1"/>
                <w:sz w:val="15"/>
              </w:rPr>
              <w:t>-758,647.08</w:t>
            </w:r>
          </w:p>
        </w:tc>
      </w:tr>
      <w:tr>
        <w:trPr>
          <w:trHeight w:val="129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2" w:right="201"/>
              <w:jc w:val="left"/>
              <w:rPr>
                <w:rFonts w:ascii="宋体" w:hAnsi="宋体" w:cs="宋体" w:eastAsia="宋体" w:hint="default"/>
                <w:sz w:val="18"/>
                <w:szCs w:val="18"/>
              </w:rPr>
            </w:pPr>
            <w:r>
              <w:rPr>
                <w:rFonts w:ascii="宋体" w:hAnsi="宋体" w:cs="宋体" w:eastAsia="宋体" w:hint="default"/>
                <w:sz w:val="18"/>
                <w:szCs w:val="18"/>
              </w:rPr>
              <w:t>广州丰东热 炼有限公司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热处理行业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金属零部件 的综合热处 理的加工、 研发，销售 本企业产品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2"/>
              <w:jc w:val="right"/>
              <w:rPr>
                <w:rFonts w:ascii="Times New Roman" w:hAnsi="Times New Roman" w:cs="Times New Roman" w:eastAsia="Times New Roman" w:hint="default"/>
                <w:sz w:val="15"/>
                <w:szCs w:val="15"/>
              </w:rPr>
            </w:pPr>
            <w:r>
              <w:rPr>
                <w:rFonts w:ascii="Times New Roman"/>
                <w:spacing w:val="-1"/>
                <w:sz w:val="15"/>
              </w:rPr>
              <w:t>45,558,891.00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1"/>
              <w:jc w:val="right"/>
              <w:rPr>
                <w:rFonts w:ascii="Times New Roman" w:hAnsi="Times New Roman" w:cs="Times New Roman" w:eastAsia="Times New Roman" w:hint="default"/>
                <w:sz w:val="15"/>
                <w:szCs w:val="15"/>
              </w:rPr>
            </w:pPr>
            <w:r>
              <w:rPr>
                <w:rFonts w:ascii="Times New Roman"/>
                <w:spacing w:val="-1"/>
                <w:sz w:val="15"/>
              </w:rPr>
              <w:t>36,085,561.64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1"/>
              <w:jc w:val="right"/>
              <w:rPr>
                <w:rFonts w:ascii="Times New Roman" w:hAnsi="Times New Roman" w:cs="Times New Roman" w:eastAsia="Times New Roman" w:hint="default"/>
                <w:sz w:val="15"/>
                <w:szCs w:val="15"/>
              </w:rPr>
            </w:pPr>
            <w:r>
              <w:rPr>
                <w:rFonts w:ascii="Times New Roman"/>
                <w:spacing w:val="-1"/>
                <w:sz w:val="15"/>
              </w:rPr>
              <w:t>43,671,724.37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1"/>
              <w:jc w:val="right"/>
              <w:rPr>
                <w:rFonts w:ascii="Times New Roman" w:hAnsi="Times New Roman" w:cs="Times New Roman" w:eastAsia="Times New Roman" w:hint="default"/>
                <w:sz w:val="15"/>
                <w:szCs w:val="15"/>
              </w:rPr>
            </w:pPr>
            <w:r>
              <w:rPr>
                <w:rFonts w:ascii="Times New Roman"/>
                <w:spacing w:val="-1"/>
                <w:sz w:val="15"/>
              </w:rPr>
              <w:t>8,194,720.02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right="20"/>
              <w:jc w:val="right"/>
              <w:rPr>
                <w:rFonts w:ascii="Times New Roman" w:hAnsi="Times New Roman" w:cs="Times New Roman" w:eastAsia="Times New Roman" w:hint="default"/>
                <w:sz w:val="15"/>
                <w:szCs w:val="15"/>
              </w:rPr>
            </w:pPr>
            <w:r>
              <w:rPr>
                <w:rFonts w:ascii="Times New Roman"/>
                <w:spacing w:val="-1"/>
                <w:sz w:val="15"/>
              </w:rPr>
              <w:t>6,124,173.05</w:t>
            </w:r>
          </w:p>
        </w:tc>
      </w:tr>
    </w:tbl>
    <w:p>
      <w:pPr>
        <w:spacing w:after="0" w:line="240" w:lineRule="auto"/>
        <w:jc w:val="right"/>
        <w:rPr>
          <w:rFonts w:ascii="Times New Roman" w:hAnsi="Times New Roman" w:cs="Times New Roman" w:eastAsia="Times New Roman" w:hint="default"/>
          <w:sz w:val="15"/>
          <w:szCs w:val="15"/>
        </w:rPr>
        <w:sectPr>
          <w:pgSz w:w="11910" w:h="16840"/>
          <w:pgMar w:header="691" w:footer="979" w:top="1100" w:bottom="1160" w:left="980" w:right="0"/>
        </w:sectPr>
      </w:pPr>
    </w:p>
    <w:p>
      <w:pPr>
        <w:spacing w:line="240" w:lineRule="auto" w:before="0"/>
        <w:rPr>
          <w:rFonts w:ascii="Times New Roman" w:hAnsi="Times New Roman" w:cs="Times New Roman" w:eastAsia="Times New Roman" w:hint="default"/>
          <w:sz w:val="25"/>
          <w:szCs w:val="25"/>
        </w:rPr>
      </w:pPr>
    </w:p>
    <w:p>
      <w:pPr>
        <w:pStyle w:val="BodyText"/>
        <w:spacing w:line="357" w:lineRule="auto" w:before="44"/>
        <w:ind w:left="514" w:right="7692"/>
        <w:jc w:val="left"/>
      </w:pPr>
      <w:r>
        <w:rPr/>
        <w:t>主要子公司、参股公司情况说明 报告期内取得和处置子公司的情况</w:t>
      </w:r>
    </w:p>
    <w:p>
      <w:pPr>
        <w:pStyle w:val="BodyText"/>
        <w:spacing w:line="240" w:lineRule="auto" w:before="29"/>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9"/>
        <w:gridCol w:w="5246"/>
        <w:gridCol w:w="1416"/>
        <w:gridCol w:w="1488"/>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9" w:right="107" w:hanging="270"/>
              <w:jc w:val="left"/>
              <w:rPr>
                <w:rFonts w:ascii="宋体" w:hAnsi="宋体" w:cs="宋体" w:eastAsia="宋体" w:hint="default"/>
                <w:sz w:val="18"/>
                <w:szCs w:val="18"/>
              </w:rPr>
            </w:pPr>
            <w:r>
              <w:rPr>
                <w:rFonts w:ascii="宋体" w:hAnsi="宋体" w:cs="宋体" w:eastAsia="宋体" w:hint="default"/>
                <w:sz w:val="18"/>
                <w:szCs w:val="18"/>
              </w:rPr>
              <w:t>对整体生产和业 绩的影响</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4"/>
              <w:jc w:val="left"/>
              <w:rPr>
                <w:rFonts w:ascii="宋体" w:hAnsi="宋体" w:cs="宋体" w:eastAsia="宋体" w:hint="default"/>
                <w:sz w:val="18"/>
                <w:szCs w:val="18"/>
              </w:rPr>
            </w:pPr>
            <w:r>
              <w:rPr>
                <w:rFonts w:ascii="宋体" w:hAnsi="宋体" w:cs="宋体" w:eastAsia="宋体" w:hint="default"/>
                <w:sz w:val="18"/>
                <w:szCs w:val="18"/>
              </w:rPr>
              <w:t>潍坊丰东热处理 有限公司</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2"/>
                <w:sz w:val="18"/>
                <w:szCs w:val="18"/>
              </w:rPr>
              <w:t>“厂中厂”经营模式投资设立的热处理加工服务中心，为山东豪迈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机械科技股份有限公司提供专业热处理配套加工服务。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3" w:right="43"/>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75%</w:t>
            </w:r>
            <w:r>
              <w:rPr>
                <w:rFonts w:ascii="宋体" w:hAnsi="宋体" w:cs="宋体" w:eastAsia="宋体" w:hint="default"/>
                <w:spacing w:val="-10"/>
                <w:sz w:val="18"/>
                <w:szCs w:val="18"/>
              </w:rPr>
              <w:t>，纳</w:t>
            </w:r>
            <w:r>
              <w:rPr>
                <w:rFonts w:ascii="宋体" w:hAnsi="宋体" w:cs="宋体" w:eastAsia="宋体" w:hint="default"/>
                <w:spacing w:val="-23"/>
                <w:sz w:val="18"/>
                <w:szCs w:val="18"/>
              </w:rPr>
              <w:t> </w:t>
            </w:r>
            <w:r>
              <w:rPr>
                <w:rFonts w:ascii="宋体" w:hAnsi="宋体" w:cs="宋体" w:eastAsia="宋体" w:hint="default"/>
                <w:sz w:val="18"/>
                <w:szCs w:val="18"/>
              </w:rPr>
              <w:t>入合并报表范围</w:t>
            </w:r>
          </w:p>
        </w:tc>
      </w:tr>
      <w:tr>
        <w:trPr>
          <w:trHeight w:val="8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24"/>
              <w:jc w:val="left"/>
              <w:rPr>
                <w:rFonts w:ascii="宋体" w:hAnsi="宋体" w:cs="宋体" w:eastAsia="宋体" w:hint="default"/>
                <w:sz w:val="18"/>
                <w:szCs w:val="18"/>
              </w:rPr>
            </w:pPr>
            <w:r>
              <w:rPr>
                <w:rFonts w:ascii="宋体" w:hAnsi="宋体" w:cs="宋体" w:eastAsia="宋体" w:hint="default"/>
                <w:sz w:val="18"/>
                <w:szCs w:val="18"/>
              </w:rPr>
              <w:t>盐城丰东祺耀工 业炉有限公司</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2" w:right="22"/>
              <w:jc w:val="left"/>
              <w:rPr>
                <w:rFonts w:ascii="宋体" w:hAnsi="宋体" w:cs="宋体" w:eastAsia="宋体" w:hint="default"/>
                <w:sz w:val="18"/>
                <w:szCs w:val="18"/>
              </w:rPr>
            </w:pPr>
            <w:r>
              <w:rPr>
                <w:rFonts w:ascii="宋体" w:hAnsi="宋体" w:cs="宋体" w:eastAsia="宋体" w:hint="default"/>
                <w:spacing w:val="-2"/>
                <w:sz w:val="18"/>
                <w:szCs w:val="18"/>
              </w:rPr>
              <w:t>进一步延伸公司的产品线，完善公司设备的应用服务能力，提升公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司的竞争力，通过实施</w:t>
            </w:r>
            <w:r>
              <w:rPr>
                <w:rFonts w:ascii="Times New Roman" w:hAnsi="Times New Roman" w:cs="Times New Roman" w:eastAsia="Times New Roman" w:hint="default"/>
                <w:sz w:val="18"/>
                <w:szCs w:val="18"/>
              </w:rPr>
              <w:t>“</w:t>
            </w:r>
            <w:r>
              <w:rPr>
                <w:rFonts w:ascii="宋体" w:hAnsi="宋体" w:cs="宋体" w:eastAsia="宋体" w:hint="default"/>
                <w:sz w:val="18"/>
                <w:szCs w:val="18"/>
              </w:rPr>
              <w:t>专业化</w:t>
            </w:r>
            <w:r>
              <w:rPr>
                <w:rFonts w:ascii="Times New Roman" w:hAnsi="Times New Roman" w:cs="Times New Roman" w:eastAsia="Times New Roman" w:hint="default"/>
                <w:sz w:val="18"/>
                <w:szCs w:val="18"/>
              </w:rPr>
              <w:t>”</w:t>
            </w:r>
            <w:r>
              <w:rPr>
                <w:rFonts w:ascii="宋体" w:hAnsi="宋体" w:cs="宋体" w:eastAsia="宋体" w:hint="default"/>
                <w:sz w:val="18"/>
                <w:szCs w:val="18"/>
              </w:rPr>
              <w:t>的竞争策略进一步提升公司竞争 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58"/>
              <w:ind w:left="23" w:right="43"/>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60%</w:t>
            </w:r>
            <w:r>
              <w:rPr>
                <w:rFonts w:ascii="宋体" w:hAnsi="宋体" w:cs="宋体" w:eastAsia="宋体" w:hint="default"/>
                <w:spacing w:val="-10"/>
                <w:sz w:val="18"/>
                <w:szCs w:val="18"/>
              </w:rPr>
              <w:t>，纳</w:t>
            </w:r>
            <w:r>
              <w:rPr>
                <w:rFonts w:ascii="宋体" w:hAnsi="宋体" w:cs="宋体" w:eastAsia="宋体" w:hint="default"/>
                <w:spacing w:val="-23"/>
                <w:sz w:val="18"/>
                <w:szCs w:val="18"/>
              </w:rPr>
              <w:t> </w:t>
            </w:r>
            <w:r>
              <w:rPr>
                <w:rFonts w:ascii="宋体" w:hAnsi="宋体" w:cs="宋体" w:eastAsia="宋体" w:hint="default"/>
                <w:sz w:val="18"/>
                <w:szCs w:val="18"/>
              </w:rPr>
              <w:t>入合并报表范围</w:t>
            </w:r>
          </w:p>
        </w:tc>
      </w:tr>
      <w:tr>
        <w:trPr>
          <w:trHeight w:val="8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24"/>
              <w:jc w:val="left"/>
              <w:rPr>
                <w:rFonts w:ascii="宋体" w:hAnsi="宋体" w:cs="宋体" w:eastAsia="宋体" w:hint="default"/>
                <w:sz w:val="18"/>
                <w:szCs w:val="18"/>
              </w:rPr>
            </w:pPr>
            <w:r>
              <w:rPr>
                <w:rFonts w:ascii="宋体" w:hAnsi="宋体" w:cs="宋体" w:eastAsia="宋体" w:hint="default"/>
                <w:sz w:val="18"/>
                <w:szCs w:val="18"/>
              </w:rPr>
              <w:t>广州鑫润丰东热 处理有限公司</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2"/>
                <w:sz w:val="18"/>
                <w:szCs w:val="18"/>
              </w:rPr>
              <w:t>利用先进的热处理技术及成熟的加工管理经验，以“厂中厂”经营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模式为东风汽车有限公司东风日产发动机分公司提供变速箱齿轮 热处理及表面处理配套加工服务。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58"/>
              <w:ind w:left="23" w:right="43"/>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75%</w:t>
            </w:r>
            <w:r>
              <w:rPr>
                <w:rFonts w:ascii="宋体" w:hAnsi="宋体" w:cs="宋体" w:eastAsia="宋体" w:hint="default"/>
                <w:spacing w:val="-10"/>
                <w:sz w:val="18"/>
                <w:szCs w:val="18"/>
              </w:rPr>
              <w:t>，纳</w:t>
            </w:r>
            <w:r>
              <w:rPr>
                <w:rFonts w:ascii="宋体" w:hAnsi="宋体" w:cs="宋体" w:eastAsia="宋体" w:hint="default"/>
                <w:spacing w:val="-23"/>
                <w:sz w:val="18"/>
                <w:szCs w:val="18"/>
              </w:rPr>
              <w:t> </w:t>
            </w:r>
            <w:r>
              <w:rPr>
                <w:rFonts w:ascii="宋体" w:hAnsi="宋体" w:cs="宋体" w:eastAsia="宋体" w:hint="default"/>
                <w:sz w:val="18"/>
                <w:szCs w:val="18"/>
              </w:rPr>
              <w:t>入合并报表范围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3"/>
        <w:rPr>
          <w:rFonts w:ascii="宋体" w:hAnsi="宋体" w:cs="宋体" w:eastAsia="宋体" w:hint="default"/>
          <w:b/>
          <w:bCs/>
          <w:sz w:val="29"/>
          <w:szCs w:val="29"/>
        </w:rPr>
      </w:pPr>
    </w:p>
    <w:p>
      <w:pPr>
        <w:pStyle w:val="BodyText"/>
        <w:spacing w:line="326" w:lineRule="auto"/>
        <w:ind w:left="153" w:right="1050" w:firstLine="360"/>
        <w:jc w:val="both"/>
      </w:pPr>
      <w:r>
        <w:rPr/>
        <w:t>热处理是机械工业的重要组成部分，是现代制造业生产链上不可或缺的极其重要环节，是促进金属材料潜力充分发挥、 提高机械零件内在质量和使用寿命的关键加工工序，是制造业的基础技术。</w:t>
      </w:r>
    </w:p>
    <w:p>
      <w:pPr>
        <w:pStyle w:val="BodyText"/>
        <w:spacing w:line="326" w:lineRule="auto" w:before="81"/>
        <w:ind w:left="153" w:right="1130" w:firstLine="360"/>
        <w:jc w:val="both"/>
      </w:pPr>
      <w:r>
        <w:rPr>
          <w:spacing w:val="-2"/>
        </w:rPr>
        <w:t>热处理装备是涉及多学科技术复合交叉的典型装备制造业，热处理装备已成为我国机械制造业产业提升和转型升级的瓶</w:t>
      </w:r>
      <w:r>
        <w:rPr/>
        <w:t> </w:t>
      </w:r>
      <w:r>
        <w:rPr>
          <w:spacing w:val="-2"/>
        </w:rPr>
        <w:t>颈，目前国防工业和许多国家重大装备关键核心部件的热处理装备仍然主要依赖进口，严重威胁着我国的国防安全和经济安</w:t>
      </w:r>
      <w:r>
        <w:rPr>
          <w:spacing w:val="-63"/>
        </w:rPr>
        <w:t> </w:t>
      </w:r>
      <w:r>
        <w:rPr>
          <w:spacing w:val="-63"/>
        </w:rPr>
      </w:r>
      <w:r>
        <w:rPr/>
        <w:t>全。</w:t>
      </w:r>
    </w:p>
    <w:p>
      <w:pPr>
        <w:pStyle w:val="BodyText"/>
        <w:spacing w:line="326" w:lineRule="auto" w:before="82"/>
        <w:ind w:left="154" w:right="1133" w:firstLine="360"/>
        <w:jc w:val="both"/>
      </w:pPr>
      <w:r>
        <w:rPr>
          <w:spacing w:val="-2"/>
        </w:rPr>
        <w:t>热处理加工是机械装备及其零部件制造过程中一项重要工序，像齿轮、轴承、叶片等重要的机械零件和工模具都是要经</w:t>
      </w:r>
      <w:r>
        <w:rPr/>
        <w:t> </w:t>
      </w:r>
      <w:r>
        <w:rPr>
          <w:spacing w:val="-2"/>
        </w:rPr>
        <w:t>过热处理的，做好热处理加工对于充分发挥金属材料的性能潜力，提高产品的内在质量，节约材料，减少能耗，延长产品的</w:t>
      </w:r>
      <w:r>
        <w:rPr>
          <w:spacing w:val="-66"/>
        </w:rPr>
        <w:t> </w:t>
      </w:r>
      <w:r>
        <w:rPr>
          <w:spacing w:val="-66"/>
        </w:rPr>
      </w:r>
      <w:r>
        <w:rPr/>
        <w:t>使用寿命，提高经济效益都具有十分重要的意义。</w:t>
      </w:r>
    </w:p>
    <w:p>
      <w:pPr>
        <w:pStyle w:val="Heading4"/>
        <w:spacing w:line="240" w:lineRule="auto" w:before="82"/>
        <w:ind w:right="0"/>
        <w:jc w:val="left"/>
        <w:rPr>
          <w:b w:val="0"/>
          <w:bCs w:val="0"/>
        </w:rPr>
      </w:pPr>
      <w:r>
        <w:rPr/>
        <w:t>（一）行业竞争格局和发展趋势</w:t>
      </w:r>
      <w:r>
        <w:rPr>
          <w:b w:val="0"/>
          <w:bCs w:val="0"/>
        </w:rPr>
      </w:r>
    </w:p>
    <w:p>
      <w:pPr>
        <w:pStyle w:val="Heading4"/>
        <w:spacing w:line="240" w:lineRule="auto" w:before="146"/>
        <w:ind w:right="0"/>
        <w:jc w:val="left"/>
        <w:rPr>
          <w:b w:val="0"/>
          <w:bCs w:val="0"/>
        </w:rPr>
      </w:pPr>
      <w:r>
        <w:rPr>
          <w:rFonts w:ascii="Times New Roman" w:hAnsi="Times New Roman" w:cs="Times New Roman" w:eastAsia="Times New Roman" w:hint="default"/>
        </w:rPr>
        <w:t>1</w:t>
      </w:r>
      <w:r>
        <w:rPr/>
        <w:t>、热处理设备</w:t>
      </w:r>
      <w:r>
        <w:rPr>
          <w:b w:val="0"/>
          <w:bCs w:val="0"/>
        </w:rPr>
      </w:r>
    </w:p>
    <w:p>
      <w:pPr>
        <w:pStyle w:val="BodyText"/>
        <w:spacing w:line="369" w:lineRule="auto" w:before="132"/>
        <w:ind w:left="514" w:right="1071"/>
        <w:jc w:val="left"/>
        <w:rPr>
          <w:rFonts w:ascii="Times New Roman" w:hAnsi="Times New Roman" w:cs="Times New Roman" w:eastAsia="Times New Roman" w:hint="default"/>
        </w:rPr>
      </w:pPr>
      <w:r>
        <w:rPr>
          <w:rFonts w:ascii="Times New Roman" w:hAnsi="Times New Roman" w:cs="Times New Roman" w:eastAsia="Times New Roman" w:hint="default"/>
        </w:rPr>
        <w:t>1.1</w:t>
      </w:r>
      <w:r>
        <w:rPr>
          <w:rFonts w:ascii="Times New Roman" w:hAnsi="Times New Roman" w:cs="Times New Roman" w:eastAsia="Times New Roman" w:hint="default"/>
          <w:spacing w:val="44"/>
        </w:rPr>
        <w:t> </w:t>
      </w:r>
      <w:r>
        <w:rPr/>
        <w:t>国内热处理设备制造企业总体状况及竞争格局 据国家统计局和热处理行业协会提供的统计数据分析，全国热处理设备制造行业</w:t>
      </w:r>
      <w:r>
        <w:rPr>
          <w:rFonts w:ascii="Times New Roman" w:hAnsi="Times New Roman" w:cs="Times New Roman" w:eastAsia="Times New Roman" w:hint="default"/>
        </w:rPr>
        <w:t>,</w:t>
      </w:r>
      <w:r>
        <w:rPr/>
        <w:t>约有 </w:t>
      </w:r>
      <w:r>
        <w:rPr>
          <w:rFonts w:ascii="Times New Roman" w:hAnsi="Times New Roman" w:cs="Times New Roman" w:eastAsia="Times New Roman" w:hint="default"/>
        </w:rPr>
        <w:t>1200</w:t>
      </w:r>
      <w:r>
        <w:rPr/>
        <w:t>多家</w:t>
      </w:r>
      <w:r>
        <w:rPr>
          <w:rFonts w:ascii="Times New Roman" w:hAnsi="Times New Roman" w:cs="Times New Roman" w:eastAsia="Times New Roman" w:hint="default"/>
        </w:rPr>
        <w:t>,  </w:t>
      </w:r>
      <w:r>
        <w:rPr/>
        <w:t>从业人员</w:t>
      </w:r>
      <w:r>
        <w:rPr>
          <w:spacing w:val="6"/>
        </w:rPr>
        <w:t> </w:t>
      </w:r>
      <w:r>
        <w:rPr>
          <w:rFonts w:ascii="Times New Roman" w:hAnsi="Times New Roman" w:cs="Times New Roman" w:eastAsia="Times New Roman" w:hint="default"/>
        </w:rPr>
        <w:t>3</w:t>
      </w:r>
      <w:r>
        <w:rPr/>
        <w:t>万人左右</w:t>
      </w:r>
      <w:r>
        <w:rPr>
          <w:rFonts w:ascii="Times New Roman" w:hAnsi="Times New Roman" w:cs="Times New Roman" w:eastAsia="Times New Roman" w:hint="default"/>
        </w:rPr>
        <w:t>,</w:t>
      </w:r>
    </w:p>
    <w:p>
      <w:pPr>
        <w:pStyle w:val="BodyText"/>
        <w:spacing w:line="212" w:lineRule="exact"/>
        <w:ind w:left="154" w:right="0"/>
        <w:jc w:val="both"/>
      </w:pPr>
      <w:r>
        <w:rPr>
          <w:rFonts w:ascii="Times New Roman" w:hAnsi="Times New Roman" w:cs="Times New Roman" w:eastAsia="Times New Roman" w:hint="default"/>
        </w:rPr>
        <w:t>2012</w:t>
      </w:r>
      <w:r>
        <w:rPr/>
        <w:t>年工业总产值</w:t>
      </w:r>
      <w:r>
        <w:rPr>
          <w:rFonts w:ascii="Times New Roman" w:hAnsi="Times New Roman" w:cs="Times New Roman" w:eastAsia="Times New Roman" w:hint="default"/>
        </w:rPr>
        <w:t>66.6</w:t>
      </w:r>
      <w:r>
        <w:rPr/>
        <w:t>亿，规模以上企业（年收入</w:t>
      </w:r>
      <w:r>
        <w:rPr>
          <w:rFonts w:ascii="Times New Roman" w:hAnsi="Times New Roman" w:cs="Times New Roman" w:eastAsia="Times New Roman" w:hint="default"/>
        </w:rPr>
        <w:t>2000</w:t>
      </w:r>
      <w:r>
        <w:rPr/>
        <w:t>万以上）有 </w:t>
      </w:r>
      <w:r>
        <w:rPr>
          <w:rFonts w:ascii="Times New Roman" w:hAnsi="Times New Roman" w:cs="Times New Roman" w:eastAsia="Times New Roman" w:hint="default"/>
        </w:rPr>
        <w:t>112</w:t>
      </w:r>
      <w:r>
        <w:rPr/>
        <w:t>家（不到总企业数的</w:t>
      </w:r>
      <w:r>
        <w:rPr>
          <w:rFonts w:ascii="Times New Roman" w:hAnsi="Times New Roman" w:cs="Times New Roman" w:eastAsia="Times New Roman" w:hint="default"/>
        </w:rPr>
        <w:t>10%</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具有较大规模的设备制</w:t>
      </w:r>
    </w:p>
    <w:p>
      <w:pPr>
        <w:pStyle w:val="BodyText"/>
        <w:spacing w:line="307" w:lineRule="auto" w:before="71"/>
        <w:ind w:left="153" w:right="1109"/>
        <w:jc w:val="both"/>
      </w:pPr>
      <w:r>
        <w:rPr>
          <w:spacing w:val="-1"/>
        </w:rPr>
        <w:t>造企业（年收入</w:t>
      </w:r>
      <w:r>
        <w:rPr>
          <w:rFonts w:ascii="Times New Roman" w:hAnsi="Times New Roman" w:cs="Times New Roman" w:eastAsia="Times New Roman" w:hint="default"/>
          <w:spacing w:val="-1"/>
        </w:rPr>
        <w:t>1</w:t>
      </w:r>
      <w:r>
        <w:rPr>
          <w:spacing w:val="-1"/>
        </w:rPr>
        <w:t>亿元以上）在</w:t>
      </w:r>
      <w:r>
        <w:rPr>
          <w:rFonts w:ascii="Times New Roman" w:hAnsi="Times New Roman" w:cs="Times New Roman" w:eastAsia="Times New Roman" w:hint="default"/>
          <w:spacing w:val="-1"/>
        </w:rPr>
        <w:t>11</w:t>
      </w:r>
      <w:r>
        <w:rPr>
          <w:spacing w:val="-1"/>
        </w:rPr>
        <w:t>家左右（不到总企业数的</w:t>
      </w:r>
      <w:r>
        <w:rPr>
          <w:rFonts w:ascii="Times New Roman" w:hAnsi="Times New Roman" w:cs="Times New Roman" w:eastAsia="Times New Roman" w:hint="default"/>
          <w:spacing w:val="-1"/>
        </w:rPr>
        <w:t>1%</w:t>
      </w:r>
      <w:r>
        <w:rPr>
          <w:spacing w:val="-1"/>
        </w:rPr>
        <w:t>），企业规模集中度很低，其中外商独资和合资企业占据高端</w:t>
      </w:r>
      <w:r>
        <w:rPr/>
        <w:t> 热处理设备市场，约占市场规模的</w:t>
      </w:r>
      <w:r>
        <w:rPr>
          <w:rFonts w:ascii="Times New Roman" w:hAnsi="Times New Roman" w:cs="Times New Roman" w:eastAsia="Times New Roman" w:hint="default"/>
        </w:rPr>
        <w:t>1/3</w:t>
      </w:r>
      <w:r>
        <w:rPr/>
        <w:t>，年收入约</w:t>
      </w:r>
      <w:r>
        <w:rPr>
          <w:rFonts w:ascii="Times New Roman" w:hAnsi="Times New Roman" w:cs="Times New Roman" w:eastAsia="Times New Roman" w:hint="default"/>
        </w:rPr>
        <w:t>20</w:t>
      </w:r>
      <w:r>
        <w:rPr/>
        <w:t>亿左右，科研院所以及国有转制企业、民营规模企业占据中档热处理设 </w:t>
      </w:r>
      <w:r>
        <w:rPr>
          <w:spacing w:val="-2"/>
        </w:rPr>
        <w:t>备市场，估计也有</w:t>
      </w:r>
      <w:r>
        <w:rPr>
          <w:rFonts w:ascii="Times New Roman" w:hAnsi="Times New Roman" w:cs="Times New Roman" w:eastAsia="Times New Roman" w:hint="default"/>
          <w:spacing w:val="-2"/>
        </w:rPr>
        <w:t>20</w:t>
      </w:r>
      <w:r>
        <w:rPr>
          <w:spacing w:val="-2"/>
        </w:rPr>
        <w:t>亿左右市场，其他面广量大的小规模合伙企业占据低端传统热处理炉市场。设备制造主要集中在华东地</w:t>
      </w:r>
      <w:r>
        <w:rPr>
          <w:spacing w:val="-64"/>
        </w:rPr>
        <w:t> </w:t>
      </w:r>
      <w:r>
        <w:rPr>
          <w:spacing w:val="-64"/>
        </w:rPr>
      </w:r>
      <w:r>
        <w:rPr/>
        <w:t>区，约占全国的一半左右市场，其中江苏一省就占全国的 </w:t>
      </w:r>
      <w:r>
        <w:rPr>
          <w:rFonts w:ascii="Times New Roman" w:hAnsi="Times New Roman" w:cs="Times New Roman" w:eastAsia="Times New Roman" w:hint="default"/>
        </w:rPr>
        <w:t>25% </w:t>
      </w:r>
      <w:r>
        <w:rPr/>
        <w:t>左右，其他如北京占有</w:t>
      </w:r>
      <w:r>
        <w:rPr>
          <w:rFonts w:ascii="Times New Roman" w:hAnsi="Times New Roman" w:cs="Times New Roman" w:eastAsia="Times New Roman" w:hint="default"/>
        </w:rPr>
        <w:t>10%</w:t>
      </w:r>
      <w:r>
        <w:rPr/>
        <w:t>左右的市场，另外沈阳、天津、 杭州、武汉等地设备制造商也相对集中</w:t>
      </w:r>
      <w:r>
        <w:rPr>
          <w:rFonts w:ascii="Times New Roman" w:hAnsi="Times New Roman" w:cs="Times New Roman" w:eastAsia="Times New Roman" w:hint="default"/>
        </w:rPr>
        <w:t>,  </w:t>
      </w:r>
      <w:r>
        <w:rPr/>
        <w:t>其中各类可控气氛炉制造企业主要集中在江苏、北京、上海等地</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各类真空炉制造</w:t>
      </w:r>
    </w:p>
    <w:p>
      <w:pPr>
        <w:spacing w:after="0" w:line="307" w:lineRule="auto"/>
        <w:jc w:val="both"/>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21" w:lineRule="auto" w:before="44"/>
        <w:ind w:left="153" w:right="1033"/>
        <w:jc w:val="left"/>
      </w:pPr>
      <w:r>
        <w:rPr/>
        <w:t>企业主要集中在北京、沈阳、江苏等地</w:t>
      </w:r>
      <w:r>
        <w:rPr>
          <w:rFonts w:ascii="Times New Roman" w:hAnsi="Times New Roman" w:cs="Times New Roman" w:eastAsia="Times New Roman" w:hint="default"/>
        </w:rPr>
        <w:t>,</w:t>
      </w:r>
      <w:r>
        <w:rPr/>
        <w:t>感应热处理设备制造企业主要集中在上海、江苏、河北等地</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等离子设备主要集中在 </w:t>
      </w:r>
      <w:r>
        <w:rPr>
          <w:spacing w:val="-2"/>
        </w:rPr>
        <w:t>武汉、北京、杭州等地。目前，外商独资和合资企业的研发主要在国外，最先进的热处理装备仍在国外制造，在国内的投资</w:t>
      </w:r>
      <w:r>
        <w:rPr>
          <w:spacing w:val="-67"/>
        </w:rPr>
        <w:t> </w:t>
      </w:r>
      <w:r>
        <w:rPr>
          <w:spacing w:val="-67"/>
        </w:rPr>
      </w:r>
      <w:r>
        <w:rPr>
          <w:spacing w:val="-2"/>
        </w:rPr>
        <w:t>及合资企业主要负责低一档设备的制造和服务。国内设备制造企业主要以仿制为主，研发投入较少，国内行业关键共性技术</w:t>
      </w:r>
      <w:r>
        <w:rPr>
          <w:spacing w:val="-66"/>
        </w:rPr>
        <w:t> </w:t>
      </w:r>
      <w:r>
        <w:rPr>
          <w:spacing w:val="-66"/>
        </w:rPr>
      </w:r>
      <w:r>
        <w:rPr>
          <w:spacing w:val="-2"/>
        </w:rPr>
        <w:t>研发机构缺位，工程化研发投入不足，产学研合作、成果企业化推广、利益共享体系尚未真正形成。国内一些行业（如航空</w:t>
      </w:r>
      <w:r>
        <w:rPr>
          <w:spacing w:val="-67"/>
        </w:rPr>
        <w:t> </w:t>
      </w:r>
      <w:r>
        <w:rPr>
          <w:spacing w:val="-67"/>
        </w:rPr>
      </w:r>
      <w:r>
        <w:rPr>
          <w:spacing w:val="-2"/>
        </w:rPr>
        <w:t>航天、核电、风电、船舶、精密机床、高铁、汽车等行业）的大量核心精密零部件仍主要依赖进口，很大程度是受热处理工</w:t>
      </w:r>
      <w:r>
        <w:rPr>
          <w:spacing w:val="-67"/>
        </w:rPr>
        <w:t> </w:t>
      </w:r>
      <w:r>
        <w:rPr>
          <w:spacing w:val="-67"/>
        </w:rPr>
      </w:r>
      <w:r>
        <w:rPr>
          <w:spacing w:val="-2"/>
        </w:rPr>
        <w:t>艺及装备的制约，大量热处理装备仍主要依赖进口，并时常遭遇禁售，对国民经济及国家安全构成威胁。根据海关总署提供</w:t>
      </w:r>
      <w:r>
        <w:rPr>
          <w:spacing w:val="-66"/>
        </w:rPr>
        <w:t> </w:t>
      </w:r>
      <w:r>
        <w:rPr>
          <w:spacing w:val="-66"/>
        </w:rPr>
      </w:r>
      <w:r>
        <w:rPr/>
        <w:t>的统计数据，进口各类热处理设备的规模至少在</w:t>
      </w:r>
      <w:r>
        <w:rPr>
          <w:rFonts w:ascii="Times New Roman" w:hAnsi="Times New Roman" w:cs="Times New Roman" w:eastAsia="Times New Roman" w:hint="default"/>
        </w:rPr>
        <w:t>30</w:t>
      </w:r>
      <w:r>
        <w:rPr/>
        <w:t>亿人民币以上，远大于国内生产的高档热处理设备</w:t>
      </w:r>
      <w:r>
        <w:rPr>
          <w:rFonts w:ascii="Times New Roman" w:hAnsi="Times New Roman" w:cs="Times New Roman" w:eastAsia="Times New Roman" w:hint="default"/>
        </w:rPr>
        <w:t>20</w:t>
      </w:r>
      <w:r>
        <w:rPr/>
        <w:t>亿左右的市场规模， 国内高档热处理设备仍主要依赖进口，国内现有热处理设备自给率不足</w:t>
      </w:r>
      <w:r>
        <w:rPr>
          <w:rFonts w:ascii="Times New Roman" w:hAnsi="Times New Roman" w:cs="Times New Roman" w:eastAsia="Times New Roman" w:hint="default"/>
        </w:rPr>
        <w:t>40%</w:t>
      </w:r>
      <w:r>
        <w:rPr/>
        <w:t>。</w:t>
      </w:r>
    </w:p>
    <w:p>
      <w:pPr>
        <w:pStyle w:val="BodyText"/>
        <w:spacing w:line="240" w:lineRule="auto" w:before="64"/>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我国热处理装备产业发展趋势</w:t>
      </w:r>
    </w:p>
    <w:p>
      <w:pPr>
        <w:pStyle w:val="BodyText"/>
        <w:spacing w:line="240" w:lineRule="auto" w:before="133"/>
        <w:ind w:right="0"/>
        <w:jc w:val="left"/>
      </w:pPr>
      <w:r>
        <w:rPr/>
        <w:t>（</w:t>
      </w:r>
      <w:r>
        <w:rPr>
          <w:rFonts w:ascii="Times New Roman" w:hAnsi="Times New Roman" w:cs="Times New Roman" w:eastAsia="Times New Roman" w:hint="default"/>
        </w:rPr>
        <w:t>1</w:t>
      </w:r>
      <w:r>
        <w:rPr/>
        <w:t>）热处理装备企业的竞争逐步从价格竞争向质量可靠性方向转变；</w:t>
      </w:r>
    </w:p>
    <w:p>
      <w:pPr>
        <w:pStyle w:val="BodyText"/>
        <w:spacing w:line="240" w:lineRule="auto" w:before="132"/>
        <w:ind w:right="0"/>
        <w:jc w:val="left"/>
      </w:pPr>
      <w:r>
        <w:rPr/>
        <w:t>（</w:t>
      </w:r>
      <w:r>
        <w:rPr>
          <w:rFonts w:ascii="Times New Roman" w:hAnsi="Times New Roman" w:cs="Times New Roman" w:eastAsia="Times New Roman" w:hint="default"/>
        </w:rPr>
        <w:t>2</w:t>
      </w:r>
      <w:r>
        <w:rPr/>
        <w:t>）装备数字化、网络化、智能化将快速提升；</w:t>
      </w:r>
    </w:p>
    <w:p>
      <w:pPr>
        <w:pStyle w:val="BodyText"/>
        <w:spacing w:line="240" w:lineRule="auto" w:before="132"/>
        <w:ind w:left="514" w:right="0"/>
        <w:jc w:val="left"/>
      </w:pPr>
      <w:r>
        <w:rPr/>
        <w:t>（</w:t>
      </w:r>
      <w:r>
        <w:rPr>
          <w:rFonts w:ascii="Times New Roman" w:hAnsi="Times New Roman" w:cs="Times New Roman" w:eastAsia="Times New Roman" w:hint="default"/>
        </w:rPr>
        <w:t>3</w:t>
      </w:r>
      <w:r>
        <w:rPr/>
        <w:t>）装备安全节能环保水平将不断加强；</w:t>
      </w:r>
    </w:p>
    <w:p>
      <w:pPr>
        <w:pStyle w:val="BodyText"/>
        <w:spacing w:line="240" w:lineRule="auto" w:before="133"/>
        <w:ind w:right="0"/>
        <w:jc w:val="left"/>
      </w:pPr>
      <w:r>
        <w:rPr/>
        <w:t>（</w:t>
      </w:r>
      <w:r>
        <w:rPr>
          <w:rFonts w:ascii="Times New Roman" w:hAnsi="Times New Roman" w:cs="Times New Roman" w:eastAsia="Times New Roman" w:hint="default"/>
        </w:rPr>
        <w:t>4</w:t>
      </w:r>
      <w:r>
        <w:rPr/>
        <w:t>）热处理装备制造企业向现代制造服务业发展转型。</w:t>
      </w:r>
    </w:p>
    <w:p>
      <w:pPr>
        <w:pStyle w:val="BodyText"/>
        <w:spacing w:line="240" w:lineRule="auto" w:before="132"/>
        <w:ind w:left="514" w:right="0"/>
        <w:jc w:val="left"/>
      </w:pPr>
      <w:r>
        <w:rPr>
          <w:rFonts w:ascii="Times New Roman" w:hAnsi="Times New Roman" w:cs="Times New Roman" w:eastAsia="Times New Roman" w:hint="default"/>
        </w:rPr>
        <w:t>1. 3</w:t>
      </w:r>
      <w:r>
        <w:rPr>
          <w:rFonts w:ascii="Times New Roman" w:hAnsi="Times New Roman" w:cs="Times New Roman" w:eastAsia="Times New Roman" w:hint="default"/>
          <w:spacing w:val="43"/>
        </w:rPr>
        <w:t> </w:t>
      </w:r>
      <w:r>
        <w:rPr/>
        <w:t>我国热处理装备产业</w:t>
      </w:r>
      <w:r>
        <w:rPr>
          <w:rFonts w:ascii="Times New Roman" w:hAnsi="Times New Roman" w:cs="Times New Roman" w:eastAsia="Times New Roman" w:hint="default"/>
        </w:rPr>
        <w:t>2025</w:t>
      </w:r>
      <w:r>
        <w:rPr/>
        <w:t>年发展目标</w:t>
      </w:r>
    </w:p>
    <w:p>
      <w:pPr>
        <w:pStyle w:val="BodyText"/>
        <w:spacing w:line="316" w:lineRule="auto" w:before="132"/>
        <w:ind w:left="154" w:right="1041" w:firstLine="360"/>
        <w:jc w:val="both"/>
      </w:pPr>
      <w:r>
        <w:rPr/>
        <w:t>（</w:t>
      </w:r>
      <w:r>
        <w:rPr>
          <w:rFonts w:ascii="Times New Roman" w:hAnsi="Times New Roman" w:cs="Times New Roman" w:eastAsia="Times New Roman" w:hint="default"/>
        </w:rPr>
        <w:t>1</w:t>
      </w:r>
      <w:r>
        <w:rPr/>
        <w:t>）现有主要类型的热处理设备（如可控气氛、真空热处理、感应加热热处理、等离子表面改性和大型非标热处理炉 </w:t>
      </w:r>
      <w:r>
        <w:rPr>
          <w:spacing w:val="-2"/>
        </w:rPr>
        <w:t>等）在设备可靠性、自动化、智能化、生产效率、节能减排等技术指标及制造水平上基本可与国际先进水平同步，国内品牌</w:t>
      </w:r>
      <w:r>
        <w:rPr>
          <w:spacing w:val="-68"/>
        </w:rPr>
        <w:t> </w:t>
      </w:r>
      <w:r>
        <w:rPr>
          <w:spacing w:val="-68"/>
        </w:rPr>
      </w:r>
      <w:r>
        <w:rPr>
          <w:spacing w:val="-3"/>
        </w:rPr>
        <w:t>热处理设备在国内中高端市场占有率可达</w:t>
      </w:r>
      <w:r>
        <w:rPr>
          <w:rFonts w:ascii="Times New Roman" w:hAnsi="Times New Roman" w:cs="Times New Roman" w:eastAsia="Times New Roman" w:hint="default"/>
          <w:spacing w:val="-3"/>
        </w:rPr>
        <w:t>80%</w:t>
      </w:r>
      <w:r>
        <w:rPr>
          <w:spacing w:val="-3"/>
        </w:rPr>
        <w:t>以上，热处理设备进出口贸易可形成顺差，设备大量出口东南亚及独联体国家。</w:t>
      </w:r>
    </w:p>
    <w:p>
      <w:pPr>
        <w:pStyle w:val="BodyText"/>
        <w:spacing w:line="307" w:lineRule="auto" w:before="70"/>
        <w:ind w:left="154" w:right="1130" w:firstLine="360"/>
        <w:jc w:val="both"/>
      </w:pPr>
      <w:r>
        <w:rPr/>
        <w:t>（</w:t>
      </w:r>
      <w:r>
        <w:rPr>
          <w:rFonts w:ascii="Times New Roman" w:hAnsi="Times New Roman" w:cs="Times New Roman" w:eastAsia="Times New Roman" w:hint="default"/>
        </w:rPr>
        <w:t>2</w:t>
      </w:r>
      <w:r>
        <w:rPr/>
        <w:t>）环保少无氧化热处理设备在内部配套热处理加工的规模机械制造企业中比例估计将达到</w:t>
      </w:r>
      <w:r>
        <w:rPr>
          <w:rFonts w:ascii="Times New Roman" w:hAnsi="Times New Roman" w:cs="Times New Roman" w:eastAsia="Times New Roman" w:hint="default"/>
        </w:rPr>
        <w:t>70%</w:t>
      </w:r>
      <w:r>
        <w:rPr/>
        <w:t>，在专业热处理加工 </w:t>
      </w:r>
      <w:r>
        <w:rPr>
          <w:spacing w:val="-1"/>
        </w:rPr>
        <w:t>企业中预计将达到</w:t>
      </w:r>
      <w:r>
        <w:rPr>
          <w:rFonts w:ascii="Times New Roman" w:hAnsi="Times New Roman" w:cs="Times New Roman" w:eastAsia="Times New Roman" w:hint="default"/>
          <w:spacing w:val="-1"/>
        </w:rPr>
        <w:t>90%</w:t>
      </w:r>
      <w:r>
        <w:rPr>
          <w:spacing w:val="-1"/>
        </w:rPr>
        <w:t>，热处理能耗指标平均降低</w:t>
      </w:r>
      <w:r>
        <w:rPr>
          <w:rFonts w:ascii="Times New Roman" w:hAnsi="Times New Roman" w:cs="Times New Roman" w:eastAsia="Times New Roman" w:hint="default"/>
          <w:spacing w:val="-1"/>
        </w:rPr>
        <w:t>60%</w:t>
      </w:r>
      <w:r>
        <w:rPr>
          <w:spacing w:val="-1"/>
        </w:rPr>
        <w:t>，热处理生产对环境的影响基本为零，质量保证体系和企业信息化管</w:t>
      </w:r>
      <w:r>
        <w:rPr>
          <w:spacing w:val="-58"/>
        </w:rPr>
        <w:t> </w:t>
      </w:r>
      <w:r>
        <w:rPr>
          <w:spacing w:val="-58"/>
        </w:rPr>
      </w:r>
      <w:r>
        <w:rPr>
          <w:spacing w:val="-1"/>
        </w:rPr>
        <w:t>理水平与国际先进水平同步，专业热处理加工量占总加工量的比重预计将达到</w:t>
      </w:r>
      <w:r>
        <w:rPr>
          <w:rFonts w:ascii="Times New Roman" w:hAnsi="Times New Roman" w:cs="Times New Roman" w:eastAsia="Times New Roman" w:hint="default"/>
          <w:spacing w:val="-1"/>
        </w:rPr>
        <w:t>30%</w:t>
      </w:r>
      <w:r>
        <w:rPr>
          <w:spacing w:val="-1"/>
        </w:rPr>
        <w:t>，并形成几家具有国际竞争力的连锁加工</w:t>
      </w:r>
      <w:r>
        <w:rPr/>
        <w:t> 跨国企业集团，劳动生产率与国际先进水平接近。</w:t>
      </w:r>
    </w:p>
    <w:p>
      <w:pPr>
        <w:pStyle w:val="BodyText"/>
        <w:spacing w:line="309" w:lineRule="auto" w:before="95"/>
        <w:ind w:left="153" w:right="1123" w:firstLine="360"/>
        <w:jc w:val="left"/>
      </w:pPr>
      <w:r>
        <w:rPr/>
        <w:t>（</w:t>
      </w:r>
      <w:r>
        <w:rPr>
          <w:rFonts w:ascii="Times New Roman" w:hAnsi="Times New Roman" w:cs="Times New Roman" w:eastAsia="Times New Roman" w:hint="default"/>
        </w:rPr>
        <w:t>3</w:t>
      </w:r>
      <w:r>
        <w:rPr/>
        <w:t>）热处理配件及辅助材料质量、可靠性、使用寿命基本上可与国际先进水平同步，国产品牌的配件及辅助材料在国 内中高档热处理设备上的配套率预计将达到</w:t>
      </w:r>
      <w:r>
        <w:rPr>
          <w:rFonts w:ascii="Times New Roman" w:hAnsi="Times New Roman" w:cs="Times New Roman" w:eastAsia="Times New Roman" w:hint="default"/>
        </w:rPr>
        <w:t>80%</w:t>
      </w:r>
      <w:r>
        <w:rPr/>
        <w:t>以上。</w:t>
      </w:r>
    </w:p>
    <w:p>
      <w:pPr>
        <w:pStyle w:val="Heading4"/>
        <w:spacing w:line="240" w:lineRule="auto" w:before="74"/>
        <w:ind w:right="0"/>
        <w:jc w:val="left"/>
        <w:rPr>
          <w:b w:val="0"/>
          <w:bCs w:val="0"/>
        </w:rPr>
      </w:pPr>
      <w:r>
        <w:rPr>
          <w:rFonts w:ascii="Times New Roman" w:hAnsi="Times New Roman" w:cs="Times New Roman" w:eastAsia="Times New Roman" w:hint="default"/>
        </w:rPr>
        <w:t>2</w:t>
      </w:r>
      <w:r>
        <w:rPr/>
        <w:t>、热处理加工</w:t>
      </w:r>
      <w:r>
        <w:rPr>
          <w:b w:val="0"/>
          <w:bCs w:val="0"/>
        </w:rPr>
      </w:r>
    </w:p>
    <w:p>
      <w:pPr>
        <w:pStyle w:val="BodyText"/>
        <w:spacing w:line="367" w:lineRule="auto" w:before="133"/>
        <w:ind w:left="514" w:right="0"/>
        <w:jc w:val="left"/>
      </w:pPr>
      <w:r>
        <w:rPr>
          <w:rFonts w:ascii="Times New Roman" w:hAnsi="Times New Roman" w:cs="Times New Roman" w:eastAsia="Times New Roman" w:hint="default"/>
        </w:rPr>
        <w:t>2.1</w:t>
      </w:r>
      <w:r>
        <w:rPr/>
        <w:t>热处理加工产业总体规模、地域分布、业务特点 </w:t>
      </w:r>
      <w:r>
        <w:rPr>
          <w:spacing w:val="-2"/>
        </w:rPr>
        <w:t>根据国家统计局及中国热处理行业协会统计分析数据，全行业共有热处理企业（含主机厂及零部件厂的热处理分厂、车</w:t>
      </w:r>
    </w:p>
    <w:p>
      <w:pPr>
        <w:pStyle w:val="BodyText"/>
        <w:spacing w:line="237" w:lineRule="exact"/>
        <w:ind w:left="153" w:right="0"/>
        <w:jc w:val="left"/>
      </w:pPr>
      <w:r>
        <w:rPr/>
        <w:t>间，专业化热处理加工厂、热处理设备制造厂、热处理工艺材料生产等）约</w:t>
      </w:r>
      <w:r>
        <w:rPr>
          <w:rFonts w:ascii="Times New Roman" w:hAnsi="Times New Roman" w:cs="Times New Roman" w:eastAsia="Times New Roman" w:hint="default"/>
        </w:rPr>
        <w:t>16000</w:t>
      </w:r>
      <w:r>
        <w:rPr/>
        <w:t>家，年销售总收入约</w:t>
      </w:r>
      <w:r>
        <w:rPr>
          <w:rFonts w:ascii="Times New Roman" w:hAnsi="Times New Roman" w:cs="Times New Roman" w:eastAsia="Times New Roman" w:hint="default"/>
        </w:rPr>
        <w:t>996</w:t>
      </w:r>
      <w:r>
        <w:rPr/>
        <w:t>亿，平均年产值约</w:t>
      </w:r>
    </w:p>
    <w:p>
      <w:pPr>
        <w:pStyle w:val="BodyText"/>
        <w:spacing w:line="307" w:lineRule="auto" w:before="71"/>
        <w:ind w:left="153" w:right="0"/>
        <w:jc w:val="left"/>
      </w:pPr>
      <w:r>
        <w:rPr>
          <w:rFonts w:ascii="Times New Roman" w:hAnsi="Times New Roman" w:cs="Times New Roman" w:eastAsia="Times New Roman" w:hint="default"/>
          <w:spacing w:val="-2"/>
        </w:rPr>
        <w:t>623</w:t>
      </w:r>
      <w:r>
        <w:rPr>
          <w:spacing w:val="-2"/>
        </w:rPr>
        <w:t>万，从业人员约</w:t>
      </w:r>
      <w:r>
        <w:rPr>
          <w:rFonts w:ascii="Times New Roman" w:hAnsi="Times New Roman" w:cs="Times New Roman" w:eastAsia="Times New Roman" w:hint="default"/>
          <w:spacing w:val="-2"/>
        </w:rPr>
        <w:t>40</w:t>
      </w:r>
      <w:r>
        <w:rPr>
          <w:spacing w:val="-2"/>
        </w:rPr>
        <w:t>多万，人均年产值约</w:t>
      </w:r>
      <w:r>
        <w:rPr>
          <w:rFonts w:ascii="Times New Roman" w:hAnsi="Times New Roman" w:cs="Times New Roman" w:eastAsia="Times New Roman" w:hint="default"/>
          <w:spacing w:val="-2"/>
        </w:rPr>
        <w:t>25</w:t>
      </w:r>
      <w:r>
        <w:rPr>
          <w:spacing w:val="-2"/>
        </w:rPr>
        <w:t>万。列入统计（年收入</w:t>
      </w:r>
      <w:r>
        <w:rPr>
          <w:rFonts w:ascii="Times New Roman" w:hAnsi="Times New Roman" w:cs="Times New Roman" w:eastAsia="Times New Roman" w:hint="default"/>
          <w:spacing w:val="-2"/>
        </w:rPr>
        <w:t>500</w:t>
      </w:r>
      <w:r>
        <w:rPr>
          <w:spacing w:val="-2"/>
        </w:rPr>
        <w:t>万以上）的专业化热处理加工企业近</w:t>
      </w:r>
      <w:r>
        <w:rPr>
          <w:rFonts w:ascii="Times New Roman" w:hAnsi="Times New Roman" w:cs="Times New Roman" w:eastAsia="Times New Roman" w:hint="default"/>
          <w:spacing w:val="-2"/>
        </w:rPr>
        <w:t>3500</w:t>
      </w:r>
      <w:r>
        <w:rPr>
          <w:spacing w:val="-2"/>
        </w:rPr>
        <w:t>家，占热处</w:t>
      </w:r>
      <w:r>
        <w:rPr>
          <w:spacing w:val="-55"/>
        </w:rPr>
        <w:t> </w:t>
      </w:r>
      <w:r>
        <w:rPr>
          <w:spacing w:val="-55"/>
        </w:rPr>
      </w:r>
      <w:r>
        <w:rPr/>
        <w:t>理企业总数的</w:t>
      </w:r>
      <w:r>
        <w:rPr>
          <w:rFonts w:ascii="Times New Roman" w:hAnsi="Times New Roman" w:cs="Times New Roman" w:eastAsia="Times New Roman" w:hint="default"/>
        </w:rPr>
        <w:t>22%</w:t>
      </w:r>
      <w:r>
        <w:rPr/>
        <w:t>，年加工收入超</w:t>
      </w:r>
      <w:r>
        <w:rPr>
          <w:rFonts w:ascii="Times New Roman" w:hAnsi="Times New Roman" w:cs="Times New Roman" w:eastAsia="Times New Roman" w:hint="default"/>
        </w:rPr>
        <w:t>2000</w:t>
      </w:r>
      <w:r>
        <w:rPr/>
        <w:t>万的规模以上企业大约有</w:t>
      </w:r>
      <w:r>
        <w:rPr>
          <w:rFonts w:ascii="Times New Roman" w:hAnsi="Times New Roman" w:cs="Times New Roman" w:eastAsia="Times New Roman" w:hint="default"/>
        </w:rPr>
        <w:t>250</w:t>
      </w:r>
      <w:r>
        <w:rPr/>
        <w:t>家左右，占热处理企业总数不到</w:t>
      </w:r>
      <w:r>
        <w:rPr>
          <w:rFonts w:ascii="Times New Roman" w:hAnsi="Times New Roman" w:cs="Times New Roman" w:eastAsia="Times New Roman" w:hint="default"/>
        </w:rPr>
        <w:t>1.6%</w:t>
      </w:r>
      <w:r>
        <w:rPr/>
        <w:t>。热处理加工产值 </w:t>
      </w:r>
      <w:r>
        <w:rPr>
          <w:spacing w:val="-5"/>
        </w:rPr>
        <w:t>主要集中在华东、华南地区，华东地区加工产值占全国的</w:t>
      </w:r>
      <w:r>
        <w:rPr>
          <w:rFonts w:ascii="Times New Roman" w:hAnsi="Times New Roman" w:cs="Times New Roman" w:eastAsia="Times New Roman" w:hint="default"/>
          <w:spacing w:val="-5"/>
        </w:rPr>
        <w:t>55</w:t>
      </w:r>
      <w:r>
        <w:rPr>
          <w:spacing w:val="-5"/>
        </w:rPr>
        <w:t>。</w:t>
      </w:r>
      <w:r>
        <w:rPr>
          <w:rFonts w:ascii="Times New Roman" w:hAnsi="Times New Roman" w:cs="Times New Roman" w:eastAsia="Times New Roman" w:hint="default"/>
          <w:spacing w:val="-5"/>
        </w:rPr>
        <w:t>4%</w:t>
      </w:r>
      <w:r>
        <w:rPr>
          <w:spacing w:val="-5"/>
        </w:rPr>
        <w:t>，华南地区占全国的</w:t>
      </w:r>
      <w:r>
        <w:rPr>
          <w:rFonts w:ascii="Times New Roman" w:hAnsi="Times New Roman" w:cs="Times New Roman" w:eastAsia="Times New Roman" w:hint="default"/>
          <w:spacing w:val="-5"/>
        </w:rPr>
        <w:t>18.7%</w:t>
      </w:r>
      <w:r>
        <w:rPr>
          <w:spacing w:val="-5"/>
        </w:rPr>
        <w:t>，二地区加工产值占全国的</w:t>
      </w:r>
      <w:r>
        <w:rPr>
          <w:rFonts w:ascii="Times New Roman" w:hAnsi="Times New Roman" w:cs="Times New Roman" w:eastAsia="Times New Roman" w:hint="default"/>
          <w:spacing w:val="-5"/>
        </w:rPr>
        <w:t>74.1%</w:t>
      </w:r>
      <w:r>
        <w:rPr>
          <w:spacing w:val="-5"/>
        </w:rPr>
        <w:t>。</w:t>
      </w:r>
      <w:r>
        <w:rPr>
          <w:spacing w:val="-45"/>
        </w:rPr>
        <w:t> </w:t>
      </w:r>
      <w:r>
        <w:rPr/>
        <w:t>热处理加工量最大的省份是江苏和广东，二省占全国的比重达到</w:t>
      </w:r>
      <w:r>
        <w:rPr>
          <w:rFonts w:ascii="Times New Roman" w:hAnsi="Times New Roman" w:cs="Times New Roman" w:eastAsia="Times New Roman" w:hint="default"/>
        </w:rPr>
        <w:t>37.9%</w:t>
      </w:r>
      <w:r>
        <w:rPr/>
        <w:t>，近年来浙江、重庆、山东等地发展较快。加工企业 中，国内私营投资企业占到一半左右，外商及港澳台投资企业接近</w:t>
      </w:r>
      <w:r>
        <w:rPr>
          <w:rFonts w:ascii="Times New Roman" w:hAnsi="Times New Roman" w:cs="Times New Roman" w:eastAsia="Times New Roman" w:hint="default"/>
        </w:rPr>
        <w:t>25%</w:t>
      </w:r>
      <w:r>
        <w:rPr/>
        <w:t>，其他为国有及集体投资企业。</w:t>
      </w:r>
    </w:p>
    <w:p>
      <w:pPr>
        <w:pStyle w:val="BodyText"/>
        <w:spacing w:line="319" w:lineRule="auto" w:before="76"/>
        <w:ind w:left="153" w:right="0" w:firstLine="360"/>
        <w:jc w:val="left"/>
      </w:pPr>
      <w:r>
        <w:rPr/>
        <w:t>目前国内的专业热处理加工行业尚处于市场竞争的初级阶段</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各加工企业主要在一定市场半径内开展业务</w:t>
      </w:r>
      <w:r>
        <w:rPr>
          <w:rFonts w:ascii="Times New Roman" w:hAnsi="Times New Roman" w:cs="Times New Roman" w:eastAsia="Times New Roman" w:hint="default"/>
        </w:rPr>
        <w:t>,</w:t>
      </w:r>
      <w:r>
        <w:rPr/>
        <w:t>竞争对手主 </w:t>
      </w:r>
      <w:r>
        <w:rPr>
          <w:spacing w:val="-2"/>
        </w:rPr>
        <w:t>要是本区域内的同行企业，部分企业开始连锁热处理加工的尝试，几家规模热处理设备骨干企业利用其在设备、工艺技术及</w:t>
      </w:r>
      <w:r>
        <w:rPr>
          <w:spacing w:val="-66"/>
        </w:rPr>
        <w:t> </w:t>
      </w:r>
      <w:r>
        <w:rPr>
          <w:spacing w:val="-66"/>
        </w:rPr>
      </w:r>
      <w:r>
        <w:rPr>
          <w:spacing w:val="-2"/>
        </w:rPr>
        <w:t>管理方面的优势开始进入加工服务市场，并已逐步树立起了自己的品牌，为国内各地区的热处理专业化树立了标杆，从而引</w:t>
      </w:r>
      <w:r>
        <w:rPr>
          <w:spacing w:val="-66"/>
        </w:rPr>
        <w:t> </w:t>
      </w:r>
      <w:r>
        <w:rPr>
          <w:spacing w:val="-66"/>
        </w:rPr>
      </w:r>
      <w:r>
        <w:rPr/>
        <w:t>导了热处理加工产业的升级，并带动热处理产业与机械行业一同进入到新的发展阶段。</w:t>
      </w:r>
    </w:p>
    <w:p>
      <w:pPr>
        <w:pStyle w:val="BodyText"/>
        <w:spacing w:line="326" w:lineRule="auto" w:before="88"/>
        <w:ind w:left="153" w:right="0" w:firstLine="360"/>
        <w:jc w:val="left"/>
      </w:pPr>
      <w:r>
        <w:rPr>
          <w:spacing w:val="-2"/>
        </w:rPr>
        <w:t>热处理加工企业的业务特点与地区的机械产业结构有着密切的关联。如在上海，汽车工业发达，大量的汽车配件生产企</w:t>
      </w:r>
      <w:r>
        <w:rPr/>
        <w:t> </w:t>
      </w:r>
      <w:r>
        <w:rPr>
          <w:spacing w:val="-4"/>
        </w:rPr>
        <w:t>业，就会产生为汽车部件热处理服务的企业；在广东，由于家电业的发展，就会产生为模具服务的热处理加工企业；在浙江，</w:t>
      </w:r>
      <w:r>
        <w:rPr>
          <w:spacing w:val="-44"/>
        </w:rPr>
        <w:t> </w:t>
      </w:r>
      <w:r>
        <w:rPr>
          <w:spacing w:val="-44"/>
        </w:rPr>
      </w:r>
      <w:r>
        <w:rPr>
          <w:spacing w:val="-2"/>
        </w:rPr>
        <w:t>大量的五金、工具、机械基础件制造企业，大多为中小企业，就会产生各类热处理加工企业，而且分工更细；在东三省，以</w:t>
      </w:r>
      <w:r>
        <w:rPr>
          <w:spacing w:val="-71"/>
        </w:rPr>
        <w:t> </w:t>
      </w:r>
      <w:r>
        <w:rPr>
          <w:spacing w:val="-71"/>
        </w:rPr>
      </w:r>
      <w:r>
        <w:rPr>
          <w:spacing w:val="-2"/>
        </w:rPr>
        <w:t>重型机械为主，就会产生为重型机械服务的热处理加工企业；在外资企业密集的沿海城市，产生为外资企业服务为主的热处</w:t>
      </w:r>
    </w:p>
    <w:p>
      <w:pPr>
        <w:spacing w:after="0" w:line="326"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240" w:lineRule="auto" w:before="44"/>
        <w:ind w:left="154" w:right="0"/>
        <w:jc w:val="left"/>
      </w:pPr>
      <w:r>
        <w:rPr/>
        <w:t>理加工企业；在大型企业集聚的上海、重庆、西安、长春、沈阳等地，就会产生为其外包服务的热处理加工企业。</w:t>
      </w:r>
    </w:p>
    <w:p>
      <w:pPr>
        <w:pStyle w:val="BodyText"/>
        <w:spacing w:line="240" w:lineRule="auto" w:before="147"/>
        <w:ind w:right="0"/>
        <w:jc w:val="left"/>
      </w:pPr>
      <w:r>
        <w:rPr>
          <w:rFonts w:ascii="Times New Roman" w:hAnsi="Times New Roman" w:cs="Times New Roman" w:eastAsia="Times New Roman" w:hint="default"/>
        </w:rPr>
        <w:t>2.2</w:t>
      </w:r>
      <w:r>
        <w:rPr/>
        <w:t>我国热处理加工产业的发展趋势</w:t>
      </w:r>
    </w:p>
    <w:p>
      <w:pPr>
        <w:pStyle w:val="BodyText"/>
        <w:spacing w:line="240" w:lineRule="auto" w:before="132"/>
        <w:ind w:right="0"/>
        <w:jc w:val="left"/>
      </w:pPr>
      <w:r>
        <w:rPr/>
        <w:t>（</w:t>
      </w:r>
      <w:r>
        <w:rPr>
          <w:rFonts w:ascii="Times New Roman" w:hAnsi="Times New Roman" w:cs="Times New Roman" w:eastAsia="Times New Roman" w:hint="default"/>
        </w:rPr>
        <w:t>1</w:t>
      </w:r>
      <w:r>
        <w:rPr/>
        <w:t>）整机厂内设的热处理配套加工比重将逐步减少，零部件厂的热处理配套能力及水平将逐步提高；</w:t>
      </w:r>
    </w:p>
    <w:p>
      <w:pPr>
        <w:pStyle w:val="BodyText"/>
        <w:spacing w:line="240" w:lineRule="auto" w:before="133"/>
        <w:ind w:right="0"/>
        <w:jc w:val="left"/>
      </w:pPr>
      <w:r>
        <w:rPr/>
        <w:t>（</w:t>
      </w:r>
      <w:r>
        <w:rPr>
          <w:rFonts w:ascii="Times New Roman" w:hAnsi="Times New Roman" w:cs="Times New Roman" w:eastAsia="Times New Roman" w:hint="default"/>
        </w:rPr>
        <w:t>2</w:t>
      </w:r>
      <w:r>
        <w:rPr/>
        <w:t>）专业化加工将出现规模化和连锁化发展趋势，与上下游产业相互合作的市场环境会不断加强；</w:t>
      </w:r>
    </w:p>
    <w:p>
      <w:pPr>
        <w:pStyle w:val="BodyText"/>
        <w:spacing w:line="240" w:lineRule="auto" w:before="133"/>
        <w:ind w:right="0"/>
        <w:jc w:val="left"/>
      </w:pPr>
      <w:r>
        <w:rPr/>
        <w:t>（</w:t>
      </w:r>
      <w:r>
        <w:rPr>
          <w:rFonts w:ascii="Times New Roman" w:hAnsi="Times New Roman" w:cs="Times New Roman" w:eastAsia="Times New Roman" w:hint="default"/>
        </w:rPr>
        <w:t>3</w:t>
      </w:r>
      <w:r>
        <w:rPr/>
        <w:t>）加工使用装备的数字化、网络化、智能化水平会逐步提升，生产效率和环保节能水平会快速提高。</w:t>
      </w:r>
    </w:p>
    <w:p>
      <w:pPr>
        <w:pStyle w:val="BodyText"/>
        <w:spacing w:line="240" w:lineRule="auto" w:before="132"/>
        <w:ind w:right="0"/>
        <w:jc w:val="left"/>
      </w:pPr>
      <w:r>
        <w:rPr>
          <w:rFonts w:ascii="Times New Roman" w:hAnsi="Times New Roman" w:cs="Times New Roman" w:eastAsia="Times New Roman" w:hint="default"/>
        </w:rPr>
        <w:t>2.3</w:t>
      </w:r>
      <w:r>
        <w:rPr/>
        <w:t>中国热处理加工产业化总体发展目标：</w:t>
      </w:r>
      <w:r>
        <w:rPr>
          <w:rFonts w:ascii="Times New Roman" w:hAnsi="Times New Roman" w:cs="Times New Roman" w:eastAsia="Times New Roman" w:hint="default"/>
        </w:rPr>
        <w:t>2020</w:t>
      </w:r>
      <w:r>
        <w:rPr/>
        <w:t>年我国热处理加工产业化水平与世界先进水平同步。</w:t>
      </w:r>
    </w:p>
    <w:p>
      <w:pPr>
        <w:pStyle w:val="BodyText"/>
        <w:spacing w:line="240" w:lineRule="auto" w:before="132"/>
        <w:ind w:left="514" w:right="0"/>
        <w:jc w:val="left"/>
      </w:pPr>
      <w:r>
        <w:rPr/>
        <w:t>（</w:t>
      </w:r>
      <w:r>
        <w:rPr>
          <w:rFonts w:ascii="Times New Roman" w:hAnsi="Times New Roman" w:cs="Times New Roman" w:eastAsia="Times New Roman" w:hint="default"/>
        </w:rPr>
        <w:t>1</w:t>
      </w:r>
      <w:r>
        <w:rPr/>
        <w:t>）到</w:t>
      </w:r>
      <w:r>
        <w:rPr>
          <w:rFonts w:ascii="Times New Roman" w:hAnsi="Times New Roman" w:cs="Times New Roman" w:eastAsia="Times New Roman" w:hint="default"/>
        </w:rPr>
        <w:t>2020</w:t>
      </w:r>
      <w:r>
        <w:rPr/>
        <w:t>年时，热处理加工产业以产品质量著称，产品质量按国际标准零波动，同时还能获得丰厚的利润。</w:t>
      </w:r>
    </w:p>
    <w:p>
      <w:pPr>
        <w:pStyle w:val="BodyText"/>
        <w:spacing w:line="307" w:lineRule="auto" w:before="133"/>
        <w:ind w:left="154" w:right="1119" w:firstLine="360"/>
        <w:jc w:val="left"/>
      </w:pPr>
      <w:r>
        <w:rPr>
          <w:spacing w:val="-1"/>
        </w:rPr>
        <w:t>（</w:t>
      </w:r>
      <w:r>
        <w:rPr>
          <w:rFonts w:ascii="Times New Roman" w:hAnsi="Times New Roman" w:cs="Times New Roman" w:eastAsia="Times New Roman" w:hint="default"/>
          <w:spacing w:val="-1"/>
        </w:rPr>
        <w:t>2</w:t>
      </w:r>
      <w:r>
        <w:rPr>
          <w:spacing w:val="-1"/>
        </w:rPr>
        <w:t>）实现热处理加工产业能源消耗减少</w:t>
      </w:r>
      <w:r>
        <w:rPr>
          <w:rFonts w:ascii="Times New Roman" w:hAnsi="Times New Roman" w:cs="Times New Roman" w:eastAsia="Times New Roman" w:hint="default"/>
          <w:spacing w:val="-1"/>
        </w:rPr>
        <w:t>80%</w:t>
      </w:r>
      <w:r>
        <w:rPr>
          <w:spacing w:val="-1"/>
        </w:rPr>
        <w:t>，工艺周期缩短</w:t>
      </w:r>
      <w:r>
        <w:rPr>
          <w:rFonts w:ascii="Times New Roman" w:hAnsi="Times New Roman" w:cs="Times New Roman" w:eastAsia="Times New Roman" w:hint="default"/>
          <w:spacing w:val="-1"/>
        </w:rPr>
        <w:t>50%</w:t>
      </w:r>
      <w:r>
        <w:rPr>
          <w:spacing w:val="-1"/>
        </w:rPr>
        <w:t>，生产成本降低</w:t>
      </w:r>
      <w:r>
        <w:rPr>
          <w:rFonts w:ascii="Times New Roman" w:hAnsi="Times New Roman" w:cs="Times New Roman" w:eastAsia="Times New Roman" w:hint="default"/>
          <w:spacing w:val="-1"/>
        </w:rPr>
        <w:t>75%</w:t>
      </w:r>
      <w:r>
        <w:rPr>
          <w:spacing w:val="-1"/>
        </w:rPr>
        <w:t>，企业利润率保持</w:t>
      </w:r>
      <w:r>
        <w:rPr>
          <w:rFonts w:ascii="Times New Roman" w:hAnsi="Times New Roman" w:cs="Times New Roman" w:eastAsia="Times New Roman" w:hint="default"/>
          <w:spacing w:val="-1"/>
        </w:rPr>
        <w:t>25%</w:t>
      </w:r>
      <w:r>
        <w:rPr>
          <w:spacing w:val="-1"/>
        </w:rPr>
        <w:t>以上；实现</w:t>
      </w:r>
      <w:r>
        <w:rPr/>
        <w:t> 热处理件零畸变、零质量分散、热处理生产零排放、热处理加工企业</w:t>
      </w:r>
      <w:r>
        <w:rPr>
          <w:rFonts w:ascii="Times New Roman" w:hAnsi="Times New Roman" w:cs="Times New Roman" w:eastAsia="Times New Roman" w:hint="default"/>
        </w:rPr>
        <w:t>(</w:t>
      </w:r>
      <w:r>
        <w:rPr/>
        <w:t>专业厂</w:t>
      </w:r>
      <w:r>
        <w:rPr>
          <w:rFonts w:ascii="Times New Roman" w:hAnsi="Times New Roman" w:cs="Times New Roman" w:eastAsia="Times New Roman" w:hint="default"/>
        </w:rPr>
        <w:t>)</w:t>
      </w:r>
      <w:r>
        <w:rPr/>
        <w:t>和用户保持</w:t>
      </w:r>
      <w:r>
        <w:rPr>
          <w:rFonts w:ascii="Times New Roman" w:hAnsi="Times New Roman" w:cs="Times New Roman" w:eastAsia="Times New Roman" w:hint="default"/>
        </w:rPr>
        <w:t>10</w:t>
      </w:r>
      <w:r>
        <w:rPr/>
        <w:t>年以上协作关系。</w:t>
      </w:r>
    </w:p>
    <w:p>
      <w:pPr>
        <w:pStyle w:val="BodyText"/>
        <w:spacing w:line="307" w:lineRule="auto" w:before="78"/>
        <w:ind w:left="154" w:right="1122" w:firstLine="360"/>
        <w:jc w:val="left"/>
      </w:pPr>
      <w:r>
        <w:rPr/>
        <w:t>（</w:t>
      </w:r>
      <w:r>
        <w:rPr>
          <w:rFonts w:ascii="Times New Roman" w:hAnsi="Times New Roman" w:cs="Times New Roman" w:eastAsia="Times New Roman" w:hint="default"/>
        </w:rPr>
        <w:t>3</w:t>
      </w:r>
      <w:r>
        <w:rPr/>
        <w:t>）热处理加工成为制造业的核心组成部分，与客户、供应商、高校和政府形成长期合作关系。除金属材料外，还可 处理复合材料、金属间化合物及所有其他先进材料。</w:t>
      </w:r>
    </w:p>
    <w:p>
      <w:pPr>
        <w:pStyle w:val="BodyText"/>
        <w:spacing w:line="240" w:lineRule="auto" w:before="97"/>
        <w:ind w:left="514" w:right="0"/>
        <w:jc w:val="left"/>
      </w:pPr>
      <w:r>
        <w:rPr/>
        <w:t>（</w:t>
      </w:r>
      <w:r>
        <w:rPr>
          <w:rFonts w:ascii="Times New Roman" w:hAnsi="Times New Roman" w:cs="Times New Roman" w:eastAsia="Times New Roman" w:hint="default"/>
        </w:rPr>
        <w:t>4</w:t>
      </w:r>
      <w:r>
        <w:rPr/>
        <w:t>）工作环境整洁、舒适、安全，工人训练有素、掌握先进技术。</w:t>
      </w:r>
    </w:p>
    <w:p>
      <w:pPr>
        <w:pStyle w:val="BodyText"/>
        <w:spacing w:line="367" w:lineRule="auto" w:before="132"/>
        <w:ind w:right="1953"/>
        <w:jc w:val="left"/>
      </w:pPr>
      <w:r>
        <w:rPr/>
        <w:t>（</w:t>
      </w:r>
      <w:r>
        <w:rPr>
          <w:rFonts w:ascii="Times New Roman" w:hAnsi="Times New Roman" w:cs="Times New Roman" w:eastAsia="Times New Roman" w:hint="default"/>
        </w:rPr>
        <w:t>5</w:t>
      </w:r>
      <w:r>
        <w:rPr/>
        <w:t>）建立材料、热处理零件、安全生产和环境等方面的全球化标准体系。 以上资料及数据来源于：中国工程院重点咨询研究项目</w:t>
      </w:r>
      <w:r>
        <w:rPr>
          <w:rFonts w:ascii="Times New Roman" w:hAnsi="Times New Roman" w:cs="Times New Roman" w:eastAsia="Times New Roman" w:hint="default"/>
        </w:rPr>
        <w:t>“</w:t>
      </w:r>
      <w:r>
        <w:rPr/>
        <w:t>中国热处理及表面改性技术路线图</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p>
    <w:p>
      <w:pPr>
        <w:pStyle w:val="Heading4"/>
        <w:spacing w:line="240" w:lineRule="auto" w:before="28"/>
        <w:ind w:right="0"/>
        <w:jc w:val="left"/>
        <w:rPr>
          <w:b w:val="0"/>
          <w:bCs w:val="0"/>
        </w:rPr>
      </w:pPr>
      <w:r>
        <w:rPr/>
        <w:t>（二）公司未来</w:t>
      </w:r>
      <w:r>
        <w:rPr>
          <w:rFonts w:ascii="Times New Roman" w:hAnsi="Times New Roman" w:cs="Times New Roman" w:eastAsia="Times New Roman" w:hint="default"/>
        </w:rPr>
        <w:t>5</w:t>
      </w:r>
      <w:r>
        <w:rPr/>
        <w:t>年主要业务发展思路</w:t>
      </w:r>
      <w:r>
        <w:rPr>
          <w:b w:val="0"/>
          <w:bCs w:val="0"/>
        </w:rPr>
      </w:r>
    </w:p>
    <w:p>
      <w:pPr>
        <w:pStyle w:val="BodyText"/>
        <w:spacing w:line="307" w:lineRule="auto" w:before="132"/>
        <w:ind w:left="153" w:right="1132" w:firstLine="360"/>
        <w:jc w:val="both"/>
      </w:pPr>
      <w:r>
        <w:rPr>
          <w:rFonts w:ascii="Times New Roman" w:hAnsi="Times New Roman" w:cs="Times New Roman" w:eastAsia="Times New Roman" w:hint="default"/>
          <w:spacing w:val="-2"/>
        </w:rPr>
        <w:t>2015</w:t>
      </w:r>
      <w:r>
        <w:rPr>
          <w:spacing w:val="-2"/>
        </w:rPr>
        <w:t>年国务院政府工作报告中提到，将加快实施走出去战略，推动铁路、电力、通信等中国装备走向世界，促进我国重</w:t>
      </w:r>
      <w:r>
        <w:rPr/>
        <w:t> </w:t>
      </w:r>
      <w:r>
        <w:rPr>
          <w:spacing w:val="-1"/>
        </w:rPr>
        <w:t>大装备和优势产能</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，优化外贸结构；同时</w:t>
      </w:r>
      <w:r>
        <w:rPr>
          <w:rFonts w:ascii="Times New Roman" w:hAnsi="Times New Roman" w:cs="Times New Roman" w:eastAsia="Times New Roman" w:hint="default"/>
          <w:spacing w:val="-1"/>
        </w:rPr>
        <w:t>“</w:t>
      </w:r>
      <w:r>
        <w:rPr>
          <w:spacing w:val="-1"/>
        </w:rPr>
        <w:t>中国制造</w:t>
      </w:r>
      <w:r>
        <w:rPr>
          <w:rFonts w:ascii="Times New Roman" w:hAnsi="Times New Roman" w:cs="Times New Roman" w:eastAsia="Times New Roman" w:hint="default"/>
          <w:spacing w:val="-1"/>
        </w:rPr>
        <w:t>2025</w:t>
      </w:r>
      <w:r>
        <w:rPr>
          <w:rFonts w:ascii="Times New Roman" w:hAnsi="Times New Roman" w:cs="Times New Roman" w:eastAsia="Times New Roman" w:hint="default"/>
          <w:spacing w:val="-1"/>
        </w:rPr>
        <w:t>”</w:t>
      </w:r>
      <w:r>
        <w:rPr>
          <w:spacing w:val="-1"/>
        </w:rPr>
        <w:t>首次出现在政府工作报告中，要实施</w:t>
      </w:r>
      <w:r>
        <w:rPr>
          <w:rFonts w:ascii="Times New Roman" w:hAnsi="Times New Roman" w:cs="Times New Roman" w:eastAsia="Times New Roman" w:hint="default"/>
          <w:spacing w:val="-1"/>
        </w:rPr>
        <w:t>“</w:t>
      </w:r>
      <w:r>
        <w:rPr>
          <w:spacing w:val="-1"/>
        </w:rPr>
        <w:t>中国制造</w:t>
      </w:r>
      <w:r>
        <w:rPr>
          <w:rFonts w:ascii="Times New Roman" w:hAnsi="Times New Roman" w:cs="Times New Roman" w:eastAsia="Times New Roman" w:hint="default"/>
          <w:spacing w:val="-1"/>
        </w:rPr>
        <w:t>2025”</w:t>
      </w:r>
      <w:r>
        <w:rPr>
          <w:spacing w:val="-1"/>
        </w:rPr>
        <w:t>，须</w:t>
      </w:r>
      <w:r>
        <w:rPr>
          <w:spacing w:val="-56"/>
        </w:rPr>
        <w:t> </w:t>
      </w:r>
      <w:r>
        <w:rPr/>
        <w:t>坚持创新驱动、智能转型、强化基础、绿色发展，加快从制造大国转向制造强国。</w:t>
      </w:r>
    </w:p>
    <w:p>
      <w:pPr>
        <w:pStyle w:val="BodyText"/>
        <w:spacing w:line="314" w:lineRule="auto" w:before="97"/>
        <w:ind w:left="153" w:right="0" w:firstLine="360"/>
        <w:jc w:val="left"/>
      </w:pPr>
      <w:r>
        <w:rPr/>
        <w:t>在未来的</w:t>
      </w:r>
      <w:r>
        <w:rPr>
          <w:rFonts w:ascii="Times New Roman" w:hAnsi="Times New Roman" w:cs="Times New Roman" w:eastAsia="Times New Roman" w:hint="default"/>
        </w:rPr>
        <w:t>5</w:t>
      </w:r>
      <w:r>
        <w:rPr/>
        <w:t>年甚至更长的一段时间内，随着结构调整、产业升级和节能减排等政策的持续推进，机械制造业将会迎来新 一轮的稳定发展时期。国家一系列</w:t>
      </w:r>
      <w:r>
        <w:rPr>
          <w:rFonts w:ascii="Times New Roman" w:hAnsi="Times New Roman" w:cs="Times New Roman" w:eastAsia="Times New Roman" w:hint="default"/>
        </w:rPr>
        <w:t>“</w:t>
      </w:r>
      <w:r>
        <w:rPr/>
        <w:t>稳增长调结构促改革</w:t>
      </w:r>
      <w:r>
        <w:rPr>
          <w:rFonts w:ascii="Times New Roman" w:hAnsi="Times New Roman" w:cs="Times New Roman" w:eastAsia="Times New Roman" w:hint="default"/>
        </w:rPr>
        <w:t>”</w:t>
      </w:r>
      <w:r>
        <w:rPr/>
        <w:t>政策措施的落实，必将促进中小制造企业的大发展，也会掀起各类 </w:t>
      </w:r>
      <w:r>
        <w:rPr>
          <w:spacing w:val="-4"/>
        </w:rPr>
        <w:t>专业化协作的高潮，在沿海和内地工业集中地区会对热处理加工提出更多需求，热处理行业除面临淘汰落后产能的技术改造、</w:t>
      </w:r>
      <w:r>
        <w:rPr>
          <w:spacing w:val="-44"/>
        </w:rPr>
        <w:t> </w:t>
      </w:r>
      <w:r>
        <w:rPr>
          <w:spacing w:val="-44"/>
        </w:rPr>
      </w:r>
      <w:r>
        <w:rPr/>
        <w:t>人才培养及管理提升等问题，同时大量热处理加工企业也面临优胜劣汰、兼并重组的局面。</w:t>
      </w:r>
    </w:p>
    <w:p>
      <w:pPr>
        <w:spacing w:line="367" w:lineRule="auto" w:before="91"/>
        <w:ind w:left="513" w:right="10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、公司设备制造主要技术及设备研发方向</w:t>
      </w:r>
      <w:r>
        <w:rPr>
          <w:rFonts w:ascii="宋体" w:hAnsi="宋体" w:cs="宋体" w:eastAsia="宋体" w:hint="default"/>
          <w:b/>
          <w:bCs/>
          <w:w w:val="99"/>
          <w:sz w:val="18"/>
          <w:szCs w:val="18"/>
        </w:rPr>
        <w:t> </w:t>
      </w:r>
      <w:r>
        <w:rPr>
          <w:rFonts w:ascii="宋体" w:hAnsi="宋体" w:cs="宋体" w:eastAsia="宋体" w:hint="default"/>
          <w:sz w:val="18"/>
          <w:szCs w:val="18"/>
        </w:rPr>
        <w:t>公司制定了定位高端、以替代进口和突破国外技术封锁为出发点，以全面提高设备可靠性、提升设备数字智能化水平、</w:t>
      </w:r>
    </w:p>
    <w:p>
      <w:pPr>
        <w:pStyle w:val="BodyText"/>
        <w:spacing w:line="225" w:lineRule="exact"/>
        <w:ind w:left="153" w:right="0"/>
        <w:jc w:val="left"/>
      </w:pPr>
      <w:r>
        <w:rPr/>
        <w:t>强化制造服务一体化和确保节能环保的发展战略。</w:t>
      </w:r>
    </w:p>
    <w:p>
      <w:pPr>
        <w:pStyle w:val="BodyText"/>
        <w:spacing w:line="240" w:lineRule="auto" w:before="146"/>
        <w:ind w:left="514" w:right="0"/>
        <w:jc w:val="left"/>
      </w:pPr>
      <w:r>
        <w:rPr>
          <w:rFonts w:ascii="Times New Roman" w:hAnsi="Times New Roman" w:cs="Times New Roman" w:eastAsia="Times New Roman" w:hint="default"/>
        </w:rPr>
        <w:t>1.1</w:t>
      </w:r>
      <w:r>
        <w:rPr/>
        <w:t>主要技术研发方向：</w:t>
      </w:r>
    </w:p>
    <w:p>
      <w:pPr>
        <w:pStyle w:val="BodyText"/>
        <w:spacing w:line="240" w:lineRule="auto" w:before="133"/>
        <w:ind w:left="514" w:right="0"/>
        <w:jc w:val="left"/>
      </w:pPr>
      <w:r>
        <w:rPr/>
        <w:t>（</w:t>
      </w:r>
      <w:r>
        <w:rPr>
          <w:rFonts w:ascii="Times New Roman" w:hAnsi="Times New Roman" w:cs="Times New Roman" w:eastAsia="Times New Roman" w:hint="default"/>
        </w:rPr>
        <w:t>1</w:t>
      </w:r>
      <w:r>
        <w:rPr/>
        <w:t>）热处理动态渗碳控制数学模型与计算机模拟技术</w:t>
      </w:r>
    </w:p>
    <w:p>
      <w:pPr>
        <w:pStyle w:val="BodyText"/>
        <w:spacing w:line="240" w:lineRule="auto" w:before="132"/>
        <w:ind w:left="514" w:right="0"/>
        <w:jc w:val="left"/>
      </w:pPr>
      <w:r>
        <w:rPr/>
        <w:t>（</w:t>
      </w:r>
      <w:r>
        <w:rPr>
          <w:rFonts w:ascii="Times New Roman" w:hAnsi="Times New Roman" w:cs="Times New Roman" w:eastAsia="Times New Roman" w:hint="default"/>
        </w:rPr>
        <w:t>2</w:t>
      </w:r>
      <w:r>
        <w:rPr/>
        <w:t>）真空脉冲渗碳、渗氮控制及大型真空热处理装备设计技术</w:t>
      </w:r>
    </w:p>
    <w:p>
      <w:pPr>
        <w:pStyle w:val="BodyText"/>
        <w:spacing w:line="240" w:lineRule="auto" w:before="132"/>
        <w:ind w:left="514" w:right="0"/>
        <w:jc w:val="left"/>
      </w:pPr>
      <w:r>
        <w:rPr/>
        <w:t>（</w:t>
      </w:r>
      <w:r>
        <w:rPr>
          <w:rFonts w:ascii="Times New Roman" w:hAnsi="Times New Roman" w:cs="Times New Roman" w:eastAsia="Times New Roman" w:hint="default"/>
        </w:rPr>
        <w:t>3</w:t>
      </w:r>
      <w:r>
        <w:rPr/>
        <w:t>）等离子渗氮、渗碳装备及工艺技术</w:t>
      </w:r>
    </w:p>
    <w:p>
      <w:pPr>
        <w:pStyle w:val="BodyText"/>
        <w:spacing w:line="240" w:lineRule="auto" w:before="133"/>
        <w:ind w:left="514" w:right="0"/>
        <w:jc w:val="left"/>
      </w:pPr>
      <w:r>
        <w:rPr/>
        <w:t>（</w:t>
      </w:r>
      <w:r>
        <w:rPr>
          <w:rFonts w:ascii="Times New Roman" w:hAnsi="Times New Roman" w:cs="Times New Roman" w:eastAsia="Times New Roman" w:hint="default"/>
        </w:rPr>
        <w:t>4</w:t>
      </w:r>
      <w:r>
        <w:rPr/>
        <w:t>）热处理设备温度场、流场模拟与辅助设计</w:t>
      </w:r>
    </w:p>
    <w:p>
      <w:pPr>
        <w:pStyle w:val="BodyText"/>
        <w:spacing w:line="240" w:lineRule="auto" w:before="132"/>
        <w:ind w:left="514" w:right="0"/>
        <w:jc w:val="left"/>
      </w:pPr>
      <w:r>
        <w:rPr/>
        <w:t>（</w:t>
      </w:r>
      <w:r>
        <w:rPr>
          <w:rFonts w:ascii="Times New Roman" w:hAnsi="Times New Roman" w:cs="Times New Roman" w:eastAsia="Times New Roman" w:hint="default"/>
        </w:rPr>
        <w:t>5</w:t>
      </w:r>
      <w:r>
        <w:rPr/>
        <w:t>）双频和扫描感应加热淬火控制及大功率高效率感应电源技术</w:t>
      </w:r>
    </w:p>
    <w:p>
      <w:pPr>
        <w:pStyle w:val="BodyText"/>
        <w:spacing w:line="240" w:lineRule="auto" w:before="132"/>
        <w:ind w:right="0"/>
        <w:jc w:val="left"/>
      </w:pPr>
      <w:r>
        <w:rPr/>
        <w:t>（</w:t>
      </w:r>
      <w:r>
        <w:rPr>
          <w:rFonts w:ascii="Times New Roman" w:hAnsi="Times New Roman" w:cs="Times New Roman" w:eastAsia="Times New Roman" w:hint="default"/>
        </w:rPr>
        <w:t>6</w:t>
      </w:r>
      <w:r>
        <w:rPr/>
        <w:t>）淬火冷却模拟数学模型及强烈淬火控制技术</w:t>
      </w:r>
    </w:p>
    <w:p>
      <w:pPr>
        <w:pStyle w:val="BodyText"/>
        <w:spacing w:line="240" w:lineRule="auto" w:before="133"/>
        <w:ind w:left="514" w:right="0"/>
        <w:jc w:val="left"/>
      </w:pPr>
      <w:r>
        <w:rPr/>
        <w:t>（</w:t>
      </w:r>
      <w:r>
        <w:rPr>
          <w:rFonts w:ascii="Times New Roman" w:hAnsi="Times New Roman" w:cs="Times New Roman" w:eastAsia="Times New Roman" w:hint="default"/>
        </w:rPr>
        <w:t>7</w:t>
      </w:r>
      <w:r>
        <w:rPr/>
        <w:t>）材料表面改性涂层技术</w:t>
      </w:r>
    </w:p>
    <w:p>
      <w:pPr>
        <w:pStyle w:val="BodyText"/>
        <w:spacing w:line="240" w:lineRule="auto" w:before="132"/>
        <w:ind w:left="514" w:right="0"/>
        <w:jc w:val="left"/>
      </w:pPr>
      <w:r>
        <w:rPr/>
        <w:t>（</w:t>
      </w:r>
      <w:r>
        <w:rPr>
          <w:rFonts w:ascii="Times New Roman" w:hAnsi="Times New Roman" w:cs="Times New Roman" w:eastAsia="Times New Roman" w:hint="default"/>
        </w:rPr>
        <w:t>8</w:t>
      </w:r>
      <w:r>
        <w:rPr/>
        <w:t>）热处理设备节能减排技术</w:t>
      </w:r>
    </w:p>
    <w:p>
      <w:pPr>
        <w:pStyle w:val="BodyText"/>
        <w:spacing w:line="240" w:lineRule="auto" w:before="133"/>
        <w:ind w:left="514" w:right="0"/>
        <w:jc w:val="left"/>
      </w:pPr>
      <w:r>
        <w:rPr/>
        <w:t>（</w:t>
      </w:r>
      <w:r>
        <w:rPr>
          <w:rFonts w:ascii="Times New Roman" w:hAnsi="Times New Roman" w:cs="Times New Roman" w:eastAsia="Times New Roman" w:hint="default"/>
        </w:rPr>
        <w:t>9</w:t>
      </w:r>
      <w:r>
        <w:rPr/>
        <w:t>）热处理工艺数据库及远程监控与服务技术</w:t>
      </w:r>
    </w:p>
    <w:p>
      <w:pPr>
        <w:pStyle w:val="BodyText"/>
        <w:spacing w:line="240" w:lineRule="auto" w:before="133"/>
        <w:ind w:left="514" w:right="0"/>
        <w:jc w:val="left"/>
      </w:pPr>
      <w:r>
        <w:rPr/>
        <w:t>（</w:t>
      </w:r>
      <w:r>
        <w:rPr>
          <w:rFonts w:ascii="Times New Roman" w:hAnsi="Times New Roman" w:cs="Times New Roman" w:eastAsia="Times New Roman" w:hint="default"/>
        </w:rPr>
        <w:t>10</w:t>
      </w:r>
      <w:r>
        <w:rPr/>
        <w:t>）热处理工厂数字化、智能化、少（无）人化、网络远程监控、故障诊断和自动处理技术</w:t>
      </w:r>
    </w:p>
    <w:p>
      <w:pPr>
        <w:pStyle w:val="BodyText"/>
        <w:spacing w:line="240" w:lineRule="auto" w:before="132"/>
        <w:ind w:right="0"/>
        <w:jc w:val="left"/>
      </w:pPr>
      <w:r>
        <w:rPr>
          <w:rFonts w:ascii="Times New Roman" w:hAnsi="Times New Roman" w:cs="Times New Roman" w:eastAsia="Times New Roman" w:hint="default"/>
        </w:rPr>
        <w:t>1.2</w:t>
      </w:r>
      <w:r>
        <w:rPr/>
        <w:t>公司今后</w:t>
      </w:r>
      <w:r>
        <w:rPr>
          <w:rFonts w:ascii="Times New Roman" w:hAnsi="Times New Roman" w:cs="Times New Roman" w:eastAsia="Times New Roman" w:hint="default"/>
        </w:rPr>
        <w:t>5</w:t>
      </w:r>
      <w:r>
        <w:rPr/>
        <w:t>年热处理装备研发重点：</w:t>
      </w:r>
    </w:p>
    <w:p>
      <w:pPr>
        <w:spacing w:after="0" w:line="240"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240" w:lineRule="auto" w:before="44"/>
        <w:ind w:left="514" w:right="0"/>
        <w:jc w:val="left"/>
      </w:pPr>
      <w:r>
        <w:rPr/>
        <w:t>（</w:t>
      </w:r>
      <w:r>
        <w:rPr>
          <w:rFonts w:ascii="Times New Roman" w:hAnsi="Times New Roman" w:cs="Times New Roman" w:eastAsia="Times New Roman" w:hint="default"/>
        </w:rPr>
        <w:t>1</w:t>
      </w:r>
      <w:r>
        <w:rPr/>
        <w:t>）智能预抽真空可控气氛渗碳、渗氮炉</w:t>
      </w:r>
    </w:p>
    <w:p>
      <w:pPr>
        <w:pStyle w:val="BodyText"/>
        <w:spacing w:line="240" w:lineRule="auto" w:before="133"/>
        <w:ind w:right="0"/>
        <w:jc w:val="left"/>
      </w:pPr>
      <w:r>
        <w:rPr/>
        <w:t>（</w:t>
      </w:r>
      <w:r>
        <w:rPr>
          <w:rFonts w:ascii="Times New Roman" w:hAnsi="Times New Roman" w:cs="Times New Roman" w:eastAsia="Times New Roman" w:hint="default"/>
        </w:rPr>
        <w:t>2</w:t>
      </w:r>
      <w:r>
        <w:rPr/>
        <w:t>）真空超高压气淬炉</w:t>
      </w:r>
    </w:p>
    <w:p>
      <w:pPr>
        <w:pStyle w:val="BodyText"/>
        <w:spacing w:line="240" w:lineRule="auto" w:before="132"/>
        <w:ind w:left="514" w:right="0"/>
        <w:jc w:val="left"/>
      </w:pPr>
      <w:r>
        <w:rPr/>
        <w:t>（</w:t>
      </w:r>
      <w:r>
        <w:rPr>
          <w:rFonts w:ascii="Times New Roman" w:hAnsi="Times New Roman" w:cs="Times New Roman" w:eastAsia="Times New Roman" w:hint="default"/>
        </w:rPr>
        <w:t>3</w:t>
      </w:r>
      <w:r>
        <w:rPr/>
        <w:t>）真空渗碳炉及其柔性自动生产线</w:t>
      </w:r>
    </w:p>
    <w:p>
      <w:pPr>
        <w:pStyle w:val="BodyText"/>
        <w:spacing w:line="240" w:lineRule="auto" w:before="133"/>
        <w:ind w:right="0"/>
        <w:jc w:val="left"/>
      </w:pPr>
      <w:r>
        <w:rPr/>
        <w:t>（</w:t>
      </w:r>
      <w:r>
        <w:rPr>
          <w:rFonts w:ascii="Times New Roman" w:hAnsi="Times New Roman" w:cs="Times New Roman" w:eastAsia="Times New Roman" w:hint="default"/>
        </w:rPr>
        <w:t>4</w:t>
      </w:r>
      <w:r>
        <w:rPr/>
        <w:t>）大型非标燃气加热炉</w:t>
      </w:r>
    </w:p>
    <w:p>
      <w:pPr>
        <w:pStyle w:val="BodyText"/>
        <w:spacing w:line="240" w:lineRule="auto" w:before="133"/>
        <w:ind w:left="514" w:right="0"/>
        <w:jc w:val="left"/>
      </w:pPr>
      <w:r>
        <w:rPr/>
        <w:t>（</w:t>
      </w:r>
      <w:r>
        <w:rPr>
          <w:rFonts w:ascii="Times New Roman" w:hAnsi="Times New Roman" w:cs="Times New Roman" w:eastAsia="Times New Roman" w:hint="default"/>
        </w:rPr>
        <w:t>5</w:t>
      </w:r>
      <w:r>
        <w:rPr/>
        <w:t>）新型等离子渗氮、渗碳热处理炉</w:t>
      </w:r>
    </w:p>
    <w:p>
      <w:pPr>
        <w:pStyle w:val="BodyText"/>
        <w:spacing w:line="240" w:lineRule="auto" w:before="132"/>
        <w:ind w:right="0"/>
        <w:jc w:val="left"/>
      </w:pPr>
      <w:r>
        <w:rPr/>
        <w:t>（</w:t>
      </w:r>
      <w:r>
        <w:rPr>
          <w:rFonts w:ascii="Times New Roman" w:hAnsi="Times New Roman" w:cs="Times New Roman" w:eastAsia="Times New Roman" w:hint="default"/>
        </w:rPr>
        <w:t>6</w:t>
      </w:r>
      <w:r>
        <w:rPr/>
        <w:t>）智能高频淬火设备</w:t>
      </w:r>
    </w:p>
    <w:p>
      <w:pPr>
        <w:pStyle w:val="BodyText"/>
        <w:spacing w:line="240" w:lineRule="auto" w:before="132"/>
        <w:ind w:left="514" w:right="0"/>
        <w:jc w:val="left"/>
      </w:pPr>
      <w:r>
        <w:rPr/>
        <w:t>（</w:t>
      </w:r>
      <w:r>
        <w:rPr>
          <w:rFonts w:ascii="Times New Roman" w:hAnsi="Times New Roman" w:cs="Times New Roman" w:eastAsia="Times New Roman" w:hint="default"/>
        </w:rPr>
        <w:t>7</w:t>
      </w:r>
      <w:r>
        <w:rPr/>
        <w:t>）智能涂层表面改性设备</w:t>
      </w:r>
    </w:p>
    <w:p>
      <w:pPr>
        <w:pStyle w:val="Heading4"/>
        <w:spacing w:line="240" w:lineRule="auto" w:before="91"/>
        <w:ind w:right="0"/>
        <w:jc w:val="left"/>
        <w:rPr>
          <w:b w:val="0"/>
          <w:bCs w:val="0"/>
        </w:rPr>
      </w:pPr>
      <w:r>
        <w:rPr>
          <w:rFonts w:ascii="Times New Roman" w:hAnsi="Times New Roman" w:cs="Times New Roman" w:eastAsia="Times New Roman" w:hint="default"/>
        </w:rPr>
        <w:t>2</w:t>
      </w:r>
      <w:r>
        <w:rPr/>
        <w:t>、公司热处理加工产业化</w:t>
      </w:r>
      <w:r>
        <w:rPr>
          <w:rFonts w:ascii="Times New Roman" w:hAnsi="Times New Roman" w:cs="Times New Roman" w:eastAsia="Times New Roman" w:hint="default"/>
        </w:rPr>
        <w:t>5</w:t>
      </w:r>
      <w:r>
        <w:rPr/>
        <w:t>年发展目标</w:t>
      </w:r>
      <w:r>
        <w:rPr>
          <w:b w:val="0"/>
          <w:bCs w:val="0"/>
        </w:rPr>
      </w:r>
    </w:p>
    <w:p>
      <w:pPr>
        <w:pStyle w:val="BodyText"/>
        <w:spacing w:line="326" w:lineRule="auto" w:before="90"/>
        <w:ind w:right="0"/>
        <w:jc w:val="left"/>
      </w:pPr>
      <w:r>
        <w:rPr>
          <w:rFonts w:ascii="Times New Roman" w:hAnsi="Times New Roman" w:cs="Times New Roman" w:eastAsia="Times New Roman" w:hint="default"/>
        </w:rPr>
        <w:t>2.1</w:t>
      </w:r>
      <w:r>
        <w:rPr/>
        <w:t>总体发展目标： </w:t>
      </w:r>
      <w:r>
        <w:rPr>
          <w:spacing w:val="-2"/>
        </w:rPr>
        <w:t>公司定位高质量要求热处理加工配套服务，加强工艺开发平台及数据库建设，构建专业人才培训体系，不断规范和完善</w:t>
      </w:r>
    </w:p>
    <w:p>
      <w:pPr>
        <w:pStyle w:val="BodyText"/>
        <w:spacing w:line="326" w:lineRule="auto" w:before="20"/>
        <w:ind w:left="153" w:right="0"/>
        <w:jc w:val="left"/>
      </w:pPr>
      <w:r>
        <w:rPr>
          <w:spacing w:val="-2"/>
        </w:rPr>
        <w:t>热处理加工质量体系，总结提炼热处理加工连锁经营模式，借助资本市场平台，实施加工企业的收购、兼并和新建，构建基</w:t>
      </w:r>
      <w:r>
        <w:rPr>
          <w:spacing w:val="-66"/>
        </w:rPr>
        <w:t> </w:t>
      </w:r>
      <w:r>
        <w:rPr>
          <w:spacing w:val="-66"/>
        </w:rPr>
      </w:r>
      <w:r>
        <w:rPr/>
        <w:t>本覆盖全国主要机械制造集中地区的热处理加工网络。</w:t>
      </w:r>
    </w:p>
    <w:p>
      <w:pPr>
        <w:pStyle w:val="BodyText"/>
        <w:spacing w:line="240" w:lineRule="auto" w:before="40"/>
        <w:ind w:left="514" w:right="0"/>
        <w:jc w:val="left"/>
      </w:pPr>
      <w:r>
        <w:rPr/>
        <w:t>（</w:t>
      </w:r>
      <w:r>
        <w:rPr>
          <w:rFonts w:ascii="Times New Roman" w:hAnsi="Times New Roman" w:cs="Times New Roman" w:eastAsia="Times New Roman" w:hint="default"/>
        </w:rPr>
        <w:t>1</w:t>
      </w:r>
      <w:r>
        <w:rPr/>
        <w:t>）全员劳动生产率达到人均</w:t>
      </w:r>
      <w:r>
        <w:rPr>
          <w:rFonts w:ascii="Times New Roman" w:hAnsi="Times New Roman" w:cs="Times New Roman" w:eastAsia="Times New Roman" w:hint="default"/>
        </w:rPr>
        <w:t>25</w:t>
      </w:r>
      <w:r>
        <w:rPr/>
        <w:t>万元以上</w:t>
      </w:r>
    </w:p>
    <w:p>
      <w:pPr>
        <w:pStyle w:val="BodyText"/>
        <w:spacing w:line="240" w:lineRule="auto" w:before="90"/>
        <w:ind w:right="0"/>
        <w:jc w:val="left"/>
      </w:pPr>
      <w:r>
        <w:rPr/>
        <w:t>（</w:t>
      </w:r>
      <w:r>
        <w:rPr>
          <w:rFonts w:ascii="Times New Roman" w:hAnsi="Times New Roman" w:cs="Times New Roman" w:eastAsia="Times New Roman" w:hint="default"/>
        </w:rPr>
        <w:t>2</w:t>
      </w:r>
      <w:r>
        <w:rPr/>
        <w:t>）热处理件一次检验合格率达到</w:t>
      </w:r>
      <w:r>
        <w:rPr>
          <w:rFonts w:ascii="Times New Roman" w:hAnsi="Times New Roman" w:cs="Times New Roman" w:eastAsia="Times New Roman" w:hint="default"/>
        </w:rPr>
        <w:t>99%</w:t>
      </w:r>
      <w:r>
        <w:rPr/>
        <w:t>以上</w:t>
      </w:r>
    </w:p>
    <w:p>
      <w:pPr>
        <w:pStyle w:val="BodyText"/>
        <w:spacing w:line="240" w:lineRule="auto" w:before="91"/>
        <w:ind w:left="514" w:right="0"/>
        <w:jc w:val="left"/>
      </w:pPr>
      <w:r>
        <w:rPr/>
        <w:t>（</w:t>
      </w:r>
      <w:r>
        <w:rPr>
          <w:rFonts w:ascii="Times New Roman" w:hAnsi="Times New Roman" w:cs="Times New Roman" w:eastAsia="Times New Roman" w:hint="default"/>
        </w:rPr>
        <w:t>3</w:t>
      </w:r>
      <w:r>
        <w:rPr/>
        <w:t>）电能和燃料消耗降到生产成本的</w:t>
      </w:r>
      <w:r>
        <w:rPr>
          <w:rFonts w:ascii="Times New Roman" w:hAnsi="Times New Roman" w:cs="Times New Roman" w:eastAsia="Times New Roman" w:hint="default"/>
        </w:rPr>
        <w:t>20%</w:t>
      </w:r>
      <w:r>
        <w:rPr/>
        <w:t>以下</w:t>
      </w:r>
    </w:p>
    <w:p>
      <w:pPr>
        <w:pStyle w:val="BodyText"/>
        <w:spacing w:line="240" w:lineRule="auto" w:before="90"/>
        <w:ind w:left="514" w:right="0"/>
        <w:jc w:val="left"/>
      </w:pPr>
      <w:r>
        <w:rPr/>
        <w:t>（</w:t>
      </w:r>
      <w:r>
        <w:rPr>
          <w:rFonts w:ascii="Times New Roman" w:hAnsi="Times New Roman" w:cs="Times New Roman" w:eastAsia="Times New Roman" w:hint="default"/>
        </w:rPr>
        <w:t>4</w:t>
      </w:r>
      <w:r>
        <w:rPr/>
        <w:t>）</w:t>
      </w:r>
      <w:r>
        <w:rPr>
          <w:spacing w:val="-19"/>
        </w:rPr>
        <w:t> </w:t>
      </w:r>
      <w:r>
        <w:rPr/>
        <w:t>利润率平均达到</w:t>
      </w:r>
      <w:r>
        <w:rPr>
          <w:rFonts w:ascii="Times New Roman" w:hAnsi="Times New Roman" w:cs="Times New Roman" w:eastAsia="Times New Roman" w:hint="default"/>
        </w:rPr>
        <w:t>15%</w:t>
      </w:r>
      <w:r>
        <w:rPr/>
        <w:t>以上</w:t>
      </w:r>
    </w:p>
    <w:p>
      <w:pPr>
        <w:pStyle w:val="BodyText"/>
        <w:spacing w:line="240" w:lineRule="auto" w:before="90"/>
        <w:ind w:right="0"/>
        <w:jc w:val="left"/>
      </w:pPr>
      <w:r>
        <w:rPr/>
        <w:t>（</w:t>
      </w:r>
      <w:r>
        <w:rPr>
          <w:rFonts w:ascii="Times New Roman" w:hAnsi="Times New Roman" w:cs="Times New Roman" w:eastAsia="Times New Roman" w:hint="default"/>
        </w:rPr>
        <w:t>5</w:t>
      </w:r>
      <w:r>
        <w:rPr/>
        <w:t>）和主要客户保持十年以上协作关系</w:t>
      </w:r>
    </w:p>
    <w:p>
      <w:pPr>
        <w:pStyle w:val="BodyText"/>
        <w:spacing w:line="240" w:lineRule="auto" w:before="91"/>
        <w:ind w:right="0"/>
        <w:jc w:val="left"/>
      </w:pPr>
      <w:r>
        <w:rPr/>
        <w:t>（</w:t>
      </w:r>
      <w:r>
        <w:rPr>
          <w:rFonts w:ascii="Times New Roman" w:hAnsi="Times New Roman" w:cs="Times New Roman" w:eastAsia="Times New Roman" w:hint="default"/>
        </w:rPr>
        <w:t>6</w:t>
      </w:r>
      <w:r>
        <w:rPr/>
        <w:t>）燃气炉比重逐步增加到</w:t>
      </w:r>
      <w:r>
        <w:rPr>
          <w:rFonts w:ascii="Times New Roman" w:hAnsi="Times New Roman" w:cs="Times New Roman" w:eastAsia="Times New Roman" w:hint="default"/>
        </w:rPr>
        <w:t>20%</w:t>
      </w:r>
      <w:r>
        <w:rPr/>
        <w:t>，平均热效率达到</w:t>
      </w:r>
      <w:r>
        <w:rPr>
          <w:rFonts w:ascii="Times New Roman" w:hAnsi="Times New Roman" w:cs="Times New Roman" w:eastAsia="Times New Roman" w:hint="default"/>
        </w:rPr>
        <w:t>55%</w:t>
      </w:r>
      <w:r>
        <w:rPr/>
        <w:t>以上</w:t>
      </w:r>
    </w:p>
    <w:p>
      <w:pPr>
        <w:pStyle w:val="BodyText"/>
        <w:spacing w:line="240" w:lineRule="auto" w:before="90"/>
        <w:ind w:left="514" w:right="0"/>
        <w:jc w:val="left"/>
      </w:pPr>
      <w:r>
        <w:rPr/>
        <w:t>（</w:t>
      </w:r>
      <w:r>
        <w:rPr>
          <w:rFonts w:ascii="Times New Roman" w:hAnsi="Times New Roman" w:cs="Times New Roman" w:eastAsia="Times New Roman" w:hint="default"/>
        </w:rPr>
        <w:t>7</w:t>
      </w:r>
      <w:r>
        <w:rPr/>
        <w:t>）总体节能</w:t>
      </w:r>
      <w:r>
        <w:rPr>
          <w:rFonts w:ascii="Times New Roman" w:hAnsi="Times New Roman" w:cs="Times New Roman" w:eastAsia="Times New Roman" w:hint="default"/>
        </w:rPr>
        <w:t>15%</w:t>
      </w:r>
      <w:r>
        <w:rPr/>
        <w:t>，加工企业平均单位能耗达到</w:t>
      </w:r>
      <w:r>
        <w:rPr>
          <w:rFonts w:ascii="Times New Roman" w:hAnsi="Times New Roman" w:cs="Times New Roman" w:eastAsia="Times New Roman" w:hint="default"/>
        </w:rPr>
        <w:t>400kW·h/t</w:t>
      </w:r>
      <w:r>
        <w:rPr/>
        <w:t>以下</w:t>
      </w:r>
    </w:p>
    <w:p>
      <w:pPr>
        <w:pStyle w:val="BodyText"/>
        <w:spacing w:line="240" w:lineRule="auto" w:before="90"/>
        <w:ind w:left="514" w:right="0"/>
        <w:jc w:val="left"/>
      </w:pPr>
      <w:r>
        <w:rPr/>
        <w:t>（</w:t>
      </w:r>
      <w:r>
        <w:rPr>
          <w:rFonts w:ascii="Times New Roman" w:hAnsi="Times New Roman" w:cs="Times New Roman" w:eastAsia="Times New Roman" w:hint="default"/>
        </w:rPr>
        <w:t>8</w:t>
      </w:r>
      <w:r>
        <w:rPr/>
        <w:t>）温室气体减排</w:t>
      </w:r>
      <w:r>
        <w:rPr>
          <w:rFonts w:ascii="Times New Roman" w:hAnsi="Times New Roman" w:cs="Times New Roman" w:eastAsia="Times New Roman" w:hint="default"/>
        </w:rPr>
        <w:t>30%</w:t>
      </w:r>
      <w:r>
        <w:rPr/>
        <w:t>以上，有害剩余物料排放全部达到规定限值</w:t>
      </w:r>
    </w:p>
    <w:p>
      <w:pPr>
        <w:pStyle w:val="BodyText"/>
        <w:spacing w:line="240" w:lineRule="auto" w:before="92"/>
        <w:ind w:right="0"/>
        <w:jc w:val="left"/>
      </w:pPr>
      <w:r>
        <w:rPr>
          <w:rFonts w:ascii="Times New Roman" w:hAnsi="Times New Roman" w:cs="Times New Roman" w:eastAsia="Times New Roman" w:hint="default"/>
        </w:rPr>
        <w:t>2.2</w:t>
      </w:r>
      <w:r>
        <w:rPr/>
        <w:t>公司热处理加工产业发展工作重点：</w:t>
      </w:r>
    </w:p>
    <w:p>
      <w:pPr>
        <w:pStyle w:val="BodyText"/>
        <w:spacing w:line="240" w:lineRule="auto" w:before="90"/>
        <w:ind w:right="0"/>
        <w:jc w:val="left"/>
      </w:pPr>
      <w:r>
        <w:rPr/>
        <w:t>（</w:t>
      </w:r>
      <w:r>
        <w:rPr>
          <w:rFonts w:ascii="Times New Roman" w:hAnsi="Times New Roman" w:cs="Times New Roman" w:eastAsia="Times New Roman" w:hint="default"/>
        </w:rPr>
        <w:t>1</w:t>
      </w:r>
      <w:r>
        <w:rPr/>
        <w:t>）充分利用上市融资平台实施加工企业的收购、兼并和新建，快速布点，实施规范化、规模化的热处理加工连锁服</w:t>
      </w:r>
    </w:p>
    <w:p>
      <w:pPr>
        <w:pStyle w:val="BodyText"/>
        <w:spacing w:line="240" w:lineRule="auto" w:before="70"/>
        <w:ind w:left="154" w:right="0"/>
        <w:jc w:val="left"/>
      </w:pPr>
      <w:r>
        <w:rPr/>
        <w:t>务</w:t>
      </w:r>
    </w:p>
    <w:p>
      <w:pPr>
        <w:pStyle w:val="BodyText"/>
        <w:spacing w:line="240" w:lineRule="auto" w:before="105"/>
        <w:ind w:left="514" w:right="0"/>
        <w:jc w:val="left"/>
      </w:pPr>
      <w:r>
        <w:rPr/>
        <w:t>（</w:t>
      </w:r>
      <w:r>
        <w:rPr>
          <w:rFonts w:ascii="Times New Roman" w:hAnsi="Times New Roman" w:cs="Times New Roman" w:eastAsia="Times New Roman" w:hint="default"/>
        </w:rPr>
        <w:t>2</w:t>
      </w:r>
      <w:r>
        <w:rPr/>
        <w:t>）推广与各行业规模制造企业密切合作，形成优势互补、分工协作、长期互助发展的</w:t>
      </w:r>
      <w:r>
        <w:rPr>
          <w:rFonts w:ascii="Times New Roman" w:hAnsi="Times New Roman" w:cs="Times New Roman" w:eastAsia="Times New Roman" w:hint="default"/>
        </w:rPr>
        <w:t>“</w:t>
      </w:r>
      <w:r>
        <w:rPr/>
        <w:t>厂中厂</w:t>
      </w:r>
      <w:r>
        <w:rPr>
          <w:rFonts w:ascii="Times New Roman" w:hAnsi="Times New Roman" w:cs="Times New Roman" w:eastAsia="Times New Roman" w:hint="default"/>
        </w:rPr>
        <w:t>”</w:t>
      </w:r>
      <w:r>
        <w:rPr/>
        <w:t>合作新模式</w:t>
      </w:r>
    </w:p>
    <w:p>
      <w:pPr>
        <w:pStyle w:val="BodyText"/>
        <w:spacing w:line="240" w:lineRule="auto" w:before="90"/>
        <w:ind w:right="0"/>
        <w:jc w:val="left"/>
      </w:pPr>
      <w:r>
        <w:rPr/>
        <w:t>（</w:t>
      </w:r>
      <w:r>
        <w:rPr>
          <w:rFonts w:ascii="Times New Roman" w:hAnsi="Times New Roman" w:cs="Times New Roman" w:eastAsia="Times New Roman" w:hint="default"/>
        </w:rPr>
        <w:t>3</w:t>
      </w:r>
      <w:r>
        <w:rPr/>
        <w:t>）全面提高热处理及表面改性加工的装备水平</w:t>
      </w:r>
    </w:p>
    <w:p>
      <w:pPr>
        <w:pStyle w:val="BodyText"/>
        <w:spacing w:line="240" w:lineRule="auto" w:before="91"/>
        <w:ind w:left="514" w:right="0"/>
        <w:jc w:val="left"/>
      </w:pPr>
      <w:r>
        <w:rPr/>
        <w:t>（</w:t>
      </w:r>
      <w:r>
        <w:rPr>
          <w:rFonts w:ascii="Times New Roman" w:hAnsi="Times New Roman" w:cs="Times New Roman" w:eastAsia="Times New Roman" w:hint="default"/>
        </w:rPr>
        <w:t>4</w:t>
      </w:r>
      <w:r>
        <w:rPr/>
        <w:t>）全面提升热处理质量管理体系水平</w:t>
      </w:r>
    </w:p>
    <w:p>
      <w:pPr>
        <w:pStyle w:val="BodyText"/>
        <w:spacing w:line="240" w:lineRule="auto" w:before="90"/>
        <w:ind w:right="0"/>
        <w:jc w:val="left"/>
      </w:pPr>
      <w:r>
        <w:rPr/>
        <w:t>（</w:t>
      </w:r>
      <w:r>
        <w:rPr>
          <w:rFonts w:ascii="Times New Roman" w:hAnsi="Times New Roman" w:cs="Times New Roman" w:eastAsia="Times New Roman" w:hint="default"/>
        </w:rPr>
        <w:t>5</w:t>
      </w:r>
      <w:r>
        <w:rPr/>
        <w:t>）全面提高热处理检测装备及技术水平</w:t>
      </w:r>
    </w:p>
    <w:p>
      <w:pPr>
        <w:pStyle w:val="BodyText"/>
        <w:spacing w:line="240" w:lineRule="auto" w:before="90"/>
        <w:ind w:right="0"/>
        <w:jc w:val="left"/>
      </w:pPr>
      <w:r>
        <w:rPr/>
        <w:t>（</w:t>
      </w:r>
      <w:r>
        <w:rPr>
          <w:rFonts w:ascii="Times New Roman" w:hAnsi="Times New Roman" w:cs="Times New Roman" w:eastAsia="Times New Roman" w:hint="default"/>
        </w:rPr>
        <w:t>6</w:t>
      </w:r>
      <w:r>
        <w:rPr/>
        <w:t>）全面提高产品热处理工艺开发能力</w:t>
      </w:r>
    </w:p>
    <w:p>
      <w:pPr>
        <w:pStyle w:val="BodyText"/>
        <w:spacing w:line="240" w:lineRule="auto" w:before="91"/>
        <w:ind w:right="0"/>
        <w:jc w:val="left"/>
      </w:pPr>
      <w:r>
        <w:rPr/>
        <w:t>（</w:t>
      </w:r>
      <w:r>
        <w:rPr>
          <w:rFonts w:ascii="Times New Roman" w:hAnsi="Times New Roman" w:cs="Times New Roman" w:eastAsia="Times New Roman" w:hint="default"/>
        </w:rPr>
        <w:t>7</w:t>
      </w:r>
      <w:r>
        <w:rPr/>
        <w:t>）全面提升热处理从业人员技术水平、构建人才培训平台</w:t>
      </w:r>
    </w:p>
    <w:p>
      <w:pPr>
        <w:pStyle w:val="BodyText"/>
        <w:spacing w:line="240" w:lineRule="auto" w:before="90"/>
        <w:ind w:left="514" w:right="0"/>
        <w:jc w:val="left"/>
      </w:pPr>
      <w:r>
        <w:rPr/>
        <w:t>（</w:t>
      </w:r>
      <w:r>
        <w:rPr>
          <w:rFonts w:ascii="Times New Roman" w:hAnsi="Times New Roman" w:cs="Times New Roman" w:eastAsia="Times New Roman" w:hint="default"/>
        </w:rPr>
        <w:t>8</w:t>
      </w:r>
      <w:r>
        <w:rPr/>
        <w:t>）设立具有行业特色热处理技术咨询、工艺开发、材料检测平台</w:t>
      </w:r>
    </w:p>
    <w:p>
      <w:pPr>
        <w:spacing w:line="240" w:lineRule="auto" w:before="2"/>
        <w:rPr>
          <w:rFonts w:ascii="宋体" w:hAnsi="宋体" w:cs="宋体" w:eastAsia="宋体" w:hint="default"/>
          <w:sz w:val="11"/>
          <w:szCs w:val="11"/>
        </w:rPr>
      </w:pPr>
    </w:p>
    <w:p>
      <w:pPr>
        <w:pStyle w:val="Heading4"/>
        <w:spacing w:line="240" w:lineRule="auto" w:before="44"/>
        <w:ind w:right="0"/>
        <w:jc w:val="left"/>
        <w:rPr>
          <w:b w:val="0"/>
          <w:bCs w:val="0"/>
        </w:rPr>
      </w:pPr>
      <w:r>
        <w:rPr/>
        <w:t>（三）公司的竞争优势</w:t>
      </w:r>
      <w:r>
        <w:rPr>
          <w:b w:val="0"/>
          <w:bCs w:val="0"/>
        </w:rPr>
      </w:r>
    </w:p>
    <w:p>
      <w:pPr>
        <w:pStyle w:val="BodyText"/>
        <w:spacing w:line="309" w:lineRule="auto" w:before="109"/>
        <w:ind w:left="154" w:right="1122" w:firstLine="360"/>
        <w:jc w:val="left"/>
      </w:pPr>
      <w:r>
        <w:rPr>
          <w:rFonts w:ascii="Times New Roman" w:hAnsi="Times New Roman" w:cs="Times New Roman" w:eastAsia="Times New Roman" w:hint="default"/>
        </w:rPr>
        <w:t>1</w:t>
      </w:r>
      <w:r>
        <w:rPr/>
        <w:t>、公司设备覆盖气氛热处理、真空热处理、高频感应热处理和非气氛热处理四大领域，是国内热处理行业内拥有产品 线最丰富的制造商，与传统热处理设备相比，公司设备在节能减排方面优势明显，符合国家产业政策的方向。</w:t>
      </w:r>
    </w:p>
    <w:p>
      <w:pPr>
        <w:pStyle w:val="BodyText"/>
        <w:spacing w:line="309" w:lineRule="auto" w:before="55"/>
        <w:ind w:left="154" w:right="1122" w:firstLine="360"/>
        <w:jc w:val="left"/>
      </w:pPr>
      <w:r>
        <w:rPr>
          <w:rFonts w:ascii="Times New Roman" w:hAnsi="Times New Roman" w:cs="Times New Roman" w:eastAsia="Times New Roman" w:hint="default"/>
        </w:rPr>
        <w:t>2</w:t>
      </w:r>
      <w:r>
        <w:rPr/>
        <w:t>、公司目前已在上海、南京、重庆、青岛、潍坊、天津、广州、大丰、常州（正在办理股权收购及增资手续中）等地 投资设立了十个热处理加工中心，是全国拥有专业热处理服务网点数量最多的企业。</w:t>
      </w:r>
    </w:p>
    <w:p>
      <w:pPr>
        <w:pStyle w:val="BodyText"/>
        <w:spacing w:line="307" w:lineRule="auto" w:before="56"/>
        <w:ind w:left="154" w:right="1122" w:firstLine="360"/>
        <w:jc w:val="left"/>
      </w:pPr>
      <w:r>
        <w:rPr>
          <w:rFonts w:ascii="Times New Roman" w:hAnsi="Times New Roman" w:cs="Times New Roman" w:eastAsia="Times New Roman" w:hint="default"/>
        </w:rPr>
        <w:t>3</w:t>
      </w:r>
      <w:r>
        <w:rPr/>
        <w:t>、近年来，公司在持续加大热处理设备研发投入的基础上，进一步加强了热处理加工及售后服务业务的拓展。主营业 务结构比重的调整顺应了市场形势的变化，有利于进一步提高公司抗风险的能力。</w:t>
      </w:r>
    </w:p>
    <w:p>
      <w:pPr>
        <w:pStyle w:val="BodyText"/>
        <w:spacing w:line="309" w:lineRule="auto" w:before="58"/>
        <w:ind w:left="154" w:right="0" w:firstLine="360"/>
        <w:jc w:val="left"/>
      </w:pPr>
      <w:r>
        <w:rPr>
          <w:rFonts w:ascii="Times New Roman" w:hAnsi="Times New Roman" w:cs="Times New Roman" w:eastAsia="Times New Roman" w:hint="default"/>
          <w:spacing w:val="-2"/>
        </w:rPr>
        <w:t>4</w:t>
      </w:r>
      <w:r>
        <w:rPr>
          <w:spacing w:val="-2"/>
        </w:rPr>
        <w:t>、到目前为止，公司是国内热处理行业内唯一的一家上市公司，相比国内其他同行，公司更有条件利用资本市场资源，</w:t>
      </w:r>
      <w:r>
        <w:rPr/>
        <w:t> 为业务的开拓与发展提供更多机会。</w:t>
      </w:r>
    </w:p>
    <w:p>
      <w:pPr>
        <w:spacing w:after="0" w:line="309" w:lineRule="auto"/>
        <w:jc w:val="left"/>
        <w:sectPr>
          <w:pgSz w:w="11910" w:h="16840"/>
          <w:pgMar w:header="691" w:footer="979" w:top="1100" w:bottom="1160" w:left="980" w:right="0"/>
        </w:sectPr>
      </w:pPr>
    </w:p>
    <w:p>
      <w:pPr>
        <w:spacing w:line="240" w:lineRule="auto" w:before="8"/>
        <w:rPr>
          <w:rFonts w:ascii="宋体" w:hAnsi="宋体" w:cs="宋体" w:eastAsia="宋体" w:hint="default"/>
          <w:sz w:val="24"/>
          <w:szCs w:val="24"/>
        </w:rPr>
      </w:pPr>
    </w:p>
    <w:p>
      <w:pPr>
        <w:pStyle w:val="Heading4"/>
        <w:spacing w:line="240" w:lineRule="auto" w:before="44"/>
        <w:ind w:right="0"/>
        <w:jc w:val="left"/>
        <w:rPr>
          <w:b w:val="0"/>
          <w:bCs w:val="0"/>
        </w:rPr>
      </w:pPr>
      <w:r>
        <w:rPr/>
        <w:t>（四）公司发展战略</w:t>
      </w:r>
      <w:r>
        <w:rPr>
          <w:b w:val="0"/>
          <w:bCs w:val="0"/>
        </w:rPr>
      </w:r>
    </w:p>
    <w:p>
      <w:pPr>
        <w:spacing w:line="240" w:lineRule="auto" w:before="7"/>
        <w:rPr>
          <w:rFonts w:ascii="宋体" w:hAnsi="宋体" w:cs="宋体" w:eastAsia="宋体" w:hint="default"/>
          <w:b/>
          <w:bCs/>
          <w:sz w:val="15"/>
          <w:szCs w:val="15"/>
        </w:rPr>
      </w:pPr>
    </w:p>
    <w:p>
      <w:pPr>
        <w:pStyle w:val="BodyText"/>
        <w:spacing w:line="345" w:lineRule="auto"/>
        <w:ind w:left="514" w:right="1118" w:firstLine="1"/>
        <w:jc w:val="left"/>
      </w:pPr>
      <w:r>
        <w:rPr>
          <w:rFonts w:ascii="Times New Roman" w:hAnsi="Times New Roman" w:cs="Times New Roman" w:eastAsia="Times New Roman" w:hint="default"/>
          <w:b/>
          <w:bCs/>
        </w:rPr>
        <w:t>1</w:t>
      </w:r>
      <w:r>
        <w:rPr>
          <w:rFonts w:ascii="宋体" w:hAnsi="宋体" w:cs="宋体" w:eastAsia="宋体" w:hint="default"/>
          <w:b/>
          <w:bCs/>
        </w:rPr>
        <w:t>、发展战略</w:t>
      </w:r>
      <w:r>
        <w:rPr>
          <w:rFonts w:ascii="宋体" w:hAnsi="宋体" w:cs="宋体" w:eastAsia="宋体" w:hint="default"/>
          <w:b/>
          <w:bCs/>
          <w:w w:val="99"/>
        </w:rPr>
        <w:t> </w:t>
      </w:r>
      <w:r>
        <w:rPr/>
        <w:t>公司将以技术创新为基础，高技术热处理装备制造和高质量专业热处理加工业务同步发展，致力于成为</w:t>
      </w:r>
      <w:r>
        <w:rPr>
          <w:rFonts w:ascii="Times New Roman" w:hAnsi="Times New Roman" w:cs="Times New Roman" w:eastAsia="Times New Roman" w:hint="default"/>
        </w:rPr>
        <w:t>“</w:t>
      </w:r>
      <w:r>
        <w:rPr/>
        <w:t>国际一流的热</w:t>
      </w:r>
    </w:p>
    <w:p>
      <w:pPr>
        <w:pStyle w:val="BodyText"/>
        <w:spacing w:line="232" w:lineRule="exact"/>
        <w:ind w:left="153" w:right="0"/>
        <w:jc w:val="left"/>
      </w:pPr>
      <w:r>
        <w:rPr/>
        <w:t>处理综合解决方案提供商</w:t>
      </w:r>
      <w:r>
        <w:rPr>
          <w:rFonts w:ascii="Times New Roman" w:hAnsi="Times New Roman" w:cs="Times New Roman" w:eastAsia="Times New Roman" w:hint="default"/>
        </w:rPr>
        <w:t>”</w:t>
      </w:r>
      <w:r>
        <w:rPr/>
        <w:t>，为社会、股东、员工创造长期价值。</w:t>
      </w:r>
    </w:p>
    <w:p>
      <w:pPr>
        <w:spacing w:line="240" w:lineRule="auto" w:before="8"/>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w:t>
      </w:r>
      <w:r>
        <w:rPr/>
        <w:t>、业务发展规划</w:t>
      </w:r>
      <w:r>
        <w:rPr>
          <w:b w:val="0"/>
          <w:bCs w:val="0"/>
        </w:rPr>
      </w:r>
    </w:p>
    <w:p>
      <w:pPr>
        <w:pStyle w:val="BodyText"/>
        <w:spacing w:line="240" w:lineRule="auto" w:before="112"/>
        <w:ind w:left="514" w:right="0"/>
        <w:jc w:val="left"/>
      </w:pPr>
      <w:r>
        <w:rPr>
          <w:rFonts w:ascii="Times New Roman" w:hAnsi="Times New Roman" w:cs="Times New Roman" w:eastAsia="Times New Roman" w:hint="default"/>
        </w:rPr>
        <w:t>2.1</w:t>
      </w:r>
      <w:r>
        <w:rPr/>
        <w:t>增加技术和研发投入，开发</w:t>
      </w:r>
      <w:r>
        <w:rPr>
          <w:rFonts w:ascii="Times New Roman" w:hAnsi="Times New Roman" w:cs="Times New Roman" w:eastAsia="Times New Roman" w:hint="default"/>
        </w:rPr>
        <w:t>“</w:t>
      </w:r>
      <w:r>
        <w:rPr/>
        <w:t>智能、环保、高效、节能</w:t>
      </w:r>
      <w:r>
        <w:rPr>
          <w:rFonts w:ascii="Times New Roman" w:hAnsi="Times New Roman" w:cs="Times New Roman" w:eastAsia="Times New Roman" w:hint="default"/>
        </w:rPr>
        <w:t>”</w:t>
      </w:r>
      <w:r>
        <w:rPr/>
        <w:t>的新型热处理装备，进一步抢占高端热处理设备市场。</w:t>
      </w:r>
    </w:p>
    <w:p>
      <w:pPr>
        <w:pStyle w:val="BodyText"/>
        <w:spacing w:line="307" w:lineRule="auto" w:before="111"/>
        <w:ind w:left="153" w:right="1041" w:firstLine="360"/>
        <w:jc w:val="both"/>
      </w:pPr>
      <w:r>
        <w:rPr>
          <w:rFonts w:ascii="Times New Roman" w:hAnsi="Times New Roman" w:cs="Times New Roman" w:eastAsia="Times New Roman" w:hint="default"/>
          <w:spacing w:val="-1"/>
        </w:rPr>
        <w:t>2.2</w:t>
      </w:r>
      <w:r>
        <w:rPr>
          <w:spacing w:val="-1"/>
        </w:rPr>
        <w:t>提高高质量热处理加工服务能力，满足先进制造业对热处理专业服务的需求，增加工艺开发及专业人才培养的投入，</w:t>
      </w:r>
      <w:r>
        <w:rPr/>
        <w:t> 提高热处理加工业务在公司主营业务中的比重。</w:t>
      </w:r>
    </w:p>
    <w:p>
      <w:pPr>
        <w:pStyle w:val="BodyText"/>
        <w:spacing w:line="240" w:lineRule="auto" w:before="74"/>
        <w:ind w:right="0"/>
        <w:jc w:val="left"/>
      </w:pPr>
      <w:r>
        <w:rPr>
          <w:rFonts w:ascii="Times New Roman" w:hAnsi="Times New Roman" w:cs="Times New Roman" w:eastAsia="Times New Roman" w:hint="default"/>
        </w:rPr>
        <w:t>2.3</w:t>
      </w:r>
      <w:r>
        <w:rPr/>
        <w:t>做好设备客户的跟踪与服务，全力开拓售后服务市场，进一步增加售后服务及备品备件销售在主营业务中的比重。</w:t>
      </w:r>
    </w:p>
    <w:p>
      <w:pPr>
        <w:pStyle w:val="BodyText"/>
        <w:spacing w:line="316" w:lineRule="auto" w:before="111"/>
        <w:ind w:left="154" w:right="0" w:firstLine="360"/>
        <w:jc w:val="left"/>
      </w:pPr>
      <w:r>
        <w:rPr>
          <w:rFonts w:ascii="Times New Roman" w:hAnsi="Times New Roman" w:cs="Times New Roman" w:eastAsia="Times New Roman" w:hint="default"/>
          <w:spacing w:val="-1"/>
        </w:rPr>
        <w:t>2.4</w:t>
      </w:r>
      <w:r>
        <w:rPr>
          <w:spacing w:val="-1"/>
        </w:rPr>
        <w:t>利用资本市场发展平台，在充分调研及市场评估分析的基础上，以为股东创造价值为前提，通过新建或并购等方式，</w:t>
      </w:r>
      <w:r>
        <w:rPr/>
        <w:t> </w:t>
      </w:r>
      <w:r>
        <w:rPr>
          <w:spacing w:val="-2"/>
        </w:rPr>
        <w:t>进一步延伸公司产品线，扩大公司业务领域，增加专业加工服务网点，实施连锁经营，提升公司业务规模，增强公司持续发</w:t>
      </w:r>
      <w:r>
        <w:rPr>
          <w:spacing w:val="-66"/>
        </w:rPr>
        <w:t> </w:t>
      </w:r>
      <w:r>
        <w:rPr>
          <w:spacing w:val="-66"/>
        </w:rPr>
      </w:r>
      <w:r>
        <w:rPr/>
        <w:t>展的竞争能力。</w:t>
      </w:r>
    </w:p>
    <w:p>
      <w:pPr>
        <w:pStyle w:val="Heading4"/>
        <w:spacing w:line="240" w:lineRule="auto" w:before="147"/>
        <w:ind w:right="0"/>
        <w:jc w:val="left"/>
        <w:rPr>
          <w:b w:val="0"/>
          <w:bCs w:val="0"/>
        </w:rPr>
      </w:pPr>
      <w:r>
        <w:rPr/>
        <w:t>（五）经营计划</w:t>
      </w:r>
      <w:r>
        <w:rPr>
          <w:b w:val="0"/>
          <w:bCs w:val="0"/>
        </w:rPr>
      </w:r>
    </w:p>
    <w:p>
      <w:pPr>
        <w:spacing w:line="240" w:lineRule="auto" w:before="7"/>
        <w:rPr>
          <w:rFonts w:ascii="宋体" w:hAnsi="宋体" w:cs="宋体" w:eastAsia="宋体"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年度经营目标</w:t>
      </w:r>
      <w:r>
        <w:rPr>
          <w:b w:val="0"/>
          <w:bCs w:val="0"/>
        </w:rPr>
      </w:r>
    </w:p>
    <w:p>
      <w:pPr>
        <w:pStyle w:val="BodyText"/>
        <w:spacing w:line="307" w:lineRule="auto" w:before="112"/>
        <w:ind w:left="153" w:right="1131" w:firstLine="360"/>
        <w:jc w:val="both"/>
      </w:pPr>
      <w:r>
        <w:rPr>
          <w:rFonts w:ascii="Times New Roman" w:hAnsi="Times New Roman" w:cs="Times New Roman" w:eastAsia="Times New Roman" w:hint="default"/>
          <w:spacing w:val="-2"/>
        </w:rPr>
        <w:t>2015</w:t>
      </w:r>
      <w:r>
        <w:rPr>
          <w:spacing w:val="-2"/>
        </w:rPr>
        <w:t>年国家经济增长速度仍有下行压力，机械行业发展外部环境总体偏紧的状况难有明显改观，总体判断，</w:t>
      </w:r>
      <w:r>
        <w:rPr>
          <w:rFonts w:ascii="Times New Roman" w:hAnsi="Times New Roman" w:cs="Times New Roman" w:eastAsia="Times New Roman" w:hint="default"/>
          <w:spacing w:val="-2"/>
        </w:rPr>
        <w:t>2015</w:t>
      </w:r>
      <w:r>
        <w:rPr>
          <w:spacing w:val="-2"/>
        </w:rPr>
        <w:t>年机械</w:t>
      </w:r>
      <w:r>
        <w:rPr/>
        <w:t> </w:t>
      </w:r>
      <w:r>
        <w:rPr>
          <w:spacing w:val="-2"/>
        </w:rPr>
        <w:t>制造业增长速度仍将继续减缓；在国家总体经济发展仍以</w:t>
      </w:r>
      <w:r>
        <w:rPr>
          <w:rFonts w:ascii="Times New Roman" w:hAnsi="Times New Roman" w:cs="Times New Roman" w:eastAsia="Times New Roman" w:hint="default"/>
          <w:spacing w:val="-2"/>
        </w:rPr>
        <w:t>“</w:t>
      </w:r>
      <w:r>
        <w:rPr>
          <w:spacing w:val="-2"/>
        </w:rPr>
        <w:t>结构调整、转型升级</w:t>
      </w:r>
      <w:r>
        <w:rPr>
          <w:rFonts w:ascii="Times New Roman" w:hAnsi="Times New Roman" w:cs="Times New Roman" w:eastAsia="Times New Roman" w:hint="default"/>
          <w:spacing w:val="-2"/>
        </w:rPr>
        <w:t>”</w:t>
      </w:r>
      <w:r>
        <w:rPr>
          <w:spacing w:val="-2"/>
        </w:rPr>
        <w:t>为指导的大环境下，国家也将相继出台一系</w:t>
      </w:r>
      <w:r>
        <w:rPr>
          <w:spacing w:val="-44"/>
        </w:rPr>
        <w:t> </w:t>
      </w:r>
      <w:r>
        <w:rPr>
          <w:spacing w:val="-44"/>
        </w:rPr>
      </w:r>
      <w:r>
        <w:rPr/>
        <w:t>列稳增长、稳投资措施。</w:t>
      </w:r>
    </w:p>
    <w:p>
      <w:pPr>
        <w:spacing w:line="348" w:lineRule="auto" w:before="74"/>
        <w:ind w:left="514" w:right="0" w:firstLine="0"/>
        <w:jc w:val="left"/>
        <w:rPr>
          <w:rFonts w:ascii="宋体" w:hAnsi="宋体" w:cs="宋体" w:eastAsia="宋体" w:hint="default"/>
          <w:sz w:val="18"/>
          <w:szCs w:val="18"/>
        </w:rPr>
      </w:pPr>
      <w:r>
        <w:rPr>
          <w:rFonts w:ascii="宋体" w:hAnsi="宋体" w:cs="宋体" w:eastAsia="宋体" w:hint="default"/>
          <w:spacing w:val="-4"/>
          <w:sz w:val="18"/>
          <w:szCs w:val="18"/>
        </w:rPr>
        <w:t>综合分析</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年的市场预期、潜在的不确定因素以及公司的实际生产能力，确定</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年公司的经营目标为（合并报表）：</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实现营业收入以及归属于母公司股东的净利润分别比</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年度增长</w:t>
      </w:r>
      <w:r>
        <w:rPr>
          <w:rFonts w:ascii="Times New Roman" w:hAnsi="Times New Roman" w:cs="Times New Roman" w:eastAsia="Times New Roman" w:hint="default"/>
          <w:sz w:val="18"/>
          <w:szCs w:val="18"/>
        </w:rPr>
        <w:t>5~15%</w:t>
      </w:r>
      <w:r>
        <w:rPr>
          <w:rFonts w:ascii="宋体" w:hAnsi="宋体" w:cs="宋体" w:eastAsia="宋体" w:hint="default"/>
          <w:sz w:val="18"/>
          <w:szCs w:val="18"/>
        </w:rPr>
        <w:t>。 </w:t>
      </w:r>
      <w:r>
        <w:rPr>
          <w:rFonts w:ascii="宋体" w:hAnsi="宋体" w:cs="宋体" w:eastAsia="宋体" w:hint="default"/>
          <w:b/>
          <w:bCs/>
          <w:sz w:val="18"/>
          <w:szCs w:val="18"/>
        </w:rPr>
        <w:t>以上目标仅为公司董事会确定的</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年度总体经营目标，不代表公司对</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年度的盈利预测，实现情况如何取决于宏</w:t>
      </w:r>
      <w:r>
        <w:rPr>
          <w:rFonts w:ascii="宋体" w:hAnsi="宋体" w:cs="宋体" w:eastAsia="宋体" w:hint="default"/>
          <w:sz w:val="18"/>
          <w:szCs w:val="18"/>
        </w:rPr>
      </w:r>
    </w:p>
    <w:p>
      <w:pPr>
        <w:pStyle w:val="Heading4"/>
        <w:spacing w:line="216" w:lineRule="exact"/>
        <w:ind w:left="154" w:right="0"/>
        <w:jc w:val="left"/>
        <w:rPr>
          <w:b w:val="0"/>
          <w:bCs w:val="0"/>
        </w:rPr>
      </w:pPr>
      <w:r>
        <w:rPr/>
        <w:t>观经济环境、行业发展状况、市场状况变化及经营团队的努力程度等诸多因素，存在一定的不确定性，敬请广大投资者注</w:t>
      </w:r>
      <w:r>
        <w:rPr>
          <w:b w:val="0"/>
          <w:bCs w:val="0"/>
        </w:rPr>
      </w:r>
    </w:p>
    <w:p>
      <w:pPr>
        <w:pStyle w:val="Heading4"/>
        <w:spacing w:line="240" w:lineRule="auto" w:before="85"/>
        <w:ind w:left="154" w:right="0"/>
        <w:jc w:val="left"/>
        <w:rPr>
          <w:b w:val="0"/>
          <w:bCs w:val="0"/>
        </w:rPr>
      </w:pPr>
      <w:r>
        <w:rPr/>
        <w:t>意投资风险。</w:t>
      </w:r>
      <w:r>
        <w:rPr>
          <w:b w:val="0"/>
          <w:bCs w:val="0"/>
        </w:rPr>
      </w:r>
    </w:p>
    <w:p>
      <w:pPr>
        <w:pStyle w:val="BodyText"/>
        <w:spacing w:line="440" w:lineRule="atLeast" w:before="14"/>
        <w:ind w:left="514" w:right="0" w:firstLine="1"/>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2015</w:t>
      </w:r>
      <w:r>
        <w:rPr>
          <w:rFonts w:ascii="宋体" w:hAnsi="宋体" w:cs="宋体" w:eastAsia="宋体" w:hint="default"/>
          <w:b/>
          <w:bCs/>
        </w:rPr>
        <w:t>年经营计划</w:t>
      </w:r>
      <w:r>
        <w:rPr>
          <w:rFonts w:ascii="宋体" w:hAnsi="宋体" w:cs="宋体" w:eastAsia="宋体" w:hint="default"/>
          <w:b/>
          <w:bCs/>
          <w:w w:val="99"/>
        </w:rPr>
        <w:t> </w:t>
      </w:r>
      <w:r>
        <w:rPr>
          <w:spacing w:val="-2"/>
        </w:rPr>
        <w:t>结合整体市场环境及公司战略规划，为实现</w:t>
      </w:r>
      <w:r>
        <w:rPr>
          <w:rFonts w:ascii="Times New Roman" w:hAnsi="Times New Roman" w:cs="Times New Roman" w:eastAsia="Times New Roman" w:hint="default"/>
          <w:spacing w:val="-2"/>
        </w:rPr>
        <w:t>2015</w:t>
      </w:r>
      <w:r>
        <w:rPr>
          <w:spacing w:val="-2"/>
        </w:rPr>
        <w:t>年度经营目标，公司的总体经营计划思路为：加大市场开发力度，提升</w:t>
      </w:r>
    </w:p>
    <w:p>
      <w:pPr>
        <w:pStyle w:val="BodyText"/>
        <w:spacing w:line="326" w:lineRule="auto" w:before="71"/>
        <w:ind w:left="154" w:right="1118"/>
        <w:jc w:val="left"/>
      </w:pPr>
      <w:r>
        <w:rPr>
          <w:spacing w:val="-2"/>
        </w:rPr>
        <w:t>公司产品质量，提高项目运营能力，优化公司内部资源，加快加工服务网点布局，合理调整主营业务的区域力量。具体措施</w:t>
      </w:r>
      <w:r>
        <w:rPr>
          <w:spacing w:val="-66"/>
        </w:rPr>
        <w:t> </w:t>
      </w:r>
      <w:r>
        <w:rPr>
          <w:spacing w:val="-66"/>
        </w:rPr>
      </w:r>
      <w:r>
        <w:rPr/>
        <w:t>如下：</w:t>
      </w:r>
    </w:p>
    <w:p>
      <w:pPr>
        <w:pStyle w:val="BodyText"/>
        <w:spacing w:line="316" w:lineRule="auto" w:before="139"/>
        <w:ind w:left="154" w:right="1133" w:firstLine="361"/>
        <w:jc w:val="both"/>
      </w:pPr>
      <w:r>
        <w:rPr>
          <w:rFonts w:ascii="Times New Roman" w:hAnsi="Times New Roman" w:cs="Times New Roman" w:eastAsia="Times New Roman" w:hint="default"/>
          <w:b/>
          <w:bCs/>
        </w:rPr>
        <w:t>2.1</w:t>
      </w:r>
      <w:r>
        <w:rPr>
          <w:rFonts w:ascii="宋体" w:hAnsi="宋体" w:cs="宋体" w:eastAsia="宋体" w:hint="default"/>
          <w:b/>
          <w:bCs/>
        </w:rPr>
        <w:t>充实销售队伍，集中力量开拓国内国际市场。</w:t>
      </w:r>
      <w:r>
        <w:rPr>
          <w:rFonts w:ascii="Times New Roman" w:hAnsi="Times New Roman" w:cs="Times New Roman" w:eastAsia="Times New Roman" w:hint="default"/>
        </w:rPr>
        <w:t>2015</w:t>
      </w:r>
      <w:r>
        <w:rPr/>
        <w:t>年度公司将进一步充实销售人员队伍，整合销售资源，利用公司 </w:t>
      </w:r>
      <w:r>
        <w:rPr>
          <w:spacing w:val="-2"/>
        </w:rPr>
        <w:t>具有丰富产品线的优势，在巩固已有行业客户的基础前提下，对一些新兴行业，尤其是国家重点鼓励支持的行业将加大宣传</w:t>
      </w:r>
      <w:r>
        <w:rPr>
          <w:spacing w:val="-66"/>
        </w:rPr>
        <w:t> </w:t>
      </w:r>
      <w:r>
        <w:rPr>
          <w:spacing w:val="-66"/>
        </w:rPr>
      </w:r>
      <w:r>
        <w:rPr/>
        <w:t>推广及销售力度；与此同时，公司将充分利用各方资源全力开拓海外市场，增加海外销售的比重。</w:t>
      </w:r>
    </w:p>
    <w:p>
      <w:pPr>
        <w:pStyle w:val="BodyText"/>
        <w:spacing w:line="309" w:lineRule="auto" w:before="146"/>
        <w:ind w:left="153" w:right="0" w:firstLine="361"/>
        <w:jc w:val="left"/>
      </w:pPr>
      <w:r>
        <w:rPr>
          <w:rFonts w:ascii="Times New Roman" w:hAnsi="Times New Roman" w:cs="Times New Roman" w:eastAsia="Times New Roman" w:hint="default"/>
          <w:b/>
          <w:bCs/>
        </w:rPr>
        <w:t>2.2</w:t>
      </w:r>
      <w:r>
        <w:rPr>
          <w:rFonts w:ascii="宋体" w:hAnsi="宋体" w:cs="宋体" w:eastAsia="宋体" w:hint="default"/>
          <w:b/>
          <w:bCs/>
        </w:rPr>
        <w:t>全面推进</w:t>
      </w:r>
      <w:r>
        <w:rPr>
          <w:rFonts w:ascii="Times New Roman" w:hAnsi="Times New Roman" w:cs="Times New Roman" w:eastAsia="Times New Roman" w:hint="default"/>
          <w:b/>
          <w:bCs/>
        </w:rPr>
        <w:t>ERP</w:t>
      </w:r>
      <w:r>
        <w:rPr>
          <w:rFonts w:ascii="宋体" w:hAnsi="宋体" w:cs="宋体" w:eastAsia="宋体" w:hint="default"/>
          <w:b/>
          <w:bCs/>
        </w:rPr>
        <w:t>，提高运营效率实现精益生产。</w:t>
      </w:r>
      <w:r>
        <w:rPr>
          <w:rFonts w:ascii="Times New Roman" w:hAnsi="Times New Roman" w:cs="Times New Roman" w:eastAsia="Times New Roman" w:hint="default"/>
        </w:rPr>
        <w:t>ERP</w:t>
      </w:r>
      <w:r>
        <w:rPr/>
        <w:t>不仅仅是一个软件，更是管理思想和管理流程的体现，是从粗放</w:t>
      </w:r>
      <w:r>
        <w:rPr>
          <w:w w:val="99"/>
        </w:rPr>
        <w:t> </w:t>
      </w:r>
      <w:r>
        <w:rPr>
          <w:spacing w:val="-3"/>
        </w:rPr>
        <w:t>管理到精细管理的飞跃，公司</w:t>
      </w:r>
      <w:r>
        <w:rPr>
          <w:rFonts w:ascii="Times New Roman" w:hAnsi="Times New Roman" w:cs="Times New Roman" w:eastAsia="Times New Roman" w:hint="default"/>
          <w:spacing w:val="-3"/>
        </w:rPr>
        <w:t>2015</w:t>
      </w:r>
      <w:r>
        <w:rPr>
          <w:spacing w:val="-3"/>
        </w:rPr>
        <w:t>年将在完善基础资料的基础上全面推进</w:t>
      </w:r>
      <w:r>
        <w:rPr>
          <w:rFonts w:ascii="Times New Roman" w:hAnsi="Times New Roman" w:cs="Times New Roman" w:eastAsia="Times New Roman" w:hint="default"/>
          <w:spacing w:val="-3"/>
        </w:rPr>
        <w:t>ERP</w:t>
      </w:r>
      <w:r>
        <w:rPr>
          <w:spacing w:val="-3"/>
        </w:rPr>
        <w:t>，通过各职能部门的通力配合，借助系统工具，</w:t>
      </w:r>
      <w:r>
        <w:rPr>
          <w:spacing w:val="-62"/>
        </w:rPr>
        <w:t> </w:t>
      </w:r>
      <w:r>
        <w:rPr>
          <w:spacing w:val="-62"/>
        </w:rPr>
      </w:r>
      <w:r>
        <w:rPr/>
        <w:t>缩短产品开发周期和生产周期，提高准时交付率，提高客户满意度，提高工作效率及市场竞争力。</w:t>
      </w:r>
    </w:p>
    <w:p>
      <w:pPr>
        <w:pStyle w:val="BodyText"/>
        <w:spacing w:line="309" w:lineRule="auto" w:before="151"/>
        <w:ind w:left="153" w:right="1131" w:firstLine="361"/>
        <w:jc w:val="both"/>
      </w:pPr>
      <w:r>
        <w:rPr>
          <w:rFonts w:ascii="Times New Roman" w:hAnsi="Times New Roman" w:cs="Times New Roman" w:eastAsia="Times New Roman" w:hint="default"/>
          <w:b/>
          <w:bCs/>
        </w:rPr>
        <w:t>2.3</w:t>
      </w:r>
      <w:r>
        <w:rPr>
          <w:rFonts w:ascii="宋体" w:hAnsi="宋体" w:cs="宋体" w:eastAsia="宋体" w:hint="default"/>
          <w:b/>
          <w:bCs/>
        </w:rPr>
        <w:t>强化成本控制，节约空间挂钩个人考核奖惩。</w:t>
      </w:r>
      <w:r>
        <w:rPr/>
        <w:t>在目前整体经济环境不好的情况下，节流显得尤为重要。</w:t>
      </w:r>
      <w:r>
        <w:rPr>
          <w:rFonts w:ascii="Times New Roman" w:hAnsi="Times New Roman" w:cs="Times New Roman" w:eastAsia="Times New Roman" w:hint="default"/>
        </w:rPr>
        <w:t>2015</w:t>
      </w:r>
      <w:r>
        <w:rPr/>
        <w:t>年确定 </w:t>
      </w:r>
      <w:r>
        <w:rPr>
          <w:spacing w:val="-2"/>
        </w:rPr>
        <w:t>为公司的</w:t>
      </w:r>
      <w:r>
        <w:rPr>
          <w:rFonts w:ascii="Times New Roman" w:hAnsi="Times New Roman" w:cs="Times New Roman" w:eastAsia="Times New Roman" w:hint="default"/>
          <w:spacing w:val="-2"/>
        </w:rPr>
        <w:t>“</w:t>
      </w:r>
      <w:r>
        <w:rPr>
          <w:spacing w:val="-2"/>
        </w:rPr>
        <w:t>成本控制年</w:t>
      </w:r>
      <w:r>
        <w:rPr>
          <w:rFonts w:ascii="Times New Roman" w:hAnsi="Times New Roman" w:cs="Times New Roman" w:eastAsia="Times New Roman" w:hint="default"/>
          <w:spacing w:val="-2"/>
        </w:rPr>
        <w:t>”</w:t>
      </w:r>
      <w:r>
        <w:rPr>
          <w:spacing w:val="-2"/>
        </w:rPr>
        <w:t>，推行全员节约，同时公司将成本节约部分挂钩员工的考核奖惩，通过有效的成本控制促进经营质量</w:t>
      </w:r>
      <w:r>
        <w:rPr>
          <w:spacing w:val="-45"/>
        </w:rPr>
        <w:t> </w:t>
      </w:r>
      <w:r>
        <w:rPr>
          <w:spacing w:val="-45"/>
        </w:rPr>
      </w:r>
      <w:r>
        <w:rPr/>
        <w:t>和效益的提升。</w:t>
      </w:r>
    </w:p>
    <w:p>
      <w:pPr>
        <w:pStyle w:val="BodyText"/>
        <w:spacing w:line="309" w:lineRule="auto" w:before="152"/>
        <w:ind w:left="154" w:right="1131" w:firstLine="361"/>
        <w:jc w:val="both"/>
      </w:pPr>
      <w:r>
        <w:rPr>
          <w:rFonts w:ascii="Times New Roman" w:hAnsi="Times New Roman" w:cs="Times New Roman" w:eastAsia="Times New Roman" w:hint="default"/>
          <w:b/>
          <w:bCs/>
        </w:rPr>
        <w:t>2.4</w:t>
      </w:r>
      <w:r>
        <w:rPr>
          <w:rFonts w:ascii="宋体" w:hAnsi="宋体" w:cs="宋体" w:eastAsia="宋体" w:hint="default"/>
          <w:b/>
          <w:bCs/>
        </w:rPr>
        <w:t>加强人才培养，搭建员工职业生涯发展平台。</w:t>
      </w:r>
      <w:r>
        <w:rPr/>
        <w:t>公司将持续引进并储备年轻人才，关注员工的成才诉求，注重员工的 </w:t>
      </w:r>
      <w:r>
        <w:rPr>
          <w:spacing w:val="-2"/>
        </w:rPr>
        <w:t>可持续发展，引导员工树立</w:t>
      </w:r>
      <w:r>
        <w:rPr>
          <w:rFonts w:ascii="Times New Roman" w:hAnsi="Times New Roman" w:cs="Times New Roman" w:eastAsia="Times New Roman" w:hint="default"/>
          <w:spacing w:val="-2"/>
        </w:rPr>
        <w:t>“</w:t>
      </w:r>
      <w:r>
        <w:rPr>
          <w:spacing w:val="-2"/>
        </w:rPr>
        <w:t>我与丰东同发展、我为丰东作贡献</w:t>
      </w:r>
      <w:r>
        <w:rPr>
          <w:rFonts w:ascii="Times New Roman" w:hAnsi="Times New Roman" w:cs="Times New Roman" w:eastAsia="Times New Roman" w:hint="default"/>
          <w:spacing w:val="-2"/>
        </w:rPr>
        <w:t>”</w:t>
      </w:r>
      <w:r>
        <w:rPr>
          <w:spacing w:val="-2"/>
        </w:rPr>
        <w:t>的理念，积极为员工搭建职业生涯发展平台，实现员工与企</w:t>
      </w:r>
      <w:r>
        <w:rPr>
          <w:spacing w:val="-44"/>
        </w:rPr>
        <w:t> </w:t>
      </w:r>
      <w:r>
        <w:rPr>
          <w:spacing w:val="-44"/>
        </w:rPr>
      </w:r>
      <w:r>
        <w:rPr/>
        <w:t>业的共同发展。</w:t>
      </w:r>
    </w:p>
    <w:p>
      <w:pPr>
        <w:spacing w:after="0" w:line="309" w:lineRule="auto"/>
        <w:jc w:val="both"/>
        <w:sectPr>
          <w:pgSz w:w="11910" w:h="16840"/>
          <w:pgMar w:header="691" w:footer="979" w:top="1100" w:bottom="1160" w:left="980" w:right="0"/>
        </w:sectPr>
      </w:pPr>
    </w:p>
    <w:p>
      <w:pPr>
        <w:spacing w:line="240" w:lineRule="auto" w:before="8"/>
        <w:rPr>
          <w:rFonts w:ascii="宋体" w:hAnsi="宋体" w:cs="宋体" w:eastAsia="宋体" w:hint="default"/>
          <w:sz w:val="24"/>
          <w:szCs w:val="24"/>
        </w:rPr>
      </w:pPr>
    </w:p>
    <w:p>
      <w:pPr>
        <w:pStyle w:val="BodyText"/>
        <w:spacing w:line="307" w:lineRule="auto" w:before="44"/>
        <w:ind w:left="153" w:right="1131" w:firstLine="361"/>
        <w:jc w:val="both"/>
      </w:pPr>
      <w:r>
        <w:rPr>
          <w:rFonts w:ascii="Times New Roman" w:hAnsi="Times New Roman" w:cs="Times New Roman" w:eastAsia="Times New Roman" w:hint="default"/>
          <w:b/>
          <w:bCs/>
        </w:rPr>
        <w:t>2.5</w:t>
      </w:r>
      <w:r>
        <w:rPr>
          <w:rFonts w:ascii="宋体" w:hAnsi="宋体" w:cs="宋体" w:eastAsia="宋体" w:hint="default"/>
          <w:b/>
          <w:bCs/>
        </w:rPr>
        <w:t>加大创新投入，提升满足客户需求应对能力。</w:t>
      </w:r>
      <w:r>
        <w:rPr/>
        <w:t>伴随着客户需求的多样化，对公司设备及工艺的应用能力也提出了越 </w:t>
      </w:r>
      <w:r>
        <w:rPr>
          <w:spacing w:val="-2"/>
        </w:rPr>
        <w:t>来越高的要求，一方面，公司通过接受非标及新产品订单促进</w:t>
      </w:r>
      <w:r>
        <w:rPr>
          <w:rFonts w:ascii="Times New Roman" w:hAnsi="Times New Roman" w:cs="Times New Roman" w:eastAsia="Times New Roman" w:hint="default"/>
          <w:spacing w:val="-2"/>
        </w:rPr>
        <w:t>“</w:t>
      </w:r>
      <w:r>
        <w:rPr>
          <w:spacing w:val="-2"/>
        </w:rPr>
        <w:t>被动</w:t>
      </w:r>
      <w:r>
        <w:rPr>
          <w:rFonts w:ascii="Times New Roman" w:hAnsi="Times New Roman" w:cs="Times New Roman" w:eastAsia="Times New Roman" w:hint="default"/>
          <w:spacing w:val="-2"/>
        </w:rPr>
        <w:t>”</w:t>
      </w:r>
      <w:r>
        <w:rPr>
          <w:spacing w:val="-2"/>
        </w:rPr>
        <w:t>研发，另一方面公司将借助国家级技术中心平台，不断</w:t>
      </w:r>
      <w:r>
        <w:rPr>
          <w:spacing w:val="-45"/>
        </w:rPr>
        <w:t> </w:t>
      </w:r>
      <w:r>
        <w:rPr>
          <w:spacing w:val="-45"/>
        </w:rPr>
      </w:r>
      <w:r>
        <w:rPr>
          <w:spacing w:val="-2"/>
        </w:rPr>
        <w:t>加大创新投入，积极主动研发，加强技术储备，以提升满足客户需求的应对能力。</w:t>
      </w:r>
      <w:r>
        <w:rPr>
          <w:rFonts w:ascii="Times New Roman" w:hAnsi="Times New Roman" w:cs="Times New Roman" w:eastAsia="Times New Roman" w:hint="default"/>
          <w:spacing w:val="-2"/>
        </w:rPr>
        <w:t>2015</w:t>
      </w:r>
      <w:r>
        <w:rPr>
          <w:spacing w:val="-2"/>
        </w:rPr>
        <w:t>年以等离子氮化及表面改性相关设备</w:t>
      </w:r>
      <w:r>
        <w:rPr>
          <w:spacing w:val="-61"/>
        </w:rPr>
        <w:t> </w:t>
      </w:r>
      <w:r>
        <w:rPr>
          <w:spacing w:val="-2"/>
        </w:rPr>
        <w:t>的持续开发为重点方向，同时结合公司整体资源，力争在</w:t>
      </w:r>
      <w:r>
        <w:rPr>
          <w:rFonts w:ascii="Times New Roman" w:hAnsi="Times New Roman" w:cs="Times New Roman" w:eastAsia="Times New Roman" w:hint="default"/>
          <w:spacing w:val="-2"/>
        </w:rPr>
        <w:t>2015</w:t>
      </w:r>
      <w:r>
        <w:rPr>
          <w:spacing w:val="-2"/>
        </w:rPr>
        <w:t>年底前真空渗碳项目能在上海丰东得到应用，与此同时加大铝</w:t>
      </w:r>
      <w:r>
        <w:rPr>
          <w:spacing w:val="-62"/>
        </w:rPr>
        <w:t> </w:t>
      </w:r>
      <w:r>
        <w:rPr>
          <w:spacing w:val="-62"/>
        </w:rPr>
      </w:r>
      <w:r>
        <w:rPr/>
        <w:t>合金热处理设备的技术研发及市场开拓，力争铝合金热处理设备成为公司装备业务新的增长点。</w:t>
      </w:r>
    </w:p>
    <w:p>
      <w:pPr>
        <w:pStyle w:val="BodyText"/>
        <w:spacing w:line="324" w:lineRule="auto" w:before="153"/>
        <w:ind w:left="154" w:right="1032" w:firstLine="361"/>
        <w:jc w:val="left"/>
      </w:pPr>
      <w:r>
        <w:rPr>
          <w:rFonts w:ascii="Times New Roman" w:hAnsi="Times New Roman" w:cs="Times New Roman" w:eastAsia="Times New Roman" w:hint="default"/>
          <w:b/>
          <w:bCs/>
        </w:rPr>
        <w:t>2.6</w:t>
      </w:r>
      <w:r>
        <w:rPr>
          <w:rFonts w:ascii="宋体" w:hAnsi="宋体" w:cs="宋体" w:eastAsia="宋体" w:hint="default"/>
          <w:b/>
          <w:bCs/>
        </w:rPr>
        <w:t>明确战略布局，集中资源优势促进转型升级。</w:t>
      </w:r>
      <w:r>
        <w:rPr/>
        <w:t>从</w:t>
      </w:r>
      <w:r>
        <w:rPr>
          <w:rFonts w:ascii="Times New Roman" w:hAnsi="Times New Roman" w:cs="Times New Roman" w:eastAsia="Times New Roman" w:hint="default"/>
        </w:rPr>
        <w:t>2014</w:t>
      </w:r>
      <w:r>
        <w:rPr/>
        <w:t>年度的经营结果来看，以加工业务为主的企业均实现了持续稳 </w:t>
      </w:r>
      <w:r>
        <w:rPr>
          <w:spacing w:val="-2"/>
        </w:rPr>
        <w:t>定的增长，而以设备业务为主的企业经营业绩却不尽如人意。通过梳理各家公司成立以来的经营曲线，我们发现，加工业务</w:t>
      </w:r>
      <w:r>
        <w:rPr>
          <w:spacing w:val="-66"/>
        </w:rPr>
        <w:t> </w:t>
      </w:r>
      <w:r>
        <w:rPr>
          <w:spacing w:val="-66"/>
        </w:rPr>
      </w:r>
      <w:r>
        <w:rPr/>
        <w:t>比较稳定，并且伴随着客户的开拓与成长，加工业务呈现持续向好的发展态势；而设备业务对下游客户的景气度更为敏感， </w:t>
      </w:r>
      <w:r>
        <w:rPr>
          <w:spacing w:val="-2"/>
        </w:rPr>
        <w:t>设备业务的增速相对较慢。为此，公司未来将重点布局热处理连锁服务中心，在没有差异化高精尖技术的情况下不再投资设</w:t>
      </w:r>
      <w:r>
        <w:rPr>
          <w:spacing w:val="-66"/>
        </w:rPr>
        <w:t> </w:t>
      </w:r>
      <w:r>
        <w:rPr>
          <w:spacing w:val="-66"/>
        </w:rPr>
      </w:r>
      <w:r>
        <w:rPr>
          <w:spacing w:val="-2"/>
        </w:rPr>
        <w:t>备企业，同时公司将重新整合设备资源，对现有设备企业进行转型升级：天津丰东的主营业务将由设备为主逐步过渡到以专</w:t>
      </w:r>
      <w:r>
        <w:rPr>
          <w:spacing w:val="-66"/>
        </w:rPr>
        <w:t> </w:t>
      </w:r>
      <w:r>
        <w:rPr>
          <w:spacing w:val="-66"/>
        </w:rPr>
      </w:r>
      <w:r>
        <w:rPr>
          <w:spacing w:val="-2"/>
        </w:rPr>
        <w:t>业热处理加工及维修服务为主，未来也不排除对个别技术优势不明显的设备企业进行资产处置，集中资源优势促进企业的转</w:t>
      </w:r>
      <w:r>
        <w:rPr>
          <w:spacing w:val="-64"/>
        </w:rPr>
        <w:t> </w:t>
      </w:r>
      <w:r>
        <w:rPr>
          <w:spacing w:val="-64"/>
        </w:rPr>
      </w:r>
      <w:r>
        <w:rPr/>
        <w:t>型升级。</w:t>
      </w:r>
    </w:p>
    <w:p>
      <w:pPr>
        <w:pStyle w:val="BodyText"/>
        <w:spacing w:line="314" w:lineRule="auto" w:before="62"/>
        <w:ind w:left="153" w:right="1036" w:firstLine="361"/>
        <w:jc w:val="left"/>
      </w:pPr>
      <w:r>
        <w:rPr>
          <w:rFonts w:ascii="Times New Roman" w:hAnsi="Times New Roman" w:cs="Times New Roman" w:eastAsia="Times New Roman" w:hint="default"/>
          <w:b/>
          <w:bCs/>
        </w:rPr>
        <w:t>2.7</w:t>
      </w:r>
      <w:r>
        <w:rPr>
          <w:rFonts w:ascii="Times New Roman" w:hAnsi="Times New Roman" w:cs="Times New Roman" w:eastAsia="Times New Roman" w:hint="default"/>
          <w:b/>
          <w:bCs/>
          <w:spacing w:val="30"/>
        </w:rPr>
        <w:t> </w:t>
      </w:r>
      <w:r>
        <w:rPr>
          <w:rFonts w:ascii="宋体" w:hAnsi="宋体" w:cs="宋体" w:eastAsia="宋体" w:hint="default"/>
          <w:b/>
          <w:bCs/>
        </w:rPr>
        <w:t>利用融资平台，加快兼并重组实现跨越发展。</w:t>
      </w:r>
      <w:r>
        <w:rPr/>
        <w:t>公司计划于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月底之前完成对常州市鑫润热处理有限公司的股 </w:t>
      </w:r>
      <w:r>
        <w:rPr>
          <w:spacing w:val="-4"/>
        </w:rPr>
        <w:t>权收购及增资手续，同时公司也将在前期大量调研工作的基础上，选准选好项目，逐个快速推进，利用资本市场的融资平台，</w:t>
      </w:r>
      <w:r>
        <w:rPr>
          <w:spacing w:val="-46"/>
        </w:rPr>
        <w:t> </w:t>
      </w:r>
      <w:r>
        <w:rPr>
          <w:spacing w:val="-46"/>
        </w:rPr>
      </w:r>
      <w:r>
        <w:rPr>
          <w:spacing w:val="-2"/>
        </w:rPr>
        <w:t>加快兼并重组，实现公司的快速跨越发展。公司计划新调研专业热处理加工网点项目</w:t>
      </w:r>
      <w:r>
        <w:rPr>
          <w:rFonts w:ascii="Times New Roman" w:hAnsi="Times New Roman" w:cs="Times New Roman" w:eastAsia="Times New Roman" w:hint="default"/>
          <w:spacing w:val="-2"/>
        </w:rPr>
        <w:t>3~5</w:t>
      </w:r>
      <w:r>
        <w:rPr>
          <w:spacing w:val="-2"/>
        </w:rPr>
        <w:t>个，在</w:t>
      </w:r>
      <w:r>
        <w:rPr>
          <w:rFonts w:ascii="Times New Roman" w:hAnsi="Times New Roman" w:cs="Times New Roman" w:eastAsia="Times New Roman" w:hint="default"/>
          <w:spacing w:val="-2"/>
        </w:rPr>
        <w:t>2015</w:t>
      </w:r>
      <w:r>
        <w:rPr>
          <w:spacing w:val="-2"/>
        </w:rPr>
        <w:t>年内确保新增</w:t>
      </w:r>
      <w:r>
        <w:rPr>
          <w:rFonts w:ascii="Times New Roman" w:hAnsi="Times New Roman" w:cs="Times New Roman" w:eastAsia="Times New Roman" w:hint="default"/>
          <w:spacing w:val="-2"/>
        </w:rPr>
        <w:t>2</w:t>
      </w:r>
      <w:r>
        <w:rPr>
          <w:spacing w:val="-2"/>
        </w:rPr>
        <w:t>个热处理</w:t>
      </w:r>
      <w:r>
        <w:rPr>
          <w:spacing w:val="-68"/>
        </w:rPr>
        <w:t> </w:t>
      </w:r>
      <w:r>
        <w:rPr/>
        <w:t>加工中心。</w:t>
      </w:r>
    </w:p>
    <w:p>
      <w:pPr>
        <w:spacing w:line="240" w:lineRule="auto" w:before="7"/>
        <w:rPr>
          <w:rFonts w:ascii="宋体" w:hAnsi="宋体" w:cs="宋体" w:eastAsia="宋体" w:hint="default"/>
          <w:sz w:val="14"/>
          <w:szCs w:val="14"/>
        </w:rPr>
      </w:pPr>
    </w:p>
    <w:p>
      <w:pPr>
        <w:pStyle w:val="Heading4"/>
        <w:spacing w:line="240" w:lineRule="auto"/>
        <w:ind w:right="0"/>
        <w:jc w:val="left"/>
        <w:rPr>
          <w:b w:val="0"/>
          <w:bCs w:val="0"/>
        </w:rPr>
      </w:pPr>
      <w:r>
        <w:rPr/>
        <w:t>（六）资金需求及使用计划</w:t>
      </w:r>
      <w:r>
        <w:rPr>
          <w:b w:val="0"/>
          <w:bCs w:val="0"/>
        </w:rPr>
      </w:r>
    </w:p>
    <w:p>
      <w:pPr>
        <w:pStyle w:val="BodyText"/>
        <w:spacing w:line="307" w:lineRule="auto" w:before="124"/>
        <w:ind w:left="153" w:right="0" w:firstLine="360"/>
        <w:jc w:val="left"/>
      </w:pPr>
      <w:r>
        <w:rPr>
          <w:rFonts w:ascii="Times New Roman" w:hAnsi="Times New Roman" w:cs="Times New Roman" w:eastAsia="Times New Roman" w:hint="default"/>
          <w:spacing w:val="-4"/>
        </w:rPr>
        <w:t>2015</w:t>
      </w:r>
      <w:r>
        <w:rPr>
          <w:spacing w:val="-4"/>
        </w:rPr>
        <w:t>年，为实现公司的经营目标，满足业务发展对资金的需求，公司将充分利用好自有资金和募集资金，拓宽融资渠道，</w:t>
      </w:r>
      <w:r>
        <w:rPr/>
        <w:t> 优化财务结构，进一步加强应收账款管理，为公司的业务发展提供强有力的资金保障。</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t>（七）可能面临的风险及应对措施</w:t>
      </w:r>
      <w:r>
        <w:rPr>
          <w:b w:val="0"/>
          <w:bCs w:val="0"/>
        </w:rPr>
      </w:r>
    </w:p>
    <w:p>
      <w:pPr>
        <w:spacing w:line="240" w:lineRule="auto" w:before="8"/>
        <w:rPr>
          <w:rFonts w:ascii="宋体" w:hAnsi="宋体" w:cs="宋体" w:eastAsia="宋体" w:hint="default"/>
          <w:b/>
          <w:bCs/>
          <w:sz w:val="15"/>
          <w:szCs w:val="15"/>
        </w:rPr>
      </w:pPr>
    </w:p>
    <w:p>
      <w:pPr>
        <w:pStyle w:val="BodyText"/>
        <w:spacing w:line="345" w:lineRule="auto"/>
        <w:ind w:left="514" w:right="1118" w:firstLine="1"/>
        <w:jc w:val="left"/>
      </w:pPr>
      <w:r>
        <w:rPr>
          <w:rFonts w:ascii="Times New Roman" w:hAnsi="Times New Roman" w:cs="Times New Roman" w:eastAsia="Times New Roman" w:hint="default"/>
          <w:b/>
          <w:bCs/>
        </w:rPr>
        <w:t>1</w:t>
      </w:r>
      <w:r>
        <w:rPr>
          <w:rFonts w:ascii="宋体" w:hAnsi="宋体" w:cs="宋体" w:eastAsia="宋体" w:hint="default"/>
          <w:b/>
          <w:bCs/>
        </w:rPr>
        <w:t>、市场风险</w:t>
      </w:r>
      <w:r>
        <w:rPr>
          <w:rFonts w:ascii="宋体" w:hAnsi="宋体" w:cs="宋体" w:eastAsia="宋体" w:hint="default"/>
          <w:b/>
          <w:bCs/>
          <w:w w:val="99"/>
        </w:rPr>
        <w:t> </w:t>
      </w:r>
      <w:r>
        <w:rPr>
          <w:spacing w:val="-2"/>
        </w:rPr>
        <w:t>热处理行业的市场需求与下游行业的发展和景气度具有较强的联动性，而下游机械制造行业容易受到经济景气周期和国</w:t>
      </w:r>
    </w:p>
    <w:p>
      <w:pPr>
        <w:pStyle w:val="BodyText"/>
        <w:spacing w:line="367" w:lineRule="auto" w:before="4"/>
        <w:ind w:right="0" w:hanging="360"/>
        <w:jc w:val="left"/>
      </w:pPr>
      <w:r>
        <w:rPr/>
        <w:t>家调控政策影响，如果机械制造行业不景气或者发生重大不利变化，将会对公司的生产经营产生直接的负面影响。 </w:t>
      </w:r>
      <w:r>
        <w:rPr>
          <w:spacing w:val="-2"/>
        </w:rPr>
        <w:t>为减少这些客观因素对公司主营业务的影响，公司必须在市场开拓、产品研发、持续创新上给予更大的投入，从而开拓</w:t>
      </w:r>
    </w:p>
    <w:p>
      <w:pPr>
        <w:pStyle w:val="BodyText"/>
        <w:spacing w:line="224" w:lineRule="exact"/>
        <w:ind w:left="153" w:right="0"/>
        <w:jc w:val="both"/>
      </w:pPr>
      <w:r>
        <w:rPr/>
        <w:t>更多行业的客户，使公司的主营业务服务范围辐射到更宽的领域，分散客户行业的集中度。</w:t>
      </w:r>
    </w:p>
    <w:p>
      <w:pPr>
        <w:spacing w:line="240" w:lineRule="auto" w:before="9"/>
        <w:rPr>
          <w:rFonts w:ascii="宋体" w:hAnsi="宋体" w:cs="宋体" w:eastAsia="宋体" w:hint="default"/>
          <w:sz w:val="15"/>
          <w:szCs w:val="15"/>
        </w:rPr>
      </w:pPr>
    </w:p>
    <w:p>
      <w:pPr>
        <w:pStyle w:val="BodyText"/>
        <w:spacing w:line="345" w:lineRule="auto"/>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、管理风险</w:t>
      </w:r>
      <w:r>
        <w:rPr>
          <w:rFonts w:ascii="宋体" w:hAnsi="宋体" w:cs="宋体" w:eastAsia="宋体" w:hint="default"/>
          <w:b/>
          <w:bCs/>
          <w:w w:val="99"/>
        </w:rPr>
        <w:t> </w:t>
      </w:r>
      <w:r>
        <w:rPr>
          <w:spacing w:val="-2"/>
        </w:rPr>
        <w:t>伴随着公司设备市场竞争的日趋激烈以及专业热处理加工业务网点的增多，将对现有的管理体系、管理人员提出更高的</w:t>
      </w:r>
    </w:p>
    <w:p>
      <w:pPr>
        <w:pStyle w:val="BodyText"/>
        <w:spacing w:line="326" w:lineRule="auto" w:before="4"/>
        <w:ind w:left="154" w:right="1133"/>
        <w:jc w:val="both"/>
      </w:pPr>
      <w:r>
        <w:rPr>
          <w:spacing w:val="-2"/>
        </w:rPr>
        <w:t>要求。尽管公司已经积累了较丰富的企业管理经验，建立了规范的法人治理结构和健全的内部控制制度，生产经营能保持有</w:t>
      </w:r>
      <w:r>
        <w:rPr>
          <w:spacing w:val="-66"/>
        </w:rPr>
        <w:t> </w:t>
      </w:r>
      <w:r>
        <w:rPr>
          <w:spacing w:val="-66"/>
        </w:rPr>
      </w:r>
      <w:r>
        <w:rPr>
          <w:spacing w:val="-2"/>
        </w:rPr>
        <w:t>序运行，但是如果公司管理水平不能随着公司业务规模的扩大而提高，将会对公司的发展构成一定的投资风险。特别是专业</w:t>
      </w:r>
      <w:r>
        <w:rPr>
          <w:spacing w:val="-66"/>
        </w:rPr>
        <w:t> </w:t>
      </w:r>
      <w:r>
        <w:rPr>
          <w:spacing w:val="-66"/>
        </w:rPr>
      </w:r>
      <w:r>
        <w:rPr/>
        <w:t>热处理加工服务质量体系及规范标准化管理建设将是公司面临的一个重要课题。</w:t>
      </w:r>
    </w:p>
    <w:p>
      <w:pPr>
        <w:pStyle w:val="BodyText"/>
        <w:spacing w:line="326" w:lineRule="auto" w:before="59"/>
        <w:ind w:left="153" w:right="1131" w:firstLine="360"/>
        <w:jc w:val="both"/>
      </w:pPr>
      <w:r>
        <w:rPr>
          <w:spacing w:val="-2"/>
        </w:rPr>
        <w:t>对此，公司一方面需要进一步完善现有管理体系和内部控制制度，强化内控制度的执行与评估，加强对子公司的有效控</w:t>
      </w:r>
      <w:r>
        <w:rPr/>
        <w:t> </w:t>
      </w:r>
      <w:r>
        <w:rPr>
          <w:spacing w:val="-2"/>
        </w:rPr>
        <w:t>制；另一方面通过内部培养和外部引进、完善公司绩效考核体系，储备具有设备制造技术、营销复合型人才和热处理加工工</w:t>
      </w:r>
      <w:r>
        <w:rPr>
          <w:spacing w:val="-66"/>
        </w:rPr>
        <w:t> </w:t>
      </w:r>
      <w:r>
        <w:rPr>
          <w:spacing w:val="-66"/>
        </w:rPr>
      </w:r>
      <w:r>
        <w:rPr/>
        <w:t>艺技术和体系管理复合型人才，提升管理能力和经营效率，满足公司长远发展的需要。</w:t>
      </w:r>
    </w:p>
    <w:p>
      <w:pPr>
        <w:pStyle w:val="Heading4"/>
        <w:spacing w:line="240" w:lineRule="auto" w:before="59"/>
        <w:ind w:right="0"/>
        <w:jc w:val="left"/>
        <w:rPr>
          <w:b w:val="0"/>
          <w:bCs w:val="0"/>
        </w:rPr>
      </w:pPr>
      <w:r>
        <w:rPr>
          <w:rFonts w:ascii="Times New Roman" w:hAnsi="Times New Roman" w:cs="Times New Roman" w:eastAsia="Times New Roman" w:hint="default"/>
        </w:rPr>
        <w:t>3</w:t>
      </w:r>
      <w:r>
        <w:rPr/>
        <w:t>、其他风险</w:t>
      </w:r>
      <w:r>
        <w:rPr>
          <w:b w:val="0"/>
          <w:bCs w:val="0"/>
        </w:rPr>
      </w:r>
    </w:p>
    <w:p>
      <w:pPr>
        <w:pStyle w:val="BodyText"/>
        <w:spacing w:line="312" w:lineRule="auto" w:before="109"/>
        <w:ind w:left="153" w:right="1033" w:firstLine="360"/>
        <w:jc w:val="left"/>
      </w:pPr>
      <w:r>
        <w:rPr>
          <w:rFonts w:ascii="Times New Roman" w:hAnsi="Times New Roman" w:cs="Times New Roman" w:eastAsia="Times New Roman" w:hint="default"/>
        </w:rPr>
        <w:t>3.1</w:t>
      </w:r>
      <w:r>
        <w:rPr/>
        <w:t>公司</w:t>
      </w:r>
      <w:r>
        <w:rPr>
          <w:rFonts w:ascii="Times New Roman" w:hAnsi="Times New Roman" w:cs="Times New Roman" w:eastAsia="Times New Roman" w:hint="default"/>
        </w:rPr>
        <w:t>2014</w:t>
      </w:r>
      <w:r>
        <w:rPr/>
        <w:t>年度与日本株式会社</w:t>
      </w:r>
      <w:r>
        <w:rPr>
          <w:rFonts w:ascii="Times New Roman" w:hAnsi="Times New Roman" w:cs="Times New Roman" w:eastAsia="Times New Roman" w:hint="default"/>
        </w:rPr>
        <w:t>IHI</w:t>
      </w:r>
      <w:r>
        <w:rPr/>
        <w:t>机械系统（以下简称</w:t>
      </w:r>
      <w:r>
        <w:rPr>
          <w:rFonts w:ascii="Times New Roman" w:hAnsi="Times New Roman" w:cs="Times New Roman" w:eastAsia="Times New Roman" w:hint="default"/>
        </w:rPr>
        <w:t>“IMS”</w:t>
      </w:r>
      <w:r>
        <w:rPr/>
        <w:t>）合资设立的石川岛丰东是利用公司存量资产，结合</w:t>
      </w:r>
      <w:r>
        <w:rPr>
          <w:rFonts w:ascii="Times New Roman" w:hAnsi="Times New Roman" w:cs="Times New Roman" w:eastAsia="Times New Roman" w:hint="default"/>
        </w:rPr>
        <w:t>IHI</w:t>
      </w:r>
      <w:r>
        <w:rPr>
          <w:rFonts w:ascii="Times New Roman" w:hAnsi="Times New Roman" w:cs="Times New Roman" w:eastAsia="Times New Roman" w:hint="default"/>
          <w:w w:val="99"/>
        </w:rPr>
        <w:t> </w:t>
      </w:r>
      <w:r>
        <w:rPr/>
        <w:t>的品牌、技术优势，将公司原有的真空设备制造业务独立出去，以期利用合资公司的平台，实现真空业务向更高层次发展。 但由于石川岛丰东刚刚成立，来源于</w:t>
      </w:r>
      <w:r>
        <w:rPr>
          <w:rFonts w:ascii="Times New Roman" w:hAnsi="Times New Roman" w:cs="Times New Roman" w:eastAsia="Times New Roman" w:hint="default"/>
        </w:rPr>
        <w:t>IMS</w:t>
      </w:r>
      <w:r>
        <w:rPr/>
        <w:t>技术的产品无法在短期之内产生规模效益，石川岛丰东的经营业绩在一段时间内主 要依靠来源于丰东技术产品的支撑，对公司而言，原先享有真空业务的全部收益则由于投资关系变为享有</w:t>
      </w:r>
      <w:r>
        <w:rPr>
          <w:rFonts w:ascii="Times New Roman" w:hAnsi="Times New Roman" w:cs="Times New Roman" w:eastAsia="Times New Roman" w:hint="default"/>
        </w:rPr>
        <w:t>50%</w:t>
      </w:r>
      <w:r>
        <w:rPr/>
        <w:t>的投资收益， 短期之内可能对公司业绩带来一定的影响。</w:t>
      </w:r>
    </w:p>
    <w:p>
      <w:pPr>
        <w:pStyle w:val="BodyText"/>
        <w:spacing w:line="240" w:lineRule="auto" w:before="70"/>
        <w:ind w:right="0"/>
        <w:jc w:val="left"/>
      </w:pPr>
      <w:r>
        <w:rPr/>
        <w:t>为此，石川岛丰东正积极消化吸收</w:t>
      </w:r>
      <w:r>
        <w:rPr>
          <w:rFonts w:ascii="Times New Roman" w:hAnsi="Times New Roman" w:cs="Times New Roman" w:eastAsia="Times New Roman" w:hint="default"/>
        </w:rPr>
        <w:t>IMS</w:t>
      </w:r>
      <w:r>
        <w:rPr/>
        <w:t>技术，并全力开拓国内国际市场，尽快实现真空设备业务的突破与发展。</w:t>
      </w:r>
    </w:p>
    <w:p>
      <w:pPr>
        <w:spacing w:after="0" w:line="240"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09" w:lineRule="auto" w:before="44"/>
        <w:ind w:left="233" w:right="1042" w:firstLine="360"/>
        <w:jc w:val="both"/>
      </w:pPr>
      <w:r>
        <w:rPr>
          <w:rFonts w:ascii="Times New Roman" w:hAnsi="Times New Roman" w:cs="Times New Roman" w:eastAsia="Times New Roman" w:hint="default"/>
          <w:spacing w:val="-3"/>
        </w:rPr>
        <w:t>3.2</w:t>
      </w:r>
      <w:r>
        <w:rPr>
          <w:spacing w:val="-3"/>
        </w:rPr>
        <w:t>子公司天津丰东新工厂预计于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月份投入运营，固定资产折旧分摊将大幅增加，而天津丰东新项目正在建设中，</w:t>
      </w:r>
      <w:r>
        <w:rPr/>
        <w:t> 产能无法在短期之内完全释放，因此对天津丰东的经营业绩将带来一定影响。</w:t>
      </w:r>
    </w:p>
    <w:p>
      <w:pPr>
        <w:pStyle w:val="BodyText"/>
        <w:spacing w:line="326" w:lineRule="auto" w:before="71"/>
        <w:ind w:left="233" w:right="1131" w:firstLine="360"/>
        <w:jc w:val="both"/>
      </w:pPr>
      <w:r>
        <w:rPr>
          <w:spacing w:val="-2"/>
        </w:rPr>
        <w:t>天津丰东新工厂建成后，北京丰东将不再租赁现有厂房，设备制造车间转移至天津丰东，一方面节约了逐年上调的厂房</w:t>
      </w:r>
      <w:r>
        <w:rPr/>
        <w:t> </w:t>
      </w:r>
      <w:r>
        <w:rPr>
          <w:spacing w:val="-2"/>
        </w:rPr>
        <w:t>租金，另一方面在一定程度上分摊了天津丰东的折旧费用；与此同时，天津丰东将加大专业热处理加工业务的市场开拓，积</w:t>
      </w:r>
      <w:r>
        <w:rPr>
          <w:spacing w:val="-66"/>
        </w:rPr>
        <w:t> </w:t>
      </w:r>
      <w:r>
        <w:rPr>
          <w:spacing w:val="-66"/>
        </w:rPr>
      </w:r>
      <w:r>
        <w:rPr/>
        <w:t>极寻找长期战略合作伙伴，促使产能的尽快释放及经营业绩的快速提升。</w:t>
      </w:r>
    </w:p>
    <w:p>
      <w:pPr>
        <w:spacing w:line="240" w:lineRule="auto" w:before="0"/>
        <w:rPr>
          <w:rFonts w:ascii="宋体" w:hAnsi="宋体" w:cs="宋体" w:eastAsia="宋体" w:hint="default"/>
          <w:sz w:val="18"/>
          <w:szCs w:val="18"/>
        </w:rPr>
      </w:pPr>
    </w:p>
    <w:p>
      <w:pPr>
        <w:pStyle w:val="Heading2"/>
        <w:spacing w:line="240" w:lineRule="auto"/>
        <w:ind w:left="233" w:right="1119"/>
        <w:jc w:val="left"/>
        <w:rPr>
          <w:b w:val="0"/>
          <w:bCs w:val="0"/>
        </w:rPr>
      </w:pPr>
      <w:bookmarkStart w:name="九、董事会、监事会对会计师事务所本报告期“非标准审计报告”的说明" w:id="51"/>
      <w:bookmarkEnd w:id="51"/>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593"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33" w:right="1119"/>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93"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9983"/>
      </w:tblGrid>
      <w:tr>
        <w:trPr>
          <w:trHeight w:val="2591" w:hRule="exact"/>
        </w:trPr>
        <w:tc>
          <w:tcPr>
            <w:tcW w:w="9983" w:type="dxa"/>
            <w:tcBorders>
              <w:top w:val="nil" w:sz="6" w:space="0" w:color="auto"/>
              <w:left w:val="nil" w:sz="6" w:space="0" w:color="auto"/>
              <w:bottom w:val="nil" w:sz="6" w:space="0" w:color="auto"/>
              <w:right w:val="nil" w:sz="6" w:space="0" w:color="auto"/>
            </w:tcBorders>
          </w:tcPr>
          <w:p>
            <w:pPr>
              <w:pStyle w:val="TableParagraph"/>
              <w:spacing w:line="194" w:lineRule="exact"/>
              <w:ind w:left="5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根据财政部《关于印发修订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号——长期股权投资</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项通知（财会</w:t>
            </w:r>
            <w:r>
              <w:rPr>
                <w:rFonts w:ascii="Times New Roman" w:hAnsi="Times New Roman" w:cs="Times New Roman" w:eastAsia="Times New Roman" w:hint="default"/>
                <w:sz w:val="18"/>
                <w:szCs w:val="18"/>
              </w:rPr>
              <w:t>[2014]6~8</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10~11</w:t>
            </w:r>
          </w:p>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号）等规定，本公司自</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日起执行财政部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年发布的前述</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项企业会计准则。具体包括：</w:t>
            </w:r>
          </w:p>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公</w:t>
            </w:r>
            <w:r>
              <w:rPr>
                <w:rFonts w:ascii="宋体" w:hAnsi="宋体" w:cs="宋体" w:eastAsia="宋体" w:hint="default"/>
                <w:sz w:val="18"/>
                <w:szCs w:val="18"/>
              </w:rPr>
              <w:t>允价值计量</w:t>
            </w:r>
            <w:r>
              <w:rPr>
                <w:rFonts w:ascii="宋体" w:hAnsi="宋体" w:cs="宋体" w:eastAsia="宋体" w:hint="default"/>
                <w:spacing w:val="-90"/>
                <w:sz w:val="18"/>
                <w:szCs w:val="18"/>
              </w:rPr>
              <w:t>》</w:t>
            </w:r>
            <w:r>
              <w:rPr>
                <w:rFonts w:ascii="宋体" w:hAnsi="宋体" w:cs="宋体" w:eastAsia="宋体" w:hint="default"/>
                <w:spacing w:val="-114"/>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财</w:t>
            </w:r>
            <w:r>
              <w:rPr>
                <w:rFonts w:ascii="宋体" w:hAnsi="宋体" w:cs="宋体" w:eastAsia="宋体" w:hint="default"/>
                <w:sz w:val="18"/>
                <w:szCs w:val="18"/>
              </w:rPr>
              <w:t>务报表列报</w:t>
            </w:r>
            <w:r>
              <w:rPr>
                <w:rFonts w:ascii="宋体" w:hAnsi="宋体" w:cs="宋体" w:eastAsia="宋体" w:hint="default"/>
                <w:spacing w:val="-90"/>
                <w:sz w:val="18"/>
                <w:szCs w:val="18"/>
              </w:rPr>
              <w:t>》</w:t>
            </w:r>
            <w:r>
              <w:rPr>
                <w:rFonts w:ascii="宋体" w:hAnsi="宋体" w:cs="宋体" w:eastAsia="宋体" w:hint="default"/>
                <w:spacing w:val="-114"/>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职</w:t>
            </w:r>
            <w:r>
              <w:rPr>
                <w:rFonts w:ascii="宋体" w:hAnsi="宋体" w:cs="宋体" w:eastAsia="宋体" w:hint="default"/>
                <w:sz w:val="18"/>
                <w:szCs w:val="18"/>
              </w:rPr>
              <w:t>工薪酬</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合</w:t>
            </w:r>
            <w:r>
              <w:rPr>
                <w:rFonts w:ascii="宋体" w:hAnsi="宋体" w:cs="宋体" w:eastAsia="宋体" w:hint="default"/>
                <w:sz w:val="18"/>
                <w:szCs w:val="18"/>
              </w:rPr>
              <w:t>并财务报表</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合</w:t>
            </w:r>
            <w:r>
              <w:rPr>
                <w:rFonts w:ascii="宋体" w:hAnsi="宋体" w:cs="宋体" w:eastAsia="宋体" w:hint="default"/>
                <w:sz w:val="18"/>
                <w:szCs w:val="18"/>
              </w:rPr>
              <w:t>营安排</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号—长期股权投资》</w:t>
            </w:r>
          </w:p>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sz w:val="18"/>
                <w:szCs w:val="18"/>
              </w:rPr>
              <w:t>及《企业会计准则第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在其他主体中权益的披露</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0"/>
              <w:ind w:left="560" w:right="0"/>
              <w:jc w:val="left"/>
              <w:rPr>
                <w:rFonts w:ascii="宋体" w:hAnsi="宋体" w:cs="宋体" w:eastAsia="宋体" w:hint="default"/>
                <w:sz w:val="18"/>
                <w:szCs w:val="18"/>
              </w:rPr>
            </w:pPr>
            <w:r>
              <w:rPr>
                <w:rFonts w:ascii="宋体" w:hAnsi="宋体" w:cs="宋体" w:eastAsia="宋体" w:hint="default"/>
                <w:sz w:val="18"/>
                <w:szCs w:val="18"/>
              </w:rPr>
              <w:t>根据财政</w:t>
            </w:r>
            <w:r>
              <w:rPr>
                <w:rFonts w:ascii="宋体" w:hAnsi="宋体" w:cs="宋体" w:eastAsia="宋体" w:hint="default"/>
                <w:spacing w:val="-35"/>
                <w:sz w:val="18"/>
                <w:szCs w:val="18"/>
              </w:rPr>
              <w:t>部</w:t>
            </w:r>
            <w:r>
              <w:rPr>
                <w:rFonts w:ascii="宋体" w:hAnsi="宋体" w:cs="宋体" w:eastAsia="宋体" w:hint="default"/>
                <w:sz w:val="18"/>
                <w:szCs w:val="18"/>
              </w:rPr>
              <w:t>《中华人民共和国财政部令第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号——财政部关于修改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企业会计准则——基本准则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的决定</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本公司自</w:t>
            </w:r>
          </w:p>
          <w:p>
            <w:pPr>
              <w:pStyle w:val="TableParagraph"/>
              <w:spacing w:line="240" w:lineRule="auto" w:before="31"/>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日起执行该决定。</w:t>
            </w:r>
          </w:p>
          <w:p>
            <w:pPr>
              <w:pStyle w:val="TableParagraph"/>
              <w:spacing w:line="240" w:lineRule="auto" w:before="70"/>
              <w:ind w:left="5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根据财政</w:t>
            </w:r>
            <w:r>
              <w:rPr>
                <w:rFonts w:ascii="宋体" w:hAnsi="宋体" w:cs="宋体" w:eastAsia="宋体" w:hint="default"/>
                <w:spacing w:val="-14"/>
                <w:sz w:val="18"/>
                <w:szCs w:val="18"/>
              </w:rPr>
              <w:t>部</w:t>
            </w:r>
            <w:r>
              <w:rPr>
                <w:rFonts w:ascii="宋体" w:hAnsi="宋体" w:cs="宋体" w:eastAsia="宋体" w:hint="default"/>
                <w:sz w:val="18"/>
                <w:szCs w:val="18"/>
              </w:rPr>
              <w:t>《关于印发修订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r>
              <w:rPr>
                <w:rFonts w:ascii="宋体" w:hAnsi="宋体" w:cs="宋体" w:eastAsia="宋体" w:hint="default"/>
                <w:spacing w:val="1"/>
                <w:sz w:val="18"/>
                <w:szCs w:val="18"/>
              </w:rPr>
              <w:t>融</w:t>
            </w:r>
            <w:r>
              <w:rPr>
                <w:rFonts w:ascii="宋体" w:hAnsi="宋体" w:cs="宋体" w:eastAsia="宋体" w:hint="default"/>
                <w:sz w:val="18"/>
                <w:szCs w:val="18"/>
              </w:rPr>
              <w:t>工具列报</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宋体" w:hAnsi="宋体" w:cs="宋体" w:eastAsia="宋体" w:hint="default"/>
                <w:spacing w:val="-104"/>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号的规定</w:t>
            </w:r>
            <w:r>
              <w:rPr>
                <w:rFonts w:ascii="宋体" w:hAnsi="宋体" w:cs="宋体" w:eastAsia="宋体" w:hint="default"/>
                <w:spacing w:val="-13"/>
                <w:sz w:val="18"/>
                <w:szCs w:val="18"/>
              </w:rPr>
              <w:t>，</w:t>
            </w:r>
            <w:r>
              <w:rPr>
                <w:rFonts w:ascii="宋体" w:hAnsi="宋体" w:cs="宋体" w:eastAsia="宋体" w:hint="default"/>
                <w:sz w:val="18"/>
                <w:szCs w:val="18"/>
              </w:rPr>
              <w:t>本公司自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sz w:val="18"/>
                <w:szCs w:val="18"/>
              </w:rPr>
              <w:t>年度起执行该规定。</w:t>
            </w:r>
          </w:p>
        </w:tc>
      </w:tr>
      <w:tr>
        <w:trPr>
          <w:trHeight w:val="280" w:hRule="exact"/>
        </w:trPr>
        <w:tc>
          <w:tcPr>
            <w:tcW w:w="998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60" w:right="0"/>
              <w:jc w:val="left"/>
              <w:rPr>
                <w:rFonts w:ascii="宋体" w:hAnsi="宋体" w:cs="宋体" w:eastAsia="宋体" w:hint="default"/>
                <w:sz w:val="18"/>
                <w:szCs w:val="18"/>
              </w:rPr>
            </w:pPr>
            <w:r>
              <w:rPr>
                <w:rFonts w:ascii="宋体" w:hAnsi="宋体" w:cs="宋体" w:eastAsia="宋体" w:hint="default"/>
                <w:sz w:val="18"/>
                <w:szCs w:val="18"/>
              </w:rPr>
              <w:t>上述会计政策变更业经公司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日第三届董事会第五次会议审议通过。</w:t>
            </w:r>
          </w:p>
        </w:tc>
      </w:tr>
    </w:tbl>
    <w:p>
      <w:pPr>
        <w:spacing w:line="240" w:lineRule="auto" w:before="9"/>
        <w:rPr>
          <w:rFonts w:ascii="宋体" w:hAnsi="宋体" w:cs="宋体" w:eastAsia="宋体" w:hint="default"/>
          <w:sz w:val="22"/>
          <w:szCs w:val="22"/>
        </w:rPr>
      </w:pPr>
    </w:p>
    <w:p>
      <w:pPr>
        <w:pStyle w:val="Heading2"/>
        <w:spacing w:line="240" w:lineRule="auto" w:before="26"/>
        <w:ind w:left="234" w:right="1119"/>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93"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234" w:right="1119"/>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93" w:right="5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与上年度财务报告相比，本报告期合并范围发生变化情况如下：</w:t>
      </w:r>
    </w:p>
    <w:p>
      <w:pPr>
        <w:pStyle w:val="BodyText"/>
        <w:spacing w:line="271" w:lineRule="auto" w:before="84"/>
        <w:ind w:left="233" w:right="1119" w:firstLine="36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月，公司将持有的子公司天津丰东热处理有限公司</w:t>
      </w:r>
      <w:r>
        <w:rPr>
          <w:rFonts w:ascii="Times New Roman" w:hAnsi="Times New Roman" w:cs="Times New Roman" w:eastAsia="Times New Roman" w:hint="default"/>
          <w:spacing w:val="-1"/>
        </w:rPr>
        <w:t>15%</w:t>
      </w:r>
      <w:r>
        <w:rPr>
          <w:spacing w:val="-1"/>
        </w:rPr>
        <w:t>的股权转让给日本高周波热炼株式会社并完成工商变</w:t>
      </w:r>
      <w:r>
        <w:rPr/>
        <w:t> 更登记，转让后公司持股比例由</w:t>
      </w:r>
      <w:r>
        <w:rPr>
          <w:rFonts w:ascii="Times New Roman" w:hAnsi="Times New Roman" w:cs="Times New Roman" w:eastAsia="Times New Roman" w:hint="default"/>
        </w:rPr>
        <w:t>70%</w:t>
      </w:r>
      <w:r>
        <w:rPr/>
        <w:t>变更为</w:t>
      </w:r>
      <w:r>
        <w:rPr>
          <w:rFonts w:ascii="Times New Roman" w:hAnsi="Times New Roman" w:cs="Times New Roman" w:eastAsia="Times New Roman" w:hint="default"/>
        </w:rPr>
        <w:t>55%</w:t>
      </w:r>
      <w:r>
        <w:rPr/>
        <w:t>；</w:t>
      </w:r>
    </w:p>
    <w:p>
      <w:pPr>
        <w:pStyle w:val="BodyText"/>
        <w:spacing w:line="268" w:lineRule="auto" w:before="82"/>
        <w:ind w:left="233" w:right="1153"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月，公司子公司潍坊丰东热处理有限公司完成工商登记注册，注册资本</w:t>
      </w:r>
      <w:r>
        <w:rPr>
          <w:rFonts w:ascii="Times New Roman" w:hAnsi="Times New Roman" w:cs="Times New Roman" w:eastAsia="Times New Roman" w:hint="default"/>
        </w:rPr>
        <w:t>500</w:t>
      </w:r>
      <w:r>
        <w:rPr/>
        <w:t>万元人民币，公司持股</w:t>
      </w:r>
      <w:r>
        <w:rPr>
          <w:rFonts w:ascii="Times New Roman" w:hAnsi="Times New Roman" w:cs="Times New Roman" w:eastAsia="Times New Roman" w:hint="default"/>
        </w:rPr>
        <w:t>75%</w:t>
      </w:r>
      <w:r>
        <w:rPr/>
        <w:t>，纳 入合并报表范围；</w:t>
      </w:r>
    </w:p>
    <w:p>
      <w:pPr>
        <w:pStyle w:val="BodyText"/>
        <w:spacing w:line="268" w:lineRule="auto" w:before="101"/>
        <w:ind w:left="233" w:right="1119" w:firstLine="36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月，公司受让子公司江苏丰东热处理及表面改性工程技术研究有限公司其他两位股东计</w:t>
      </w:r>
      <w:r>
        <w:rPr>
          <w:rFonts w:ascii="Times New Roman" w:hAnsi="Times New Roman" w:cs="Times New Roman" w:eastAsia="Times New Roman" w:hint="default"/>
          <w:spacing w:val="-1"/>
        </w:rPr>
        <w:t>30%</w:t>
      </w:r>
      <w:r>
        <w:rPr>
          <w:spacing w:val="-1"/>
        </w:rPr>
        <w:t>的股权并完成工</w:t>
      </w:r>
      <w:r>
        <w:rPr/>
        <w:t> 商变更登记，受让后公司持股比例由</w:t>
      </w:r>
      <w:r>
        <w:rPr>
          <w:rFonts w:ascii="Times New Roman" w:hAnsi="Times New Roman" w:cs="Times New Roman" w:eastAsia="Times New Roman" w:hint="default"/>
        </w:rPr>
        <w:t>70%</w:t>
      </w:r>
      <w:r>
        <w:rPr/>
        <w:t>变更为</w:t>
      </w:r>
      <w:r>
        <w:rPr>
          <w:rFonts w:ascii="Times New Roman" w:hAnsi="Times New Roman" w:cs="Times New Roman" w:eastAsia="Times New Roman" w:hint="default"/>
        </w:rPr>
        <w:t>100%</w:t>
      </w:r>
      <w:r>
        <w:rPr/>
        <w:t>；</w:t>
      </w:r>
    </w:p>
    <w:p>
      <w:pPr>
        <w:pStyle w:val="BodyText"/>
        <w:spacing w:line="240" w:lineRule="auto" w:before="84"/>
        <w:ind w:left="59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月，公司子公司盐城丰东祺耀工业炉有限公司司完成工商登记注册，注册资本为</w:t>
      </w:r>
      <w:r>
        <w:rPr>
          <w:rFonts w:ascii="Times New Roman" w:hAnsi="Times New Roman" w:cs="Times New Roman" w:eastAsia="Times New Roman" w:hint="default"/>
        </w:rPr>
        <w:t>500</w:t>
      </w:r>
      <w:r>
        <w:rPr/>
        <w:t>万元人民币，公司持股</w:t>
      </w:r>
    </w:p>
    <w:p>
      <w:pPr>
        <w:pStyle w:val="BodyText"/>
        <w:spacing w:line="240" w:lineRule="auto" w:before="32"/>
        <w:ind w:left="233" w:right="1119"/>
        <w:jc w:val="left"/>
      </w:pPr>
      <w:r>
        <w:rPr>
          <w:rFonts w:ascii="Times New Roman" w:hAnsi="Times New Roman" w:cs="Times New Roman" w:eastAsia="Times New Roman" w:hint="default"/>
        </w:rPr>
        <w:t>60%</w:t>
      </w:r>
      <w:r>
        <w:rPr/>
        <w:t>，纳入合并报表范围。（因少数股东未按时完成出资义务，</w:t>
      </w:r>
      <w:r>
        <w:rPr>
          <w:rFonts w:ascii="Times New Roman" w:hAnsi="Times New Roman" w:cs="Times New Roman" w:eastAsia="Times New Roman" w:hint="default"/>
        </w:rPr>
        <w:t>2014</w:t>
      </w:r>
      <w:r>
        <w:rPr/>
        <w:t>年度本公司对该子公司的表决权比例为</w:t>
      </w:r>
      <w:r>
        <w:rPr>
          <w:rFonts w:ascii="Times New Roman" w:hAnsi="Times New Roman" w:cs="Times New Roman" w:eastAsia="Times New Roman" w:hint="default"/>
        </w:rPr>
        <w:t>100%</w:t>
      </w:r>
      <w:r>
        <w:rPr/>
        <w:t>）</w:t>
      </w:r>
    </w:p>
    <w:p>
      <w:pPr>
        <w:pStyle w:val="BodyText"/>
        <w:spacing w:line="268" w:lineRule="auto" w:before="108"/>
        <w:ind w:left="233" w:right="0" w:firstLine="360"/>
        <w:jc w:val="left"/>
      </w:pP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10</w:t>
      </w:r>
      <w:r>
        <w:rPr>
          <w:spacing w:val="-6"/>
        </w:rPr>
        <w:t>月，公司子公司广州鑫润丰东热处理有限公司完成工商登记注册，注册资本为</w:t>
      </w:r>
      <w:r>
        <w:rPr>
          <w:rFonts w:ascii="Times New Roman" w:hAnsi="Times New Roman" w:cs="Times New Roman" w:eastAsia="Times New Roman" w:hint="default"/>
          <w:spacing w:val="-6"/>
        </w:rPr>
        <w:t>600</w:t>
      </w:r>
      <w:r>
        <w:rPr>
          <w:spacing w:val="-6"/>
        </w:rPr>
        <w:t>万元人民币，公司持股</w:t>
      </w:r>
      <w:r>
        <w:rPr>
          <w:rFonts w:ascii="Times New Roman" w:hAnsi="Times New Roman" w:cs="Times New Roman" w:eastAsia="Times New Roman" w:hint="default"/>
          <w:spacing w:val="-6"/>
        </w:rPr>
        <w:t>75%</w:t>
      </w:r>
      <w:r>
        <w:rPr>
          <w:spacing w:val="-6"/>
        </w:rPr>
        <w:t>，</w:t>
      </w:r>
      <w:r>
        <w:rPr/>
        <w:t> 纳入合并报表范围。</w:t>
      </w:r>
    </w:p>
    <w:p>
      <w:pPr>
        <w:spacing w:after="0" w:line="268" w:lineRule="auto"/>
        <w:jc w:val="left"/>
        <w:sectPr>
          <w:pgSz w:w="11910" w:h="16840"/>
          <w:pgMar w:header="691" w:footer="979" w:top="1100" w:bottom="1160" w:left="90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0"/>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报告期内利润分配政策的制定、执行或调整情况</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6"/>
          <w:szCs w:val="16"/>
        </w:rPr>
      </w:pPr>
    </w:p>
    <w:p>
      <w:pPr>
        <w:pStyle w:val="BodyText"/>
        <w:spacing w:line="240" w:lineRule="auto"/>
        <w:ind w:right="0"/>
        <w:jc w:val="left"/>
      </w:pPr>
      <w:r>
        <w:rPr/>
        <w:t>《公司章程》中的利润分配政策明确了现金分红标准和现金分红比例，同时公司于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月制定了《公司未来三年</w:t>
      </w:r>
    </w:p>
    <w:p>
      <w:pPr>
        <w:pStyle w:val="BodyText"/>
        <w:spacing w:line="345" w:lineRule="auto" w:before="71"/>
        <w:ind w:left="514" w:right="4992" w:hanging="360"/>
        <w:jc w:val="left"/>
      </w:pPr>
      <w:r>
        <w:rPr/>
        <w:t>（</w:t>
      </w:r>
      <w:r>
        <w:rPr>
          <w:rFonts w:ascii="Times New Roman" w:hAnsi="Times New Roman" w:cs="Times New Roman" w:eastAsia="Times New Roman" w:hint="default"/>
        </w:rPr>
        <w:t>2015~2017</w:t>
      </w:r>
      <w:r>
        <w:rPr/>
        <w:t>年）股东回报规划》。 报告期内公司严格执行现金分红政策，未对现金分红政策进行调整。</w:t>
      </w:r>
    </w:p>
    <w:p>
      <w:pPr>
        <w:spacing w:line="240" w:lineRule="auto" w:before="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6924"/>
        <w:gridCol w:w="2634"/>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30"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6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6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5"/>
          <w:szCs w:val="15"/>
        </w:rPr>
      </w:pPr>
    </w:p>
    <w:p>
      <w:pPr>
        <w:pStyle w:val="BodyText"/>
        <w:spacing w:line="240" w:lineRule="auto" w:before="44"/>
        <w:ind w:left="51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0" w:right="941"/>
        <w:jc w:val="right"/>
      </w:pPr>
      <w:r>
        <w:rPr/>
        <w:pict>
          <v:shape style="position:absolute;margin-left:56.34pt;margin-top:-21.218277pt;width:488.55pt;height:111.1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755"/>
                  </w:tblGrid>
                  <w:tr>
                    <w:trPr>
                      <w:trHeight w:val="416"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left="12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87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利润分配方案</w:t>
                        </w:r>
                        <w:r>
                          <w:rPr>
                            <w:rFonts w:ascii="Times New Roman" w:hAnsi="Times New Roman" w:cs="Times New Roman" w:eastAsia="Times New Roman" w:hint="default"/>
                            <w:sz w:val="18"/>
                            <w:szCs w:val="18"/>
                          </w:rPr>
                          <w:t>/</w:t>
                        </w:r>
                        <w:r>
                          <w:rPr>
                            <w:rFonts w:ascii="宋体" w:hAnsi="宋体" w:cs="宋体" w:eastAsia="宋体" w:hint="default"/>
                            <w:sz w:val="18"/>
                            <w:szCs w:val="18"/>
                          </w:rPr>
                          <w:t>预案</w:t>
                        </w:r>
                      </w:p>
                    </w:tc>
                  </w:tr>
                  <w:tr>
                    <w:trPr>
                      <w:trHeight w:val="601"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8755" w:type="dxa"/>
                        <w:tcBorders>
                          <w:top w:val="single" w:sz="10" w:space="0" w:color="000000"/>
                          <w:left w:val="single" w:sz="7" w:space="0" w:color="000000"/>
                          <w:bottom w:val="single" w:sz="6" w:space="0" w:color="000000"/>
                          <w:right w:val="single" w:sz="6" w:space="0" w:color="000000"/>
                        </w:tcBorders>
                      </w:tcPr>
                      <w:p>
                        <w:pPr>
                          <w:pStyle w:val="TableParagraph"/>
                          <w:spacing w:line="240" w:lineRule="exact" w:before="50"/>
                          <w:ind w:right="90" w:firstLine="360"/>
                          <w:jc w:val="left"/>
                          <w:rPr>
                            <w:rFonts w:ascii="宋体" w:hAnsi="宋体" w:cs="宋体" w:eastAsia="宋体" w:hint="default"/>
                            <w:sz w:val="18"/>
                            <w:szCs w:val="18"/>
                          </w:rPr>
                        </w:pPr>
                        <w:r>
                          <w:rPr>
                            <w:rFonts w:ascii="宋体" w:hAnsi="宋体" w:cs="宋体" w:eastAsia="宋体" w:hint="default"/>
                            <w:spacing w:val="-3"/>
                            <w:sz w:val="18"/>
                            <w:szCs w:val="18"/>
                          </w:rPr>
                          <w:t>以公司</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日的总股本</w:t>
                        </w:r>
                        <w:r>
                          <w:rPr>
                            <w:rFonts w:ascii="Times New Roman" w:hAnsi="Times New Roman" w:cs="Times New Roman" w:eastAsia="Times New Roman" w:hint="default"/>
                            <w:spacing w:val="-3"/>
                            <w:sz w:val="18"/>
                            <w:szCs w:val="18"/>
                          </w:rPr>
                          <w:t>268,000,000</w:t>
                        </w:r>
                        <w:r>
                          <w:rPr>
                            <w:rFonts w:ascii="宋体" w:hAnsi="宋体" w:cs="宋体" w:eastAsia="宋体" w:hint="default"/>
                            <w:spacing w:val="-3"/>
                            <w:sz w:val="18"/>
                            <w:szCs w:val="18"/>
                          </w:rPr>
                          <w:t>股为基数，向全体股东实施每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0.30</w:t>
                        </w:r>
                        <w:r>
                          <w:rPr>
                            <w:rFonts w:ascii="宋体" w:hAnsi="宋体" w:cs="宋体" w:eastAsia="宋体" w:hint="default"/>
                            <w:spacing w:val="-3"/>
                            <w:sz w:val="18"/>
                            <w:szCs w:val="18"/>
                          </w:rPr>
                          <w:t>元（含税）</w:t>
                        </w:r>
                        <w:r>
                          <w:rPr>
                            <w:rFonts w:ascii="宋体" w:hAnsi="宋体" w:cs="宋体" w:eastAsia="宋体" w:hint="default"/>
                            <w:spacing w:val="-44"/>
                            <w:sz w:val="18"/>
                            <w:szCs w:val="18"/>
                          </w:rPr>
                          <w:t> </w:t>
                        </w:r>
                        <w:r>
                          <w:rPr>
                            <w:rFonts w:ascii="宋体" w:hAnsi="宋体" w:cs="宋体" w:eastAsia="宋体" w:hint="default"/>
                            <w:sz w:val="18"/>
                            <w:szCs w:val="18"/>
                          </w:rPr>
                          <w:t>共计派发现金红利</w:t>
                        </w:r>
                        <w:r>
                          <w:rPr>
                            <w:rFonts w:ascii="Times New Roman" w:hAnsi="Times New Roman" w:cs="Times New Roman" w:eastAsia="Times New Roman" w:hint="default"/>
                            <w:sz w:val="18"/>
                            <w:szCs w:val="18"/>
                          </w:rPr>
                          <w:t>8,040,000.00</w:t>
                        </w:r>
                        <w:r>
                          <w:rPr>
                            <w:rFonts w:ascii="宋体" w:hAnsi="宋体" w:cs="宋体" w:eastAsia="宋体" w:hint="default"/>
                            <w:sz w:val="18"/>
                            <w:szCs w:val="18"/>
                          </w:rPr>
                          <w:t>元。</w:t>
                        </w:r>
                      </w:p>
                    </w:tc>
                  </w:tr>
                  <w:tr>
                    <w:trPr>
                      <w:trHeight w:val="596"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8755" w:type="dxa"/>
                        <w:tcBorders>
                          <w:top w:val="single" w:sz="6" w:space="0" w:color="000000"/>
                          <w:left w:val="single" w:sz="7" w:space="0" w:color="000000"/>
                          <w:bottom w:val="single" w:sz="6" w:space="0" w:color="000000"/>
                          <w:right w:val="single" w:sz="6" w:space="0" w:color="000000"/>
                        </w:tcBorders>
                      </w:tcPr>
                      <w:p>
                        <w:pPr>
                          <w:pStyle w:val="TableParagraph"/>
                          <w:spacing w:line="240" w:lineRule="exact" w:before="50"/>
                          <w:ind w:right="90" w:firstLine="360"/>
                          <w:jc w:val="left"/>
                          <w:rPr>
                            <w:rFonts w:ascii="宋体" w:hAnsi="宋体" w:cs="宋体" w:eastAsia="宋体" w:hint="default"/>
                            <w:sz w:val="18"/>
                            <w:szCs w:val="18"/>
                          </w:rPr>
                        </w:pPr>
                        <w:r>
                          <w:rPr>
                            <w:rFonts w:ascii="宋体" w:hAnsi="宋体" w:cs="宋体" w:eastAsia="宋体" w:hint="default"/>
                            <w:spacing w:val="-3"/>
                            <w:sz w:val="18"/>
                            <w:szCs w:val="18"/>
                          </w:rPr>
                          <w:t>以公司</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日的总股本</w:t>
                        </w:r>
                        <w:r>
                          <w:rPr>
                            <w:rFonts w:ascii="Times New Roman" w:hAnsi="Times New Roman" w:cs="Times New Roman" w:eastAsia="Times New Roman" w:hint="default"/>
                            <w:spacing w:val="-3"/>
                            <w:sz w:val="18"/>
                            <w:szCs w:val="18"/>
                          </w:rPr>
                          <w:t>268,000,000</w:t>
                        </w:r>
                        <w:r>
                          <w:rPr>
                            <w:rFonts w:ascii="宋体" w:hAnsi="宋体" w:cs="宋体" w:eastAsia="宋体" w:hint="default"/>
                            <w:spacing w:val="-3"/>
                            <w:sz w:val="18"/>
                            <w:szCs w:val="18"/>
                          </w:rPr>
                          <w:t>股为基数，向全体股东实施每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0.50</w:t>
                        </w:r>
                        <w:r>
                          <w:rPr>
                            <w:rFonts w:ascii="宋体" w:hAnsi="宋体" w:cs="宋体" w:eastAsia="宋体" w:hint="default"/>
                            <w:spacing w:val="-3"/>
                            <w:sz w:val="18"/>
                            <w:szCs w:val="18"/>
                          </w:rPr>
                          <w:t>元（含税）</w:t>
                        </w:r>
                        <w:r>
                          <w:rPr>
                            <w:rFonts w:ascii="宋体" w:hAnsi="宋体" w:cs="宋体" w:eastAsia="宋体" w:hint="default"/>
                            <w:spacing w:val="-44"/>
                            <w:sz w:val="18"/>
                            <w:szCs w:val="18"/>
                          </w:rPr>
                          <w:t> </w:t>
                        </w:r>
                        <w:r>
                          <w:rPr>
                            <w:rFonts w:ascii="宋体" w:hAnsi="宋体" w:cs="宋体" w:eastAsia="宋体" w:hint="default"/>
                            <w:sz w:val="18"/>
                            <w:szCs w:val="18"/>
                          </w:rPr>
                          <w:t>共计派发现金红利</w:t>
                        </w:r>
                        <w:r>
                          <w:rPr>
                            <w:rFonts w:ascii="Times New Roman" w:hAnsi="Times New Roman" w:cs="Times New Roman" w:eastAsia="Times New Roman" w:hint="default"/>
                            <w:sz w:val="18"/>
                            <w:szCs w:val="18"/>
                          </w:rPr>
                          <w:t>13,400,000.00</w:t>
                        </w:r>
                        <w:r>
                          <w:rPr>
                            <w:rFonts w:ascii="宋体" w:hAnsi="宋体" w:cs="宋体" w:eastAsia="宋体" w:hint="default"/>
                            <w:sz w:val="18"/>
                            <w:szCs w:val="18"/>
                          </w:rPr>
                          <w:t>元。</w:t>
                        </w:r>
                      </w:p>
                    </w:tc>
                  </w:tr>
                  <w:tr>
                    <w:trPr>
                      <w:trHeight w:val="595"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8755" w:type="dxa"/>
                        <w:tcBorders>
                          <w:top w:val="single" w:sz="6" w:space="0" w:color="000000"/>
                          <w:left w:val="single" w:sz="7" w:space="0" w:color="000000"/>
                          <w:bottom w:val="single" w:sz="6" w:space="0" w:color="000000"/>
                          <w:right w:val="single" w:sz="6" w:space="0" w:color="000000"/>
                        </w:tcBorders>
                      </w:tcPr>
                      <w:p>
                        <w:pPr>
                          <w:pStyle w:val="TableParagraph"/>
                          <w:spacing w:line="240" w:lineRule="exact" w:before="50"/>
                          <w:ind w:right="90" w:firstLine="360"/>
                          <w:jc w:val="left"/>
                          <w:rPr>
                            <w:rFonts w:ascii="宋体" w:hAnsi="宋体" w:cs="宋体" w:eastAsia="宋体" w:hint="default"/>
                            <w:sz w:val="18"/>
                            <w:szCs w:val="18"/>
                          </w:rPr>
                        </w:pPr>
                        <w:r>
                          <w:rPr>
                            <w:rFonts w:ascii="宋体" w:hAnsi="宋体" w:cs="宋体" w:eastAsia="宋体" w:hint="default"/>
                            <w:spacing w:val="-3"/>
                            <w:sz w:val="18"/>
                            <w:szCs w:val="18"/>
                          </w:rPr>
                          <w:t>以公司</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日的总股本</w:t>
                        </w:r>
                        <w:r>
                          <w:rPr>
                            <w:rFonts w:ascii="Times New Roman" w:hAnsi="Times New Roman" w:cs="Times New Roman" w:eastAsia="Times New Roman" w:hint="default"/>
                            <w:spacing w:val="-3"/>
                            <w:sz w:val="18"/>
                            <w:szCs w:val="18"/>
                          </w:rPr>
                          <w:t>268,000,000</w:t>
                        </w:r>
                        <w:r>
                          <w:rPr>
                            <w:rFonts w:ascii="宋体" w:hAnsi="宋体" w:cs="宋体" w:eastAsia="宋体" w:hint="default"/>
                            <w:spacing w:val="-3"/>
                            <w:sz w:val="18"/>
                            <w:szCs w:val="18"/>
                          </w:rPr>
                          <w:t>股为基数，向全体股东实施每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0.60</w:t>
                        </w:r>
                        <w:r>
                          <w:rPr>
                            <w:rFonts w:ascii="宋体" w:hAnsi="宋体" w:cs="宋体" w:eastAsia="宋体" w:hint="default"/>
                            <w:spacing w:val="-3"/>
                            <w:sz w:val="18"/>
                            <w:szCs w:val="18"/>
                          </w:rPr>
                          <w:t>元（含税）</w:t>
                        </w:r>
                        <w:r>
                          <w:rPr>
                            <w:rFonts w:ascii="宋体" w:hAnsi="宋体" w:cs="宋体" w:eastAsia="宋体" w:hint="default"/>
                            <w:spacing w:val="-44"/>
                            <w:sz w:val="18"/>
                            <w:szCs w:val="18"/>
                          </w:rPr>
                          <w:t> </w:t>
                        </w:r>
                        <w:r>
                          <w:rPr>
                            <w:rFonts w:ascii="宋体" w:hAnsi="宋体" w:cs="宋体" w:eastAsia="宋体" w:hint="default"/>
                            <w:sz w:val="18"/>
                            <w:szCs w:val="18"/>
                          </w:rPr>
                          <w:t>共计派发现金红利</w:t>
                        </w:r>
                        <w:r>
                          <w:rPr>
                            <w:rFonts w:ascii="Times New Roman" w:hAnsi="Times New Roman" w:cs="Times New Roman" w:eastAsia="Times New Roman" w:hint="default"/>
                            <w:sz w:val="18"/>
                            <w:szCs w:val="18"/>
                          </w:rPr>
                          <w:t>16,080,000.00</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18"/>
          <w:szCs w:val="18"/>
        </w:rPr>
      </w:pPr>
    </w:p>
    <w:p>
      <w:pPr>
        <w:pStyle w:val="BodyText"/>
        <w:spacing w:line="240" w:lineRule="auto" w:before="124"/>
        <w:ind w:left="0" w:right="941"/>
        <w:jc w:val="right"/>
      </w:pPr>
      <w:r>
        <w:rPr/>
        <w:t>，</w:t>
      </w:r>
    </w:p>
    <w:p>
      <w:pPr>
        <w:spacing w:line="240" w:lineRule="auto" w:before="0"/>
        <w:rPr>
          <w:rFonts w:ascii="宋体" w:hAnsi="宋体" w:cs="宋体" w:eastAsia="宋体" w:hint="default"/>
          <w:sz w:val="18"/>
          <w:szCs w:val="18"/>
        </w:rPr>
      </w:pPr>
    </w:p>
    <w:p>
      <w:pPr>
        <w:pStyle w:val="BodyText"/>
        <w:spacing w:line="240" w:lineRule="auto" w:before="124"/>
        <w:ind w:left="0" w:right="9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14" w:right="0"/>
        <w:jc w:val="left"/>
      </w:pPr>
      <w:r>
        <w:rPr/>
        <w:t>公司近三年现金分红情况表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32,733,440.80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43,053,161.40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50,101,739.39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公司报告期内盈利且母公司未分配利润为正但未提出现金红利分配预案</w:t>
      </w:r>
    </w:p>
    <w:p>
      <w:pPr>
        <w:spacing w:line="240" w:lineRule="auto" w:before="12"/>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135,532,784.06</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总</w:t>
            </w: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268,000,0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共</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公司重视履行社会责任，积极构建和谐社会，在追求企业的依法经营、规范运作、科学管理的同时，追求公司与社会的</w:t>
      </w:r>
    </w:p>
    <w:p>
      <w:pPr>
        <w:pStyle w:val="BodyText"/>
        <w:spacing w:line="441" w:lineRule="auto" w:before="2"/>
        <w:ind w:right="3013" w:hanging="360"/>
        <w:jc w:val="left"/>
      </w:pPr>
      <w:r>
        <w:rPr/>
        <w:t>协调和谐发展。通过公司的不断发展，实现股东和投资者、员工、供应商、客户与社会共同发展。 上市公司及其子公司是否属于国家环境保护部门规定的重污染行业</w:t>
      </w:r>
    </w:p>
    <w:p>
      <w:pPr>
        <w:pStyle w:val="BodyText"/>
        <w:spacing w:line="214" w:lineRule="exact"/>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13"/>
          <w:szCs w:val="13"/>
        </w:rPr>
      </w:pPr>
    </w:p>
    <w:p>
      <w:pPr>
        <w:pStyle w:val="BodyText"/>
        <w:spacing w:line="240" w:lineRule="auto"/>
        <w:ind w:left="514" w:right="0"/>
        <w:jc w:val="left"/>
      </w:pPr>
      <w:r>
        <w:rPr/>
        <w:t>上市公司及其子公司是否存在其他重大社会安全问题</w:t>
      </w:r>
    </w:p>
    <w:p>
      <w:pPr>
        <w:pStyle w:val="BodyText"/>
        <w:spacing w:line="415" w:lineRule="auto" w:before="117"/>
        <w:ind w:left="514" w:right="84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35" w:lineRule="exact"/>
        <w:ind w:left="51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1139"/>
        <w:jc w:val="right"/>
      </w:pPr>
      <w:r>
        <w:rPr/>
        <w:pict>
          <v:shape style="position:absolute;margin-left:56.459999pt;margin-top:-44.108276pt;width:479.25pt;height:215.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916"/>
                    <w:gridCol w:w="992"/>
                    <w:gridCol w:w="1276"/>
                    <w:gridCol w:w="1418"/>
                    <w:gridCol w:w="3473"/>
                  </w:tblGrid>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23" w:right="662"/>
                          <w:jc w:val="both"/>
                          <w:rPr>
                            <w:rFonts w:ascii="宋体" w:hAnsi="宋体" w:cs="宋体" w:eastAsia="宋体" w:hint="default"/>
                            <w:sz w:val="18"/>
                            <w:szCs w:val="18"/>
                          </w:rPr>
                        </w:pPr>
                        <w:r>
                          <w:rPr>
                            <w:rFonts w:ascii="宋体" w:hAnsi="宋体" w:cs="宋体" w:eastAsia="宋体" w:hint="default"/>
                            <w:sz w:val="18"/>
                            <w:szCs w:val="18"/>
                          </w:rPr>
                          <w:t>东方证券 呈瑞投资 元泓投资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85" w:lineRule="auto"/>
                          <w:ind w:left="22" w:right="21"/>
                          <w:jc w:val="left"/>
                          <w:rPr>
                            <w:rFonts w:ascii="宋体" w:hAnsi="宋体" w:cs="宋体" w:eastAsia="宋体" w:hint="default"/>
                            <w:sz w:val="18"/>
                            <w:szCs w:val="18"/>
                          </w:rPr>
                        </w:pPr>
                        <w:r>
                          <w:rPr>
                            <w:rFonts w:ascii="宋体" w:hAnsi="宋体" w:cs="宋体" w:eastAsia="宋体" w:hint="default"/>
                            <w:sz w:val="18"/>
                            <w:szCs w:val="18"/>
                          </w:rPr>
                          <w:t>已披露信息中行业情况、公司产品情况、经 </w:t>
                        </w:r>
                        <w:r>
                          <w:rPr>
                            <w:rFonts w:ascii="宋体" w:hAnsi="宋体" w:cs="宋体" w:eastAsia="宋体" w:hint="default"/>
                            <w:spacing w:val="-5"/>
                            <w:sz w:val="18"/>
                            <w:szCs w:val="18"/>
                          </w:rPr>
                          <w:t>营情况、募投项目进展情况等，未提供资料</w:t>
                        </w:r>
                      </w:p>
                    </w:tc>
                  </w:tr>
                  <w:tr>
                    <w:trPr>
                      <w:trHeight w:val="93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长城证券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18"/>
                          <w:jc w:val="both"/>
                          <w:rPr>
                            <w:rFonts w:ascii="宋体" w:hAnsi="宋体" w:cs="宋体" w:eastAsia="宋体" w:hint="default"/>
                            <w:sz w:val="18"/>
                            <w:szCs w:val="18"/>
                          </w:rPr>
                        </w:pPr>
                        <w:r>
                          <w:rPr>
                            <w:rFonts w:ascii="宋体" w:hAnsi="宋体" w:cs="宋体" w:eastAsia="宋体" w:hint="default"/>
                            <w:sz w:val="18"/>
                            <w:szCs w:val="18"/>
                          </w:rPr>
                          <w:t>已披露信息中行业情况、公司产品情况、经 营情况、研发情况、募投项目进展情况等， 未提供资料。</w:t>
                        </w:r>
                      </w:p>
                    </w:tc>
                  </w:tr>
                  <w:tr>
                    <w:trPr>
                      <w:trHeight w:val="64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已披露信息中行业情况、公司产品情况、经 营情况等，未提供资料。</w:t>
                        </w:r>
                      </w:p>
                    </w:tc>
                  </w:tr>
                  <w:tr>
                    <w:trPr>
                      <w:trHeight w:val="65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中银国际</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5"/>
                          <w:ind w:left="22" w:right="21"/>
                          <w:jc w:val="left"/>
                          <w:rPr>
                            <w:rFonts w:ascii="宋体" w:hAnsi="宋体" w:cs="宋体" w:eastAsia="宋体" w:hint="default"/>
                            <w:sz w:val="18"/>
                            <w:szCs w:val="18"/>
                          </w:rPr>
                        </w:pPr>
                        <w:r>
                          <w:rPr>
                            <w:rFonts w:ascii="宋体" w:hAnsi="宋体" w:cs="宋体" w:eastAsia="宋体" w:hint="default"/>
                            <w:sz w:val="18"/>
                            <w:szCs w:val="18"/>
                          </w:rPr>
                          <w:t>已披露信息中行业情况、公司经营情况、募 投项目进展情况等，未提供资料。</w:t>
                        </w:r>
                      </w:p>
                    </w:tc>
                  </w:tr>
                  <w:tr>
                    <w:trPr>
                      <w:trHeight w:val="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广证恒生</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已披露信息中行业情况、公司产品情况、经 </w:t>
                        </w:r>
                        <w:r>
                          <w:rPr>
                            <w:rFonts w:ascii="宋体" w:hAnsi="宋体" w:cs="宋体" w:eastAsia="宋体" w:hint="default"/>
                            <w:spacing w:val="-5"/>
                            <w:sz w:val="18"/>
                            <w:szCs w:val="18"/>
                          </w:rPr>
                          <w:t>营情况、募投项目进展情况等，未提供资料</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39"/>
        <w:jc w:val="right"/>
      </w:pPr>
      <w:r>
        <w:rPr/>
        <w:t>。</w:t>
      </w:r>
    </w:p>
    <w:p>
      <w:pPr>
        <w:spacing w:after="0" w:line="240" w:lineRule="auto"/>
        <w:jc w:val="righ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bookmarkStart w:name="二、媒体质疑情况" w:id="62"/>
      <w:bookmarkEnd w:id="62"/>
      <w:r>
        <w:rPr>
          <w:b w:val="0"/>
          <w:bCs w:val="0"/>
        </w:rPr>
      </w:r>
      <w:r>
        <w:rPr/>
        <w:t>二、媒体质疑情况</w:t>
      </w:r>
      <w:r>
        <w:rPr>
          <w:b w:val="0"/>
          <w:bCs w:val="0"/>
        </w:rPr>
      </w:r>
    </w:p>
    <w:p>
      <w:pPr>
        <w:spacing w:line="240" w:lineRule="auto" w:before="1"/>
        <w:rPr>
          <w:rFonts w:ascii="宋体" w:hAnsi="宋体" w:cs="宋体" w:eastAsia="宋体" w:hint="default"/>
          <w:b/>
          <w:bCs/>
          <w:sz w:val="22"/>
          <w:szCs w:val="22"/>
        </w:rPr>
      </w:pPr>
    </w:p>
    <w:p>
      <w:pPr>
        <w:pStyle w:val="BodyText"/>
        <w:spacing w:line="338"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9"/>
        <w:rPr>
          <w:rFonts w:ascii="宋体" w:hAnsi="宋体" w:cs="宋体" w:eastAsia="宋体" w:hint="default"/>
          <w:sz w:val="14"/>
          <w:szCs w:val="14"/>
        </w:rPr>
      </w:pPr>
    </w:p>
    <w:p>
      <w:pPr>
        <w:pStyle w:val="Heading2"/>
        <w:spacing w:line="240" w:lineRule="auto"/>
        <w:ind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1"/>
        <w:rPr>
          <w:rFonts w:ascii="宋体" w:hAnsi="宋体" w:cs="宋体" w:eastAsia="宋体" w:hint="default"/>
          <w:b/>
          <w:bCs/>
          <w:sz w:val="22"/>
          <w:szCs w:val="22"/>
        </w:rPr>
      </w:pPr>
    </w:p>
    <w:p>
      <w:pPr>
        <w:pStyle w:val="BodyText"/>
        <w:spacing w:line="338" w:lineRule="auto"/>
        <w:ind w:right="4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10"/>
        <w:rPr>
          <w:rFonts w:ascii="宋体" w:hAnsi="宋体" w:cs="宋体" w:eastAsia="宋体" w:hint="default"/>
          <w:sz w:val="14"/>
          <w:szCs w:val="14"/>
        </w:rPr>
      </w:pPr>
    </w:p>
    <w:p>
      <w:pPr>
        <w:pStyle w:val="Heading2"/>
        <w:spacing w:line="240" w:lineRule="auto"/>
        <w:ind w:right="0"/>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13"/>
        <w:rPr>
          <w:rFonts w:ascii="宋体" w:hAnsi="宋体" w:cs="宋体" w:eastAsia="宋体" w:hint="default"/>
          <w:b/>
          <w:bCs/>
          <w:sz w:val="21"/>
          <w:szCs w:val="21"/>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bookmarkStart w:name="五、资产交易事项" w:id="65"/>
      <w:bookmarkEnd w:id="65"/>
      <w:r>
        <w:rPr>
          <w:b w:val="0"/>
          <w:bCs w:val="0"/>
        </w:rPr>
      </w:r>
      <w:r>
        <w:rPr/>
        <w:t>五、资产交易事项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ind w:right="0"/>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0"/>
        <w:rPr>
          <w:rFonts w:ascii="宋体" w:hAnsi="宋体" w:cs="宋体" w:eastAsia="宋体" w:hint="default"/>
          <w:b/>
          <w:bCs/>
          <w:sz w:val="22"/>
          <w:szCs w:val="22"/>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7"/>
        <w:rPr>
          <w:rFonts w:ascii="宋体" w:hAnsi="宋体" w:cs="宋体" w:eastAsia="宋体" w:hint="default"/>
          <w:sz w:val="16"/>
          <w:szCs w:val="16"/>
        </w:rPr>
      </w:pPr>
    </w:p>
    <w:p>
      <w:pPr>
        <w:pStyle w:val="Heading3"/>
        <w:spacing w:line="240" w:lineRule="auto"/>
        <w:ind w:right="0"/>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0"/>
        <w:rPr>
          <w:rFonts w:ascii="宋体" w:hAnsi="宋体" w:cs="宋体" w:eastAsia="宋体" w:hint="default"/>
          <w:b/>
          <w:bCs/>
          <w:sz w:val="22"/>
          <w:szCs w:val="22"/>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12"/>
        <w:rPr>
          <w:rFonts w:ascii="宋体" w:hAnsi="宋体" w:cs="宋体" w:eastAsia="宋体" w:hint="default"/>
          <w:b/>
          <w:bCs/>
          <w:sz w:val="21"/>
          <w:szCs w:val="21"/>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1"/>
        <w:rPr>
          <w:rFonts w:ascii="宋体" w:hAnsi="宋体" w:cs="宋体" w:eastAsia="宋体" w:hint="default"/>
          <w:b/>
          <w:bCs/>
          <w:sz w:val="22"/>
          <w:szCs w:val="22"/>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after="0" w:line="338" w:lineRule="auto"/>
        <w:jc w:val="left"/>
        <w:sectPr>
          <w:pgSz w:w="11910" w:h="16840"/>
          <w:pgMar w:header="691"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0" w:right="8690"/>
        <w:jc w:val="center"/>
        <w:rPr>
          <w:b w:val="0"/>
          <w:bCs w:val="0"/>
        </w:rPr>
      </w:pPr>
      <w:bookmarkStart w:name="七、重大关联交易" w:id="70"/>
      <w:bookmarkEnd w:id="70"/>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568"/>
        <w:gridCol w:w="709"/>
        <w:gridCol w:w="646"/>
        <w:gridCol w:w="798"/>
        <w:gridCol w:w="682"/>
        <w:gridCol w:w="709"/>
        <w:gridCol w:w="851"/>
        <w:gridCol w:w="851"/>
        <w:gridCol w:w="895"/>
        <w:gridCol w:w="948"/>
        <w:gridCol w:w="850"/>
      </w:tblGrid>
      <w:tr>
        <w:trPr>
          <w:trHeight w:val="80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99" w:right="9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79" w:right="7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48" w:right="4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65" w:right="65"/>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80" w:right="77"/>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
              <w:ind w:left="23" w:right="-45"/>
              <w:jc w:val="left"/>
              <w:rPr>
                <w:rFonts w:ascii="宋体" w:hAnsi="宋体" w:cs="宋体" w:eastAsia="宋体" w:hint="default"/>
                <w:sz w:val="18"/>
                <w:szCs w:val="18"/>
              </w:rPr>
            </w:pPr>
            <w:r>
              <w:rPr>
                <w:rFonts w:ascii="宋体" w:hAnsi="宋体" w:cs="宋体" w:eastAsia="宋体" w:hint="default"/>
                <w:sz w:val="18"/>
                <w:szCs w:val="18"/>
              </w:rPr>
              <w:t>（万元）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60" w:right="59"/>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60" w:right="5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82" w:right="80"/>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2" w:right="161"/>
              <w:jc w:val="left"/>
              <w:rPr>
                <w:rFonts w:ascii="宋体" w:hAnsi="宋体" w:cs="宋体" w:eastAsia="宋体" w:hint="default"/>
                <w:sz w:val="18"/>
                <w:szCs w:val="18"/>
              </w:rPr>
            </w:pPr>
            <w:r>
              <w:rPr>
                <w:rFonts w:ascii="宋体" w:hAnsi="宋体" w:cs="宋体" w:eastAsia="宋体" w:hint="default"/>
                <w:sz w:val="18"/>
                <w:szCs w:val="18"/>
              </w:rPr>
              <w:t>日本国东方工 程株式会社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314"/>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251"/>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1308.99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2014-008</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2" w:right="161"/>
              <w:jc w:val="left"/>
              <w:rPr>
                <w:rFonts w:ascii="宋体" w:hAnsi="宋体" w:cs="宋体" w:eastAsia="宋体" w:hint="default"/>
                <w:sz w:val="18"/>
                <w:szCs w:val="18"/>
              </w:rPr>
            </w:pPr>
            <w:r>
              <w:rPr>
                <w:rFonts w:ascii="宋体" w:hAnsi="宋体" w:cs="宋体" w:eastAsia="宋体" w:hint="default"/>
                <w:sz w:val="18"/>
                <w:szCs w:val="18"/>
              </w:rPr>
              <w:t>日本国东方工 程株式会社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314"/>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251"/>
              <w:jc w:val="left"/>
              <w:rPr>
                <w:rFonts w:ascii="宋体" w:hAnsi="宋体" w:cs="宋体" w:eastAsia="宋体" w:hint="default"/>
                <w:sz w:val="18"/>
                <w:szCs w:val="18"/>
              </w:rPr>
            </w:pPr>
            <w:r>
              <w:rPr>
                <w:rFonts w:ascii="宋体" w:hAnsi="宋体" w:cs="宋体" w:eastAsia="宋体" w:hint="default"/>
                <w:sz w:val="18"/>
                <w:szCs w:val="18"/>
              </w:rPr>
              <w:t>销售 设备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2014-008</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2" w:right="161"/>
              <w:jc w:val="left"/>
              <w:rPr>
                <w:rFonts w:ascii="宋体" w:hAnsi="宋体" w:cs="宋体" w:eastAsia="宋体" w:hint="default"/>
                <w:sz w:val="18"/>
                <w:szCs w:val="18"/>
              </w:rPr>
            </w:pPr>
            <w:r>
              <w:rPr>
                <w:rFonts w:ascii="宋体" w:hAnsi="宋体" w:cs="宋体" w:eastAsia="宋体" w:hint="default"/>
                <w:sz w:val="18"/>
                <w:szCs w:val="18"/>
              </w:rPr>
              <w:t>日本国和华株 式会社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314"/>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251"/>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0.11%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27.25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2014-008</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2" w:right="161"/>
              <w:jc w:val="left"/>
              <w:rPr>
                <w:rFonts w:ascii="宋体" w:hAnsi="宋体" w:cs="宋体" w:eastAsia="宋体" w:hint="default"/>
                <w:sz w:val="18"/>
                <w:szCs w:val="18"/>
              </w:rPr>
            </w:pPr>
            <w:r>
              <w:rPr>
                <w:rFonts w:ascii="宋体" w:hAnsi="宋体" w:cs="宋体" w:eastAsia="宋体" w:hint="default"/>
                <w:sz w:val="18"/>
                <w:szCs w:val="18"/>
              </w:rPr>
              <w:t>广州丰东热炼 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3" w:right="173"/>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314"/>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251"/>
              <w:jc w:val="left"/>
              <w:rPr>
                <w:rFonts w:ascii="宋体" w:hAnsi="宋体" w:cs="宋体" w:eastAsia="宋体" w:hint="default"/>
                <w:sz w:val="18"/>
                <w:szCs w:val="18"/>
              </w:rPr>
            </w:pPr>
            <w:r>
              <w:rPr>
                <w:rFonts w:ascii="宋体" w:hAnsi="宋体" w:cs="宋体" w:eastAsia="宋体" w:hint="default"/>
                <w:sz w:val="18"/>
                <w:szCs w:val="18"/>
              </w:rPr>
              <w:t>销售 配件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97.90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2014-008</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2" w:right="161"/>
              <w:jc w:val="left"/>
              <w:rPr>
                <w:rFonts w:ascii="宋体" w:hAnsi="宋体" w:cs="宋体" w:eastAsia="宋体" w:hint="default"/>
                <w:sz w:val="18"/>
                <w:szCs w:val="18"/>
              </w:rPr>
            </w:pPr>
            <w:r>
              <w:rPr>
                <w:rFonts w:ascii="宋体" w:hAnsi="宋体" w:cs="宋体" w:eastAsia="宋体" w:hint="default"/>
                <w:sz w:val="18"/>
                <w:szCs w:val="18"/>
              </w:rPr>
              <w:t>广州丰东热炼 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3" w:right="173"/>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314"/>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251"/>
              <w:jc w:val="left"/>
              <w:rPr>
                <w:rFonts w:ascii="宋体" w:hAnsi="宋体" w:cs="宋体" w:eastAsia="宋体" w:hint="default"/>
                <w:sz w:val="18"/>
                <w:szCs w:val="18"/>
              </w:rPr>
            </w:pPr>
            <w:r>
              <w:rPr>
                <w:rFonts w:ascii="宋体" w:hAnsi="宋体" w:cs="宋体" w:eastAsia="宋体" w:hint="default"/>
                <w:sz w:val="18"/>
                <w:szCs w:val="18"/>
              </w:rPr>
              <w:t>销售 设备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283.38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2014-008</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2" w:right="161"/>
              <w:jc w:val="left"/>
              <w:rPr>
                <w:rFonts w:ascii="宋体" w:hAnsi="宋体" w:cs="宋体" w:eastAsia="宋体" w:hint="default"/>
                <w:sz w:val="18"/>
                <w:szCs w:val="18"/>
              </w:rPr>
            </w:pPr>
            <w:r>
              <w:rPr>
                <w:rFonts w:ascii="宋体" w:hAnsi="宋体" w:cs="宋体" w:eastAsia="宋体" w:hint="default"/>
                <w:sz w:val="18"/>
                <w:szCs w:val="18"/>
              </w:rPr>
              <w:t>盐城高周波热 炼有限公司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23"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314"/>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251"/>
              <w:jc w:val="left"/>
              <w:rPr>
                <w:rFonts w:ascii="宋体" w:hAnsi="宋体" w:cs="宋体" w:eastAsia="宋体" w:hint="default"/>
                <w:sz w:val="18"/>
                <w:szCs w:val="18"/>
              </w:rPr>
            </w:pPr>
            <w:r>
              <w:rPr>
                <w:rFonts w:ascii="宋体" w:hAnsi="宋体" w:cs="宋体" w:eastAsia="宋体" w:hint="default"/>
                <w:sz w:val="18"/>
                <w:szCs w:val="18"/>
              </w:rPr>
              <w:t>销售 设备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131.30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2014-008</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5"/>
              <w:ind w:left="22" w:right="161"/>
              <w:jc w:val="left"/>
              <w:rPr>
                <w:rFonts w:ascii="宋体" w:hAnsi="宋体" w:cs="宋体" w:eastAsia="宋体" w:hint="default"/>
                <w:sz w:val="18"/>
                <w:szCs w:val="18"/>
              </w:rPr>
            </w:pPr>
            <w:r>
              <w:rPr>
                <w:rFonts w:ascii="宋体" w:hAnsi="宋体" w:cs="宋体" w:eastAsia="宋体" w:hint="default"/>
                <w:sz w:val="18"/>
                <w:szCs w:val="18"/>
              </w:rPr>
              <w:t>盐城高周波热 炼有限公司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5"/>
              <w:ind w:left="23"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314"/>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4"/>
              <w:ind w:left="22" w:right="251"/>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2014-008</w:t>
            </w: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both"/>
              <w:rPr>
                <w:rFonts w:ascii="宋体" w:hAnsi="宋体" w:cs="宋体" w:eastAsia="宋体" w:hint="default"/>
                <w:sz w:val="18"/>
                <w:szCs w:val="18"/>
              </w:rPr>
            </w:pPr>
            <w:r>
              <w:rPr>
                <w:rFonts w:ascii="宋体" w:hAnsi="宋体" w:cs="宋体" w:eastAsia="宋体" w:hint="default"/>
                <w:sz w:val="18"/>
                <w:szCs w:val="18"/>
              </w:rPr>
              <w:t>江苏石川岛丰 东真空技术有 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3"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22"/>
              <w:ind w:left="22" w:right="314"/>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22"/>
              <w:ind w:left="22" w:right="251"/>
              <w:jc w:val="left"/>
              <w:rPr>
                <w:rFonts w:ascii="宋体" w:hAnsi="宋体" w:cs="宋体" w:eastAsia="宋体" w:hint="default"/>
                <w:sz w:val="18"/>
                <w:szCs w:val="18"/>
              </w:rPr>
            </w:pPr>
            <w:r>
              <w:rPr>
                <w:rFonts w:ascii="宋体" w:hAnsi="宋体" w:cs="宋体" w:eastAsia="宋体" w:hint="default"/>
                <w:sz w:val="18"/>
                <w:szCs w:val="18"/>
              </w:rPr>
              <w:t>销售 设备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33.19</w:t>
            </w:r>
          </w:p>
        </w:tc>
        <w:tc>
          <w:tcPr>
            <w:tcW w:w="94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both"/>
              <w:rPr>
                <w:rFonts w:ascii="宋体" w:hAnsi="宋体" w:cs="宋体" w:eastAsia="宋体" w:hint="default"/>
                <w:sz w:val="18"/>
                <w:szCs w:val="18"/>
              </w:rPr>
            </w:pPr>
            <w:r>
              <w:rPr>
                <w:rFonts w:ascii="宋体" w:hAnsi="宋体" w:cs="宋体" w:eastAsia="宋体" w:hint="default"/>
                <w:sz w:val="18"/>
                <w:szCs w:val="18"/>
              </w:rPr>
              <w:t>江苏石川岛丰 东真空技术有 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3"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22"/>
              <w:ind w:left="22" w:right="314"/>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22"/>
              <w:ind w:left="22" w:right="251"/>
              <w:jc w:val="left"/>
              <w:rPr>
                <w:rFonts w:ascii="宋体" w:hAnsi="宋体" w:cs="宋体" w:eastAsia="宋体" w:hint="default"/>
                <w:sz w:val="18"/>
                <w:szCs w:val="18"/>
              </w:rPr>
            </w:pPr>
            <w:r>
              <w:rPr>
                <w:rFonts w:ascii="宋体" w:hAnsi="宋体" w:cs="宋体" w:eastAsia="宋体" w:hint="default"/>
                <w:sz w:val="18"/>
                <w:szCs w:val="18"/>
              </w:rPr>
              <w:t>销售 材料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公允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261.18</w:t>
            </w:r>
          </w:p>
        </w:tc>
        <w:tc>
          <w:tcPr>
            <w:tcW w:w="94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75"/>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2,208.49</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60"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58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10"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58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4" w:lineRule="auto" w:before="22"/>
              <w:ind w:left="11" w:right="69" w:firstLine="360"/>
              <w:jc w:val="both"/>
              <w:rPr>
                <w:rFonts w:ascii="宋体" w:hAnsi="宋体" w:cs="宋体" w:eastAsia="宋体" w:hint="default"/>
                <w:sz w:val="18"/>
                <w:szCs w:val="18"/>
              </w:rPr>
            </w:pPr>
            <w:r>
              <w:rPr>
                <w:rFonts w:ascii="宋体" w:hAnsi="宋体" w:cs="宋体" w:eastAsia="宋体" w:hint="default"/>
                <w:sz w:val="18"/>
                <w:szCs w:val="18"/>
              </w:rPr>
              <w:t>公司与各关联方发生的热处理设备零配件采购及热处理设备、零配件销售等交 易是公司业务发展及生产经营的正常需要，预计在今后的生产经营中，日常关联交 易还会持续。</w:t>
            </w:r>
          </w:p>
        </w:tc>
      </w:tr>
      <w:tr>
        <w:trPr>
          <w:trHeight w:val="246" w:hRule="exact"/>
        </w:trPr>
        <w:tc>
          <w:tcPr>
            <w:tcW w:w="319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584" w:type="dxa"/>
            <w:gridSpan w:val="8"/>
            <w:vMerge w:val="restart"/>
            <w:tcBorders>
              <w:top w:val="single" w:sz="4" w:space="0" w:color="000000"/>
              <w:left w:val="single" w:sz="9" w:space="0" w:color="D2D2D2"/>
              <w:right w:val="single" w:sz="4" w:space="0" w:color="000000"/>
            </w:tcBorders>
          </w:tcPr>
          <w:p>
            <w:pPr>
              <w:pStyle w:val="TableParagraph"/>
              <w:spacing w:line="244" w:lineRule="auto" w:before="22"/>
              <w:ind w:left="16" w:right="69" w:firstLine="360"/>
              <w:jc w:val="both"/>
              <w:rPr>
                <w:rFonts w:ascii="宋体" w:hAnsi="宋体" w:cs="宋体" w:eastAsia="宋体" w:hint="default"/>
                <w:sz w:val="18"/>
                <w:szCs w:val="18"/>
              </w:rPr>
            </w:pPr>
            <w:r>
              <w:rPr>
                <w:rFonts w:ascii="宋体" w:hAnsi="宋体" w:cs="宋体" w:eastAsia="宋体" w:hint="default"/>
                <w:sz w:val="18"/>
                <w:szCs w:val="18"/>
              </w:rPr>
              <w:t>日常关联交易定价原则为市场价格，具有公允性，不存在损害公司和非关联股 东利益，交易的决策严格按照法律法规及公司的相关制度进行，日常关联交易不会 对公司造成不利影响，亦不会影响公司的独立性。</w:t>
            </w:r>
          </w:p>
        </w:tc>
      </w:tr>
      <w:tr>
        <w:trPr>
          <w:trHeight w:val="319" w:hRule="exact"/>
        </w:trPr>
        <w:tc>
          <w:tcPr>
            <w:tcW w:w="3198"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584" w:type="dxa"/>
            <w:gridSpan w:val="8"/>
            <w:vMerge/>
            <w:tcBorders>
              <w:left w:val="single" w:sz="9" w:space="0" w:color="D2D2D2"/>
              <w:right w:val="single" w:sz="4" w:space="0" w:color="000000"/>
            </w:tcBorders>
          </w:tcPr>
          <w:p>
            <w:pPr/>
          </w:p>
        </w:tc>
      </w:tr>
      <w:tr>
        <w:trPr>
          <w:trHeight w:val="245" w:hRule="exact"/>
        </w:trPr>
        <w:tc>
          <w:tcPr>
            <w:tcW w:w="319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584" w:type="dxa"/>
            <w:gridSpan w:val="8"/>
            <w:vMerge/>
            <w:tcBorders>
              <w:left w:val="single" w:sz="9" w:space="0" w:color="D2D2D2"/>
              <w:bottom w:val="single" w:sz="4" w:space="0" w:color="000000"/>
              <w:right w:val="single" w:sz="4" w:space="0" w:color="000000"/>
            </w:tcBorders>
          </w:tcPr>
          <w:p>
            <w:pPr/>
          </w:p>
        </w:tc>
      </w:tr>
      <w:tr>
        <w:trPr>
          <w:trHeight w:val="570"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0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58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4" w:lineRule="auto" w:before="22"/>
              <w:ind w:left="11" w:right="69" w:firstLine="360"/>
              <w:jc w:val="left"/>
              <w:rPr>
                <w:rFonts w:ascii="宋体" w:hAnsi="宋体" w:cs="宋体" w:eastAsia="宋体" w:hint="default"/>
                <w:sz w:val="18"/>
                <w:szCs w:val="18"/>
              </w:rPr>
            </w:pPr>
            <w:r>
              <w:rPr>
                <w:rFonts w:ascii="宋体" w:hAnsi="宋体" w:cs="宋体" w:eastAsia="宋体" w:hint="default"/>
                <w:sz w:val="18"/>
                <w:szCs w:val="18"/>
              </w:rPr>
              <w:t>公司与关联方之间的关联交易与公司全年的营业收入相比金额较小，公司的业 务不会因为上述关联交易对关联方形成依赖关系。</w:t>
            </w:r>
          </w:p>
        </w:tc>
      </w:tr>
      <w:tr>
        <w:trPr>
          <w:trHeight w:val="810"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0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58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exact" w:before="160"/>
              <w:ind w:left="11" w:right="23" w:firstLine="360"/>
              <w:jc w:val="left"/>
              <w:rPr>
                <w:rFonts w:ascii="宋体" w:hAnsi="宋体" w:cs="宋体" w:eastAsia="宋体" w:hint="default"/>
                <w:sz w:val="18"/>
                <w:szCs w:val="18"/>
              </w:rPr>
            </w:pPr>
            <w:r>
              <w:rPr>
                <w:rFonts w:ascii="宋体" w:hAnsi="宋体" w:cs="宋体" w:eastAsia="宋体" w:hint="default"/>
                <w:spacing w:val="-3"/>
                <w:sz w:val="18"/>
                <w:szCs w:val="18"/>
              </w:rPr>
              <w:t>报告期内，实际发生的日常关联交易金额在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年度预计日常关联交易额度范 围内。</w:t>
            </w:r>
          </w:p>
        </w:tc>
      </w:tr>
      <w:tr>
        <w:trPr>
          <w:trHeight w:val="571"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0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58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left="37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3"/>
        <w:rPr>
          <w:rFonts w:ascii="宋体" w:hAnsi="宋体" w:cs="宋体" w:eastAsia="宋体" w:hint="default"/>
          <w:sz w:val="19"/>
          <w:szCs w:val="19"/>
        </w:rPr>
      </w:pPr>
    </w:p>
    <w:p>
      <w:pPr>
        <w:pStyle w:val="Heading2"/>
        <w:spacing w:line="240" w:lineRule="auto"/>
        <w:ind w:left="0" w:right="7727"/>
        <w:jc w:val="center"/>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38" w:lineRule="auto"/>
        <w:jc w:val="left"/>
        <w:sectPr>
          <w:pgSz w:w="11910" w:h="16840"/>
          <w:pgMar w:header="691" w:footer="979" w:top="1100" w:bottom="1160" w:left="980" w:right="0"/>
        </w:sectPr>
      </w:pPr>
    </w:p>
    <w:p>
      <w:pPr>
        <w:spacing w:line="240" w:lineRule="auto" w:before="9"/>
        <w:rPr>
          <w:rFonts w:ascii="宋体" w:hAnsi="宋体" w:cs="宋体" w:eastAsia="宋体" w:hint="default"/>
          <w:sz w:val="20"/>
          <w:szCs w:val="20"/>
        </w:rPr>
      </w:pPr>
      <w:r>
        <w:rPr/>
        <w:pict>
          <v:group style="position:absolute;margin-left:405.459991pt;margin-top:479.199982pt;width:39.75pt;height:14pt;mso-position-horizontal-relative:page;mso-position-vertical-relative:page;z-index:-820936" coordorigin="8109,9584" coordsize="795,280">
            <v:shape style="position:absolute;left:8109;top:9584;width:795;height:280" coordorigin="8109,9584" coordsize="795,280" path="m8109,9864l8904,9864,8904,9584,8109,9584,8109,9864xe" filled="true" fillcolor="#ffffff" stroked="false">
              <v:path arrowok="t"/>
              <v:fill type="solid"/>
            </v:shape>
            <w10:wrap type="none"/>
          </v:group>
        </w:pict>
      </w:r>
    </w:p>
    <w:p>
      <w:pPr>
        <w:pStyle w:val="Heading3"/>
        <w:spacing w:line="240" w:lineRule="auto" w:before="35"/>
        <w:ind w:right="0"/>
        <w:jc w:val="left"/>
        <w:rPr>
          <w:b w:val="0"/>
          <w:bCs w:val="0"/>
        </w:rPr>
      </w:pPr>
      <w:bookmarkStart w:name="3、其他重大合同" w:id="82"/>
      <w:bookmarkEnd w:id="82"/>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交易" w:id="83"/>
      <w:bookmarkEnd w:id="83"/>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3"/>
        <w:rPr>
          <w:rFonts w:ascii="宋体" w:hAnsi="宋体" w:cs="宋体" w:eastAsia="宋体" w:hint="default"/>
          <w:sz w:val="19"/>
          <w:szCs w:val="19"/>
        </w:rPr>
      </w:pPr>
    </w:p>
    <w:p>
      <w:pPr>
        <w:pStyle w:val="Heading2"/>
        <w:spacing w:line="240" w:lineRule="auto"/>
        <w:ind w:left="0" w:right="8208"/>
        <w:jc w:val="center"/>
        <w:rPr>
          <w:b w:val="0"/>
          <w:bCs w:val="0"/>
        </w:rPr>
      </w:pPr>
      <w:bookmarkStart w:name="九、承诺事项履行情况" w:id="84"/>
      <w:bookmarkEnd w:id="84"/>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85"/>
      <w:bookmarkEnd w:id="8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4110"/>
        <w:gridCol w:w="852"/>
        <w:gridCol w:w="850"/>
        <w:gridCol w:w="920"/>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970"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23"/>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）公司控</w:t>
            </w:r>
            <w:r>
              <w:rPr>
                <w:rFonts w:ascii="宋体" w:hAnsi="宋体" w:cs="宋体" w:eastAsia="宋体" w:hint="default"/>
                <w:sz w:val="18"/>
                <w:szCs w:val="18"/>
              </w:rPr>
              <w:t> 股股东大丰 市东润投资 管理有限公 司</w:t>
            </w:r>
          </w:p>
          <w:p>
            <w:pPr>
              <w:pStyle w:val="TableParagraph"/>
              <w:spacing w:line="240" w:lineRule="auto" w:before="4"/>
              <w:ind w:left="22" w:right="23"/>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）公司实</w:t>
            </w:r>
            <w:r>
              <w:rPr>
                <w:rFonts w:ascii="宋体" w:hAnsi="宋体" w:cs="宋体" w:eastAsia="宋体" w:hint="default"/>
                <w:sz w:val="18"/>
                <w:szCs w:val="18"/>
              </w:rPr>
              <w:t> 际控制人、 公司董事长 兼总经理朱 文明先生</w:t>
            </w:r>
          </w:p>
        </w:tc>
        <w:tc>
          <w:tcPr>
            <w:tcW w:w="4110" w:type="dxa"/>
            <w:tcBorders>
              <w:top w:val="single" w:sz="4" w:space="0" w:color="000000"/>
              <w:left w:val="single" w:sz="4" w:space="0" w:color="000000"/>
              <w:bottom w:val="single" w:sz="4" w:space="0" w:color="000000"/>
              <w:right w:val="single" w:sz="9" w:space="0" w:color="FFFFFF"/>
            </w:tcBorders>
          </w:tcPr>
          <w:p>
            <w:pPr>
              <w:pStyle w:val="TableParagraph"/>
              <w:spacing w:line="242" w:lineRule="auto" w:before="22"/>
              <w:ind w:left="22" w:right="-41" w:firstLine="360"/>
              <w:jc w:val="left"/>
              <w:rPr>
                <w:rFonts w:ascii="宋体" w:hAnsi="宋体" w:cs="宋体" w:eastAsia="宋体" w:hint="default"/>
                <w:sz w:val="18"/>
                <w:szCs w:val="18"/>
              </w:rPr>
            </w:pPr>
            <w:r>
              <w:rPr>
                <w:rFonts w:ascii="宋体" w:hAnsi="宋体" w:cs="宋体" w:eastAsia="宋体" w:hint="default"/>
                <w:sz w:val="18"/>
                <w:szCs w:val="18"/>
              </w:rPr>
              <w:t>对于江苏丰东热技术股份有限公司正在或已经 进行生产开发的产品、经营的业务以及研究的新产 </w:t>
            </w:r>
            <w:r>
              <w:rPr>
                <w:rFonts w:ascii="宋体" w:hAnsi="宋体" w:cs="宋体" w:eastAsia="宋体" w:hint="default"/>
                <w:spacing w:val="-4"/>
                <w:sz w:val="18"/>
                <w:szCs w:val="18"/>
              </w:rPr>
              <w:t>品、新技术，承诺方保证现在和将来不生产、开发任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何对江苏丰东热技术股份有限公司生产的产品构成 </w:t>
            </w:r>
            <w:r>
              <w:rPr>
                <w:rFonts w:ascii="宋体" w:hAnsi="宋体" w:cs="宋体" w:eastAsia="宋体" w:hint="default"/>
                <w:spacing w:val="-4"/>
                <w:sz w:val="18"/>
                <w:szCs w:val="18"/>
              </w:rPr>
              <w:t>直接竞争的同类产品，亦不直接经营或间接经营与江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苏丰东热技术股份有限公司业务、新产品、新技术有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竞争或可能有竞争的企业、业务、新产品、新技术。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承诺方也保证不利用其控股股东（或实际控制人）的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地位损害江苏丰东热技术股份有限公司及其它股东 </w:t>
            </w:r>
            <w:r>
              <w:rPr>
                <w:rFonts w:ascii="宋体" w:hAnsi="宋体" w:cs="宋体" w:eastAsia="宋体" w:hint="default"/>
                <w:spacing w:val="-4"/>
                <w:sz w:val="18"/>
                <w:szCs w:val="18"/>
              </w:rPr>
              <w:t>的正当权益。同时承诺方将促使承诺方全资拥有或其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拥有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股权以上或相对控制的下属子公司遵守上 述承诺。</w:t>
            </w:r>
          </w:p>
        </w:tc>
        <w:tc>
          <w:tcPr>
            <w:tcW w:w="85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5"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5" w:lineRule="exact"/>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6"/>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269"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4" w:lineRule="auto"/>
              <w:ind w:left="15" w:right="59"/>
              <w:jc w:val="both"/>
              <w:rPr>
                <w:rFonts w:ascii="宋体" w:hAnsi="宋体" w:cs="宋体" w:eastAsia="宋体" w:hint="default"/>
                <w:sz w:val="18"/>
                <w:szCs w:val="18"/>
              </w:rPr>
            </w:pPr>
            <w:r>
              <w:rPr>
                <w:rFonts w:ascii="宋体" w:hAnsi="宋体" w:cs="宋体" w:eastAsia="宋体" w:hint="default"/>
                <w:sz w:val="18"/>
                <w:szCs w:val="18"/>
              </w:rPr>
              <w:t>公司股东日 本东方工程 株式会社</w:t>
            </w:r>
          </w:p>
        </w:tc>
        <w:tc>
          <w:tcPr>
            <w:tcW w:w="4110" w:type="dxa"/>
            <w:vMerge w:val="restart"/>
            <w:tcBorders>
              <w:top w:val="single" w:sz="4" w:space="0" w:color="000000"/>
              <w:left w:val="single" w:sz="4" w:space="0" w:color="000000"/>
              <w:right w:val="single" w:sz="4" w:space="0" w:color="000000"/>
            </w:tcBorders>
          </w:tcPr>
          <w:p>
            <w:pPr>
              <w:pStyle w:val="TableParagraph"/>
              <w:spacing w:line="244" w:lineRule="auto" w:before="22"/>
              <w:ind w:left="22" w:right="19" w:firstLine="360"/>
              <w:jc w:val="both"/>
              <w:rPr>
                <w:rFonts w:ascii="宋体" w:hAnsi="宋体" w:cs="宋体" w:eastAsia="宋体" w:hint="default"/>
                <w:sz w:val="18"/>
                <w:szCs w:val="18"/>
              </w:rPr>
            </w:pPr>
            <w:r>
              <w:rPr>
                <w:rFonts w:ascii="宋体" w:hAnsi="宋体" w:cs="宋体" w:eastAsia="宋体" w:hint="default"/>
                <w:spacing w:val="-4"/>
                <w:sz w:val="18"/>
                <w:szCs w:val="18"/>
              </w:rPr>
              <w:t>在销售市场方面：在日本国市场上，日本东方可</w:t>
            </w:r>
            <w:r>
              <w:rPr>
                <w:rFonts w:ascii="宋体" w:hAnsi="宋体" w:cs="宋体" w:eastAsia="宋体" w:hint="default"/>
                <w:sz w:val="18"/>
                <w:szCs w:val="18"/>
              </w:rPr>
              <w:t> </w:t>
            </w:r>
            <w:r>
              <w:rPr>
                <w:rFonts w:ascii="宋体" w:hAnsi="宋体" w:cs="宋体" w:eastAsia="宋体" w:hint="default"/>
                <w:spacing w:val="-4"/>
                <w:sz w:val="18"/>
                <w:szCs w:val="18"/>
              </w:rPr>
              <w:t>销售自有产品，本公司不得销售自有产品；在东南亚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国家市场，日本东方只向日资控股的企业销售自有产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品，本公司则可向除日资控股的企业以外的所有企业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销售自有产品；对于除日本国及东南亚的世界任何其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他市场，日本东方不得以任何方式销售自有产品，本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公司则可自由销售。</w:t>
            </w:r>
          </w:p>
          <w:p>
            <w:pPr>
              <w:pStyle w:val="TableParagraph"/>
              <w:spacing w:line="244" w:lineRule="auto" w:before="40"/>
              <w:ind w:left="22" w:right="19" w:firstLine="360"/>
              <w:jc w:val="both"/>
              <w:rPr>
                <w:rFonts w:ascii="宋体" w:hAnsi="宋体" w:cs="宋体" w:eastAsia="宋体" w:hint="default"/>
                <w:sz w:val="18"/>
                <w:szCs w:val="18"/>
              </w:rPr>
            </w:pPr>
            <w:r>
              <w:rPr>
                <w:rFonts w:ascii="宋体" w:hAnsi="宋体" w:cs="宋体" w:eastAsia="宋体" w:hint="default"/>
                <w:spacing w:val="-5"/>
                <w:sz w:val="18"/>
                <w:szCs w:val="18"/>
              </w:rPr>
              <w:t>热处理加工业务方面：日本东方可继续在日本国</w:t>
            </w:r>
            <w:r>
              <w:rPr>
                <w:rFonts w:ascii="宋体" w:hAnsi="宋体" w:cs="宋体" w:eastAsia="宋体" w:hint="default"/>
                <w:sz w:val="18"/>
                <w:szCs w:val="18"/>
              </w:rPr>
              <w:t> </w:t>
            </w:r>
            <w:r>
              <w:rPr>
                <w:rFonts w:ascii="宋体" w:hAnsi="宋体" w:cs="宋体" w:eastAsia="宋体" w:hint="default"/>
                <w:spacing w:val="-4"/>
                <w:sz w:val="18"/>
                <w:szCs w:val="18"/>
              </w:rPr>
              <w:t>从事热处理加工业务，但本公司不得在日本国从事该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等业务；在东南亚国家，日本东方只能承接日资控股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企业的热处理加工业务，本公司则可承接除日资控股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企业以外的所有企业的热处理加工业务；在除日本国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及东南亚的世界任何其它国家和地区，本公司可从事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热处理加工业务，但日本东方不得从事该等业务。</w:t>
            </w:r>
          </w:p>
          <w:p>
            <w:pPr>
              <w:pStyle w:val="TableParagraph"/>
              <w:spacing w:line="244" w:lineRule="auto" w:before="41"/>
              <w:ind w:left="22" w:right="21" w:firstLine="360"/>
              <w:jc w:val="both"/>
              <w:rPr>
                <w:rFonts w:ascii="宋体" w:hAnsi="宋体" w:cs="宋体" w:eastAsia="宋体" w:hint="default"/>
                <w:sz w:val="18"/>
                <w:szCs w:val="18"/>
              </w:rPr>
            </w:pPr>
            <w:r>
              <w:rPr>
                <w:rFonts w:ascii="宋体" w:hAnsi="宋体" w:cs="宋体" w:eastAsia="宋体" w:hint="default"/>
                <w:spacing w:val="-5"/>
                <w:sz w:val="18"/>
                <w:szCs w:val="18"/>
              </w:rPr>
              <w:t>在投资方面：本公司可继续在中国以任何方式进</w:t>
            </w:r>
            <w:r>
              <w:rPr>
                <w:rFonts w:ascii="宋体" w:hAnsi="宋体" w:cs="宋体" w:eastAsia="宋体" w:hint="default"/>
                <w:sz w:val="18"/>
                <w:szCs w:val="18"/>
              </w:rPr>
              <w:t> </w:t>
            </w:r>
            <w:r>
              <w:rPr>
                <w:rFonts w:ascii="宋体" w:hAnsi="宋体" w:cs="宋体" w:eastAsia="宋体" w:hint="default"/>
                <w:spacing w:val="-4"/>
                <w:sz w:val="18"/>
                <w:szCs w:val="18"/>
              </w:rPr>
              <w:t>行投资以从事热处理设备销售和热处理加工业务；除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本协议生效之前，日本东方已与本公司共同投资设</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p>
            <w:pPr>
              <w:pStyle w:val="TableParagraph"/>
              <w:spacing w:line="244" w:lineRule="auto"/>
              <w:ind w:left="23" w:right="23"/>
              <w:jc w:val="left"/>
              <w:rPr>
                <w:rFonts w:ascii="宋体" w:hAnsi="宋体" w:cs="宋体" w:eastAsia="宋体" w:hint="default"/>
                <w:sz w:val="18"/>
                <w:szCs w:val="18"/>
              </w:rPr>
            </w:pPr>
            <w:r>
              <w:rPr>
                <w:rFonts w:ascii="宋体" w:hAnsi="宋体" w:cs="宋体" w:eastAsia="宋体" w:hint="default"/>
                <w:sz w:val="18"/>
                <w:szCs w:val="18"/>
              </w:rPr>
              <w:t>《避免同 业竞争协 议》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p>
            <w:pPr>
              <w:pStyle w:val="TableParagraph"/>
              <w:spacing w:line="237" w:lineRule="auto"/>
              <w:ind w:left="23" w:right="96"/>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 </w:t>
            </w:r>
            <w:r>
              <w:rPr>
                <w:rFonts w:ascii="宋体" w:hAnsi="宋体" w:cs="宋体" w:eastAsia="宋体" w:hint="default"/>
                <w:sz w:val="18"/>
                <w:szCs w:val="18"/>
              </w:rPr>
              <w:t>避免同业 竞争</w:t>
            </w:r>
            <w:r>
              <w:rPr>
                <w:rFonts w:ascii="Times New Roman" w:hAnsi="Times New Roman" w:cs="Times New Roman" w:eastAsia="Times New Roman" w:hint="default"/>
                <w:sz w:val="18"/>
                <w:szCs w:val="18"/>
              </w:rPr>
              <w:t>&gt;</w:t>
            </w:r>
            <w:r>
              <w:rPr>
                <w:rFonts w:ascii="宋体" w:hAnsi="宋体" w:cs="宋体" w:eastAsia="宋体" w:hint="default"/>
                <w:sz w:val="18"/>
                <w:szCs w:val="18"/>
              </w:rPr>
              <w:t>之 补充协 议》</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承诺人严 格履行了 承诺内容。</w:t>
            </w:r>
          </w:p>
        </w:tc>
      </w:tr>
      <w:tr>
        <w:trPr>
          <w:trHeight w:val="703"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992" w:type="dxa"/>
            <w:vMerge/>
            <w:tcBorders>
              <w:left w:val="single" w:sz="10" w:space="0" w:color="D2D2D2"/>
              <w:right w:val="single" w:sz="4" w:space="0" w:color="000000"/>
            </w:tcBorders>
          </w:tcPr>
          <w:p>
            <w:pPr/>
          </w:p>
        </w:tc>
        <w:tc>
          <w:tcPr>
            <w:tcW w:w="411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239"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10" w:space="0" w:color="D2D2D2"/>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4110"/>
        <w:gridCol w:w="852"/>
        <w:gridCol w:w="850"/>
        <w:gridCol w:w="920"/>
      </w:tblGrid>
      <w:tr>
        <w:trPr>
          <w:trHeight w:val="249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z w:val="18"/>
                <w:szCs w:val="18"/>
              </w:rPr>
              <w:t>立的合营企业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且</w:t>
            </w:r>
            <w:r>
              <w:rPr>
                <w:rFonts w:ascii="Times New Roman" w:hAnsi="Times New Roman" w:cs="Times New Roman" w:eastAsia="Times New Roman" w:hint="default"/>
                <w:sz w:val="18"/>
                <w:szCs w:val="18"/>
              </w:rPr>
              <w:t>“</w:t>
            </w:r>
            <w:r>
              <w:rPr>
                <w:rFonts w:ascii="宋体" w:hAnsi="宋体" w:cs="宋体" w:eastAsia="宋体" w:hint="default"/>
                <w:sz w:val="18"/>
                <w:szCs w:val="18"/>
              </w:rPr>
              <w:t>合营企业为本公司所控股</w:t>
            </w:r>
            <w:r>
              <w:rPr>
                <w:rFonts w:ascii="Times New Roman" w:hAnsi="Times New Roman" w:cs="Times New Roman" w:eastAsia="Times New Roman" w:hint="default"/>
                <w:sz w:val="18"/>
                <w:szCs w:val="18"/>
              </w:rPr>
              <w:t>”</w:t>
            </w:r>
            <w:r>
              <w:rPr>
                <w:rFonts w:ascii="宋体" w:hAnsi="宋体" w:cs="宋体" w:eastAsia="宋体" w:hint="default"/>
                <w:sz w:val="18"/>
                <w:szCs w:val="18"/>
              </w:rPr>
              <w:t>的情形 </w:t>
            </w:r>
            <w:r>
              <w:rPr>
                <w:rFonts w:ascii="宋体" w:hAnsi="宋体" w:cs="宋体" w:eastAsia="宋体" w:hint="default"/>
                <w:spacing w:val="-4"/>
                <w:sz w:val="18"/>
                <w:szCs w:val="18"/>
              </w:rPr>
              <w:t>外，日本东方不得以直接投资、委托投资、受托经营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等任何方式在中国从事热处理设备销售和热处理加 工业务。</w:t>
            </w:r>
          </w:p>
          <w:p>
            <w:pPr>
              <w:pStyle w:val="TableParagraph"/>
              <w:spacing w:line="244" w:lineRule="auto" w:before="22"/>
              <w:ind w:left="22" w:right="21" w:firstLine="360"/>
              <w:jc w:val="left"/>
              <w:rPr>
                <w:rFonts w:ascii="宋体" w:hAnsi="宋体" w:cs="宋体" w:eastAsia="宋体" w:hint="default"/>
                <w:sz w:val="18"/>
                <w:szCs w:val="18"/>
              </w:rPr>
            </w:pPr>
            <w:r>
              <w:rPr>
                <w:rFonts w:ascii="宋体" w:hAnsi="宋体" w:cs="宋体" w:eastAsia="宋体" w:hint="default"/>
                <w:spacing w:val="-5"/>
                <w:sz w:val="18"/>
                <w:szCs w:val="18"/>
              </w:rPr>
              <w:t>在知识产权的转让方面：除非受让方明确承诺接</w:t>
            </w:r>
            <w:r>
              <w:rPr>
                <w:rFonts w:ascii="宋体" w:hAnsi="宋体" w:cs="宋体" w:eastAsia="宋体" w:hint="default"/>
                <w:sz w:val="18"/>
                <w:szCs w:val="18"/>
              </w:rPr>
              <w:t> 受本协议的条款和条件并由其承继日本东方在本协 </w:t>
            </w:r>
            <w:r>
              <w:rPr>
                <w:rFonts w:ascii="宋体" w:hAnsi="宋体" w:cs="宋体" w:eastAsia="宋体" w:hint="default"/>
                <w:spacing w:val="-4"/>
                <w:sz w:val="18"/>
                <w:szCs w:val="18"/>
              </w:rPr>
              <w:t>议项下的全部义务和责任，否则日本东方不得向其他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自然人、公司、企业或其它组织转让或许可使用与研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发、生产和销售热处理设备以及从事热处理加工业务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有关的知识产权。</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4" w:lineRule="auto"/>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9"/>
              <w:jc w:val="both"/>
              <w:rPr>
                <w:rFonts w:ascii="宋体" w:hAnsi="宋体" w:cs="宋体" w:eastAsia="宋体" w:hint="default"/>
                <w:sz w:val="18"/>
                <w:szCs w:val="18"/>
              </w:rPr>
            </w:pPr>
            <w:r>
              <w:rPr>
                <w:rFonts w:ascii="宋体" w:hAnsi="宋体" w:cs="宋体" w:eastAsia="宋体" w:hint="default"/>
                <w:sz w:val="18"/>
                <w:szCs w:val="18"/>
              </w:rPr>
              <w:t>公司控股股 东大丰市东 润投资管理 有限公司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22" w:right="20" w:firstLine="36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日首次减持之日起连续六个月 内通过证券交易系统出售的股份将不超过公司股份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2014.11.3</w:t>
            </w:r>
          </w:p>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~2015.5.2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承诺人严 格履行了 承诺内容。</w:t>
            </w:r>
          </w:p>
        </w:tc>
      </w:tr>
      <w:tr>
        <w:trPr>
          <w:trHeight w:val="5250" w:hRule="exact"/>
        </w:trPr>
        <w:tc>
          <w:tcPr>
            <w:tcW w:w="1844"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 w:firstLine="360"/>
              <w:jc w:val="both"/>
              <w:rPr>
                <w:rFonts w:ascii="宋体" w:hAnsi="宋体" w:cs="宋体" w:eastAsia="宋体" w:hint="default"/>
                <w:sz w:val="18"/>
                <w:szCs w:val="18"/>
              </w:rPr>
            </w:pPr>
            <w:r>
              <w:rPr>
                <w:rFonts w:ascii="宋体" w:hAnsi="宋体" w:cs="宋体" w:eastAsia="宋体" w:hint="default"/>
                <w:spacing w:val="-5"/>
                <w:sz w:val="18"/>
                <w:szCs w:val="18"/>
              </w:rPr>
              <w:t>未来三年公司可以采取现金、股票或者现金与股</w:t>
            </w:r>
            <w:r>
              <w:rPr>
                <w:rFonts w:ascii="宋体" w:hAnsi="宋体" w:cs="宋体" w:eastAsia="宋体" w:hint="default"/>
                <w:sz w:val="18"/>
                <w:szCs w:val="18"/>
              </w:rPr>
              <w:t> </w:t>
            </w:r>
            <w:r>
              <w:rPr>
                <w:rFonts w:ascii="宋体" w:hAnsi="宋体" w:cs="宋体" w:eastAsia="宋体" w:hint="default"/>
                <w:spacing w:val="-4"/>
                <w:sz w:val="18"/>
                <w:szCs w:val="18"/>
              </w:rPr>
              <w:t>票相结合的方式分配利润，在公司盈利、现金流满足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公司正常经营和长期发展的前提下，公司将实施积极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的现金股利分配办法，重视对股东的投资回报。</w:t>
            </w:r>
          </w:p>
          <w:p>
            <w:pPr>
              <w:pStyle w:val="TableParagraph"/>
              <w:spacing w:line="240" w:lineRule="auto" w:before="40"/>
              <w:ind w:left="382" w:right="0"/>
              <w:jc w:val="left"/>
              <w:rPr>
                <w:rFonts w:ascii="宋体" w:hAnsi="宋体" w:cs="宋体" w:eastAsia="宋体" w:hint="default"/>
                <w:sz w:val="18"/>
                <w:szCs w:val="18"/>
              </w:rPr>
            </w:pPr>
            <w:r>
              <w:rPr>
                <w:rFonts w:ascii="宋体" w:hAnsi="宋体" w:cs="宋体" w:eastAsia="宋体" w:hint="default"/>
                <w:sz w:val="18"/>
                <w:szCs w:val="18"/>
              </w:rPr>
              <w:t>如无重大投资计划或重大现金支出计划等事项</w:t>
            </w:r>
          </w:p>
          <w:p>
            <w:pPr>
              <w:pStyle w:val="TableParagraph"/>
              <w:spacing w:line="240" w:lineRule="auto" w:before="4"/>
              <w:ind w:left="22" w:right="21"/>
              <w:jc w:val="left"/>
              <w:rPr>
                <w:rFonts w:ascii="宋体" w:hAnsi="宋体" w:cs="宋体" w:eastAsia="宋体" w:hint="default"/>
                <w:sz w:val="18"/>
                <w:szCs w:val="18"/>
              </w:rPr>
            </w:pPr>
            <w:r>
              <w:rPr>
                <w:rFonts w:ascii="宋体" w:hAnsi="宋体" w:cs="宋体" w:eastAsia="宋体" w:hint="default"/>
                <w:spacing w:val="-4"/>
                <w:sz w:val="18"/>
                <w:szCs w:val="18"/>
              </w:rPr>
              <w:t>（募集资金投资项目除外），公司应采取现金方式分</w:t>
            </w:r>
            <w:r>
              <w:rPr>
                <w:rFonts w:ascii="宋体" w:hAnsi="宋体" w:cs="宋体" w:eastAsia="宋体" w:hint="default"/>
                <w:sz w:val="18"/>
                <w:szCs w:val="18"/>
              </w:rPr>
              <w:t> </w:t>
            </w:r>
            <w:r>
              <w:rPr>
                <w:rFonts w:ascii="宋体" w:hAnsi="宋体" w:cs="宋体" w:eastAsia="宋体" w:hint="default"/>
                <w:spacing w:val="-4"/>
                <w:sz w:val="18"/>
                <w:szCs w:val="18"/>
              </w:rPr>
              <w:t>配股利，最近三年以现金方式累计分配的利润不少于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最近三年实现的年均可分配利润的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。具体以现 金方式分配的利润比例由董事会根据公司盈利水平 和经营发展计划提出，报股东大会批准。</w:t>
            </w:r>
          </w:p>
          <w:p>
            <w:pPr>
              <w:pStyle w:val="TableParagraph"/>
              <w:spacing w:line="244" w:lineRule="auto" w:before="44"/>
              <w:ind w:left="22" w:right="117" w:firstLine="360"/>
              <w:jc w:val="left"/>
              <w:rPr>
                <w:rFonts w:ascii="宋体" w:hAnsi="宋体" w:cs="宋体" w:eastAsia="宋体" w:hint="default"/>
                <w:sz w:val="18"/>
                <w:szCs w:val="18"/>
              </w:rPr>
            </w:pPr>
            <w:r>
              <w:rPr>
                <w:rFonts w:ascii="宋体" w:hAnsi="宋体" w:cs="宋体" w:eastAsia="宋体" w:hint="default"/>
                <w:sz w:val="18"/>
                <w:szCs w:val="18"/>
              </w:rPr>
              <w:t>未来三年公司董事会可以根据公司盈利情况及 资金需求状况提议公司进行中期现金分红。</w:t>
            </w:r>
          </w:p>
          <w:p>
            <w:pPr>
              <w:pStyle w:val="TableParagraph"/>
              <w:spacing w:line="244" w:lineRule="auto" w:before="41"/>
              <w:ind w:left="22" w:right="19" w:firstLine="360"/>
              <w:jc w:val="left"/>
              <w:rPr>
                <w:rFonts w:ascii="宋体" w:hAnsi="宋体" w:cs="宋体" w:eastAsia="宋体" w:hint="default"/>
                <w:sz w:val="18"/>
                <w:szCs w:val="18"/>
              </w:rPr>
            </w:pPr>
            <w:r>
              <w:rPr>
                <w:rFonts w:ascii="宋体" w:hAnsi="宋体" w:cs="宋体" w:eastAsia="宋体" w:hint="default"/>
                <w:spacing w:val="-5"/>
                <w:sz w:val="18"/>
                <w:szCs w:val="18"/>
              </w:rPr>
              <w:t>公司经营情况良好，并且董事会认为公司股票价</w:t>
            </w:r>
            <w:r>
              <w:rPr>
                <w:rFonts w:ascii="宋体" w:hAnsi="宋体" w:cs="宋体" w:eastAsia="宋体" w:hint="default"/>
                <w:sz w:val="18"/>
                <w:szCs w:val="18"/>
              </w:rPr>
              <w:t> </w:t>
            </w:r>
            <w:r>
              <w:rPr>
                <w:rFonts w:ascii="宋体" w:hAnsi="宋体" w:cs="宋体" w:eastAsia="宋体" w:hint="default"/>
                <w:spacing w:val="-4"/>
                <w:sz w:val="18"/>
                <w:szCs w:val="18"/>
              </w:rPr>
              <w:t>格与公司股本规模不匹配、发放股票股利有利于公司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全体股东整体利益的，可以在满足上述现金分红之 </w:t>
            </w:r>
            <w:r>
              <w:rPr>
                <w:rFonts w:ascii="宋体" w:hAnsi="宋体" w:cs="宋体" w:eastAsia="宋体" w:hint="default"/>
                <w:spacing w:val="-4"/>
                <w:sz w:val="18"/>
                <w:szCs w:val="18"/>
              </w:rPr>
              <w:t>余，提出股票股利分配预案，并经股东大会审议通过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后执行。公司在确定以股票方式分配利润的具体金额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时，应充分考虑以股票方式分配利润后的总股本是否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与公司目前的经营规模、盈利增长速度相适应，并考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虑对未来债权融资成本的影响，以确保分配方案符合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全体股东的整体利益。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20121.1~2</w:t>
            </w:r>
          </w:p>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014.12.31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承诺人严 格履行了 承诺内容。</w:t>
            </w:r>
          </w:p>
        </w:tc>
      </w:tr>
      <w:tr>
        <w:trPr>
          <w:trHeight w:val="493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 w:firstLine="360"/>
              <w:jc w:val="both"/>
              <w:rPr>
                <w:rFonts w:ascii="宋体" w:hAnsi="宋体" w:cs="宋体" w:eastAsia="宋体" w:hint="default"/>
                <w:sz w:val="18"/>
                <w:szCs w:val="18"/>
              </w:rPr>
            </w:pPr>
            <w:r>
              <w:rPr>
                <w:rFonts w:ascii="宋体" w:hAnsi="宋体" w:cs="宋体" w:eastAsia="宋体" w:hint="default"/>
                <w:spacing w:val="-5"/>
                <w:sz w:val="18"/>
                <w:szCs w:val="18"/>
              </w:rPr>
              <w:t>未来三年公司利润分配采取现金、股票、现金与</w:t>
            </w:r>
            <w:r>
              <w:rPr>
                <w:rFonts w:ascii="宋体" w:hAnsi="宋体" w:cs="宋体" w:eastAsia="宋体" w:hint="default"/>
                <w:sz w:val="18"/>
                <w:szCs w:val="18"/>
              </w:rPr>
              <w:t> </w:t>
            </w:r>
            <w:r>
              <w:rPr>
                <w:rFonts w:ascii="宋体" w:hAnsi="宋体" w:cs="宋体" w:eastAsia="宋体" w:hint="default"/>
                <w:spacing w:val="-4"/>
                <w:sz w:val="18"/>
                <w:szCs w:val="18"/>
              </w:rPr>
              <w:t>股票相结合或者法律、法规允许的其他方式，优先采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用现金分红方式分配股利。</w:t>
            </w:r>
          </w:p>
          <w:p>
            <w:pPr>
              <w:pStyle w:val="TableParagraph"/>
              <w:spacing w:line="242" w:lineRule="auto" w:before="40"/>
              <w:ind w:left="22" w:right="19" w:firstLine="360"/>
              <w:jc w:val="left"/>
              <w:rPr>
                <w:rFonts w:ascii="宋体" w:hAnsi="宋体" w:cs="宋体" w:eastAsia="宋体" w:hint="default"/>
                <w:sz w:val="18"/>
                <w:szCs w:val="18"/>
              </w:rPr>
            </w:pPr>
            <w:r>
              <w:rPr>
                <w:rFonts w:ascii="宋体" w:hAnsi="宋体" w:cs="宋体" w:eastAsia="宋体" w:hint="default"/>
                <w:spacing w:val="-5"/>
                <w:sz w:val="18"/>
                <w:szCs w:val="18"/>
              </w:rPr>
              <w:t>在满足现金分红条件、保证公司正常经营和长远</w:t>
            </w:r>
            <w:r>
              <w:rPr>
                <w:rFonts w:ascii="宋体" w:hAnsi="宋体" w:cs="宋体" w:eastAsia="宋体" w:hint="default"/>
                <w:sz w:val="18"/>
                <w:szCs w:val="18"/>
              </w:rPr>
              <w:t> </w:t>
            </w:r>
            <w:r>
              <w:rPr>
                <w:rFonts w:ascii="宋体" w:hAnsi="宋体" w:cs="宋体" w:eastAsia="宋体" w:hint="default"/>
                <w:spacing w:val="-4"/>
                <w:sz w:val="18"/>
                <w:szCs w:val="18"/>
              </w:rPr>
              <w:t>发展的前提下，公司未来三年原则上每年年度股东大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会审议通过后进行一次现金分红，公司董事会可以根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据公司的盈利状况及资金需求状况提议公司进行中 </w:t>
            </w:r>
            <w:r>
              <w:rPr>
                <w:rFonts w:ascii="宋体" w:hAnsi="宋体" w:cs="宋体" w:eastAsia="宋体" w:hint="default"/>
                <w:spacing w:val="-4"/>
                <w:sz w:val="18"/>
                <w:szCs w:val="18"/>
              </w:rPr>
              <w:t>期现金分红。公司应保持利润分配政策的连续性和稳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定性，在满足现金分红条件时，公司每年以现金方式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分配的利润不少于当年实现的母公司可分配利润的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，且任意三个连续会计年度内，公司以现金方式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累计分配的利润不少于该三年实现的母公司年均可 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4" w:lineRule="auto" w:before="28"/>
              <w:ind w:left="22" w:right="19" w:firstLine="360"/>
              <w:jc w:val="left"/>
              <w:rPr>
                <w:rFonts w:ascii="宋体" w:hAnsi="宋体" w:cs="宋体" w:eastAsia="宋体" w:hint="default"/>
                <w:sz w:val="18"/>
                <w:szCs w:val="18"/>
              </w:rPr>
            </w:pPr>
            <w:r>
              <w:rPr>
                <w:rFonts w:ascii="宋体" w:hAnsi="宋体" w:cs="宋体" w:eastAsia="宋体" w:hint="default"/>
                <w:spacing w:val="-5"/>
                <w:sz w:val="18"/>
                <w:szCs w:val="18"/>
              </w:rPr>
              <w:t>公司经营情况良好，并且董事会认为公司股票价</w:t>
            </w:r>
            <w:r>
              <w:rPr>
                <w:rFonts w:ascii="宋体" w:hAnsi="宋体" w:cs="宋体" w:eastAsia="宋体" w:hint="default"/>
                <w:sz w:val="18"/>
                <w:szCs w:val="18"/>
              </w:rPr>
              <w:t> </w:t>
            </w:r>
            <w:r>
              <w:rPr>
                <w:rFonts w:ascii="宋体" w:hAnsi="宋体" w:cs="宋体" w:eastAsia="宋体" w:hint="default"/>
                <w:spacing w:val="-4"/>
                <w:sz w:val="18"/>
                <w:szCs w:val="18"/>
              </w:rPr>
              <w:t>格与公司股本规模不匹配、发放股票股利有利于公司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全体股东整体利益的，可以在满足上述现金分红之 </w:t>
            </w:r>
            <w:r>
              <w:rPr>
                <w:rFonts w:ascii="宋体" w:hAnsi="宋体" w:cs="宋体" w:eastAsia="宋体" w:hint="default"/>
                <w:spacing w:val="-4"/>
                <w:sz w:val="18"/>
                <w:szCs w:val="18"/>
              </w:rPr>
              <w:t>余，提出股票股利分配预案，并经股东大会审议通过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后执行。公司在确定以股票方式分配利润的具体金额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时，应充分考虑以股票方式分配利润后的总股本是否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与公司目前的经营规模、盈利增长速度相适应，并考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3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2017.12.3</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承诺人将 严格履行 承诺内容。</w:t>
            </w:r>
          </w:p>
        </w:tc>
      </w:tr>
    </w:tbl>
    <w:p>
      <w:pPr>
        <w:spacing w:after="0" w:line="244"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4110"/>
        <w:gridCol w:w="852"/>
        <w:gridCol w:w="850"/>
        <w:gridCol w:w="920"/>
      </w:tblGrid>
      <w:tr>
        <w:trPr>
          <w:trHeight w:val="530"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pacing w:val="-4"/>
                <w:sz w:val="18"/>
                <w:szCs w:val="18"/>
              </w:rPr>
              <w:t>虑对未来债权融资成本的影响，以确保分配方案符合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全体股东的整体利益。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71" w:firstLine="360"/>
              <w:jc w:val="both"/>
              <w:rPr>
                <w:rFonts w:ascii="宋体" w:hAnsi="宋体" w:cs="宋体" w:eastAsia="宋体" w:hint="default"/>
                <w:sz w:val="18"/>
                <w:szCs w:val="18"/>
              </w:rPr>
            </w:pPr>
            <w:r>
              <w:rPr>
                <w:rFonts w:ascii="宋体" w:hAnsi="宋体" w:cs="宋体" w:eastAsia="宋体" w:hint="default"/>
                <w:sz w:val="18"/>
                <w:szCs w:val="18"/>
              </w:rPr>
              <w:t>公司本次使用剩余超募资金补充流动资金后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个月内不进行证券投资等高风险投资及为他人提供 财务资助。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2014.12.2</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6~2015.12</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
              <w:jc w:val="left"/>
              <w:rPr>
                <w:rFonts w:ascii="宋体" w:hAnsi="宋体" w:cs="宋体" w:eastAsia="宋体" w:hint="default"/>
                <w:sz w:val="18"/>
                <w:szCs w:val="18"/>
              </w:rPr>
            </w:pPr>
            <w:r>
              <w:rPr>
                <w:rFonts w:ascii="宋体" w:hAnsi="宋体" w:cs="宋体" w:eastAsia="宋体" w:hint="default"/>
                <w:sz w:val="18"/>
                <w:szCs w:val="18"/>
              </w:rPr>
              <w:t>承诺人将 严格履行 承诺内容。</w:t>
            </w:r>
          </w:p>
        </w:tc>
      </w:tr>
      <w:tr>
        <w:trPr>
          <w:trHeight w:val="33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1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89"/>
              <w:jc w:val="both"/>
              <w:rPr>
                <w:rFonts w:ascii="宋体" w:hAnsi="宋体" w:cs="宋体" w:eastAsia="宋体" w:hint="default"/>
                <w:sz w:val="18"/>
                <w:szCs w:val="18"/>
              </w:rPr>
            </w:pPr>
            <w:r>
              <w:rPr>
                <w:rFonts w:ascii="宋体" w:hAnsi="宋体" w:cs="宋体" w:eastAsia="宋体" w:hint="default"/>
                <w:sz w:val="18"/>
                <w:szCs w:val="18"/>
              </w:rPr>
              <w:t>未完成履行的具体原 因及下一步计划（如 有）</w:t>
            </w:r>
          </w:p>
        </w:tc>
        <w:tc>
          <w:tcPr>
            <w:tcW w:w="77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3" w:right="0" w:firstLine="422"/>
        <w:jc w:val="left"/>
        <w:rPr>
          <w:b w:val="0"/>
          <w:bCs w:val="0"/>
        </w:rPr>
      </w:pPr>
      <w:bookmarkStart w:name="2、公司资产或项目存在盈利预测，且报告期仍处在盈利预测期间，公司就资产或项目达到" w:id="86"/>
      <w:bookmarkEnd w:id="8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w:t>
      </w:r>
      <w:r>
        <w:rPr>
          <w:w w:val="99"/>
        </w:rPr>
        <w:t> </w:t>
      </w:r>
      <w:r>
        <w:rPr/>
        <w:t>测及其原因做出说明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聘任、解聘会计师事务所情况" w:id="87"/>
      <w:bookmarkEnd w:id="87"/>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62.45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冯家俊、郑珮</w:t>
            </w:r>
          </w:p>
        </w:tc>
      </w:tr>
    </w:tbl>
    <w:p>
      <w:pPr>
        <w:pStyle w:val="BodyText"/>
        <w:spacing w:line="240" w:lineRule="auto" w:before="51"/>
        <w:ind w:left="514" w:right="0"/>
        <w:jc w:val="left"/>
      </w:pPr>
      <w:r>
        <w:rPr/>
        <w:t>当期是否改聘会计师事务所</w:t>
      </w:r>
    </w:p>
    <w:p>
      <w:pPr>
        <w:pStyle w:val="BodyText"/>
        <w:spacing w:line="338" w:lineRule="auto" w:before="117"/>
        <w:ind w:right="58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监事会、独立董事（如适用）对会计师事务所本报告期“非标准审计报告”的说明" w:id="88"/>
      <w:bookmarkEnd w:id="88"/>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处罚及整改情况" w:id="89"/>
      <w:bookmarkEnd w:id="89"/>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90"/>
      <w:bookmarkEnd w:id="9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91"/>
      <w:bookmarkEnd w:id="9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after="0" w:line="338" w:lineRule="auto"/>
        <w:jc w:val="left"/>
        <w:sectPr>
          <w:pgSz w:w="11910" w:h="16840"/>
          <w:pgMar w:header="691"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十五、公司子公司重要事项" w:id="92"/>
      <w:bookmarkEnd w:id="92"/>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六、公司发行公司债券的情况" w:id="93"/>
      <w:bookmarkEnd w:id="93"/>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0"/>
        <w:jc w:val="left"/>
        <w:rPr>
          <w:b w:val="0"/>
          <w:bCs w:val="0"/>
        </w:rPr>
      </w:pPr>
      <w:bookmarkStart w:name="第六节 股份变动及股东情况" w:id="94"/>
      <w:bookmarkEnd w:id="94"/>
      <w:r>
        <w:rPr>
          <w:b w:val="0"/>
          <w:bCs w:val="0"/>
        </w:rPr>
      </w:r>
      <w:bookmarkStart w:name="_bookmark5" w:id="95"/>
      <w:bookmarkEnd w:id="9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6"/>
      <w:bookmarkEnd w:id="96"/>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2"/>
        <w:gridCol w:w="1032"/>
        <w:gridCol w:w="842"/>
        <w:gridCol w:w="842"/>
        <w:gridCol w:w="844"/>
        <w:gridCol w:w="842"/>
        <w:gridCol w:w="559"/>
        <w:gridCol w:w="710"/>
        <w:gridCol w:w="1232"/>
        <w:gridCol w:w="820"/>
      </w:tblGrid>
      <w:tr>
        <w:trPr>
          <w:trHeight w:val="402"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10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03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559"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232"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268,000,000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514" w:right="0"/>
        <w:jc w:val="left"/>
      </w:pPr>
      <w:r>
        <w:rPr/>
        <w:t>股份变动的原因</w:t>
      </w:r>
    </w:p>
    <w:p>
      <w:pPr>
        <w:pStyle w:val="BodyText"/>
        <w:spacing w:line="338" w:lineRule="auto" w:before="117"/>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股份变动对最近一年和最近一期基本每股收益和稀释每股收益、归属于公司普通股股东的每股净资产等财务指标的影响</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97"/>
      <w:bookmarkEnd w:id="9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末近三年历次证券发行情况" w:id="98"/>
      <w:bookmarkEnd w:id="98"/>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99"/>
      <w:bookmarkEnd w:id="9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00"/>
      <w:bookmarkEnd w:id="10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91"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三、股东和实际控制人情况" w:id="101"/>
      <w:bookmarkEnd w:id="10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2"/>
      <w:bookmarkEnd w:id="10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566"/>
        <w:gridCol w:w="508"/>
        <w:gridCol w:w="484"/>
        <w:gridCol w:w="710"/>
        <w:gridCol w:w="844"/>
        <w:gridCol w:w="148"/>
        <w:gridCol w:w="721"/>
        <w:gridCol w:w="272"/>
        <w:gridCol w:w="425"/>
        <w:gridCol w:w="426"/>
        <w:gridCol w:w="992"/>
        <w:gridCol w:w="697"/>
        <w:gridCol w:w="152"/>
        <w:gridCol w:w="498"/>
      </w:tblGrid>
      <w:tr>
        <w:trPr>
          <w:trHeight w:val="162"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gridSpan w:val="2"/>
            <w:vMerge w:val="restart"/>
            <w:tcBorders>
              <w:top w:val="single" w:sz="4" w:space="0" w:color="000000"/>
              <w:left w:val="single" w:sz="9" w:space="0" w:color="D2D2D2"/>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13,230</w:t>
            </w:r>
          </w:p>
        </w:tc>
        <w:tc>
          <w:tcPr>
            <w:tcW w:w="20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34"/>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交易日末普通股股东总数</w:t>
            </w:r>
          </w:p>
        </w:tc>
        <w:tc>
          <w:tcPr>
            <w:tcW w:w="868" w:type="dxa"/>
            <w:gridSpan w:val="2"/>
            <w:vMerge w:val="restart"/>
            <w:tcBorders>
              <w:top w:val="single" w:sz="4" w:space="0" w:color="000000"/>
              <w:left w:val="single" w:sz="13" w:space="0" w:color="D2D2D2"/>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12,311</w:t>
            </w:r>
          </w:p>
        </w:tc>
        <w:tc>
          <w:tcPr>
            <w:tcW w:w="281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报告期末表决权恢复的优先股股东 </w:t>
            </w:r>
            <w:r>
              <w:rPr>
                <w:rFonts w:ascii="宋体" w:hAnsi="宋体" w:cs="宋体" w:eastAsia="宋体" w:hint="default"/>
                <w:spacing w:val="-9"/>
                <w:sz w:val="18"/>
                <w:szCs w:val="18"/>
              </w:rPr>
              <w:t>总数（如有）（参见注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50" w:type="dxa"/>
            <w:gridSpan w:val="2"/>
            <w:vMerge w:val="restart"/>
            <w:tcBorders>
              <w:top w:val="single" w:sz="4" w:space="0" w:color="000000"/>
              <w:left w:val="single" w:sz="13"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075" w:type="dxa"/>
            <w:gridSpan w:val="2"/>
            <w:vMerge/>
            <w:tcBorders>
              <w:left w:val="single" w:sz="9" w:space="0" w:color="D2D2D2"/>
              <w:right w:val="single" w:sz="13" w:space="0" w:color="D2D2D2"/>
            </w:tcBorders>
          </w:tcPr>
          <w:p>
            <w:pPr/>
          </w:p>
        </w:tc>
        <w:tc>
          <w:tcPr>
            <w:tcW w:w="2037" w:type="dxa"/>
            <w:gridSpan w:val="3"/>
            <w:vMerge/>
            <w:tcBorders>
              <w:left w:val="single" w:sz="4" w:space="0" w:color="000000"/>
              <w:right w:val="single" w:sz="4" w:space="0" w:color="000000"/>
            </w:tcBorders>
            <w:shd w:val="clear" w:color="auto" w:fill="D2D2D2"/>
          </w:tcPr>
          <w:p>
            <w:pPr/>
          </w:p>
        </w:tc>
        <w:tc>
          <w:tcPr>
            <w:tcW w:w="868" w:type="dxa"/>
            <w:gridSpan w:val="2"/>
            <w:vMerge/>
            <w:tcBorders>
              <w:left w:val="single" w:sz="13" w:space="0" w:color="D2D2D2"/>
              <w:right w:val="single" w:sz="9" w:space="0" w:color="D2D2D2"/>
            </w:tcBorders>
          </w:tcPr>
          <w:p>
            <w:pPr/>
          </w:p>
        </w:tc>
        <w:tc>
          <w:tcPr>
            <w:tcW w:w="2813" w:type="dxa"/>
            <w:gridSpan w:val="5"/>
            <w:vMerge/>
            <w:tcBorders>
              <w:left w:val="single" w:sz="4" w:space="0" w:color="000000"/>
              <w:right w:val="single" w:sz="4" w:space="0" w:color="000000"/>
            </w:tcBorders>
            <w:shd w:val="clear" w:color="auto" w:fill="D2D2D2"/>
          </w:tcPr>
          <w:p>
            <w:pPr/>
          </w:p>
        </w:tc>
        <w:tc>
          <w:tcPr>
            <w:tcW w:w="650" w:type="dxa"/>
            <w:gridSpan w:val="2"/>
            <w:vMerge/>
            <w:tcBorders>
              <w:left w:val="single" w:sz="13" w:space="0" w:color="D2D2D2"/>
              <w:right w:val="single" w:sz="4" w:space="0" w:color="000000"/>
            </w:tcBorders>
          </w:tcPr>
          <w:p>
            <w:pPr/>
          </w:p>
        </w:tc>
      </w:tr>
      <w:tr>
        <w:trPr>
          <w:trHeight w:val="167"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gridSpan w:val="2"/>
            <w:vMerge/>
            <w:tcBorders>
              <w:left w:val="single" w:sz="9" w:space="0" w:color="D2D2D2"/>
              <w:bottom w:val="single" w:sz="4" w:space="0" w:color="000000"/>
              <w:right w:val="single" w:sz="13" w:space="0" w:color="D2D2D2"/>
            </w:tcBorders>
          </w:tcPr>
          <w:p>
            <w:pPr/>
          </w:p>
        </w:tc>
        <w:tc>
          <w:tcPr>
            <w:tcW w:w="2037" w:type="dxa"/>
            <w:gridSpan w:val="3"/>
            <w:vMerge/>
            <w:tcBorders>
              <w:left w:val="single" w:sz="4" w:space="0" w:color="000000"/>
              <w:bottom w:val="single" w:sz="4" w:space="0" w:color="000000"/>
              <w:right w:val="single" w:sz="4" w:space="0" w:color="000000"/>
            </w:tcBorders>
            <w:shd w:val="clear" w:color="auto" w:fill="D2D2D2"/>
          </w:tcPr>
          <w:p>
            <w:pPr/>
          </w:p>
        </w:tc>
        <w:tc>
          <w:tcPr>
            <w:tcW w:w="868" w:type="dxa"/>
            <w:gridSpan w:val="2"/>
            <w:vMerge/>
            <w:tcBorders>
              <w:left w:val="single" w:sz="13" w:space="0" w:color="D2D2D2"/>
              <w:bottom w:val="single" w:sz="4" w:space="0" w:color="000000"/>
              <w:right w:val="single" w:sz="9" w:space="0" w:color="D2D2D2"/>
            </w:tcBorders>
          </w:tcPr>
          <w:p>
            <w:pPr/>
          </w:p>
        </w:tc>
        <w:tc>
          <w:tcPr>
            <w:tcW w:w="2813" w:type="dxa"/>
            <w:gridSpan w:val="5"/>
            <w:vMerge/>
            <w:tcBorders>
              <w:left w:val="single" w:sz="4" w:space="0" w:color="000000"/>
              <w:bottom w:val="single" w:sz="4" w:space="0" w:color="000000"/>
              <w:right w:val="single" w:sz="4" w:space="0" w:color="000000"/>
            </w:tcBorders>
            <w:shd w:val="clear" w:color="auto" w:fill="D2D2D2"/>
          </w:tcPr>
          <w:p>
            <w:pPr/>
          </w:p>
        </w:tc>
        <w:tc>
          <w:tcPr>
            <w:tcW w:w="650" w:type="dxa"/>
            <w:gridSpan w:val="2"/>
            <w:vMerge/>
            <w:tcBorders>
              <w:left w:val="single" w:sz="13"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2694"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0"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694"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60" w:lineRule="auto" w:before="31"/>
              <w:ind w:left="169"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1"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48" w:type="dxa"/>
            <w:gridSpan w:val="3"/>
            <w:vMerge/>
            <w:tcBorders>
              <w:left w:val="single" w:sz="4" w:space="0" w:color="000000"/>
              <w:right w:val="single" w:sz="4" w:space="0" w:color="000000"/>
            </w:tcBorders>
            <w:shd w:val="clear" w:color="auto" w:fill="D2D2D2"/>
          </w:tcPr>
          <w:p>
            <w:pPr/>
          </w:p>
        </w:tc>
      </w:tr>
      <w:tr>
        <w:trPr>
          <w:trHeight w:val="140" w:hRule="exact"/>
        </w:trPr>
        <w:tc>
          <w:tcPr>
            <w:tcW w:w="26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694"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694" w:type="dxa"/>
            <w:gridSpan w:val="2"/>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498" w:type="dxa"/>
            <w:vMerge/>
            <w:tcBorders>
              <w:left w:val="single" w:sz="4" w:space="0" w:color="000000"/>
              <w:right w:val="single" w:sz="4" w:space="0" w:color="000000"/>
            </w:tcBorders>
            <w:shd w:val="clear" w:color="auto" w:fill="D2D2D2"/>
          </w:tcPr>
          <w:p>
            <w:pPr/>
          </w:p>
        </w:tc>
      </w:tr>
      <w:tr>
        <w:trPr>
          <w:trHeight w:val="161" w:hRule="exact"/>
        </w:trPr>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498"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96,900,000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-6,660,000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96,900,000</w:t>
            </w:r>
          </w:p>
        </w:tc>
        <w:tc>
          <w:tcPr>
            <w:tcW w:w="850" w:type="dxa"/>
            <w:gridSpan w:val="2"/>
            <w:tcBorders>
              <w:top w:val="single" w:sz="48" w:space="0" w:color="D2D2D2"/>
              <w:left w:val="single" w:sz="4" w:space="0" w:color="000000"/>
              <w:bottom w:val="single" w:sz="4" w:space="0" w:color="000000"/>
              <w:right w:val="single" w:sz="4" w:space="0" w:color="000000"/>
            </w:tcBorders>
          </w:tcPr>
          <w:p>
            <w:pPr/>
          </w:p>
        </w:tc>
        <w:tc>
          <w:tcPr>
            <w:tcW w:w="498" w:type="dxa"/>
            <w:tcBorders>
              <w:top w:val="single" w:sz="48" w:space="0" w:color="D2D2D2"/>
              <w:left w:val="single" w:sz="4" w:space="0" w:color="000000"/>
              <w:bottom w:val="single" w:sz="4" w:space="0" w:color="000000"/>
              <w:right w:val="single" w:sz="4" w:space="0" w:color="000000"/>
            </w:tcBorders>
          </w:tcPr>
          <w:p>
            <w:pPr/>
          </w:p>
        </w:tc>
      </w:tr>
      <w:tr>
        <w:trPr>
          <w:trHeight w:val="33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22.84%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8" w:right="0"/>
              <w:jc w:val="left"/>
              <w:rPr>
                <w:rFonts w:ascii="Times New Roman" w:hAnsi="Times New Roman" w:cs="Times New Roman" w:eastAsia="Times New Roman" w:hint="default"/>
                <w:sz w:val="18"/>
                <w:szCs w:val="18"/>
              </w:rPr>
            </w:pPr>
            <w:r>
              <w:rPr>
                <w:rFonts w:ascii="Times New Roman"/>
                <w:sz w:val="18"/>
              </w:rPr>
              <w:t>61,200,000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61,200,000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3.92%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8" w:right="0"/>
              <w:jc w:val="left"/>
              <w:rPr>
                <w:rFonts w:ascii="Times New Roman" w:hAnsi="Times New Roman" w:cs="Times New Roman" w:eastAsia="Times New Roman" w:hint="default"/>
                <w:sz w:val="18"/>
                <w:szCs w:val="18"/>
              </w:rPr>
            </w:pPr>
            <w:r>
              <w:rPr>
                <w:rFonts w:ascii="Times New Roman"/>
                <w:sz w:val="18"/>
              </w:rPr>
              <w:t>10,503,068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-1,066,931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10,503,068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3.21%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8" w:right="0"/>
              <w:jc w:val="left"/>
              <w:rPr>
                <w:rFonts w:ascii="Times New Roman" w:hAnsi="Times New Roman" w:cs="Times New Roman" w:eastAsia="Times New Roman" w:hint="default"/>
                <w:sz w:val="18"/>
                <w:szCs w:val="18"/>
              </w:rPr>
            </w:pPr>
            <w:r>
              <w:rPr>
                <w:rFonts w:ascii="Times New Roman"/>
                <w:sz w:val="18"/>
              </w:rPr>
              <w:t>8,600,000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8,600,000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39"/>
              <w:jc w:val="both"/>
              <w:rPr>
                <w:rFonts w:ascii="宋体" w:hAnsi="宋体" w:cs="宋体" w:eastAsia="宋体" w:hint="default"/>
                <w:sz w:val="18"/>
                <w:szCs w:val="18"/>
              </w:rPr>
            </w:pPr>
            <w:r>
              <w:rPr>
                <w:rFonts w:ascii="宋体" w:hAnsi="宋体" w:cs="宋体" w:eastAsia="宋体" w:hint="default"/>
                <w:sz w:val="18"/>
                <w:szCs w:val="18"/>
              </w:rPr>
              <w:t>中国建设银行股份有限公司—— 摩根士丹利华鑫多因子精选策略 股票型证券投资基金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3,119,430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2,982,549</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3,119,430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0.99%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8" w:right="0"/>
              <w:jc w:val="left"/>
              <w:rPr>
                <w:rFonts w:ascii="Times New Roman" w:hAnsi="Times New Roman" w:cs="Times New Roman" w:eastAsia="Times New Roman" w:hint="default"/>
                <w:sz w:val="18"/>
                <w:szCs w:val="18"/>
              </w:rPr>
            </w:pPr>
            <w:r>
              <w:rPr>
                <w:rFonts w:ascii="Times New Roman"/>
                <w:sz w:val="18"/>
              </w:rPr>
              <w:t>2,660,000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8" w:right="0"/>
              <w:jc w:val="left"/>
              <w:rPr>
                <w:rFonts w:ascii="Times New Roman" w:hAnsi="Times New Roman" w:cs="Times New Roman" w:eastAsia="Times New Roman" w:hint="default"/>
                <w:sz w:val="18"/>
                <w:szCs w:val="18"/>
              </w:rPr>
            </w:pPr>
            <w:r>
              <w:rPr>
                <w:rFonts w:ascii="Times New Roman"/>
                <w:sz w:val="18"/>
              </w:rPr>
              <w:t>2,660,000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2,660,000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39"/>
              <w:jc w:val="both"/>
              <w:rPr>
                <w:rFonts w:ascii="宋体" w:hAnsi="宋体" w:cs="宋体" w:eastAsia="宋体" w:hint="default"/>
                <w:sz w:val="18"/>
                <w:szCs w:val="18"/>
              </w:rPr>
            </w:pPr>
            <w:r>
              <w:rPr>
                <w:rFonts w:ascii="宋体" w:hAnsi="宋体" w:cs="宋体" w:eastAsia="宋体" w:hint="default"/>
                <w:sz w:val="18"/>
                <w:szCs w:val="18"/>
              </w:rPr>
              <w:t>厦门国际信托有限公司——聚金 星一号新型结构化证券投资集合 资金信托</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1,207,900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1,207,900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1,207,900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39"/>
              <w:jc w:val="left"/>
              <w:rPr>
                <w:rFonts w:ascii="宋体" w:hAnsi="宋体" w:cs="宋体" w:eastAsia="宋体" w:hint="default"/>
                <w:sz w:val="18"/>
                <w:szCs w:val="18"/>
              </w:rPr>
            </w:pPr>
            <w:r>
              <w:rPr>
                <w:rFonts w:ascii="宋体" w:hAnsi="宋体" w:cs="宋体" w:eastAsia="宋体" w:hint="default"/>
                <w:sz w:val="18"/>
                <w:szCs w:val="18"/>
              </w:rPr>
              <w:t>厦门国际信托有限公司——聚富 五号新型结构化集合资金信托</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830,891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830,891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830,891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王庆新</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Times New Roman" w:hAnsi="Times New Roman" w:cs="Times New Roman" w:eastAsia="Times New Roman" w:hint="default"/>
                <w:sz w:val="18"/>
                <w:szCs w:val="18"/>
              </w:rPr>
            </w:pPr>
            <w:r>
              <w:rPr>
                <w:rFonts w:ascii="Times New Roman"/>
                <w:sz w:val="18"/>
              </w:rPr>
              <w:t>826,900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Times New Roman" w:hAnsi="Times New Roman" w:cs="Times New Roman" w:eastAsia="Times New Roman" w:hint="default"/>
                <w:sz w:val="18"/>
                <w:szCs w:val="18"/>
              </w:rPr>
            </w:pPr>
            <w:r>
              <w:rPr>
                <w:rFonts w:ascii="Times New Roman"/>
                <w:sz w:val="18"/>
              </w:rPr>
              <w:t>826,900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826,900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史瑞祥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Times New Roman" w:hAnsi="Times New Roman" w:cs="Times New Roman" w:eastAsia="Times New Roman" w:hint="default"/>
                <w:sz w:val="18"/>
                <w:szCs w:val="18"/>
              </w:rPr>
            </w:pPr>
            <w:r>
              <w:rPr>
                <w:rFonts w:ascii="Times New Roman"/>
                <w:sz w:val="18"/>
              </w:rPr>
              <w:t>819,492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Times New Roman" w:hAnsi="Times New Roman" w:cs="Times New Roman" w:eastAsia="Times New Roman" w:hint="default"/>
                <w:sz w:val="18"/>
                <w:szCs w:val="18"/>
              </w:rPr>
            </w:pPr>
            <w:r>
              <w:rPr>
                <w:rFonts w:ascii="Times New Roman"/>
                <w:sz w:val="18"/>
              </w:rPr>
              <w:t>302,393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819,492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36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88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left="37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5" w:hRule="exact"/>
        </w:trPr>
        <w:tc>
          <w:tcPr>
            <w:tcW w:w="368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5884" w:type="dxa"/>
            <w:gridSpan w:val="11"/>
            <w:vMerge w:val="restart"/>
            <w:tcBorders>
              <w:top w:val="single" w:sz="4" w:space="0" w:color="000000"/>
              <w:left w:val="single" w:sz="13" w:space="0" w:color="D2D2D2"/>
              <w:right w:val="single" w:sz="4" w:space="0" w:color="000000"/>
            </w:tcBorders>
          </w:tcPr>
          <w:p>
            <w:pPr>
              <w:pStyle w:val="TableParagraph"/>
              <w:spacing w:line="244" w:lineRule="auto" w:before="22"/>
              <w:ind w:left="10" w:right="89" w:firstLine="360"/>
              <w:jc w:val="left"/>
              <w:rPr>
                <w:rFonts w:ascii="宋体" w:hAnsi="宋体" w:cs="宋体" w:eastAsia="宋体" w:hint="default"/>
                <w:sz w:val="18"/>
                <w:szCs w:val="18"/>
              </w:rPr>
            </w:pPr>
            <w:r>
              <w:rPr>
                <w:rFonts w:ascii="宋体" w:hAnsi="宋体" w:cs="宋体" w:eastAsia="宋体" w:hint="default"/>
                <w:sz w:val="18"/>
                <w:szCs w:val="18"/>
              </w:rPr>
              <w:t>上述股东之间，不存在公司已知的关联关系，亦不存在公司已知的一 致行动人关系。</w:t>
            </w:r>
          </w:p>
        </w:tc>
      </w:tr>
      <w:tr>
        <w:trPr>
          <w:trHeight w:val="445" w:hRule="exact"/>
        </w:trPr>
        <w:tc>
          <w:tcPr>
            <w:tcW w:w="3687"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84" w:type="dxa"/>
            <w:gridSpan w:val="11"/>
            <w:vMerge/>
            <w:tcBorders>
              <w:left w:val="single" w:sz="13" w:space="0" w:color="D2D2D2"/>
              <w:bottom w:val="single" w:sz="4" w:space="0" w:color="000000"/>
              <w:right w:val="single" w:sz="4" w:space="0" w:color="000000"/>
            </w:tcBorders>
          </w:tcPr>
          <w:p>
            <w:pPr/>
          </w:p>
        </w:tc>
      </w:tr>
      <w:tr>
        <w:trPr>
          <w:trHeight w:val="325"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75" w:hRule="exact"/>
        </w:trPr>
        <w:tc>
          <w:tcPr>
            <w:tcW w:w="5240"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156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50" w:right="53"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76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5" w:hRule="exact"/>
        </w:trPr>
        <w:tc>
          <w:tcPr>
            <w:tcW w:w="5240"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65" w:type="dxa"/>
            <w:gridSpan w:val="4"/>
            <w:vMerge/>
            <w:tcBorders>
              <w:left w:val="single" w:sz="4" w:space="0" w:color="000000"/>
              <w:right w:val="single" w:sz="4" w:space="0" w:color="000000"/>
            </w:tcBorders>
            <w:shd w:val="clear" w:color="auto" w:fill="D2D2D2"/>
          </w:tcPr>
          <w:p>
            <w:pPr/>
          </w:p>
        </w:tc>
        <w:tc>
          <w:tcPr>
            <w:tcW w:w="2766" w:type="dxa"/>
            <w:gridSpan w:val="5"/>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5240" w:type="dxa"/>
            <w:gridSpan w:val="6"/>
            <w:vMerge/>
            <w:tcBorders>
              <w:left w:val="single" w:sz="4" w:space="0" w:color="000000"/>
              <w:bottom w:val="nil" w:sz="6" w:space="0" w:color="auto"/>
              <w:right w:val="single" w:sz="4" w:space="0" w:color="000000"/>
            </w:tcBorders>
            <w:shd w:val="clear" w:color="auto" w:fill="D2D2D2"/>
          </w:tcPr>
          <w:p>
            <w:pPr/>
          </w:p>
        </w:tc>
        <w:tc>
          <w:tcPr>
            <w:tcW w:w="1565" w:type="dxa"/>
            <w:gridSpan w:val="4"/>
            <w:vMerge/>
            <w:tcBorders>
              <w:left w:val="single" w:sz="4" w:space="0" w:color="000000"/>
              <w:right w:val="single" w:sz="4" w:space="0" w:color="000000"/>
            </w:tcBorders>
            <w:shd w:val="clear" w:color="auto" w:fill="D2D2D2"/>
          </w:tcPr>
          <w:p>
            <w:pP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3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9" w:hRule="exact"/>
        </w:trPr>
        <w:tc>
          <w:tcPr>
            <w:tcW w:w="5240"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565" w:type="dxa"/>
            <w:gridSpan w:val="4"/>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565" w:type="dxa"/>
            <w:gridSpan w:val="4"/>
            <w:tcBorders>
              <w:top w:val="single" w:sz="22" w:space="0" w:color="D2D2D2"/>
              <w:left w:val="single" w:sz="4" w:space="0" w:color="000000"/>
              <w:bottom w:val="single" w:sz="4" w:space="0" w:color="000000"/>
              <w:right w:val="single" w:sz="4" w:space="0" w:color="000000"/>
            </w:tcBorders>
          </w:tcPr>
          <w:p>
            <w:pPr>
              <w:pStyle w:val="TableParagraph"/>
              <w:spacing w:line="240" w:lineRule="auto" w:before="42"/>
              <w:ind w:left="721" w:right="0"/>
              <w:jc w:val="left"/>
              <w:rPr>
                <w:rFonts w:ascii="Times New Roman" w:hAnsi="Times New Roman" w:cs="Times New Roman" w:eastAsia="Times New Roman" w:hint="default"/>
                <w:sz w:val="18"/>
                <w:szCs w:val="18"/>
              </w:rPr>
            </w:pPr>
            <w:r>
              <w:rPr>
                <w:rFonts w:ascii="Times New Roman"/>
                <w:sz w:val="18"/>
              </w:rPr>
              <w:t>96,900,000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5" w:right="0"/>
              <w:jc w:val="left"/>
              <w:rPr>
                <w:rFonts w:ascii="Times New Roman" w:hAnsi="Times New Roman" w:cs="Times New Roman" w:eastAsia="Times New Roman" w:hint="default"/>
                <w:sz w:val="18"/>
                <w:szCs w:val="18"/>
              </w:rPr>
            </w:pPr>
            <w:r>
              <w:rPr>
                <w:rFonts w:ascii="Times New Roman"/>
                <w:sz w:val="18"/>
              </w:rPr>
              <w:t>96,900,000</w:t>
            </w:r>
          </w:p>
        </w:tc>
      </w:tr>
      <w:tr>
        <w:trPr>
          <w:trHeight w:val="330"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1" w:right="0"/>
              <w:jc w:val="left"/>
              <w:rPr>
                <w:rFonts w:ascii="Times New Roman" w:hAnsi="Times New Roman" w:cs="Times New Roman" w:eastAsia="Times New Roman" w:hint="default"/>
                <w:sz w:val="18"/>
                <w:szCs w:val="18"/>
              </w:rPr>
            </w:pPr>
            <w:r>
              <w:rPr>
                <w:rFonts w:ascii="Times New Roman"/>
                <w:sz w:val="18"/>
              </w:rPr>
              <w:t>61,200,000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5" w:right="0"/>
              <w:jc w:val="left"/>
              <w:rPr>
                <w:rFonts w:ascii="Times New Roman" w:hAnsi="Times New Roman" w:cs="Times New Roman" w:eastAsia="Times New Roman" w:hint="default"/>
                <w:sz w:val="18"/>
                <w:szCs w:val="18"/>
              </w:rPr>
            </w:pPr>
            <w:r>
              <w:rPr>
                <w:rFonts w:ascii="Times New Roman"/>
                <w:sz w:val="18"/>
              </w:rPr>
              <w:t>61,200,000</w:t>
            </w:r>
          </w:p>
        </w:tc>
      </w:tr>
      <w:tr>
        <w:trPr>
          <w:trHeight w:val="330"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1" w:right="0"/>
              <w:jc w:val="left"/>
              <w:rPr>
                <w:rFonts w:ascii="Times New Roman" w:hAnsi="Times New Roman" w:cs="Times New Roman" w:eastAsia="Times New Roman" w:hint="default"/>
                <w:sz w:val="18"/>
                <w:szCs w:val="18"/>
              </w:rPr>
            </w:pPr>
            <w:r>
              <w:rPr>
                <w:rFonts w:ascii="Times New Roman"/>
                <w:sz w:val="18"/>
              </w:rPr>
              <w:t>10,503,068</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5" w:right="0"/>
              <w:jc w:val="left"/>
              <w:rPr>
                <w:rFonts w:ascii="Times New Roman" w:hAnsi="Times New Roman" w:cs="Times New Roman" w:eastAsia="Times New Roman" w:hint="default"/>
                <w:sz w:val="18"/>
                <w:szCs w:val="18"/>
              </w:rPr>
            </w:pPr>
            <w:r>
              <w:rPr>
                <w:rFonts w:ascii="Times New Roman"/>
                <w:sz w:val="18"/>
              </w:rPr>
              <w:t>10,503,068</w:t>
            </w:r>
          </w:p>
        </w:tc>
      </w:tr>
      <w:tr>
        <w:trPr>
          <w:trHeight w:val="330"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1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11" w:right="0"/>
              <w:jc w:val="left"/>
              <w:rPr>
                <w:rFonts w:ascii="Times New Roman" w:hAnsi="Times New Roman" w:cs="Times New Roman" w:eastAsia="Times New Roman" w:hint="default"/>
                <w:sz w:val="18"/>
                <w:szCs w:val="18"/>
              </w:rPr>
            </w:pPr>
            <w:r>
              <w:rPr>
                <w:rFonts w:ascii="Times New Roman"/>
                <w:sz w:val="18"/>
              </w:rPr>
              <w:t>8,600,000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5" w:right="0"/>
              <w:jc w:val="left"/>
              <w:rPr>
                <w:rFonts w:ascii="Times New Roman" w:hAnsi="Times New Roman" w:cs="Times New Roman" w:eastAsia="Times New Roman" w:hint="default"/>
                <w:sz w:val="18"/>
                <w:szCs w:val="18"/>
              </w:rPr>
            </w:pPr>
            <w:r>
              <w:rPr>
                <w:rFonts w:ascii="Times New Roman"/>
                <w:sz w:val="18"/>
              </w:rPr>
              <w:t>8,600,000</w:t>
            </w:r>
          </w:p>
        </w:tc>
      </w:tr>
      <w:tr>
        <w:trPr>
          <w:trHeight w:val="570"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5"/>
              <w:jc w:val="left"/>
              <w:rPr>
                <w:rFonts w:ascii="宋体" w:hAnsi="宋体" w:cs="宋体" w:eastAsia="宋体" w:hint="default"/>
                <w:sz w:val="18"/>
                <w:szCs w:val="18"/>
              </w:rPr>
            </w:pPr>
            <w:r>
              <w:rPr>
                <w:rFonts w:ascii="宋体" w:hAnsi="宋体" w:cs="宋体" w:eastAsia="宋体" w:hint="default"/>
                <w:sz w:val="18"/>
                <w:szCs w:val="18"/>
              </w:rPr>
              <w:t>中国建设银行股份有限公司——摩根士丹利华鑫多因子精选策略 股票型证券投资基金</w:t>
            </w:r>
          </w:p>
        </w:tc>
        <w:tc>
          <w:tcPr>
            <w:tcW w:w="1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18" w:right="0"/>
              <w:jc w:val="left"/>
              <w:rPr>
                <w:rFonts w:ascii="Times New Roman" w:hAnsi="Times New Roman" w:cs="Times New Roman" w:eastAsia="Times New Roman" w:hint="default"/>
                <w:sz w:val="18"/>
                <w:szCs w:val="18"/>
              </w:rPr>
            </w:pPr>
            <w:r>
              <w:rPr>
                <w:rFonts w:ascii="Times New Roman"/>
                <w:sz w:val="18"/>
              </w:rPr>
              <w:t>3,119,430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3,119,430</w:t>
            </w:r>
          </w:p>
        </w:tc>
      </w:tr>
      <w:tr>
        <w:trPr>
          <w:trHeight w:val="330"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1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1" w:right="0"/>
              <w:jc w:val="left"/>
              <w:rPr>
                <w:rFonts w:ascii="Times New Roman" w:hAnsi="Times New Roman" w:cs="Times New Roman" w:eastAsia="Times New Roman" w:hint="default"/>
                <w:sz w:val="18"/>
                <w:szCs w:val="18"/>
              </w:rPr>
            </w:pPr>
            <w:r>
              <w:rPr>
                <w:rFonts w:ascii="Times New Roman"/>
                <w:sz w:val="18"/>
              </w:rPr>
              <w:t>2,660,000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5" w:right="0"/>
              <w:jc w:val="left"/>
              <w:rPr>
                <w:rFonts w:ascii="Times New Roman" w:hAnsi="Times New Roman" w:cs="Times New Roman" w:eastAsia="Times New Roman" w:hint="default"/>
                <w:sz w:val="18"/>
                <w:szCs w:val="18"/>
              </w:rPr>
            </w:pPr>
            <w:r>
              <w:rPr>
                <w:rFonts w:ascii="Times New Roman"/>
                <w:sz w:val="18"/>
              </w:rPr>
              <w:t>2,660,000</w:t>
            </w:r>
          </w:p>
        </w:tc>
      </w:tr>
      <w:tr>
        <w:trPr>
          <w:trHeight w:val="570"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5"/>
              <w:jc w:val="left"/>
              <w:rPr>
                <w:rFonts w:ascii="宋体" w:hAnsi="宋体" w:cs="宋体" w:eastAsia="宋体" w:hint="default"/>
                <w:sz w:val="18"/>
                <w:szCs w:val="18"/>
              </w:rPr>
            </w:pPr>
            <w:r>
              <w:rPr>
                <w:rFonts w:ascii="宋体" w:hAnsi="宋体" w:cs="宋体" w:eastAsia="宋体" w:hint="default"/>
                <w:sz w:val="18"/>
                <w:szCs w:val="18"/>
              </w:rPr>
              <w:t>厦门国际信托有限公司——聚金星一号新型结构化证券投资集合 资金信托</w:t>
            </w:r>
          </w:p>
        </w:tc>
        <w:tc>
          <w:tcPr>
            <w:tcW w:w="1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1,207,900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1,207,900</w:t>
            </w:r>
          </w:p>
        </w:tc>
      </w:tr>
      <w:tr>
        <w:trPr>
          <w:trHeight w:val="331" w:hRule="exact"/>
        </w:trPr>
        <w:tc>
          <w:tcPr>
            <w:tcW w:w="52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厦门国际信托有限公司——聚富五号新型结构化集合资金信托</w:t>
            </w:r>
          </w:p>
        </w:tc>
        <w:tc>
          <w:tcPr>
            <w:tcW w:w="1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46" w:right="0"/>
              <w:jc w:val="left"/>
              <w:rPr>
                <w:rFonts w:ascii="Times New Roman" w:hAnsi="Times New Roman" w:cs="Times New Roman" w:eastAsia="Times New Roman" w:hint="default"/>
                <w:sz w:val="18"/>
                <w:szCs w:val="18"/>
              </w:rPr>
            </w:pPr>
            <w:r>
              <w:rPr>
                <w:rFonts w:ascii="Times New Roman"/>
                <w:sz w:val="18"/>
              </w:rPr>
              <w:t>830,891</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30" w:right="0"/>
              <w:jc w:val="left"/>
              <w:rPr>
                <w:rFonts w:ascii="Times New Roman" w:hAnsi="Times New Roman" w:cs="Times New Roman" w:eastAsia="Times New Roman" w:hint="default"/>
                <w:sz w:val="18"/>
                <w:szCs w:val="18"/>
              </w:rPr>
            </w:pPr>
            <w:r>
              <w:rPr>
                <w:rFonts w:ascii="Times New Roman"/>
                <w:sz w:val="18"/>
              </w:rPr>
              <w:t>830,891</w:t>
            </w:r>
          </w:p>
        </w:tc>
      </w:tr>
    </w:tbl>
    <w:p>
      <w:pPr>
        <w:spacing w:after="0" w:line="240" w:lineRule="auto"/>
        <w:jc w:val="lef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246"/>
        <w:gridCol w:w="1559"/>
        <w:gridCol w:w="1419"/>
        <w:gridCol w:w="1348"/>
      </w:tblGrid>
      <w:tr>
        <w:trPr>
          <w:trHeight w:val="330"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王庆新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826,900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826,900</w:t>
            </w:r>
          </w:p>
        </w:tc>
      </w:tr>
      <w:tr>
        <w:trPr>
          <w:trHeight w:val="330"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史瑞祥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819,492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819,492</w:t>
            </w:r>
          </w:p>
        </w:tc>
      </w:tr>
      <w:tr>
        <w:trPr>
          <w:trHeight w:val="57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3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firstLine="360"/>
              <w:jc w:val="left"/>
              <w:rPr>
                <w:rFonts w:ascii="宋体" w:hAnsi="宋体" w:cs="宋体" w:eastAsia="宋体" w:hint="default"/>
                <w:sz w:val="18"/>
                <w:szCs w:val="18"/>
              </w:rPr>
            </w:pPr>
            <w:r>
              <w:rPr>
                <w:rFonts w:ascii="宋体" w:hAnsi="宋体" w:cs="宋体" w:eastAsia="宋体" w:hint="default"/>
                <w:spacing w:val="-3"/>
                <w:sz w:val="18"/>
                <w:szCs w:val="18"/>
              </w:rPr>
              <w:t>上述股东之间，不存在公司已知的关联关系，亦不</w:t>
            </w:r>
            <w:r>
              <w:rPr>
                <w:rFonts w:ascii="宋体" w:hAnsi="宋体" w:cs="宋体" w:eastAsia="宋体" w:hint="default"/>
                <w:sz w:val="18"/>
                <w:szCs w:val="18"/>
              </w:rPr>
              <w:t> 存在公司已知的一致行动人关系。</w:t>
            </w:r>
          </w:p>
        </w:tc>
      </w:tr>
      <w:tr>
        <w:trPr>
          <w:trHeight w:val="570"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名普通股股东参与融资融券业务股东情况说明（如有）（参见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3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51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3"/>
      <w:bookmarkEnd w:id="10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11"/>
        <w:gridCol w:w="1155"/>
        <w:gridCol w:w="1677"/>
        <w:gridCol w:w="1460"/>
        <w:gridCol w:w="1593"/>
        <w:gridCol w:w="1861"/>
      </w:tblGrid>
      <w:tr>
        <w:trPr>
          <w:trHeight w:val="161" w:hRule="exact"/>
        </w:trPr>
        <w:tc>
          <w:tcPr>
            <w:tcW w:w="1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29" w:right="8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55" w:type="dxa"/>
            <w:vMerge/>
            <w:tcBorders>
              <w:left w:val="single" w:sz="4" w:space="0" w:color="000000"/>
              <w:right w:val="single" w:sz="4" w:space="0" w:color="000000"/>
            </w:tcBorders>
            <w:shd w:val="clear" w:color="auto" w:fill="D2D2D2"/>
          </w:tcPr>
          <w:p>
            <w:pPr/>
          </w:p>
        </w:tc>
        <w:tc>
          <w:tcPr>
            <w:tcW w:w="16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1" w:hRule="exact"/>
        </w:trPr>
        <w:tc>
          <w:tcPr>
            <w:tcW w:w="1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5" w:type="dxa"/>
            <w:vMerge/>
            <w:tcBorders>
              <w:left w:val="single" w:sz="4" w:space="0" w:color="000000"/>
              <w:bottom w:val="single" w:sz="4" w:space="0" w:color="000000"/>
              <w:right w:val="single" w:sz="4" w:space="0" w:color="000000"/>
            </w:tcBorders>
            <w:shd w:val="clear" w:color="auto" w:fill="D2D2D2"/>
          </w:tcPr>
          <w:p>
            <w:pPr/>
          </w:p>
        </w:tc>
        <w:tc>
          <w:tcPr>
            <w:tcW w:w="16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50" w:hRule="exact"/>
        </w:trPr>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7" w:lineRule="exact"/>
              <w:ind w:left="11" w:right="0"/>
              <w:jc w:val="left"/>
              <w:rPr>
                <w:rFonts w:ascii="宋体" w:hAnsi="宋体" w:cs="宋体" w:eastAsia="宋体" w:hint="default"/>
                <w:sz w:val="18"/>
                <w:szCs w:val="18"/>
              </w:rPr>
            </w:pPr>
            <w:r>
              <w:rPr>
                <w:rFonts w:ascii="宋体" w:hAnsi="宋体" w:cs="宋体" w:eastAsia="宋体" w:hint="default"/>
                <w:sz w:val="18"/>
                <w:szCs w:val="18"/>
              </w:rPr>
              <w:t>大丰市东润投资管理</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309"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72281206-X</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607.70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投资业务；投资管理咨</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询服务。</w:t>
            </w:r>
          </w:p>
        </w:tc>
      </w:tr>
      <w:tr>
        <w:trPr>
          <w:trHeight w:val="390" w:hRule="exact"/>
        </w:trPr>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46" w:type="dxa"/>
            <w:gridSpan w:val="5"/>
            <w:tcBorders>
              <w:top w:val="single" w:sz="48" w:space="0" w:color="D2D2D2"/>
              <w:left w:val="single" w:sz="9" w:space="0" w:color="D2D2D2"/>
              <w:bottom w:val="single" w:sz="4" w:space="0" w:color="000000"/>
              <w:right w:val="single" w:sz="13" w:space="0" w:color="D2D2D2"/>
            </w:tcBorders>
          </w:tcPr>
          <w:p>
            <w:pPr>
              <w:pStyle w:val="TableParagraph"/>
              <w:spacing w:line="240" w:lineRule="auto" w:before="26"/>
              <w:ind w:left="38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70" w:hRule="exact"/>
        </w:trPr>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0"/>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46"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41"/>
              <w:ind w:left="38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50" w:hRule="exact"/>
        </w:trPr>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68"/>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46"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38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514" w:right="0"/>
        <w:jc w:val="left"/>
      </w:pPr>
      <w:r>
        <w:rPr/>
        <w:t>控股股东报告期内变更</w:t>
      </w:r>
    </w:p>
    <w:p>
      <w:pPr>
        <w:pStyle w:val="BodyText"/>
        <w:spacing w:line="338" w:lineRule="auto" w:before="117"/>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04"/>
      <w:bookmarkEnd w:id="10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30"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3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21" w:firstLine="360"/>
              <w:jc w:val="both"/>
              <w:rPr>
                <w:rFonts w:ascii="宋体" w:hAnsi="宋体" w:cs="宋体" w:eastAsia="宋体" w:hint="default"/>
                <w:sz w:val="18"/>
                <w:szCs w:val="18"/>
              </w:rPr>
            </w:pPr>
            <w:r>
              <w:rPr>
                <w:rFonts w:ascii="宋体" w:hAnsi="宋体" w:cs="宋体" w:eastAsia="宋体" w:hint="default"/>
                <w:spacing w:val="-1"/>
                <w:sz w:val="18"/>
                <w:szCs w:val="18"/>
              </w:rPr>
              <w:t>本公司董事长、总经理；兼任大丰市东润投资管理有限公司、上海丰东热</w:t>
            </w:r>
            <w:r>
              <w:rPr>
                <w:rFonts w:ascii="宋体" w:hAnsi="宋体" w:cs="宋体" w:eastAsia="宋体" w:hint="default"/>
                <w:sz w:val="18"/>
                <w:szCs w:val="18"/>
              </w:rPr>
              <w:t> </w:t>
            </w:r>
            <w:r>
              <w:rPr>
                <w:rFonts w:ascii="宋体" w:hAnsi="宋体" w:cs="宋体" w:eastAsia="宋体" w:hint="default"/>
                <w:spacing w:val="-1"/>
                <w:sz w:val="18"/>
                <w:szCs w:val="18"/>
              </w:rPr>
              <w:t>处理工程有限公司、长春丰东热处理有限公司、青岛丰东热处理有限公司、重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庆丰东热处理工程有限公司、南京丰东热处理工程有限公司、天津丰东热处理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有限公司、北京丰东建通工业炉科技有限公司、盐城高周波热炼有限公司、盐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城丰东祺耀工业炉有限公司、广州鑫润丰东热处理有限公司、江苏石川岛丰东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真空技术有限公司董事长，广州丰东热炼有限公司副董事长。</w:t>
            </w:r>
          </w:p>
        </w:tc>
      </w:tr>
      <w:tr>
        <w:trPr>
          <w:trHeight w:val="33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514" w:right="0"/>
        <w:jc w:val="left"/>
      </w:pPr>
      <w:r>
        <w:rPr/>
        <w:t>实际控制人报告期内变更</w:t>
      </w:r>
    </w:p>
    <w:p>
      <w:pPr>
        <w:pStyle w:val="BodyText"/>
        <w:spacing w:line="348" w:lineRule="auto" w:before="116"/>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2361" w:lineRule="exact"/>
        <w:ind w:left="3146"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1703157" cy="1499616"/>
            <wp:effectExtent l="0" t="0" r="0" b="0"/>
            <wp:docPr id="1" name="image7.jpeg" descr=""/>
            <wp:cNvGraphicFramePr>
              <a:graphicFrameLocks noChangeAspect="1"/>
            </wp:cNvGraphicFramePr>
            <a:graphic>
              <a:graphicData uri="http://schemas.openxmlformats.org/drawingml/2006/picture">
                <pic:pic>
                  <pic:nvPicPr>
                    <pic:cNvPr id="2" name="image7.jpeg"/>
                    <pic:cNvPicPr/>
                  </pic:nvPicPr>
                  <pic:blipFill>
                    <a:blip r:embed="rId14" cstate="print"/>
                    <a:stretch>
                      <a:fillRect/>
                    </a:stretch>
                  </pic:blipFill>
                  <pic:spPr>
                    <a:xfrm>
                      <a:off x="0" y="0"/>
                      <a:ext cx="1703157" cy="1499616"/>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2"/>
        <w:rPr>
          <w:rFonts w:ascii="宋体" w:hAnsi="宋体" w:cs="宋体" w:eastAsia="宋体" w:hint="default"/>
          <w:sz w:val="11"/>
          <w:szCs w:val="11"/>
        </w:rPr>
      </w:pPr>
    </w:p>
    <w:p>
      <w:pPr>
        <w:pStyle w:val="BodyText"/>
        <w:spacing w:line="240" w:lineRule="auto" w:before="44"/>
        <w:ind w:right="0"/>
        <w:jc w:val="left"/>
      </w:pPr>
      <w:r>
        <w:rPr/>
        <w:t>实际控制人通过信托或其他资产管理方式控制公司</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05"/>
      <w:bookmarkEnd w:id="10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86"/>
        <w:gridCol w:w="1093"/>
        <w:gridCol w:w="888"/>
        <w:gridCol w:w="1363"/>
        <w:gridCol w:w="1274"/>
        <w:gridCol w:w="2764"/>
      </w:tblGrid>
      <w:tr>
        <w:trPr>
          <w:trHeight w:val="714"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91" w:right="65"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810"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1952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51"/>
              <w:jc w:val="righ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9" w:firstLine="360"/>
              <w:jc w:val="both"/>
              <w:rPr>
                <w:rFonts w:ascii="宋体" w:hAnsi="宋体" w:cs="宋体" w:eastAsia="宋体" w:hint="default"/>
                <w:sz w:val="18"/>
                <w:szCs w:val="18"/>
              </w:rPr>
            </w:pPr>
            <w:r>
              <w:rPr>
                <w:rFonts w:ascii="宋体" w:hAnsi="宋体" w:cs="宋体" w:eastAsia="宋体" w:hint="default"/>
                <w:sz w:val="18"/>
                <w:szCs w:val="18"/>
              </w:rPr>
              <w:t>专业从事金属热处理设备的制 造和销售、金属机械器具及消耗品 的制造与销售、金属热处理加工等</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公司股东及其一致行动人在报告期提出或实施股份增持计划的情况" w:id="106"/>
      <w:bookmarkEnd w:id="106"/>
      <w:r>
        <w:rPr>
          <w:b w:val="0"/>
          <w:bCs w:val="0"/>
        </w:rPr>
      </w:r>
      <w:r>
        <w:rPr/>
        <w:t>四、公司股东及其一致行动人在报告期提出或实施股份增持计划的情况</w:t>
      </w:r>
      <w:r>
        <w:rPr>
          <w:b w:val="0"/>
          <w:bCs w:val="0"/>
        </w:rPr>
      </w:r>
    </w:p>
    <w:p>
      <w:pPr>
        <w:spacing w:line="240" w:lineRule="auto" w:before="4"/>
        <w:rPr>
          <w:rFonts w:ascii="宋体" w:hAnsi="宋体" w:cs="宋体" w:eastAsia="宋体" w:hint="default"/>
          <w:b/>
          <w:bCs/>
          <w:sz w:val="24"/>
          <w:szCs w:val="24"/>
        </w:rPr>
      </w:pPr>
    </w:p>
    <w:p>
      <w:pPr>
        <w:pStyle w:val="BodyText"/>
        <w:spacing w:line="268" w:lineRule="auto"/>
        <w:ind w:right="33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268"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07"/>
      <w:bookmarkEnd w:id="107"/>
      <w:r>
        <w:rPr>
          <w:b w:val="0"/>
          <w:bCs w:val="0"/>
        </w:rPr>
      </w:r>
      <w:bookmarkStart w:name="_bookmark6" w:id="108"/>
      <w:bookmarkEnd w:id="10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09"/>
      <w:bookmarkEnd w:id="109"/>
      <w:r>
        <w:rPr>
          <w:b w:val="0"/>
          <w:bCs w:val="0"/>
        </w:rPr>
      </w:r>
      <w:bookmarkStart w:name="_bookmark7" w:id="110"/>
      <w:bookmarkEnd w:id="11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1"/>
      <w:bookmarkEnd w:id="11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979"/>
        <w:gridCol w:w="566"/>
        <w:gridCol w:w="568"/>
        <w:gridCol w:w="425"/>
        <w:gridCol w:w="1560"/>
        <w:gridCol w:w="1559"/>
        <w:gridCol w:w="710"/>
        <w:gridCol w:w="850"/>
        <w:gridCol w:w="852"/>
        <w:gridCol w:w="708"/>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78"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7" w:right="78"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77"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61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22" w:right="404"/>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6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224"/>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8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224"/>
              <w:jc w:val="left"/>
              <w:rPr>
                <w:rFonts w:ascii="宋体" w:hAnsi="宋体" w:cs="宋体" w:eastAsia="宋体" w:hint="default"/>
                <w:sz w:val="18"/>
                <w:szCs w:val="18"/>
              </w:rPr>
            </w:pPr>
            <w:r>
              <w:rPr>
                <w:rFonts w:ascii="宋体" w:hAnsi="宋体" w:cs="宋体" w:eastAsia="宋体" w:hint="default"/>
                <w:sz w:val="18"/>
                <w:szCs w:val="18"/>
              </w:rPr>
              <w:t>董事 副总经理 营销总监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6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224"/>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6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44"/>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陈国民</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徐跃明</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3"/>
              <w:jc w:val="righ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12"/>
      <w:bookmarkEnd w:id="112"/>
      <w:r>
        <w:rPr>
          <w:b w:val="0"/>
          <w:bCs w:val="0"/>
        </w:rPr>
      </w:r>
      <w:r>
        <w:rPr/>
        <w:t>二、任职情况</w:t>
      </w:r>
      <w:r>
        <w:rPr>
          <w:b w:val="0"/>
          <w:bCs w:val="0"/>
        </w:rPr>
      </w:r>
    </w:p>
    <w:p>
      <w:pPr>
        <w:spacing w:line="240" w:lineRule="auto" w:before="3"/>
        <w:rPr>
          <w:rFonts w:ascii="宋体" w:hAnsi="宋体" w:cs="宋体" w:eastAsia="宋体" w:hint="default"/>
          <w:b/>
          <w:bCs/>
          <w:sz w:val="29"/>
          <w:szCs w:val="29"/>
        </w:rPr>
      </w:pPr>
    </w:p>
    <w:p>
      <w:pPr>
        <w:pStyle w:val="BodyText"/>
        <w:spacing w:line="240" w:lineRule="auto"/>
        <w:ind w:right="0"/>
        <w:jc w:val="left"/>
      </w:pPr>
      <w:r>
        <w:rPr/>
        <w:t>公司现任董事、监事、高级管理人员最近</w:t>
      </w:r>
      <w:r>
        <w:rPr>
          <w:rFonts w:ascii="Times New Roman" w:hAnsi="Times New Roman" w:cs="Times New Roman" w:eastAsia="Times New Roman" w:hint="default"/>
        </w:rPr>
        <w:t>5</w:t>
      </w:r>
      <w:r>
        <w:rPr/>
        <w:t>年的主要工作经历</w:t>
      </w:r>
    </w:p>
    <w:p>
      <w:pPr>
        <w:spacing w:after="0" w:line="240"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240" w:lineRule="auto" w:before="44"/>
        <w:ind w:left="514" w:right="0"/>
        <w:jc w:val="left"/>
      </w:pPr>
      <w:r>
        <w:rPr>
          <w:rFonts w:ascii="Times New Roman" w:hAnsi="Times New Roman" w:cs="Times New Roman" w:eastAsia="Times New Roman" w:hint="default"/>
        </w:rPr>
        <w:t>1</w:t>
      </w:r>
      <w:r>
        <w:rPr/>
        <w:t>、现任董事最近</w:t>
      </w:r>
      <w:r>
        <w:rPr>
          <w:rFonts w:ascii="Times New Roman" w:hAnsi="Times New Roman" w:cs="Times New Roman" w:eastAsia="Times New Roman" w:hint="default"/>
        </w:rPr>
        <w:t>5</w:t>
      </w:r>
      <w:r>
        <w:rPr/>
        <w:t>年的主要工作经历</w:t>
      </w:r>
    </w:p>
    <w:p>
      <w:pPr>
        <w:spacing w:line="240" w:lineRule="auto" w:before="8"/>
        <w:rPr>
          <w:rFonts w:ascii="宋体" w:hAnsi="宋体" w:cs="宋体" w:eastAsia="宋体" w:hint="default"/>
          <w:sz w:val="14"/>
          <w:szCs w:val="14"/>
        </w:rPr>
      </w:pPr>
    </w:p>
    <w:p>
      <w:pPr>
        <w:pStyle w:val="BodyText"/>
        <w:spacing w:line="321" w:lineRule="auto"/>
        <w:ind w:left="153" w:right="1130" w:firstLine="361"/>
        <w:jc w:val="both"/>
      </w:pPr>
      <w:r>
        <w:rPr>
          <w:rFonts w:ascii="宋体" w:hAnsi="宋体" w:cs="宋体" w:eastAsia="宋体" w:hint="default"/>
          <w:b/>
          <w:bCs/>
          <w:spacing w:val="-2"/>
        </w:rPr>
        <w:t>朱文明先生</w:t>
      </w:r>
      <w:r>
        <w:rPr>
          <w:spacing w:val="-2"/>
        </w:rPr>
        <w:t>，中国国籍，</w:t>
      </w:r>
      <w:r>
        <w:rPr>
          <w:rFonts w:ascii="Times New Roman" w:hAnsi="Times New Roman" w:cs="Times New Roman" w:eastAsia="Times New Roman" w:hint="default"/>
          <w:spacing w:val="-2"/>
        </w:rPr>
        <w:t>1967</w:t>
      </w:r>
      <w:r>
        <w:rPr>
          <w:spacing w:val="-2"/>
        </w:rPr>
        <w:t>年出生，本科学历。现任本公司董事长、总经理；兼任大丰市东润投资管理有限公司、上</w:t>
      </w:r>
      <w:r>
        <w:rPr/>
        <w:t> </w:t>
      </w:r>
      <w:r>
        <w:rPr>
          <w:spacing w:val="-2"/>
        </w:rPr>
        <w:t>海丰东热处理工程有限公司、长春丰东热处理有限公司、青岛丰东热处理有限公司、重庆丰东热处理工程有限公司、南京丰</w:t>
      </w:r>
      <w:r>
        <w:rPr>
          <w:spacing w:val="-66"/>
        </w:rPr>
        <w:t> </w:t>
      </w:r>
      <w:r>
        <w:rPr>
          <w:spacing w:val="-66"/>
        </w:rPr>
      </w:r>
      <w:r>
        <w:rPr>
          <w:spacing w:val="-2"/>
        </w:rPr>
        <w:t>东热处理工程有限公司、天津丰东热处理有限公司、北京丰东建通工业炉科技有限公司、盐城高周波热炼有限公司、盐城丰</w:t>
      </w:r>
      <w:r>
        <w:rPr>
          <w:spacing w:val="-65"/>
        </w:rPr>
        <w:t> </w:t>
      </w:r>
      <w:r>
        <w:rPr>
          <w:spacing w:val="-65"/>
        </w:rPr>
      </w:r>
      <w:r>
        <w:rPr>
          <w:spacing w:val="-2"/>
        </w:rPr>
        <w:t>东祺耀工业炉有限公司、广州鑫润丰东热处理有限公司、江苏石川岛丰东真空技术有限公司董事长，广州丰东热炼有限公司</w:t>
      </w:r>
      <w:r>
        <w:rPr>
          <w:spacing w:val="-66"/>
        </w:rPr>
        <w:t> </w:t>
      </w:r>
      <w:r>
        <w:rPr>
          <w:spacing w:val="-66"/>
        </w:rPr>
      </w:r>
      <w:r>
        <w:rPr/>
        <w:t>副董事长。</w:t>
      </w:r>
    </w:p>
    <w:p>
      <w:pPr>
        <w:pStyle w:val="BodyText"/>
        <w:spacing w:line="316" w:lineRule="auto" w:before="143"/>
        <w:ind w:left="153" w:right="1131" w:firstLine="361"/>
        <w:jc w:val="both"/>
      </w:pPr>
      <w:r>
        <w:rPr>
          <w:rFonts w:ascii="宋体" w:hAnsi="宋体" w:cs="宋体" w:eastAsia="宋体" w:hint="default"/>
          <w:b/>
          <w:bCs/>
          <w:spacing w:val="-2"/>
        </w:rPr>
        <w:t>河田一喜先生</w:t>
      </w:r>
      <w:r>
        <w:rPr>
          <w:spacing w:val="-2"/>
        </w:rPr>
        <w:t>，日本国籍，</w:t>
      </w:r>
      <w:r>
        <w:rPr>
          <w:rFonts w:ascii="Times New Roman" w:hAnsi="Times New Roman" w:cs="Times New Roman" w:eastAsia="Times New Roman" w:hint="default"/>
          <w:spacing w:val="-2"/>
        </w:rPr>
        <w:t>1954</w:t>
      </w:r>
      <w:r>
        <w:rPr>
          <w:spacing w:val="-2"/>
        </w:rPr>
        <w:t>年出生，大学学历。历任日本东方工程株式会社课长、次长、部长、取缔役。现任日本</w:t>
      </w:r>
      <w:r>
        <w:rPr/>
        <w:t> </w:t>
      </w:r>
      <w:r>
        <w:rPr>
          <w:spacing w:val="-2"/>
        </w:rPr>
        <w:t>东方工程株式会社代表取缔役、社长、本公司副董事长；兼任盐城丰东特种炉业有限公司、天津丰东热处理有限公司副董事</w:t>
      </w:r>
      <w:r>
        <w:rPr>
          <w:spacing w:val="-66"/>
        </w:rPr>
        <w:t> </w:t>
      </w:r>
      <w:r>
        <w:rPr>
          <w:spacing w:val="-66"/>
        </w:rPr>
      </w:r>
      <w:r>
        <w:rPr/>
        <w:t>长。</w:t>
      </w:r>
    </w:p>
    <w:p>
      <w:pPr>
        <w:pStyle w:val="BodyText"/>
        <w:spacing w:line="321" w:lineRule="auto" w:before="147"/>
        <w:ind w:left="154" w:right="1036" w:firstLine="361"/>
        <w:jc w:val="left"/>
      </w:pPr>
      <w:r>
        <w:rPr>
          <w:rFonts w:ascii="宋体" w:hAnsi="宋体" w:cs="宋体" w:eastAsia="宋体" w:hint="default"/>
          <w:b/>
          <w:bCs/>
          <w:spacing w:val="-2"/>
        </w:rPr>
        <w:t>向建华先生</w:t>
      </w:r>
      <w:r>
        <w:rPr>
          <w:spacing w:val="-2"/>
        </w:rPr>
        <w:t>，中国国籍，</w:t>
      </w:r>
      <w:r>
        <w:rPr>
          <w:rFonts w:ascii="Times New Roman" w:hAnsi="Times New Roman" w:cs="Times New Roman" w:eastAsia="Times New Roman" w:hint="default"/>
          <w:spacing w:val="-2"/>
        </w:rPr>
        <w:t>1966</w:t>
      </w:r>
      <w:r>
        <w:rPr>
          <w:spacing w:val="-2"/>
        </w:rPr>
        <w:t>年出生，研究生学历。现任本公司副董事长、副总经理及投资管理部部长；江苏丰东热处</w:t>
      </w:r>
      <w:r>
        <w:rPr/>
        <w:t> </w:t>
      </w:r>
      <w:r>
        <w:rPr>
          <w:spacing w:val="-2"/>
        </w:rPr>
        <w:t>理及表面改性工程技术研究有限公司、盐城丰东特种炉业有限公司、潍坊丰东热处理有限公司董事长；兼任大丰市东润投资</w:t>
      </w:r>
      <w:r>
        <w:rPr>
          <w:spacing w:val="-66"/>
        </w:rPr>
        <w:t> </w:t>
      </w:r>
      <w:r>
        <w:rPr>
          <w:spacing w:val="-66"/>
        </w:rPr>
      </w:r>
      <w:r>
        <w:rPr>
          <w:spacing w:val="-4"/>
        </w:rPr>
        <w:t>管理有限公司、上海丰东热处理工程有限公司、青岛丰东热处理有限公司董事。社会职务有：中国热处理行业协会副理事长、</w:t>
      </w:r>
      <w:r>
        <w:rPr>
          <w:spacing w:val="-46"/>
        </w:rPr>
        <w:t> </w:t>
      </w:r>
      <w:r>
        <w:rPr>
          <w:spacing w:val="-46"/>
        </w:rPr>
      </w:r>
      <w:r>
        <w:rPr>
          <w:spacing w:val="-2"/>
        </w:rPr>
        <w:t>全国热处理标准化技术委员会副主任委员、江苏省机械工程学会热处理专业委员会副主任委员、工业炉专业委员会副主任委</w:t>
      </w:r>
      <w:r>
        <w:rPr>
          <w:spacing w:val="-64"/>
        </w:rPr>
        <w:t> </w:t>
      </w:r>
      <w:r>
        <w:rPr>
          <w:spacing w:val="-64"/>
        </w:rPr>
      </w:r>
      <w:r>
        <w:rPr/>
        <w:t>员。</w:t>
      </w:r>
    </w:p>
    <w:p>
      <w:pPr>
        <w:pStyle w:val="BodyText"/>
        <w:spacing w:line="316" w:lineRule="auto" w:before="142"/>
        <w:ind w:left="153" w:right="1130" w:firstLine="361"/>
        <w:jc w:val="both"/>
      </w:pPr>
      <w:r>
        <w:rPr>
          <w:rFonts w:ascii="宋体" w:hAnsi="宋体" w:cs="宋体" w:eastAsia="宋体" w:hint="default"/>
          <w:b/>
          <w:bCs/>
          <w:spacing w:val="-2"/>
        </w:rPr>
        <w:t>王毅先生</w:t>
      </w:r>
      <w:r>
        <w:rPr>
          <w:spacing w:val="-2"/>
        </w:rPr>
        <w:t>，中国国籍，</w:t>
      </w:r>
      <w:r>
        <w:rPr>
          <w:rFonts w:ascii="Times New Roman" w:hAnsi="Times New Roman" w:cs="Times New Roman" w:eastAsia="Times New Roman" w:hint="default"/>
          <w:spacing w:val="-2"/>
        </w:rPr>
        <w:t>1967</w:t>
      </w:r>
      <w:r>
        <w:rPr>
          <w:spacing w:val="-2"/>
        </w:rPr>
        <w:t>年出生，大专学历。现任本公司董事、副总经理、营销总监；兼任重庆丰东热处理工程有限</w:t>
      </w:r>
      <w:r>
        <w:rPr/>
        <w:t> </w:t>
      </w:r>
      <w:r>
        <w:rPr>
          <w:spacing w:val="-2"/>
        </w:rPr>
        <w:t>公司、盐城高周波热炼有限公司、长春丰东热处理有限公司、北京丰东建通工业炉科技有限公司、江苏石川岛丰东真空技术</w:t>
      </w:r>
      <w:r>
        <w:rPr>
          <w:spacing w:val="-66"/>
        </w:rPr>
        <w:t> </w:t>
      </w:r>
      <w:r>
        <w:rPr>
          <w:spacing w:val="-66"/>
        </w:rPr>
      </w:r>
      <w:r>
        <w:rPr/>
        <w:t>有限公司董事。</w:t>
      </w:r>
    </w:p>
    <w:p>
      <w:pPr>
        <w:pStyle w:val="BodyText"/>
        <w:spacing w:line="319" w:lineRule="auto" w:before="146"/>
        <w:ind w:left="153" w:right="1130" w:firstLine="361"/>
        <w:jc w:val="both"/>
      </w:pPr>
      <w:r>
        <w:rPr>
          <w:rFonts w:ascii="宋体" w:hAnsi="宋体" w:cs="宋体" w:eastAsia="宋体" w:hint="default"/>
          <w:b/>
          <w:bCs/>
          <w:spacing w:val="-2"/>
        </w:rPr>
        <w:t>徐仕俊先生</w:t>
      </w:r>
      <w:r>
        <w:rPr>
          <w:spacing w:val="-2"/>
        </w:rPr>
        <w:t>，中国国籍，</w:t>
      </w:r>
      <w:r>
        <w:rPr>
          <w:rFonts w:ascii="Times New Roman" w:hAnsi="Times New Roman" w:cs="Times New Roman" w:eastAsia="Times New Roman" w:hint="default"/>
          <w:spacing w:val="-2"/>
        </w:rPr>
        <w:t>1967</w:t>
      </w:r>
      <w:r>
        <w:rPr>
          <w:spacing w:val="-2"/>
        </w:rPr>
        <w:t>年出生，大专学历，会计师职称。现任本公司董事、财务总监；兼任上海丰东热处理工程</w:t>
      </w:r>
      <w:r>
        <w:rPr/>
        <w:t> </w:t>
      </w:r>
      <w:r>
        <w:rPr>
          <w:spacing w:val="-2"/>
        </w:rPr>
        <w:t>有限公司、青岛丰东热处理有限公司、重庆丰东热处理工程有限公司、天津丰东热处理有限公司、盐城丰东特种炉业有限公</w:t>
      </w:r>
      <w:r>
        <w:rPr>
          <w:spacing w:val="-66"/>
        </w:rPr>
        <w:t> </w:t>
      </w:r>
      <w:r>
        <w:rPr>
          <w:spacing w:val="-66"/>
        </w:rPr>
      </w:r>
      <w:r>
        <w:rPr>
          <w:spacing w:val="-2"/>
        </w:rPr>
        <w:t>司、盐城高周波热炼有限公司、广州丰东热炼有限公司、江苏丰东热处理及表面改性工程技术研究有限公司、潍坊丰东热处</w:t>
      </w:r>
      <w:r>
        <w:rPr>
          <w:spacing w:val="-66"/>
        </w:rPr>
        <w:t> </w:t>
      </w:r>
      <w:r>
        <w:rPr>
          <w:spacing w:val="-66"/>
        </w:rPr>
      </w:r>
      <w:r>
        <w:rPr/>
        <w:t>理有限公司监事和南京丰东热处理工程有限公司董事。</w:t>
      </w:r>
    </w:p>
    <w:p>
      <w:pPr>
        <w:pStyle w:val="BodyText"/>
        <w:spacing w:line="316" w:lineRule="auto" w:before="145"/>
        <w:ind w:left="154" w:right="1130" w:firstLine="361"/>
        <w:jc w:val="both"/>
      </w:pPr>
      <w:r>
        <w:rPr>
          <w:rFonts w:ascii="宋体" w:hAnsi="宋体" w:cs="宋体" w:eastAsia="宋体" w:hint="default"/>
          <w:b/>
          <w:bCs/>
          <w:spacing w:val="-2"/>
        </w:rPr>
        <w:t>郜翀先生</w:t>
      </w:r>
      <w:r>
        <w:rPr>
          <w:spacing w:val="-2"/>
        </w:rPr>
        <w:t>，中国国籍，</w:t>
      </w:r>
      <w:r>
        <w:rPr>
          <w:rFonts w:ascii="Times New Roman" w:hAnsi="Times New Roman" w:cs="Times New Roman" w:eastAsia="Times New Roman" w:hint="default"/>
          <w:spacing w:val="-2"/>
        </w:rPr>
        <w:t>1969</w:t>
      </w:r>
      <w:r>
        <w:rPr>
          <w:spacing w:val="-2"/>
        </w:rPr>
        <w:t>年出生，研究生学历。现任江苏高科技投资集团有限公司投资总监、江苏高投创业投资有限</w:t>
      </w:r>
      <w:r>
        <w:rPr/>
        <w:t> </w:t>
      </w:r>
      <w:r>
        <w:rPr>
          <w:spacing w:val="-2"/>
        </w:rPr>
        <w:t>公司副总经理、无锡高德创业投资管理有限公司董事长、本公司董事；兼任江苏高投中小企业创业投资有限公司、江苏长海</w:t>
      </w:r>
      <w:r>
        <w:rPr>
          <w:spacing w:val="-66"/>
        </w:rPr>
        <w:t> </w:t>
      </w:r>
      <w:r>
        <w:rPr>
          <w:spacing w:val="-66"/>
        </w:rPr>
      </w:r>
      <w:r>
        <w:rPr/>
        <w:t>复合材料股份有限公司董事。</w:t>
      </w:r>
    </w:p>
    <w:p>
      <w:pPr>
        <w:pStyle w:val="BodyText"/>
        <w:spacing w:line="319" w:lineRule="auto" w:before="147"/>
        <w:ind w:left="153" w:right="1130" w:firstLine="361"/>
        <w:jc w:val="both"/>
      </w:pPr>
      <w:r>
        <w:rPr>
          <w:rFonts w:ascii="宋体" w:hAnsi="宋体" w:cs="宋体" w:eastAsia="宋体" w:hint="default"/>
          <w:b/>
          <w:bCs/>
          <w:spacing w:val="-2"/>
        </w:rPr>
        <w:t>周友梅先生</w:t>
      </w:r>
      <w:r>
        <w:rPr>
          <w:spacing w:val="-2"/>
        </w:rPr>
        <w:t>，中国国籍，</w:t>
      </w:r>
      <w:r>
        <w:rPr>
          <w:rFonts w:ascii="Times New Roman" w:hAnsi="Times New Roman" w:cs="Times New Roman" w:eastAsia="Times New Roman" w:hint="default"/>
          <w:spacing w:val="-2"/>
        </w:rPr>
        <w:t>1960</w:t>
      </w:r>
      <w:r>
        <w:rPr>
          <w:spacing w:val="-2"/>
        </w:rPr>
        <w:t>年出生，民建会员，研究生学历。现任南京财经大学会计学院会计学教授、硕士研究生导</w:t>
      </w:r>
      <w:r>
        <w:rPr/>
        <w:t> </w:t>
      </w:r>
      <w:r>
        <w:rPr>
          <w:spacing w:val="-2"/>
        </w:rPr>
        <w:t>师；民建中央经济委员会委员，中国对外经济贸易会计学会副会长，江苏省资产评估协会副会长，江苏省对外经济贸易会计</w:t>
      </w:r>
      <w:r>
        <w:rPr>
          <w:spacing w:val="-66"/>
        </w:rPr>
        <w:t> </w:t>
      </w:r>
      <w:r>
        <w:rPr>
          <w:spacing w:val="-66"/>
        </w:rPr>
      </w:r>
      <w:r>
        <w:rPr>
          <w:spacing w:val="-2"/>
        </w:rPr>
        <w:t>学会副会长，中国内部审计学会学术委员会委员、中国资产评估协会理事；担任本公司、芜湖亚夏汽车股份有限公司以及南</w:t>
      </w:r>
      <w:r>
        <w:rPr>
          <w:spacing w:val="-66"/>
        </w:rPr>
        <w:t> </w:t>
      </w:r>
      <w:r>
        <w:rPr>
          <w:spacing w:val="-66"/>
        </w:rPr>
      </w:r>
      <w:r>
        <w:rPr/>
        <w:t>京高科股份有限公司独立董事。</w:t>
      </w:r>
    </w:p>
    <w:p>
      <w:pPr>
        <w:pStyle w:val="BodyText"/>
        <w:spacing w:line="316" w:lineRule="auto" w:before="145"/>
        <w:ind w:left="154" w:right="1131" w:firstLine="361"/>
        <w:jc w:val="both"/>
      </w:pPr>
      <w:r>
        <w:rPr>
          <w:rFonts w:ascii="宋体" w:hAnsi="宋体" w:cs="宋体" w:eastAsia="宋体" w:hint="default"/>
          <w:b/>
          <w:bCs/>
          <w:spacing w:val="-2"/>
        </w:rPr>
        <w:t>成志明先生</w:t>
      </w:r>
      <w:r>
        <w:rPr>
          <w:spacing w:val="-2"/>
        </w:rPr>
        <w:t>，中国国籍，</w:t>
      </w:r>
      <w:r>
        <w:rPr>
          <w:rFonts w:ascii="Times New Roman" w:hAnsi="Times New Roman" w:cs="Times New Roman" w:eastAsia="Times New Roman" w:hint="default"/>
          <w:spacing w:val="-2"/>
        </w:rPr>
        <w:t>1962</w:t>
      </w:r>
      <w:r>
        <w:rPr>
          <w:spacing w:val="-2"/>
        </w:rPr>
        <w:t>年出生，博士研究生，教授。曾应邀担任日本名古屋大学客座教授，现担任南京大学商学</w:t>
      </w:r>
      <w:r>
        <w:rPr/>
        <w:t> </w:t>
      </w:r>
      <w:r>
        <w:rPr>
          <w:spacing w:val="-2"/>
        </w:rPr>
        <w:t>院教授；南京东方智业管理顾问有限公司首席顾问；江苏省管理咨询协会会长，中企联管理咨询委员会副主任；担任本公司</w:t>
      </w:r>
      <w:r>
        <w:rPr>
          <w:spacing w:val="-65"/>
        </w:rPr>
        <w:t> </w:t>
      </w:r>
      <w:r>
        <w:rPr>
          <w:spacing w:val="-65"/>
        </w:rPr>
      </w:r>
      <w:r>
        <w:rPr/>
        <w:t>独立董事。</w:t>
      </w:r>
    </w:p>
    <w:p>
      <w:pPr>
        <w:pStyle w:val="BodyText"/>
        <w:spacing w:line="307" w:lineRule="auto" w:before="147"/>
        <w:ind w:left="153" w:right="1131" w:firstLine="361"/>
        <w:jc w:val="both"/>
      </w:pPr>
      <w:r>
        <w:rPr>
          <w:rFonts w:ascii="宋体" w:hAnsi="宋体" w:cs="宋体" w:eastAsia="宋体" w:hint="default"/>
          <w:b/>
          <w:bCs/>
          <w:spacing w:val="-2"/>
        </w:rPr>
        <w:t>朱东先生，</w:t>
      </w:r>
      <w:r>
        <w:rPr>
          <w:spacing w:val="-2"/>
        </w:rPr>
        <w:t>中国国籍，</w:t>
      </w:r>
      <w:r>
        <w:rPr>
          <w:rFonts w:ascii="Times New Roman" w:hAnsi="Times New Roman" w:cs="Times New Roman" w:eastAsia="Times New Roman" w:hint="default"/>
          <w:spacing w:val="-2"/>
        </w:rPr>
        <w:t>1968</w:t>
      </w:r>
      <w:r>
        <w:rPr>
          <w:spacing w:val="-2"/>
        </w:rPr>
        <w:t>年出生，研究生学历。现任国浩律师（南京）事务所高级合伙人，本公司独立董事；江苏省</w:t>
      </w:r>
      <w:r>
        <w:rPr/>
        <w:t> 律师协会金融证券专业委员会副主任、秘书长，无锡仲裁委员会仲裁员。</w:t>
      </w:r>
    </w:p>
    <w:p>
      <w:pPr>
        <w:pStyle w:val="BodyText"/>
        <w:spacing w:line="440" w:lineRule="exact" w:before="12"/>
        <w:ind w:left="515" w:right="0" w:hanging="2"/>
        <w:jc w:val="left"/>
      </w:pPr>
      <w:r>
        <w:rPr>
          <w:rFonts w:ascii="Times New Roman" w:hAnsi="Times New Roman" w:cs="Times New Roman" w:eastAsia="Times New Roman" w:hint="default"/>
        </w:rPr>
        <w:t>2</w:t>
      </w:r>
      <w:r>
        <w:rPr/>
        <w:t>、现任监事最近</w:t>
      </w:r>
      <w:r>
        <w:rPr>
          <w:rFonts w:ascii="Times New Roman" w:hAnsi="Times New Roman" w:cs="Times New Roman" w:eastAsia="Times New Roman" w:hint="default"/>
        </w:rPr>
        <w:t>5</w:t>
      </w:r>
      <w:r>
        <w:rPr/>
        <w:t>年的主要工作经历 </w:t>
      </w:r>
      <w:r>
        <w:rPr>
          <w:rFonts w:ascii="宋体" w:hAnsi="宋体" w:cs="宋体" w:eastAsia="宋体" w:hint="default"/>
          <w:b/>
          <w:bCs/>
          <w:spacing w:val="-2"/>
        </w:rPr>
        <w:t>张广仁先生</w:t>
      </w:r>
      <w:r>
        <w:rPr>
          <w:spacing w:val="-2"/>
        </w:rPr>
        <w:t>，中国国籍，</w:t>
      </w:r>
      <w:r>
        <w:rPr>
          <w:rFonts w:ascii="Times New Roman" w:hAnsi="Times New Roman" w:cs="Times New Roman" w:eastAsia="Times New Roman" w:hint="default"/>
          <w:spacing w:val="-2"/>
        </w:rPr>
        <w:t>1938</w:t>
      </w:r>
      <w:r>
        <w:rPr>
          <w:spacing w:val="-2"/>
        </w:rPr>
        <w:t>年出生，拥有日本永久居留权，本科学历。现任日本和华株式会社代表取缔役、社长、本</w:t>
      </w:r>
    </w:p>
    <w:p>
      <w:pPr>
        <w:pStyle w:val="BodyText"/>
        <w:spacing w:line="436" w:lineRule="auto" w:before="21"/>
        <w:ind w:left="515" w:right="0" w:hanging="362"/>
        <w:jc w:val="left"/>
      </w:pPr>
      <w:r>
        <w:rPr/>
        <w:t>公司监事会主席；兼任天津丰东热处理有限公司董事。 </w:t>
      </w:r>
      <w:r>
        <w:rPr>
          <w:rFonts w:ascii="宋体" w:hAnsi="宋体" w:cs="宋体" w:eastAsia="宋体" w:hint="default"/>
          <w:b/>
          <w:bCs/>
        </w:rPr>
        <w:t>朱小军先生</w:t>
      </w:r>
      <w:r>
        <w:rPr/>
        <w:t>，中国国籍，</w:t>
      </w:r>
      <w:r>
        <w:rPr>
          <w:rFonts w:ascii="Times New Roman" w:hAnsi="Times New Roman" w:cs="Times New Roman" w:eastAsia="Times New Roman" w:hint="default"/>
        </w:rPr>
        <w:t>1975</w:t>
      </w:r>
      <w:r>
        <w:rPr/>
        <w:t>年出生，本科学历。现任本公司营销管理部部长、本公司监事。 </w:t>
      </w:r>
      <w:r>
        <w:rPr>
          <w:rFonts w:ascii="宋体" w:hAnsi="宋体" w:cs="宋体" w:eastAsia="宋体" w:hint="default"/>
          <w:b/>
          <w:bCs/>
          <w:spacing w:val="-1"/>
        </w:rPr>
        <w:t>许红明女士</w:t>
      </w:r>
      <w:r>
        <w:rPr>
          <w:spacing w:val="-1"/>
        </w:rPr>
        <w:t>，中国国籍，</w:t>
      </w:r>
      <w:r>
        <w:rPr>
          <w:rFonts w:ascii="Times New Roman" w:hAnsi="Times New Roman" w:cs="Times New Roman" w:eastAsia="Times New Roman" w:hint="default"/>
          <w:spacing w:val="-1"/>
        </w:rPr>
        <w:t>1969</w:t>
      </w:r>
      <w:r>
        <w:rPr>
          <w:spacing w:val="-1"/>
        </w:rPr>
        <w:t>年出生，本科学历，会计师、注册税务师、国际注册内部审计师（</w:t>
      </w:r>
      <w:r>
        <w:rPr>
          <w:rFonts w:ascii="Times New Roman" w:hAnsi="Times New Roman" w:cs="Times New Roman" w:eastAsia="Times New Roman" w:hint="default"/>
          <w:spacing w:val="-1"/>
        </w:rPr>
        <w:t>CIA</w:t>
      </w:r>
      <w:r>
        <w:rPr>
          <w:spacing w:val="-1"/>
        </w:rPr>
        <w:t>）。现任本公司内</w:t>
      </w:r>
    </w:p>
    <w:p>
      <w:pPr>
        <w:spacing w:after="0" w:line="436"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26" w:lineRule="auto" w:before="44"/>
        <w:ind w:left="154" w:right="0"/>
        <w:jc w:val="left"/>
      </w:pPr>
      <w:r>
        <w:rPr>
          <w:spacing w:val="-2"/>
        </w:rPr>
        <w:t>部审计部部长、本公司职工代表监事，兼任北京丰东建通工业炉科技有限公司、盐城丰东祺耀工业炉有限公司、广州鑫润丰</w:t>
      </w:r>
      <w:r>
        <w:rPr>
          <w:spacing w:val="-66"/>
        </w:rPr>
        <w:t> </w:t>
      </w:r>
      <w:r>
        <w:rPr>
          <w:spacing w:val="-66"/>
        </w:rPr>
      </w:r>
      <w:r>
        <w:rPr/>
        <w:t>东热处理有限公司监事。</w:t>
      </w:r>
    </w:p>
    <w:p>
      <w:pPr>
        <w:pStyle w:val="BodyText"/>
        <w:spacing w:line="424" w:lineRule="auto" w:before="139"/>
        <w:ind w:left="515" w:right="6628" w:hanging="2"/>
        <w:jc w:val="left"/>
      </w:pPr>
      <w:r>
        <w:rPr>
          <w:rFonts w:ascii="Times New Roman" w:hAnsi="Times New Roman" w:cs="Times New Roman" w:eastAsia="Times New Roman" w:hint="default"/>
        </w:rPr>
        <w:t>3</w:t>
      </w:r>
      <w:r>
        <w:rPr/>
        <w:t>、现任高级管理人员最近</w:t>
      </w:r>
      <w:r>
        <w:rPr>
          <w:rFonts w:ascii="Times New Roman" w:hAnsi="Times New Roman" w:cs="Times New Roman" w:eastAsia="Times New Roman" w:hint="default"/>
        </w:rPr>
        <w:t>5</w:t>
      </w:r>
      <w:r>
        <w:rPr/>
        <w:t>年的主要工作经历 </w:t>
      </w:r>
      <w:r>
        <w:rPr>
          <w:rFonts w:ascii="宋体" w:hAnsi="宋体" w:cs="宋体" w:eastAsia="宋体" w:hint="default"/>
          <w:b/>
          <w:bCs/>
        </w:rPr>
        <w:t>朱文明先生</w:t>
      </w:r>
      <w:r>
        <w:rPr/>
        <w:t>，总经理，详见本节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 </w:t>
      </w:r>
      <w:r>
        <w:rPr>
          <w:rFonts w:ascii="宋体" w:hAnsi="宋体" w:cs="宋体" w:eastAsia="宋体" w:hint="default"/>
          <w:b/>
          <w:bCs/>
        </w:rPr>
        <w:t>向建华先生</w:t>
      </w:r>
      <w:r>
        <w:rPr/>
        <w:t>，副总经理，详见本节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w:t>
      </w:r>
    </w:p>
    <w:p>
      <w:pPr>
        <w:pStyle w:val="BodyText"/>
        <w:spacing w:line="316" w:lineRule="auto" w:before="36"/>
        <w:ind w:left="153" w:right="1131" w:firstLine="361"/>
        <w:jc w:val="both"/>
      </w:pPr>
      <w:r>
        <w:rPr>
          <w:rFonts w:ascii="宋体" w:hAnsi="宋体" w:cs="宋体" w:eastAsia="宋体" w:hint="default"/>
          <w:b/>
          <w:bCs/>
          <w:spacing w:val="-2"/>
        </w:rPr>
        <w:t>塚田幸弘先生</w:t>
      </w:r>
      <w:r>
        <w:rPr>
          <w:spacing w:val="-2"/>
        </w:rPr>
        <w:t>，日本国籍，</w:t>
      </w:r>
      <w:r>
        <w:rPr>
          <w:rFonts w:ascii="Times New Roman" w:hAnsi="Times New Roman" w:cs="Times New Roman" w:eastAsia="Times New Roman" w:hint="default"/>
          <w:spacing w:val="-2"/>
        </w:rPr>
        <w:t>1958</w:t>
      </w:r>
      <w:r>
        <w:rPr>
          <w:spacing w:val="-2"/>
        </w:rPr>
        <w:t>年出生，大学学历。历任日本东方工程株式会社生产部、技术部、海外营业部课长、次</w:t>
      </w:r>
      <w:r>
        <w:rPr/>
        <w:t> </w:t>
      </w:r>
      <w:r>
        <w:rPr>
          <w:spacing w:val="-2"/>
        </w:rPr>
        <w:t>长。现任日本东方工程株式会社海外营业部次长、本公司副总经理；兼任上海丰东热处理工程有限公司、盐城丰东特种炉业</w:t>
      </w:r>
      <w:r>
        <w:rPr>
          <w:spacing w:val="-66"/>
        </w:rPr>
        <w:t> </w:t>
      </w:r>
      <w:r>
        <w:rPr>
          <w:spacing w:val="-66"/>
        </w:rPr>
      </w:r>
      <w:r>
        <w:rPr/>
        <w:t>有限公司、长春丰东热处理有限公司、天津丰东热处理有限公司董事。</w:t>
      </w:r>
    </w:p>
    <w:p>
      <w:pPr>
        <w:pStyle w:val="BodyText"/>
        <w:spacing w:line="309" w:lineRule="auto" w:before="146"/>
        <w:ind w:left="154" w:right="1131" w:firstLine="361"/>
        <w:jc w:val="both"/>
      </w:pPr>
      <w:r>
        <w:rPr>
          <w:rFonts w:ascii="宋体" w:hAnsi="宋体" w:cs="宋体" w:eastAsia="宋体" w:hint="default"/>
          <w:b/>
          <w:bCs/>
          <w:spacing w:val="-2"/>
        </w:rPr>
        <w:t>张建新先生</w:t>
      </w:r>
      <w:r>
        <w:rPr>
          <w:spacing w:val="-2"/>
        </w:rPr>
        <w:t>，中国国籍，</w:t>
      </w:r>
      <w:r>
        <w:rPr>
          <w:rFonts w:ascii="Times New Roman" w:hAnsi="Times New Roman" w:cs="Times New Roman" w:eastAsia="Times New Roman" w:hint="default"/>
          <w:spacing w:val="-2"/>
        </w:rPr>
        <w:t>1961</w:t>
      </w:r>
      <w:r>
        <w:rPr>
          <w:spacing w:val="-2"/>
        </w:rPr>
        <w:t>年出生，大专学历。现任本公司副总经理；兼任上海丰东热处理工程有限公司董事、总经</w:t>
      </w:r>
      <w:r>
        <w:rPr/>
        <w:t> 理；大丰市东润投资管理有限公司董事。</w:t>
      </w:r>
    </w:p>
    <w:p>
      <w:pPr>
        <w:pStyle w:val="BodyText"/>
        <w:spacing w:line="307" w:lineRule="auto" w:before="152"/>
        <w:ind w:left="153" w:right="1129" w:firstLine="361"/>
        <w:jc w:val="both"/>
      </w:pPr>
      <w:r>
        <w:rPr>
          <w:rFonts w:ascii="宋体" w:hAnsi="宋体" w:cs="宋体" w:eastAsia="宋体" w:hint="default"/>
          <w:b/>
          <w:bCs/>
          <w:spacing w:val="-2"/>
        </w:rPr>
        <w:t>房莉莉女士</w:t>
      </w:r>
      <w:r>
        <w:rPr>
          <w:spacing w:val="-2"/>
        </w:rPr>
        <w:t>，中国国籍，</w:t>
      </w:r>
      <w:r>
        <w:rPr>
          <w:rFonts w:ascii="Times New Roman" w:hAnsi="Times New Roman" w:cs="Times New Roman" w:eastAsia="Times New Roman" w:hint="default"/>
          <w:spacing w:val="-2"/>
        </w:rPr>
        <w:t>1980</w:t>
      </w:r>
      <w:r>
        <w:rPr>
          <w:spacing w:val="-2"/>
        </w:rPr>
        <w:t>年出生，本科学历。历任公司证券部助理、职工代表监事。现任本公司副总经理、董事会</w:t>
      </w:r>
      <w:r>
        <w:rPr/>
        <w:t> 秘书，兼任证券部部长。</w:t>
      </w:r>
    </w:p>
    <w:p>
      <w:pPr>
        <w:pStyle w:val="BodyText"/>
        <w:spacing w:line="440" w:lineRule="exact" w:before="12"/>
        <w:ind w:left="515" w:right="0"/>
        <w:jc w:val="left"/>
      </w:pPr>
      <w:r>
        <w:rPr>
          <w:rFonts w:ascii="宋体" w:hAnsi="宋体" w:cs="宋体" w:eastAsia="宋体" w:hint="default"/>
          <w:b/>
          <w:bCs/>
        </w:rPr>
        <w:t>徐仕俊先生</w:t>
      </w:r>
      <w:r>
        <w:rPr/>
        <w:t>，财务总监，详见本节</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 </w:t>
      </w:r>
      <w:r>
        <w:rPr>
          <w:rFonts w:ascii="宋体" w:hAnsi="宋体" w:cs="宋体" w:eastAsia="宋体" w:hint="default"/>
          <w:b/>
          <w:bCs/>
          <w:spacing w:val="-2"/>
        </w:rPr>
        <w:t>韩伯群先生，</w:t>
      </w:r>
      <w:r>
        <w:rPr>
          <w:spacing w:val="-2"/>
        </w:rPr>
        <w:t>中国国籍，</w:t>
      </w:r>
      <w:r>
        <w:rPr>
          <w:rFonts w:ascii="Times New Roman" w:hAnsi="Times New Roman" w:cs="Times New Roman" w:eastAsia="Times New Roman" w:hint="default"/>
          <w:spacing w:val="-2"/>
        </w:rPr>
        <w:t>1969</w:t>
      </w:r>
      <w:r>
        <w:rPr>
          <w:spacing w:val="-2"/>
        </w:rPr>
        <w:t>年出生，研究生学历，高级工程师。现任本公司总工程师；兼任总师办主任，江苏丰东热</w:t>
      </w:r>
    </w:p>
    <w:p>
      <w:pPr>
        <w:pStyle w:val="BodyText"/>
        <w:spacing w:line="240" w:lineRule="auto" w:before="21"/>
        <w:ind w:left="153" w:right="0"/>
        <w:jc w:val="left"/>
      </w:pPr>
      <w:r>
        <w:rPr/>
        <w:t>处理及表面改性工程技术研究有限公司、潍坊丰东热处理有限公司董事。社会职务：盐城市人大代表。</w:t>
      </w:r>
    </w:p>
    <w:p>
      <w:pPr>
        <w:spacing w:line="240" w:lineRule="auto" w:before="9"/>
        <w:rPr>
          <w:rFonts w:ascii="宋体" w:hAnsi="宋体" w:cs="宋体" w:eastAsia="宋体" w:hint="default"/>
          <w:sz w:val="15"/>
          <w:szCs w:val="15"/>
        </w:rPr>
      </w:pPr>
    </w:p>
    <w:p>
      <w:pPr>
        <w:pStyle w:val="BodyText"/>
        <w:spacing w:line="309" w:lineRule="auto"/>
        <w:ind w:left="153" w:right="1130" w:firstLine="361"/>
        <w:jc w:val="both"/>
      </w:pPr>
      <w:r>
        <w:rPr>
          <w:rFonts w:ascii="宋体" w:hAnsi="宋体" w:cs="宋体" w:eastAsia="宋体" w:hint="default"/>
          <w:b/>
          <w:bCs/>
          <w:spacing w:val="-2"/>
        </w:rPr>
        <w:t>陈国民女士</w:t>
      </w:r>
      <w:r>
        <w:rPr>
          <w:spacing w:val="-2"/>
        </w:rPr>
        <w:t>，中国国籍，</w:t>
      </w:r>
      <w:r>
        <w:rPr>
          <w:rFonts w:ascii="Times New Roman" w:hAnsi="Times New Roman" w:cs="Times New Roman" w:eastAsia="Times New Roman" w:hint="default"/>
          <w:spacing w:val="-2"/>
        </w:rPr>
        <w:t>1960</w:t>
      </w:r>
      <w:r>
        <w:rPr>
          <w:spacing w:val="-2"/>
        </w:rPr>
        <w:t>年出生，研究生学历，高级工程师。现任本公司总经理助理，兼任质量管理部部长。社会</w:t>
      </w:r>
      <w:r>
        <w:rPr/>
        <w:t> 职务：大丰市政协委员。</w:t>
      </w:r>
    </w:p>
    <w:p>
      <w:pPr>
        <w:spacing w:line="240" w:lineRule="auto" w:before="3"/>
        <w:rPr>
          <w:rFonts w:ascii="宋体" w:hAnsi="宋体" w:cs="宋体" w:eastAsia="宋体" w:hint="default"/>
          <w:sz w:val="18"/>
          <w:szCs w:val="18"/>
        </w:rPr>
      </w:pPr>
    </w:p>
    <w:p>
      <w:pPr>
        <w:pStyle w:val="BodyText"/>
        <w:spacing w:line="240" w:lineRule="auto"/>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485"/>
        <w:gridCol w:w="1276"/>
        <w:gridCol w:w="1559"/>
        <w:gridCol w:w="1702"/>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日本东方工程株式会社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日本和华株式会社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6"/>
          <w:szCs w:val="6"/>
        </w:rPr>
      </w:pPr>
    </w:p>
    <w:p>
      <w:pPr>
        <w:pStyle w:val="BodyText"/>
        <w:spacing w:line="240" w:lineRule="auto" w:before="44"/>
        <w:ind w:left="514" w:right="0"/>
        <w:jc w:val="left"/>
      </w:pPr>
      <w:r>
        <w:rPr/>
        <w:t>在其他单位任职情况</w:t>
      </w:r>
    </w:p>
    <w:p>
      <w:pPr>
        <w:pStyle w:val="BodyText"/>
        <w:spacing w:line="240" w:lineRule="auto" w:before="11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992"/>
        <w:gridCol w:w="1688"/>
        <w:gridCol w:w="1572"/>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992"/>
        <w:gridCol w:w="1688"/>
        <w:gridCol w:w="1572"/>
        <w:gridCol w:w="1345"/>
      </w:tblGrid>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 术研究有限公司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1"/>
              <w:ind w:left="22" w:right="34"/>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 术研究有限公司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江苏高投创业投资有限公司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无锡高德创业投资管理有限公司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江苏高投中小企业投资有限公司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江苏长海复合材料股份有限公司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南京财经大学会计学院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芜湖亚夏汽车股份有限公司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南京高科股份有限公司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南京大学商学院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南通江海电容器股份有限公司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国浩律师（南京）事务所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2"/>
        <w:gridCol w:w="2769"/>
        <w:gridCol w:w="992"/>
        <w:gridCol w:w="1688"/>
        <w:gridCol w:w="1572"/>
        <w:gridCol w:w="1345"/>
      </w:tblGrid>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 术研究有限公司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2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113"/>
      <w:bookmarkEnd w:id="113"/>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6"/>
        <w:ind w:left="153" w:right="1139" w:firstLine="360"/>
        <w:jc w:val="both"/>
      </w:pPr>
      <w:r>
        <w:rPr>
          <w:rFonts w:ascii="Times New Roman" w:hAnsi="Times New Roman" w:cs="Times New Roman" w:eastAsia="Times New Roman" w:hint="default"/>
        </w:rPr>
        <w:t>1</w:t>
      </w:r>
      <w:r>
        <w:rPr/>
        <w:t>、董事、监事、高级管理人员报酬的决策程序：《第三届董事、监事津贴方案》经公司第三届董事会第二次会议审议 并提交</w:t>
      </w:r>
      <w:r>
        <w:rPr>
          <w:rFonts w:ascii="Times New Roman" w:hAnsi="Times New Roman" w:cs="Times New Roman" w:eastAsia="Times New Roman" w:hint="default"/>
        </w:rPr>
        <w:t>2013</w:t>
      </w:r>
      <w:r>
        <w:rPr/>
        <w:t>年度股东大会审议通过；高级管理人员</w:t>
      </w:r>
      <w:r>
        <w:rPr>
          <w:rFonts w:ascii="Times New Roman" w:hAnsi="Times New Roman" w:cs="Times New Roman" w:eastAsia="Times New Roman" w:hint="default"/>
        </w:rPr>
        <w:t>2014</w:t>
      </w:r>
      <w:r>
        <w:rPr/>
        <w:t>年度报酬经公司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日召开的董事会薪酬委员会会议同意， 并提交公司第三届董事会第七次会议审议通过。</w:t>
      </w:r>
    </w:p>
    <w:p>
      <w:pPr>
        <w:pStyle w:val="BodyText"/>
        <w:spacing w:line="300" w:lineRule="auto" w:before="31"/>
        <w:ind w:left="153" w:right="1130" w:firstLine="360"/>
        <w:jc w:val="both"/>
      </w:pPr>
      <w:r>
        <w:rPr>
          <w:rFonts w:ascii="Times New Roman" w:hAnsi="Times New Roman" w:cs="Times New Roman" w:eastAsia="Times New Roman" w:hint="default"/>
        </w:rPr>
        <w:t>2</w:t>
      </w:r>
      <w:r>
        <w:rPr/>
        <w:t>、董事、监事、高级管理人员报酬的确定依据：独立董事薪酬是公司根据独立董事实际工作开展情况结合当前市场实 </w:t>
      </w:r>
      <w:r>
        <w:rPr>
          <w:spacing w:val="-2"/>
        </w:rPr>
        <w:t>际确定。高级管理人员的报酬是根据公司《高级管理人员薪酬管理制度》的相关规定，结合公司</w:t>
      </w:r>
      <w:r>
        <w:rPr>
          <w:rFonts w:ascii="Times New Roman" w:hAnsi="Times New Roman" w:cs="Times New Roman" w:eastAsia="Times New Roman" w:hint="default"/>
          <w:spacing w:val="-2"/>
        </w:rPr>
        <w:t>2014</w:t>
      </w:r>
      <w:r>
        <w:rPr>
          <w:spacing w:val="-2"/>
        </w:rPr>
        <w:t>年度经营目标和公司高</w:t>
      </w:r>
      <w:r>
        <w:rPr>
          <w:spacing w:val="-62"/>
        </w:rPr>
        <w:t> </w:t>
      </w:r>
      <w:r>
        <w:rPr/>
        <w:t>级管理人员在完成年度经营目标所承担的具体岗位职责确定的。</w:t>
      </w:r>
    </w:p>
    <w:p>
      <w:pPr>
        <w:pStyle w:val="BodyText"/>
        <w:spacing w:line="300" w:lineRule="auto" w:before="31"/>
        <w:ind w:left="153" w:right="1139" w:firstLine="360"/>
        <w:jc w:val="both"/>
      </w:pPr>
      <w:r>
        <w:rPr>
          <w:rFonts w:ascii="Times New Roman" w:hAnsi="Times New Roman" w:cs="Times New Roman" w:eastAsia="Times New Roman" w:hint="default"/>
        </w:rPr>
        <w:t>3</w:t>
      </w:r>
      <w:r>
        <w:rPr/>
        <w:t>、董事、监事、高级管理人员报酬的实际支付情况：独立董事报酬每月按标准支付到个人账户；高级管理人员报酬根 据月度考核结果按月发放。</w:t>
      </w:r>
    </w:p>
    <w:p>
      <w:pPr>
        <w:pStyle w:val="BodyText"/>
        <w:spacing w:line="240" w:lineRule="auto" w:before="72"/>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2550"/>
        <w:gridCol w:w="710"/>
        <w:gridCol w:w="709"/>
        <w:gridCol w:w="1018"/>
        <w:gridCol w:w="1197"/>
        <w:gridCol w:w="1196"/>
        <w:gridCol w:w="119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董事、副总经理、营销总监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35.81</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615"/>
              <w:jc w:val="left"/>
              <w:rPr>
                <w:rFonts w:ascii="宋体" w:hAnsi="宋体" w:cs="宋体" w:eastAsia="宋体" w:hint="default"/>
                <w:sz w:val="18"/>
                <w:szCs w:val="18"/>
              </w:rPr>
            </w:pPr>
            <w:r>
              <w:rPr>
                <w:rFonts w:ascii="宋体" w:hAnsi="宋体" w:cs="宋体" w:eastAsia="宋体" w:hint="default"/>
                <w:sz w:val="18"/>
                <w:szCs w:val="18"/>
              </w:rPr>
              <w:t>监事会主席 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23"/>
              <w:jc w:val="left"/>
              <w:rPr>
                <w:rFonts w:ascii="宋体" w:hAnsi="宋体" w:cs="宋体" w:eastAsia="宋体" w:hint="default"/>
                <w:sz w:val="18"/>
                <w:szCs w:val="18"/>
              </w:rPr>
            </w:pPr>
            <w:r>
              <w:rPr>
                <w:rFonts w:ascii="宋体" w:hAnsi="宋体" w:cs="宋体" w:eastAsia="宋体" w:hint="default"/>
                <w:sz w:val="18"/>
                <w:szCs w:val="18"/>
              </w:rPr>
              <w:t>现任 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94"/>
        <w:gridCol w:w="2550"/>
        <w:gridCol w:w="710"/>
        <w:gridCol w:w="709"/>
        <w:gridCol w:w="1018"/>
        <w:gridCol w:w="1197"/>
        <w:gridCol w:w="1196"/>
        <w:gridCol w:w="119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23.37</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徐跃明</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bl>
    <w:p>
      <w:pPr>
        <w:pStyle w:val="BodyText"/>
        <w:spacing w:line="240" w:lineRule="auto" w:before="51"/>
        <w:ind w:left="514" w:right="0"/>
        <w:jc w:val="left"/>
      </w:pPr>
      <w:r>
        <w:rPr/>
        <w:t>公司董事、监事、高级管理人员报告期内被授予的股权激励情况</w:t>
      </w:r>
    </w:p>
    <w:p>
      <w:pPr>
        <w:pStyle w:val="BodyText"/>
        <w:spacing w:line="240" w:lineRule="auto" w:before="11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114"/>
      <w:bookmarkEnd w:id="114"/>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1526"/>
        <w:gridCol w:w="883"/>
        <w:gridCol w:w="1776"/>
        <w:gridCol w:w="424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王  毅</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因个人原因，申请辞去公司董事职务。</w:t>
            </w:r>
          </w:p>
        </w:tc>
      </w:tr>
      <w:tr>
        <w:trPr>
          <w:trHeight w:val="5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徐跃明</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72"/>
              <w:jc w:val="left"/>
              <w:rPr>
                <w:rFonts w:ascii="宋体" w:hAnsi="宋体" w:cs="宋体" w:eastAsia="宋体" w:hint="default"/>
                <w:sz w:val="18"/>
                <w:szCs w:val="18"/>
              </w:rPr>
            </w:pPr>
            <w:r>
              <w:rPr>
                <w:rFonts w:ascii="宋体" w:hAnsi="宋体" w:cs="宋体" w:eastAsia="宋体" w:hint="default"/>
                <w:sz w:val="18"/>
                <w:szCs w:val="18"/>
              </w:rPr>
              <w:t>因个人原因，申请辞去公司监事及监事会主席职务， 辞职后不再担任公司任何职务。</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5"/>
      <w:bookmarkEnd w:id="115"/>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报告期内，公司核心技术团队及关键技术人员未发生变动。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116"/>
      <w:bookmarkEnd w:id="116"/>
      <w:r>
        <w:rPr>
          <w:b w:val="0"/>
          <w:bCs w:val="0"/>
        </w:rPr>
      </w:r>
      <w:r>
        <w:rPr/>
        <w:t>六、公司员工情况</w:t>
      </w:r>
      <w:r>
        <w:rPr>
          <w:b w:val="0"/>
          <w:bCs w:val="0"/>
        </w:rPr>
      </w:r>
    </w:p>
    <w:p>
      <w:pPr>
        <w:spacing w:line="240" w:lineRule="auto" w:before="3"/>
        <w:rPr>
          <w:rFonts w:ascii="宋体" w:hAnsi="宋体" w:cs="宋体" w:eastAsia="宋体" w:hint="default"/>
          <w:b/>
          <w:bCs/>
          <w:sz w:val="29"/>
          <w:szCs w:val="29"/>
        </w:rPr>
      </w:pPr>
    </w:p>
    <w:p>
      <w:pPr>
        <w:pStyle w:val="BodyText"/>
        <w:spacing w:line="240" w:lineRule="auto"/>
        <w:ind w:left="514" w:right="0"/>
        <w:jc w:val="left"/>
      </w:pPr>
      <w:r>
        <w:rPr>
          <w:rFonts w:ascii="Times New Roman" w:hAnsi="Times New Roman" w:cs="Times New Roman" w:eastAsia="Times New Roman" w:hint="default"/>
        </w:rPr>
        <w:t>1</w:t>
      </w:r>
      <w:r>
        <w:rPr/>
        <w:t>、截至本报告期末，公司在册员工总数为</w:t>
      </w:r>
      <w:r>
        <w:rPr>
          <w:rFonts w:ascii="Times New Roman" w:hAnsi="Times New Roman" w:cs="Times New Roman" w:eastAsia="Times New Roman" w:hint="default"/>
        </w:rPr>
        <w:t>1,024</w:t>
      </w:r>
      <w:r>
        <w:rPr/>
        <w:t>人，需公司承担费用的离退休人员为</w:t>
      </w:r>
      <w:r>
        <w:rPr>
          <w:rFonts w:ascii="Times New Roman" w:hAnsi="Times New Roman" w:cs="Times New Roman" w:eastAsia="Times New Roman" w:hint="default"/>
        </w:rPr>
        <w:t>0</w:t>
      </w:r>
      <w:r>
        <w:rPr/>
        <w:t>，其中各类人员构成如下：</w:t>
      </w:r>
    </w:p>
    <w:p>
      <w:pPr>
        <w:spacing w:line="240" w:lineRule="auto" w:before="4"/>
        <w:rPr>
          <w:rFonts w:ascii="宋体" w:hAnsi="宋体" w:cs="宋体" w:eastAsia="宋体" w:hint="default"/>
          <w:sz w:val="17"/>
          <w:szCs w:val="17"/>
        </w:rPr>
      </w:pPr>
    </w:p>
    <w:p>
      <w:pPr>
        <w:pStyle w:val="BodyText"/>
        <w:spacing w:line="240" w:lineRule="auto"/>
        <w:ind w:left="514" w:right="0"/>
        <w:jc w:val="left"/>
      </w:pPr>
      <w:r>
        <w:rPr>
          <w:rFonts w:ascii="Times New Roman" w:hAnsi="Times New Roman" w:cs="Times New Roman" w:eastAsia="Times New Roman" w:hint="default"/>
        </w:rPr>
        <w:t>1.1</w:t>
      </w:r>
      <w:r>
        <w:rPr/>
        <w:t>员工专业情况</w:t>
      </w:r>
    </w:p>
    <w:p>
      <w:pPr>
        <w:spacing w:line="240" w:lineRule="auto" w:before="12"/>
        <w:rPr>
          <w:rFonts w:ascii="宋体" w:hAnsi="宋体" w:cs="宋体" w:eastAsia="宋体" w:hint="default"/>
          <w:sz w:val="13"/>
          <w:szCs w:val="13"/>
        </w:rPr>
      </w:pPr>
    </w:p>
    <w:tbl>
      <w:tblPr>
        <w:tblW w:w="0" w:type="auto"/>
        <w:jc w:val="left"/>
        <w:tblInd w:w="1949" w:type="dxa"/>
        <w:tblLayout w:type="fixed"/>
        <w:tblCellMar>
          <w:top w:w="0" w:type="dxa"/>
          <w:left w:w="0" w:type="dxa"/>
          <w:bottom w:w="0" w:type="dxa"/>
          <w:right w:w="0" w:type="dxa"/>
        </w:tblCellMar>
        <w:tblLook w:val="01E0"/>
      </w:tblPr>
      <w:tblGrid>
        <w:gridCol w:w="2104"/>
        <w:gridCol w:w="1689"/>
        <w:gridCol w:w="2255"/>
      </w:tblGrid>
      <w:tr>
        <w:trPr>
          <w:trHeight w:val="339" w:hRule="exact"/>
        </w:trPr>
        <w:tc>
          <w:tcPr>
            <w:tcW w:w="2104"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right="85"/>
              <w:jc w:val="center"/>
              <w:rPr>
                <w:rFonts w:ascii="宋体" w:hAnsi="宋体" w:cs="宋体" w:eastAsia="宋体" w:hint="default"/>
                <w:sz w:val="20"/>
                <w:szCs w:val="20"/>
              </w:rPr>
            </w:pPr>
            <w:r>
              <w:rPr>
                <w:rFonts w:ascii="宋体" w:hAnsi="宋体" w:cs="宋体" w:eastAsia="宋体" w:hint="default"/>
                <w:b/>
                <w:bCs/>
                <w:sz w:val="20"/>
                <w:szCs w:val="20"/>
              </w:rPr>
              <w:t>分工</w:t>
            </w:r>
            <w:r>
              <w:rPr>
                <w:rFonts w:ascii="宋体" w:hAnsi="宋体" w:cs="宋体" w:eastAsia="宋体" w:hint="default"/>
                <w:sz w:val="20"/>
                <w:szCs w:val="20"/>
              </w:rPr>
            </w:r>
          </w:p>
        </w:tc>
        <w:tc>
          <w:tcPr>
            <w:tcW w:w="1689"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left="718" w:right="0"/>
              <w:jc w:val="left"/>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2255"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left="237" w:right="0"/>
              <w:jc w:val="center"/>
              <w:rPr>
                <w:rFonts w:ascii="宋体" w:hAnsi="宋体" w:cs="宋体" w:eastAsia="宋体" w:hint="default"/>
                <w:sz w:val="20"/>
                <w:szCs w:val="20"/>
              </w:rPr>
            </w:pPr>
            <w:r>
              <w:rPr>
                <w:rFonts w:ascii="宋体" w:hAnsi="宋体" w:cs="宋体" w:eastAsia="宋体" w:hint="default"/>
                <w:b/>
                <w:bCs/>
                <w:sz w:val="20"/>
                <w:szCs w:val="20"/>
              </w:rPr>
              <w:t>占员工总数比例</w:t>
            </w:r>
            <w:r>
              <w:rPr>
                <w:rFonts w:ascii="宋体" w:hAnsi="宋体" w:cs="宋体" w:eastAsia="宋体" w:hint="default"/>
                <w:sz w:val="20"/>
                <w:szCs w:val="20"/>
              </w:rPr>
            </w:r>
          </w:p>
        </w:tc>
      </w:tr>
      <w:tr>
        <w:trPr>
          <w:trHeight w:val="344" w:hRule="exact"/>
        </w:trPr>
        <w:tc>
          <w:tcPr>
            <w:tcW w:w="2104"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85"/>
              <w:jc w:val="center"/>
              <w:rPr>
                <w:rFonts w:ascii="宋体" w:hAnsi="宋体" w:cs="宋体" w:eastAsia="宋体" w:hint="default"/>
                <w:sz w:val="20"/>
                <w:szCs w:val="20"/>
              </w:rPr>
            </w:pPr>
            <w:r>
              <w:rPr>
                <w:rFonts w:ascii="宋体" w:hAnsi="宋体" w:cs="宋体" w:eastAsia="宋体" w:hint="default"/>
                <w:sz w:val="20"/>
                <w:szCs w:val="20"/>
              </w:rPr>
              <w:t>生产人员</w:t>
            </w:r>
          </w:p>
        </w:tc>
        <w:tc>
          <w:tcPr>
            <w:tcW w:w="1689" w:type="dxa"/>
            <w:tcBorders>
              <w:top w:val="single" w:sz="6" w:space="0" w:color="000000"/>
              <w:left w:val="nil" w:sz="6" w:space="0" w:color="auto"/>
              <w:bottom w:val="nil" w:sz="6" w:space="0" w:color="auto"/>
              <w:right w:val="nil" w:sz="6" w:space="0" w:color="auto"/>
            </w:tcBorders>
          </w:tcPr>
          <w:p>
            <w:pPr>
              <w:pStyle w:val="TableParagraph"/>
              <w:spacing w:line="240" w:lineRule="auto" w:before="50"/>
              <w:ind w:left="149" w:right="0"/>
              <w:jc w:val="center"/>
              <w:rPr>
                <w:rFonts w:ascii="Times New Roman" w:hAnsi="Times New Roman" w:cs="Times New Roman" w:eastAsia="Times New Roman" w:hint="default"/>
                <w:sz w:val="20"/>
                <w:szCs w:val="20"/>
              </w:rPr>
            </w:pPr>
            <w:r>
              <w:rPr>
                <w:rFonts w:ascii="Times New Roman"/>
                <w:sz w:val="20"/>
              </w:rPr>
              <w:t>589</w:t>
            </w:r>
          </w:p>
        </w:tc>
        <w:tc>
          <w:tcPr>
            <w:tcW w:w="2255" w:type="dxa"/>
            <w:tcBorders>
              <w:top w:val="single" w:sz="6" w:space="0" w:color="000000"/>
              <w:left w:val="nil" w:sz="6" w:space="0" w:color="auto"/>
              <w:bottom w:val="nil" w:sz="6" w:space="0" w:color="auto"/>
              <w:right w:val="nil" w:sz="6" w:space="0" w:color="auto"/>
            </w:tcBorders>
          </w:tcPr>
          <w:p>
            <w:pPr>
              <w:pStyle w:val="TableParagraph"/>
              <w:spacing w:line="240" w:lineRule="auto" w:before="50"/>
              <w:ind w:left="237" w:right="0"/>
              <w:jc w:val="center"/>
              <w:rPr>
                <w:rFonts w:ascii="Times New Roman" w:hAnsi="Times New Roman" w:cs="Times New Roman" w:eastAsia="Times New Roman" w:hint="default"/>
                <w:sz w:val="20"/>
                <w:szCs w:val="20"/>
              </w:rPr>
            </w:pPr>
            <w:r>
              <w:rPr>
                <w:rFonts w:ascii="Times New Roman"/>
                <w:sz w:val="20"/>
              </w:rPr>
              <w:t>57.52%</w:t>
            </w:r>
          </w:p>
        </w:tc>
      </w:tr>
      <w:tr>
        <w:trPr>
          <w:trHeight w:val="33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61" w:lineRule="exact"/>
              <w:ind w:right="85"/>
              <w:jc w:val="center"/>
              <w:rPr>
                <w:rFonts w:ascii="宋体" w:hAnsi="宋体" w:cs="宋体" w:eastAsia="宋体" w:hint="default"/>
                <w:sz w:val="20"/>
                <w:szCs w:val="20"/>
              </w:rPr>
            </w:pPr>
            <w:r>
              <w:rPr>
                <w:rFonts w:ascii="宋体" w:hAnsi="宋体" w:cs="宋体" w:eastAsia="宋体" w:hint="default"/>
                <w:sz w:val="20"/>
                <w:szCs w:val="20"/>
              </w:rPr>
              <w:t>技术人员</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9" w:right="0"/>
              <w:jc w:val="center"/>
              <w:rPr>
                <w:rFonts w:ascii="Times New Roman" w:hAnsi="Times New Roman" w:cs="Times New Roman" w:eastAsia="Times New Roman" w:hint="default"/>
                <w:sz w:val="20"/>
                <w:szCs w:val="20"/>
              </w:rPr>
            </w:pPr>
            <w:r>
              <w:rPr>
                <w:rFonts w:ascii="Times New Roman"/>
                <w:sz w:val="20"/>
              </w:rPr>
              <w:t>194</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18.95%</w:t>
            </w:r>
          </w:p>
        </w:tc>
      </w:tr>
      <w:tr>
        <w:trPr>
          <w:trHeight w:val="33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61" w:lineRule="exact"/>
              <w:ind w:right="85"/>
              <w:jc w:val="center"/>
              <w:rPr>
                <w:rFonts w:ascii="宋体" w:hAnsi="宋体" w:cs="宋体" w:eastAsia="宋体" w:hint="default"/>
                <w:sz w:val="20"/>
                <w:szCs w:val="20"/>
              </w:rPr>
            </w:pPr>
            <w:r>
              <w:rPr>
                <w:rFonts w:ascii="宋体" w:hAnsi="宋体" w:cs="宋体" w:eastAsia="宋体" w:hint="default"/>
                <w:sz w:val="20"/>
                <w:szCs w:val="20"/>
              </w:rPr>
              <w:t>行政人员</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9" w:right="0"/>
              <w:jc w:val="center"/>
              <w:rPr>
                <w:rFonts w:ascii="Times New Roman" w:hAnsi="Times New Roman" w:cs="Times New Roman" w:eastAsia="Times New Roman" w:hint="default"/>
                <w:sz w:val="20"/>
                <w:szCs w:val="20"/>
              </w:rPr>
            </w:pPr>
            <w:r>
              <w:rPr>
                <w:rFonts w:ascii="Times New Roman"/>
                <w:sz w:val="20"/>
              </w:rPr>
              <w:t>169</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16.50%</w:t>
            </w:r>
          </w:p>
        </w:tc>
      </w:tr>
      <w:tr>
        <w:trPr>
          <w:trHeight w:val="33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61" w:lineRule="exact"/>
              <w:ind w:right="85"/>
              <w:jc w:val="center"/>
              <w:rPr>
                <w:rFonts w:ascii="宋体" w:hAnsi="宋体" w:cs="宋体" w:eastAsia="宋体" w:hint="default"/>
                <w:sz w:val="20"/>
                <w:szCs w:val="20"/>
              </w:rPr>
            </w:pPr>
            <w:r>
              <w:rPr>
                <w:rFonts w:ascii="宋体" w:hAnsi="宋体" w:cs="宋体" w:eastAsia="宋体" w:hint="default"/>
                <w:sz w:val="20"/>
                <w:szCs w:val="20"/>
              </w:rPr>
              <w:t>销售人员</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1" w:right="0"/>
              <w:jc w:val="center"/>
              <w:rPr>
                <w:rFonts w:ascii="Times New Roman" w:hAnsi="Times New Roman" w:cs="Times New Roman" w:eastAsia="Times New Roman" w:hint="default"/>
                <w:sz w:val="20"/>
                <w:szCs w:val="20"/>
              </w:rPr>
            </w:pPr>
            <w:r>
              <w:rPr>
                <w:rFonts w:ascii="Times New Roman"/>
                <w:sz w:val="20"/>
              </w:rPr>
              <w:t>35</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3.42%</w:t>
            </w:r>
          </w:p>
        </w:tc>
      </w:tr>
      <w:tr>
        <w:trPr>
          <w:trHeight w:val="33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61" w:lineRule="exact"/>
              <w:ind w:right="85"/>
              <w:jc w:val="center"/>
              <w:rPr>
                <w:rFonts w:ascii="宋体" w:hAnsi="宋体" w:cs="宋体" w:eastAsia="宋体" w:hint="default"/>
                <w:sz w:val="20"/>
                <w:szCs w:val="20"/>
              </w:rPr>
            </w:pPr>
            <w:r>
              <w:rPr>
                <w:rFonts w:ascii="宋体" w:hAnsi="宋体" w:cs="宋体" w:eastAsia="宋体" w:hint="default"/>
                <w:sz w:val="20"/>
                <w:szCs w:val="20"/>
              </w:rPr>
              <w:t>财务人员</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1" w:right="0"/>
              <w:jc w:val="center"/>
              <w:rPr>
                <w:rFonts w:ascii="Times New Roman" w:hAnsi="Times New Roman" w:cs="Times New Roman" w:eastAsia="Times New Roman" w:hint="default"/>
                <w:sz w:val="20"/>
                <w:szCs w:val="20"/>
              </w:rPr>
            </w:pPr>
            <w:r>
              <w:rPr>
                <w:rFonts w:ascii="Times New Roman"/>
                <w:sz w:val="20"/>
              </w:rPr>
              <w:t>37</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3.61%</w:t>
            </w:r>
          </w:p>
        </w:tc>
      </w:tr>
      <w:tr>
        <w:trPr>
          <w:trHeight w:val="335" w:hRule="exact"/>
        </w:trPr>
        <w:tc>
          <w:tcPr>
            <w:tcW w:w="2104" w:type="dxa"/>
            <w:tcBorders>
              <w:top w:val="nil" w:sz="6" w:space="0" w:color="auto"/>
              <w:left w:val="nil" w:sz="6" w:space="0" w:color="auto"/>
              <w:bottom w:val="single" w:sz="6" w:space="0" w:color="000000"/>
              <w:right w:val="nil" w:sz="6" w:space="0" w:color="auto"/>
            </w:tcBorders>
          </w:tcPr>
          <w:p>
            <w:pPr>
              <w:pStyle w:val="TableParagraph"/>
              <w:spacing w:line="261" w:lineRule="exact"/>
              <w:ind w:right="85"/>
              <w:jc w:val="center"/>
              <w:rPr>
                <w:rFonts w:ascii="宋体" w:hAnsi="宋体" w:cs="宋体" w:eastAsia="宋体" w:hint="default"/>
                <w:sz w:val="20"/>
                <w:szCs w:val="20"/>
              </w:rPr>
            </w:pPr>
            <w:r>
              <w:rPr>
                <w:rFonts w:ascii="宋体" w:hAnsi="宋体" w:cs="宋体" w:eastAsia="宋体" w:hint="default"/>
                <w:sz w:val="20"/>
                <w:szCs w:val="20"/>
              </w:rPr>
              <w:t>合计</w:t>
            </w:r>
          </w:p>
        </w:tc>
        <w:tc>
          <w:tcPr>
            <w:tcW w:w="1689"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694" w:right="0"/>
              <w:jc w:val="left"/>
              <w:rPr>
                <w:rFonts w:ascii="Times New Roman" w:hAnsi="Times New Roman" w:cs="Times New Roman" w:eastAsia="Times New Roman" w:hint="default"/>
                <w:sz w:val="20"/>
                <w:szCs w:val="20"/>
              </w:rPr>
            </w:pPr>
            <w:r>
              <w:rPr>
                <w:rFonts w:ascii="Times New Roman"/>
                <w:sz w:val="20"/>
              </w:rPr>
              <w:t>1,024</w:t>
            </w:r>
          </w:p>
        </w:tc>
        <w:tc>
          <w:tcPr>
            <w:tcW w:w="2255"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238" w:right="0"/>
              <w:jc w:val="center"/>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center"/>
        <w:rPr>
          <w:rFonts w:ascii="Times New Roman" w:hAnsi="Times New Roman" w:cs="Times New Roman" w:eastAsia="Times New Roman" w:hint="default"/>
          <w:sz w:val="20"/>
          <w:szCs w:val="20"/>
        </w:rPr>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3822" w:lineRule="exact"/>
        <w:ind w:left="2276"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3425824" cy="2426970"/>
            <wp:effectExtent l="0" t="0" r="0" b="0"/>
            <wp:docPr id="3" name="image8.png" descr=""/>
            <wp:cNvGraphicFramePr>
              <a:graphicFrameLocks noChangeAspect="1"/>
            </wp:cNvGraphicFramePr>
            <a:graphic>
              <a:graphicData uri="http://schemas.openxmlformats.org/drawingml/2006/picture">
                <pic:pic>
                  <pic:nvPicPr>
                    <pic:cNvPr id="4" name="image8.png"/>
                    <pic:cNvPicPr/>
                  </pic:nvPicPr>
                  <pic:blipFill>
                    <a:blip r:embed="rId15" cstate="print"/>
                    <a:stretch>
                      <a:fillRect/>
                    </a:stretch>
                  </pic:blipFill>
                  <pic:spPr>
                    <a:xfrm>
                      <a:off x="0" y="0"/>
                      <a:ext cx="3425824" cy="242697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5"/>
        <w:rPr>
          <w:rFonts w:ascii="宋体" w:hAnsi="宋体" w:cs="宋体" w:eastAsia="宋体" w:hint="default"/>
          <w:sz w:val="18"/>
          <w:szCs w:val="18"/>
        </w:rPr>
      </w:pPr>
    </w:p>
    <w:p>
      <w:pPr>
        <w:pStyle w:val="BodyText"/>
        <w:spacing w:line="240" w:lineRule="auto" w:before="44"/>
        <w:ind w:left="514" w:right="0"/>
        <w:jc w:val="left"/>
      </w:pPr>
      <w:r>
        <w:rPr>
          <w:rFonts w:ascii="Times New Roman" w:hAnsi="Times New Roman" w:cs="Times New Roman" w:eastAsia="Times New Roman" w:hint="default"/>
        </w:rPr>
        <w:t>1.2</w:t>
      </w:r>
      <w:r>
        <w:rPr/>
        <w:t>员工教育程度情况</w:t>
      </w:r>
    </w:p>
    <w:p>
      <w:pPr>
        <w:spacing w:line="240" w:lineRule="auto" w:before="12"/>
        <w:rPr>
          <w:rFonts w:ascii="宋体" w:hAnsi="宋体" w:cs="宋体" w:eastAsia="宋体" w:hint="default"/>
          <w:sz w:val="15"/>
          <w:szCs w:val="15"/>
        </w:rPr>
      </w:pPr>
    </w:p>
    <w:tbl>
      <w:tblPr>
        <w:tblW w:w="0" w:type="auto"/>
        <w:jc w:val="left"/>
        <w:tblInd w:w="1949" w:type="dxa"/>
        <w:tblLayout w:type="fixed"/>
        <w:tblCellMar>
          <w:top w:w="0" w:type="dxa"/>
          <w:left w:w="0" w:type="dxa"/>
          <w:bottom w:w="0" w:type="dxa"/>
          <w:right w:w="0" w:type="dxa"/>
        </w:tblCellMar>
        <w:tblLook w:val="01E0"/>
      </w:tblPr>
      <w:tblGrid>
        <w:gridCol w:w="2154"/>
        <w:gridCol w:w="1639"/>
        <w:gridCol w:w="2255"/>
      </w:tblGrid>
      <w:tr>
        <w:trPr>
          <w:trHeight w:val="334" w:hRule="exact"/>
        </w:trPr>
        <w:tc>
          <w:tcPr>
            <w:tcW w:w="2154"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right="137"/>
              <w:jc w:val="center"/>
              <w:rPr>
                <w:rFonts w:ascii="宋体" w:hAnsi="宋体" w:cs="宋体" w:eastAsia="宋体" w:hint="default"/>
                <w:sz w:val="20"/>
                <w:szCs w:val="20"/>
              </w:rPr>
            </w:pPr>
            <w:r>
              <w:rPr>
                <w:rFonts w:ascii="宋体" w:hAnsi="宋体" w:cs="宋体" w:eastAsia="宋体" w:hint="default"/>
                <w:b/>
                <w:bCs/>
                <w:sz w:val="20"/>
                <w:szCs w:val="20"/>
              </w:rPr>
              <w:t>受教育程度</w:t>
            </w:r>
            <w:r>
              <w:rPr>
                <w:rFonts w:ascii="宋体" w:hAnsi="宋体" w:cs="宋体" w:eastAsia="宋体" w:hint="default"/>
                <w:sz w:val="20"/>
                <w:szCs w:val="20"/>
              </w:rPr>
            </w:r>
          </w:p>
        </w:tc>
        <w:tc>
          <w:tcPr>
            <w:tcW w:w="1639"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left="668" w:right="0"/>
              <w:jc w:val="left"/>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2255"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left="237" w:right="0"/>
              <w:jc w:val="center"/>
              <w:rPr>
                <w:rFonts w:ascii="宋体" w:hAnsi="宋体" w:cs="宋体" w:eastAsia="宋体" w:hint="default"/>
                <w:sz w:val="20"/>
                <w:szCs w:val="20"/>
              </w:rPr>
            </w:pPr>
            <w:r>
              <w:rPr>
                <w:rFonts w:ascii="宋体" w:hAnsi="宋体" w:cs="宋体" w:eastAsia="宋体" w:hint="default"/>
                <w:b/>
                <w:bCs/>
                <w:sz w:val="20"/>
                <w:szCs w:val="20"/>
              </w:rPr>
              <w:t>占员工总数比例</w:t>
            </w:r>
            <w:r>
              <w:rPr>
                <w:rFonts w:ascii="宋体" w:hAnsi="宋体" w:cs="宋体" w:eastAsia="宋体" w:hint="default"/>
                <w:sz w:val="20"/>
                <w:szCs w:val="20"/>
              </w:rPr>
            </w:r>
          </w:p>
        </w:tc>
      </w:tr>
      <w:tr>
        <w:trPr>
          <w:trHeight w:val="349" w:hRule="exact"/>
        </w:trPr>
        <w:tc>
          <w:tcPr>
            <w:tcW w:w="2154" w:type="dxa"/>
            <w:tcBorders>
              <w:top w:val="single" w:sz="10" w:space="0" w:color="000000"/>
              <w:left w:val="nil" w:sz="6" w:space="0" w:color="auto"/>
              <w:bottom w:val="nil" w:sz="6" w:space="0" w:color="auto"/>
              <w:right w:val="nil" w:sz="6" w:space="0" w:color="auto"/>
            </w:tcBorders>
          </w:tcPr>
          <w:p>
            <w:pPr>
              <w:pStyle w:val="TableParagraph"/>
              <w:spacing w:line="240" w:lineRule="auto" w:before="4"/>
              <w:ind w:right="136"/>
              <w:jc w:val="center"/>
              <w:rPr>
                <w:rFonts w:ascii="宋体" w:hAnsi="宋体" w:cs="宋体" w:eastAsia="宋体" w:hint="default"/>
                <w:sz w:val="20"/>
                <w:szCs w:val="20"/>
              </w:rPr>
            </w:pPr>
            <w:r>
              <w:rPr>
                <w:rFonts w:ascii="宋体" w:hAnsi="宋体" w:cs="宋体" w:eastAsia="宋体" w:hint="default"/>
                <w:sz w:val="20"/>
                <w:szCs w:val="20"/>
              </w:rPr>
              <w:t>博士</w:t>
            </w:r>
          </w:p>
        </w:tc>
        <w:tc>
          <w:tcPr>
            <w:tcW w:w="1639" w:type="dxa"/>
            <w:tcBorders>
              <w:top w:val="single" w:sz="10" w:space="0" w:color="000000"/>
              <w:left w:val="nil" w:sz="6" w:space="0" w:color="auto"/>
              <w:bottom w:val="nil" w:sz="6" w:space="0" w:color="auto"/>
              <w:right w:val="nil" w:sz="6" w:space="0" w:color="auto"/>
            </w:tcBorders>
          </w:tcPr>
          <w:p>
            <w:pPr>
              <w:pStyle w:val="TableParagraph"/>
              <w:spacing w:line="240" w:lineRule="auto" w:before="49"/>
              <w:ind w:left="100" w:right="0"/>
              <w:jc w:val="center"/>
              <w:rPr>
                <w:rFonts w:ascii="Times New Roman" w:hAnsi="Times New Roman" w:cs="Times New Roman" w:eastAsia="Times New Roman" w:hint="default"/>
                <w:sz w:val="20"/>
                <w:szCs w:val="20"/>
              </w:rPr>
            </w:pPr>
            <w:r>
              <w:rPr>
                <w:rFonts w:ascii="Times New Roman"/>
                <w:w w:val="100"/>
                <w:sz w:val="20"/>
              </w:rPr>
              <w:t>1</w:t>
            </w:r>
          </w:p>
        </w:tc>
        <w:tc>
          <w:tcPr>
            <w:tcW w:w="2255" w:type="dxa"/>
            <w:tcBorders>
              <w:top w:val="single" w:sz="10" w:space="0" w:color="000000"/>
              <w:left w:val="nil" w:sz="6" w:space="0" w:color="auto"/>
              <w:bottom w:val="nil" w:sz="6" w:space="0" w:color="auto"/>
              <w:right w:val="nil" w:sz="6" w:space="0" w:color="auto"/>
            </w:tcBorders>
          </w:tcPr>
          <w:p>
            <w:pPr>
              <w:pStyle w:val="TableParagraph"/>
              <w:spacing w:line="240" w:lineRule="auto" w:before="49"/>
              <w:ind w:left="237" w:right="0"/>
              <w:jc w:val="center"/>
              <w:rPr>
                <w:rFonts w:ascii="Times New Roman" w:hAnsi="Times New Roman" w:cs="Times New Roman" w:eastAsia="Times New Roman" w:hint="default"/>
                <w:sz w:val="20"/>
                <w:szCs w:val="20"/>
              </w:rPr>
            </w:pPr>
            <w:r>
              <w:rPr>
                <w:rFonts w:ascii="Times New Roman"/>
                <w:sz w:val="20"/>
              </w:rPr>
              <w:t>0.10%</w:t>
            </w:r>
          </w:p>
        </w:tc>
      </w:tr>
      <w:tr>
        <w:trPr>
          <w:trHeight w:val="332"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center"/>
              <w:rPr>
                <w:rFonts w:ascii="宋体" w:hAnsi="宋体" w:cs="宋体" w:eastAsia="宋体" w:hint="default"/>
                <w:sz w:val="20"/>
                <w:szCs w:val="20"/>
              </w:rPr>
            </w:pPr>
            <w:r>
              <w:rPr>
                <w:rFonts w:ascii="宋体" w:hAnsi="宋体" w:cs="宋体" w:eastAsia="宋体" w:hint="default"/>
                <w:sz w:val="20"/>
                <w:szCs w:val="20"/>
              </w:rPr>
              <w:t>硕士</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1" w:right="0"/>
              <w:jc w:val="center"/>
              <w:rPr>
                <w:rFonts w:ascii="Times New Roman" w:hAnsi="Times New Roman" w:cs="Times New Roman" w:eastAsia="Times New Roman" w:hint="default"/>
                <w:sz w:val="20"/>
                <w:szCs w:val="20"/>
              </w:rPr>
            </w:pPr>
            <w:r>
              <w:rPr>
                <w:rFonts w:ascii="Times New Roman"/>
                <w:sz w:val="20"/>
              </w:rPr>
              <w:t>10</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0.98%</w:t>
            </w:r>
          </w:p>
        </w:tc>
      </w:tr>
      <w:tr>
        <w:trPr>
          <w:trHeight w:val="332"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center"/>
              <w:rPr>
                <w:rFonts w:ascii="宋体" w:hAnsi="宋体" w:cs="宋体" w:eastAsia="宋体" w:hint="default"/>
                <w:sz w:val="20"/>
                <w:szCs w:val="20"/>
              </w:rPr>
            </w:pPr>
            <w:r>
              <w:rPr>
                <w:rFonts w:ascii="宋体" w:hAnsi="宋体" w:cs="宋体" w:eastAsia="宋体" w:hint="default"/>
                <w:sz w:val="20"/>
                <w:szCs w:val="20"/>
              </w:rPr>
              <w:t>本科</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9" w:right="0"/>
              <w:jc w:val="center"/>
              <w:rPr>
                <w:rFonts w:ascii="Times New Roman" w:hAnsi="Times New Roman" w:cs="Times New Roman" w:eastAsia="Times New Roman" w:hint="default"/>
                <w:sz w:val="20"/>
                <w:szCs w:val="20"/>
              </w:rPr>
            </w:pPr>
            <w:r>
              <w:rPr>
                <w:rFonts w:ascii="Times New Roman"/>
                <w:sz w:val="20"/>
              </w:rPr>
              <w:t>225</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21.97%</w:t>
            </w:r>
          </w:p>
        </w:tc>
      </w:tr>
      <w:tr>
        <w:trPr>
          <w:trHeight w:val="332"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center"/>
              <w:rPr>
                <w:rFonts w:ascii="宋体" w:hAnsi="宋体" w:cs="宋体" w:eastAsia="宋体" w:hint="default"/>
                <w:sz w:val="20"/>
                <w:szCs w:val="20"/>
              </w:rPr>
            </w:pPr>
            <w:r>
              <w:rPr>
                <w:rFonts w:ascii="宋体" w:hAnsi="宋体" w:cs="宋体" w:eastAsia="宋体" w:hint="default"/>
                <w:sz w:val="20"/>
                <w:szCs w:val="20"/>
              </w:rPr>
              <w:t>大专</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9" w:right="0"/>
              <w:jc w:val="center"/>
              <w:rPr>
                <w:rFonts w:ascii="Times New Roman" w:hAnsi="Times New Roman" w:cs="Times New Roman" w:eastAsia="Times New Roman" w:hint="default"/>
                <w:sz w:val="20"/>
                <w:szCs w:val="20"/>
              </w:rPr>
            </w:pPr>
            <w:r>
              <w:rPr>
                <w:rFonts w:ascii="Times New Roman"/>
                <w:sz w:val="20"/>
              </w:rPr>
              <w:t>207</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20.21%</w:t>
            </w:r>
          </w:p>
        </w:tc>
      </w:tr>
      <w:tr>
        <w:trPr>
          <w:trHeight w:val="332" w:hRule="exact"/>
        </w:trPr>
        <w:tc>
          <w:tcPr>
            <w:tcW w:w="2154"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center"/>
              <w:rPr>
                <w:rFonts w:ascii="宋体" w:hAnsi="宋体" w:cs="宋体" w:eastAsia="宋体" w:hint="default"/>
                <w:sz w:val="20"/>
                <w:szCs w:val="20"/>
              </w:rPr>
            </w:pPr>
            <w:r>
              <w:rPr>
                <w:rFonts w:ascii="宋体" w:hAnsi="宋体" w:cs="宋体" w:eastAsia="宋体" w:hint="default"/>
                <w:sz w:val="20"/>
                <w:szCs w:val="20"/>
              </w:rPr>
              <w:t>大专以下</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9" w:right="0"/>
              <w:jc w:val="center"/>
              <w:rPr>
                <w:rFonts w:ascii="Times New Roman" w:hAnsi="Times New Roman" w:cs="Times New Roman" w:eastAsia="Times New Roman" w:hint="default"/>
                <w:sz w:val="20"/>
                <w:szCs w:val="20"/>
              </w:rPr>
            </w:pPr>
            <w:r>
              <w:rPr>
                <w:rFonts w:ascii="Times New Roman"/>
                <w:sz w:val="20"/>
              </w:rPr>
              <w:t>581</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56.74%</w:t>
            </w:r>
          </w:p>
        </w:tc>
      </w:tr>
      <w:tr>
        <w:trPr>
          <w:trHeight w:val="336" w:hRule="exact"/>
        </w:trPr>
        <w:tc>
          <w:tcPr>
            <w:tcW w:w="2154" w:type="dxa"/>
            <w:tcBorders>
              <w:top w:val="nil" w:sz="6" w:space="0" w:color="auto"/>
              <w:left w:val="nil" w:sz="6" w:space="0" w:color="auto"/>
              <w:bottom w:val="single" w:sz="6" w:space="0" w:color="000000"/>
              <w:right w:val="nil" w:sz="6" w:space="0" w:color="auto"/>
            </w:tcBorders>
          </w:tcPr>
          <w:p>
            <w:pPr>
              <w:pStyle w:val="TableParagraph"/>
              <w:spacing w:line="261" w:lineRule="exact"/>
              <w:ind w:right="136"/>
              <w:jc w:val="center"/>
              <w:rPr>
                <w:rFonts w:ascii="宋体" w:hAnsi="宋体" w:cs="宋体" w:eastAsia="宋体" w:hint="default"/>
                <w:sz w:val="20"/>
                <w:szCs w:val="20"/>
              </w:rPr>
            </w:pPr>
            <w:r>
              <w:rPr>
                <w:rFonts w:ascii="宋体" w:hAnsi="宋体" w:cs="宋体" w:eastAsia="宋体" w:hint="default"/>
                <w:sz w:val="20"/>
                <w:szCs w:val="20"/>
              </w:rPr>
              <w:t>合计</w:t>
            </w:r>
          </w:p>
        </w:tc>
        <w:tc>
          <w:tcPr>
            <w:tcW w:w="1639"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644" w:right="0"/>
              <w:jc w:val="left"/>
              <w:rPr>
                <w:rFonts w:ascii="Times New Roman" w:hAnsi="Times New Roman" w:cs="Times New Roman" w:eastAsia="Times New Roman" w:hint="default"/>
                <w:sz w:val="20"/>
                <w:szCs w:val="20"/>
              </w:rPr>
            </w:pPr>
            <w:r>
              <w:rPr>
                <w:rFonts w:ascii="Times New Roman"/>
                <w:sz w:val="20"/>
              </w:rPr>
              <w:t>1,024</w:t>
            </w:r>
          </w:p>
        </w:tc>
        <w:tc>
          <w:tcPr>
            <w:tcW w:w="2255"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238" w:right="0"/>
              <w:jc w:val="center"/>
              <w:rPr>
                <w:rFonts w:ascii="Times New Roman" w:hAnsi="Times New Roman" w:cs="Times New Roman" w:eastAsia="Times New Roman" w:hint="default"/>
                <w:sz w:val="20"/>
                <w:szCs w:val="20"/>
              </w:rPr>
            </w:pPr>
            <w:r>
              <w:rPr>
                <w:rFonts w:ascii="Times New Roman"/>
                <w:sz w:val="20"/>
              </w:rPr>
              <w:t>100.00%</w:t>
            </w:r>
          </w:p>
        </w:tc>
      </w:tr>
    </w:tbl>
    <w:p>
      <w:pPr>
        <w:spacing w:line="240" w:lineRule="auto" w:before="10"/>
        <w:rPr>
          <w:rFonts w:ascii="宋体" w:hAnsi="宋体" w:cs="宋体" w:eastAsia="宋体" w:hint="default"/>
          <w:sz w:val="25"/>
          <w:szCs w:val="25"/>
        </w:rPr>
      </w:pPr>
    </w:p>
    <w:p>
      <w:pPr>
        <w:spacing w:line="4005" w:lineRule="exact"/>
        <w:ind w:left="2055"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3705225" cy="2543175"/>
            <wp:effectExtent l="0" t="0" r="0" b="0"/>
            <wp:docPr id="5" name="image9.png" descr=""/>
            <wp:cNvGraphicFramePr>
              <a:graphicFrameLocks noChangeAspect="1"/>
            </wp:cNvGraphicFramePr>
            <a:graphic>
              <a:graphicData uri="http://schemas.openxmlformats.org/drawingml/2006/picture">
                <pic:pic>
                  <pic:nvPicPr>
                    <pic:cNvPr id="6" name="image9.png"/>
                    <pic:cNvPicPr/>
                  </pic:nvPicPr>
                  <pic:blipFill>
                    <a:blip r:embed="rId16" cstate="print"/>
                    <a:stretch>
                      <a:fillRect/>
                    </a:stretch>
                  </pic:blipFill>
                  <pic:spPr>
                    <a:xfrm>
                      <a:off x="0" y="0"/>
                      <a:ext cx="3705225" cy="2543175"/>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4"/>
        <w:rPr>
          <w:rFonts w:ascii="宋体" w:hAnsi="宋体" w:cs="宋体" w:eastAsia="宋体" w:hint="default"/>
          <w:sz w:val="11"/>
          <w:szCs w:val="11"/>
        </w:rPr>
      </w:pPr>
    </w:p>
    <w:p>
      <w:pPr>
        <w:pStyle w:val="BodyText"/>
        <w:spacing w:line="240" w:lineRule="auto" w:before="44"/>
        <w:ind w:right="0"/>
        <w:jc w:val="left"/>
      </w:pPr>
      <w:r>
        <w:rPr>
          <w:rFonts w:ascii="Times New Roman" w:hAnsi="Times New Roman" w:cs="Times New Roman" w:eastAsia="Times New Roman" w:hint="default"/>
        </w:rPr>
        <w:t>1.3</w:t>
      </w:r>
      <w:r>
        <w:rPr/>
        <w:t>员工年龄构成情况</w:t>
      </w:r>
    </w:p>
    <w:p>
      <w:pPr>
        <w:spacing w:line="240" w:lineRule="auto" w:before="13"/>
        <w:rPr>
          <w:rFonts w:ascii="宋体" w:hAnsi="宋体" w:cs="宋体" w:eastAsia="宋体" w:hint="default"/>
          <w:sz w:val="3"/>
          <w:szCs w:val="3"/>
        </w:rPr>
      </w:pPr>
    </w:p>
    <w:tbl>
      <w:tblPr>
        <w:tblW w:w="0" w:type="auto"/>
        <w:jc w:val="left"/>
        <w:tblInd w:w="1949" w:type="dxa"/>
        <w:tblLayout w:type="fixed"/>
        <w:tblCellMar>
          <w:top w:w="0" w:type="dxa"/>
          <w:left w:w="0" w:type="dxa"/>
          <w:bottom w:w="0" w:type="dxa"/>
          <w:right w:w="0" w:type="dxa"/>
        </w:tblCellMar>
        <w:tblLook w:val="01E0"/>
      </w:tblPr>
      <w:tblGrid>
        <w:gridCol w:w="2104"/>
        <w:gridCol w:w="1689"/>
        <w:gridCol w:w="2255"/>
      </w:tblGrid>
      <w:tr>
        <w:trPr>
          <w:trHeight w:val="338" w:hRule="exact"/>
        </w:trPr>
        <w:tc>
          <w:tcPr>
            <w:tcW w:w="2104"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right="87"/>
              <w:jc w:val="center"/>
              <w:rPr>
                <w:rFonts w:ascii="宋体" w:hAnsi="宋体" w:cs="宋体" w:eastAsia="宋体" w:hint="default"/>
                <w:sz w:val="20"/>
                <w:szCs w:val="20"/>
              </w:rPr>
            </w:pPr>
            <w:r>
              <w:rPr>
                <w:rFonts w:ascii="宋体" w:hAnsi="宋体" w:cs="宋体" w:eastAsia="宋体" w:hint="default"/>
                <w:b/>
                <w:bCs/>
                <w:sz w:val="20"/>
                <w:szCs w:val="20"/>
              </w:rPr>
              <w:t>年龄区间</w:t>
            </w:r>
            <w:r>
              <w:rPr>
                <w:rFonts w:ascii="宋体" w:hAnsi="宋体" w:cs="宋体" w:eastAsia="宋体" w:hint="default"/>
                <w:sz w:val="20"/>
                <w:szCs w:val="20"/>
              </w:rPr>
            </w:r>
          </w:p>
        </w:tc>
        <w:tc>
          <w:tcPr>
            <w:tcW w:w="1689"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left="718" w:right="0"/>
              <w:jc w:val="left"/>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2255"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4"/>
              <w:ind w:left="237" w:right="0"/>
              <w:jc w:val="center"/>
              <w:rPr>
                <w:rFonts w:ascii="宋体" w:hAnsi="宋体" w:cs="宋体" w:eastAsia="宋体" w:hint="default"/>
                <w:sz w:val="20"/>
                <w:szCs w:val="20"/>
              </w:rPr>
            </w:pPr>
            <w:r>
              <w:rPr>
                <w:rFonts w:ascii="宋体" w:hAnsi="宋体" w:cs="宋体" w:eastAsia="宋体" w:hint="default"/>
                <w:b/>
                <w:bCs/>
                <w:sz w:val="20"/>
                <w:szCs w:val="20"/>
              </w:rPr>
              <w:t>占员工总数比例</w:t>
            </w:r>
            <w:r>
              <w:rPr>
                <w:rFonts w:ascii="宋体" w:hAnsi="宋体" w:cs="宋体" w:eastAsia="宋体" w:hint="default"/>
                <w:sz w:val="20"/>
                <w:szCs w:val="20"/>
              </w:rPr>
            </w:r>
          </w:p>
        </w:tc>
      </w:tr>
      <w:tr>
        <w:trPr>
          <w:trHeight w:val="346" w:hRule="exact"/>
        </w:trPr>
        <w:tc>
          <w:tcPr>
            <w:tcW w:w="2104"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85"/>
              <w:jc w:val="center"/>
              <w:rPr>
                <w:rFonts w:ascii="宋体" w:hAnsi="宋体" w:cs="宋体" w:eastAsia="宋体" w:hint="default"/>
                <w:sz w:val="20"/>
                <w:szCs w:val="20"/>
              </w:rPr>
            </w:pPr>
            <w:r>
              <w:rPr>
                <w:rFonts w:ascii="Times New Roman" w:hAnsi="Times New Roman" w:cs="Times New Roman" w:eastAsia="Times New Roman" w:hint="default"/>
                <w:sz w:val="20"/>
                <w:szCs w:val="20"/>
              </w:rPr>
              <w:t>50</w:t>
            </w:r>
            <w:r>
              <w:rPr>
                <w:rFonts w:ascii="宋体" w:hAnsi="宋体" w:cs="宋体" w:eastAsia="宋体" w:hint="default"/>
                <w:sz w:val="20"/>
                <w:szCs w:val="20"/>
              </w:rPr>
              <w:t>岁以上</w:t>
            </w:r>
          </w:p>
        </w:tc>
        <w:tc>
          <w:tcPr>
            <w:tcW w:w="1689"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149" w:right="0"/>
              <w:jc w:val="center"/>
              <w:rPr>
                <w:rFonts w:ascii="Times New Roman" w:hAnsi="Times New Roman" w:cs="Times New Roman" w:eastAsia="Times New Roman" w:hint="default"/>
                <w:sz w:val="20"/>
                <w:szCs w:val="20"/>
              </w:rPr>
            </w:pPr>
            <w:r>
              <w:rPr>
                <w:rFonts w:ascii="Times New Roman"/>
                <w:sz w:val="20"/>
              </w:rPr>
              <w:t>128</w:t>
            </w:r>
          </w:p>
        </w:tc>
        <w:tc>
          <w:tcPr>
            <w:tcW w:w="2255"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237" w:right="0"/>
              <w:jc w:val="center"/>
              <w:rPr>
                <w:rFonts w:ascii="Times New Roman" w:hAnsi="Times New Roman" w:cs="Times New Roman" w:eastAsia="Times New Roman" w:hint="default"/>
                <w:sz w:val="20"/>
                <w:szCs w:val="20"/>
              </w:rPr>
            </w:pPr>
            <w:r>
              <w:rPr>
                <w:rFonts w:ascii="Times New Roman"/>
                <w:sz w:val="20"/>
              </w:rPr>
              <w:t>12.50%</w:t>
            </w:r>
          </w:p>
        </w:tc>
      </w:tr>
      <w:tr>
        <w:trPr>
          <w:trHeight w:val="33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76" w:lineRule="exact"/>
              <w:ind w:right="85"/>
              <w:jc w:val="center"/>
              <w:rPr>
                <w:rFonts w:ascii="宋体" w:hAnsi="宋体" w:cs="宋体" w:eastAsia="宋体" w:hint="default"/>
                <w:sz w:val="20"/>
                <w:szCs w:val="20"/>
              </w:rPr>
            </w:pPr>
            <w:r>
              <w:rPr>
                <w:rFonts w:ascii="Times New Roman" w:hAnsi="Times New Roman" w:cs="Times New Roman" w:eastAsia="Times New Roman" w:hint="default"/>
                <w:sz w:val="20"/>
                <w:szCs w:val="20"/>
              </w:rPr>
              <w:t>41-50</w:t>
            </w:r>
            <w:r>
              <w:rPr>
                <w:rFonts w:ascii="宋体" w:hAnsi="宋体" w:cs="宋体" w:eastAsia="宋体" w:hint="default"/>
                <w:sz w:val="20"/>
                <w:szCs w:val="20"/>
              </w:rPr>
              <w:t>岁</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9" w:right="0"/>
              <w:jc w:val="center"/>
              <w:rPr>
                <w:rFonts w:ascii="Times New Roman" w:hAnsi="Times New Roman" w:cs="Times New Roman" w:eastAsia="Times New Roman" w:hint="default"/>
                <w:sz w:val="20"/>
                <w:szCs w:val="20"/>
              </w:rPr>
            </w:pPr>
            <w:r>
              <w:rPr>
                <w:rFonts w:ascii="Times New Roman"/>
                <w:sz w:val="20"/>
              </w:rPr>
              <w:t>328</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32.03%</w:t>
            </w:r>
          </w:p>
        </w:tc>
      </w:tr>
      <w:tr>
        <w:trPr>
          <w:trHeight w:val="33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75" w:lineRule="exact"/>
              <w:ind w:right="85"/>
              <w:jc w:val="center"/>
              <w:rPr>
                <w:rFonts w:ascii="宋体" w:hAnsi="宋体" w:cs="宋体" w:eastAsia="宋体" w:hint="default"/>
                <w:sz w:val="20"/>
                <w:szCs w:val="20"/>
              </w:rPr>
            </w:pPr>
            <w:r>
              <w:rPr>
                <w:rFonts w:ascii="Times New Roman" w:hAnsi="Times New Roman" w:cs="Times New Roman" w:eastAsia="Times New Roman" w:hint="default"/>
                <w:sz w:val="20"/>
                <w:szCs w:val="20"/>
              </w:rPr>
              <w:t>30-40</w:t>
            </w:r>
            <w:r>
              <w:rPr>
                <w:rFonts w:ascii="宋体" w:hAnsi="宋体" w:cs="宋体" w:eastAsia="宋体" w:hint="default"/>
                <w:sz w:val="20"/>
                <w:szCs w:val="20"/>
              </w:rPr>
              <w:t>岁</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9" w:right="0"/>
              <w:jc w:val="center"/>
              <w:rPr>
                <w:rFonts w:ascii="Times New Roman" w:hAnsi="Times New Roman" w:cs="Times New Roman" w:eastAsia="Times New Roman" w:hint="default"/>
                <w:sz w:val="20"/>
                <w:szCs w:val="20"/>
              </w:rPr>
            </w:pPr>
            <w:r>
              <w:rPr>
                <w:rFonts w:ascii="Times New Roman"/>
                <w:sz w:val="20"/>
              </w:rPr>
              <w:t>239</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7" w:right="0"/>
              <w:jc w:val="center"/>
              <w:rPr>
                <w:rFonts w:ascii="Times New Roman" w:hAnsi="Times New Roman" w:cs="Times New Roman" w:eastAsia="Times New Roman" w:hint="default"/>
                <w:sz w:val="20"/>
                <w:szCs w:val="20"/>
              </w:rPr>
            </w:pPr>
            <w:r>
              <w:rPr>
                <w:rFonts w:ascii="Times New Roman"/>
                <w:sz w:val="20"/>
              </w:rPr>
              <w:t>23.34%</w:t>
            </w:r>
          </w:p>
        </w:tc>
      </w:tr>
      <w:tr>
        <w:trPr>
          <w:trHeight w:val="332"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76" w:lineRule="exact"/>
              <w:ind w:right="85"/>
              <w:jc w:val="center"/>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宋体" w:hAnsi="宋体" w:cs="宋体" w:eastAsia="宋体" w:hint="default"/>
                <w:sz w:val="20"/>
                <w:szCs w:val="20"/>
              </w:rPr>
              <w:t>岁以下</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9" w:right="0"/>
              <w:jc w:val="center"/>
              <w:rPr>
                <w:rFonts w:ascii="Times New Roman" w:hAnsi="Times New Roman" w:cs="Times New Roman" w:eastAsia="Times New Roman" w:hint="default"/>
                <w:sz w:val="20"/>
                <w:szCs w:val="20"/>
              </w:rPr>
            </w:pPr>
            <w:r>
              <w:rPr>
                <w:rFonts w:ascii="Times New Roman"/>
                <w:sz w:val="20"/>
              </w:rPr>
              <w:t>329</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0"/>
              <w:jc w:val="center"/>
              <w:rPr>
                <w:rFonts w:ascii="Times New Roman" w:hAnsi="Times New Roman" w:cs="Times New Roman" w:eastAsia="Times New Roman" w:hint="default"/>
                <w:sz w:val="20"/>
                <w:szCs w:val="20"/>
              </w:rPr>
            </w:pPr>
            <w:r>
              <w:rPr>
                <w:rFonts w:ascii="Times New Roman"/>
                <w:sz w:val="20"/>
              </w:rPr>
              <w:t>32.13%</w:t>
            </w:r>
          </w:p>
        </w:tc>
      </w:tr>
      <w:tr>
        <w:trPr>
          <w:trHeight w:val="335" w:hRule="exact"/>
        </w:trPr>
        <w:tc>
          <w:tcPr>
            <w:tcW w:w="2104" w:type="dxa"/>
            <w:tcBorders>
              <w:top w:val="nil" w:sz="6" w:space="0" w:color="auto"/>
              <w:left w:val="nil" w:sz="6" w:space="0" w:color="auto"/>
              <w:bottom w:val="single" w:sz="6" w:space="0" w:color="000000"/>
              <w:right w:val="nil" w:sz="6" w:space="0" w:color="auto"/>
            </w:tcBorders>
          </w:tcPr>
          <w:p>
            <w:pPr>
              <w:pStyle w:val="TableParagraph"/>
              <w:spacing w:line="261" w:lineRule="exact"/>
              <w:ind w:right="85"/>
              <w:jc w:val="center"/>
              <w:rPr>
                <w:rFonts w:ascii="宋体" w:hAnsi="宋体" w:cs="宋体" w:eastAsia="宋体" w:hint="default"/>
                <w:sz w:val="20"/>
                <w:szCs w:val="20"/>
              </w:rPr>
            </w:pPr>
            <w:r>
              <w:rPr>
                <w:rFonts w:ascii="宋体" w:hAnsi="宋体" w:cs="宋体" w:eastAsia="宋体" w:hint="default"/>
                <w:sz w:val="20"/>
                <w:szCs w:val="20"/>
              </w:rPr>
              <w:t>合计</w:t>
            </w:r>
          </w:p>
        </w:tc>
        <w:tc>
          <w:tcPr>
            <w:tcW w:w="1689"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694" w:right="0"/>
              <w:jc w:val="left"/>
              <w:rPr>
                <w:rFonts w:ascii="Times New Roman" w:hAnsi="Times New Roman" w:cs="Times New Roman" w:eastAsia="Times New Roman" w:hint="default"/>
                <w:sz w:val="20"/>
                <w:szCs w:val="20"/>
              </w:rPr>
            </w:pPr>
            <w:r>
              <w:rPr>
                <w:rFonts w:ascii="Times New Roman"/>
                <w:sz w:val="20"/>
              </w:rPr>
              <w:t>1,024</w:t>
            </w:r>
          </w:p>
        </w:tc>
        <w:tc>
          <w:tcPr>
            <w:tcW w:w="2255"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left="238" w:right="0"/>
              <w:jc w:val="center"/>
              <w:rPr>
                <w:rFonts w:ascii="Times New Roman" w:hAnsi="Times New Roman" w:cs="Times New Roman" w:eastAsia="Times New Roman" w:hint="default"/>
                <w:sz w:val="20"/>
                <w:szCs w:val="20"/>
              </w:rPr>
            </w:pPr>
            <w:r>
              <w:rPr>
                <w:rFonts w:ascii="Times New Roman"/>
                <w:sz w:val="20"/>
              </w:rPr>
              <w:t>100.00%</w:t>
            </w:r>
          </w:p>
        </w:tc>
      </w:tr>
    </w:tbl>
    <w:p>
      <w:pPr>
        <w:spacing w:after="0" w:line="240" w:lineRule="auto"/>
        <w:jc w:val="center"/>
        <w:rPr>
          <w:rFonts w:ascii="Times New Roman" w:hAnsi="Times New Roman" w:cs="Times New Roman" w:eastAsia="Times New Roman" w:hint="default"/>
          <w:sz w:val="20"/>
          <w:szCs w:val="20"/>
        </w:rPr>
        <w:sectPr>
          <w:pgSz w:w="11910" w:h="16840"/>
          <w:pgMar w:header="691" w:footer="979" w:top="1100" w:bottom="1160" w:left="980" w:right="0"/>
        </w:sectPr>
      </w:pPr>
    </w:p>
    <w:p>
      <w:pPr>
        <w:spacing w:line="240" w:lineRule="auto" w:before="3"/>
        <w:rPr>
          <w:rFonts w:ascii="宋体" w:hAnsi="宋体" w:cs="宋体" w:eastAsia="宋体" w:hint="default"/>
          <w:sz w:val="29"/>
          <w:szCs w:val="29"/>
        </w:rPr>
      </w:pPr>
    </w:p>
    <w:p>
      <w:pPr>
        <w:spacing w:line="3930" w:lineRule="exact"/>
        <w:ind w:left="1950"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3839210" cy="2495550"/>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17" cstate="print"/>
                    <a:stretch>
                      <a:fillRect/>
                    </a:stretch>
                  </pic:blipFill>
                  <pic:spPr>
                    <a:xfrm>
                      <a:off x="0" y="0"/>
                      <a:ext cx="3839210" cy="2495550"/>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2"/>
        <w:rPr>
          <w:rFonts w:ascii="宋体" w:hAnsi="宋体" w:cs="宋体" w:eastAsia="宋体" w:hint="default"/>
          <w:sz w:val="16"/>
          <w:szCs w:val="16"/>
        </w:rPr>
      </w:pPr>
    </w:p>
    <w:p>
      <w:pPr>
        <w:pStyle w:val="BodyText"/>
        <w:spacing w:line="240" w:lineRule="auto" w:before="44"/>
        <w:ind w:right="0"/>
        <w:jc w:val="left"/>
      </w:pPr>
      <w:r>
        <w:rPr>
          <w:rFonts w:ascii="Times New Roman" w:hAnsi="Times New Roman" w:cs="Times New Roman" w:eastAsia="Times New Roman" w:hint="default"/>
        </w:rPr>
        <w:t>2</w:t>
      </w:r>
      <w:r>
        <w:rPr/>
        <w:t>、薪酬政策</w:t>
      </w:r>
    </w:p>
    <w:p>
      <w:pPr>
        <w:spacing w:line="240" w:lineRule="auto" w:before="13"/>
        <w:rPr>
          <w:rFonts w:ascii="宋体" w:hAnsi="宋体" w:cs="宋体" w:eastAsia="宋体" w:hint="default"/>
          <w:sz w:val="13"/>
          <w:szCs w:val="13"/>
        </w:rPr>
      </w:pPr>
    </w:p>
    <w:p>
      <w:pPr>
        <w:pStyle w:val="BodyText"/>
        <w:spacing w:line="240" w:lineRule="auto" w:before="44"/>
        <w:ind w:right="0"/>
        <w:jc w:val="left"/>
      </w:pPr>
      <w:r>
        <w:rPr/>
        <w:t>公司员工薪酬由基本工资、绩效工资构成，公司独立董事薪酬根据股东大会确定的标准发放。</w:t>
      </w:r>
    </w:p>
    <w:p>
      <w:pPr>
        <w:pStyle w:val="BodyText"/>
        <w:spacing w:line="460" w:lineRule="atLeast" w:before="29"/>
        <w:ind w:right="1118"/>
        <w:jc w:val="left"/>
      </w:pPr>
      <w:r>
        <w:rPr>
          <w:rFonts w:ascii="Times New Roman" w:hAnsi="Times New Roman" w:cs="Times New Roman" w:eastAsia="Times New Roman" w:hint="default"/>
        </w:rPr>
        <w:t>3</w:t>
      </w:r>
      <w:r>
        <w:rPr/>
        <w:t>、培训计划 </w:t>
      </w:r>
      <w:r>
        <w:rPr>
          <w:spacing w:val="-2"/>
        </w:rPr>
        <w:t>为提高员工整体素质和工作效率，公司人力资源部根据各部门提交的年度培训计划统筹组织安排培训，培训内容主要包</w:t>
      </w:r>
    </w:p>
    <w:p>
      <w:pPr>
        <w:pStyle w:val="BodyText"/>
        <w:spacing w:line="240" w:lineRule="auto" w:before="85"/>
        <w:ind w:left="0" w:right="2336"/>
        <w:jc w:val="center"/>
      </w:pPr>
      <w:r>
        <w:rPr/>
        <w:t>括但不限于员工素质、职业技能、生产安全、质量环境管理体系、内部控制制度、企业文化等各个方面。</w:t>
      </w:r>
    </w:p>
    <w:p>
      <w:pPr>
        <w:spacing w:after="0" w:line="240" w:lineRule="auto"/>
        <w:jc w:val="center"/>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九节 公司治理" w:id="117"/>
      <w:bookmarkEnd w:id="117"/>
      <w:r>
        <w:rPr>
          <w:b w:val="0"/>
          <w:bCs w:val="0"/>
        </w:rPr>
      </w:r>
      <w:bookmarkStart w:name="_bookmark8" w:id="118"/>
      <w:bookmarkEnd w:id="11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19"/>
      <w:bookmarkEnd w:id="119"/>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60"/>
        <w:jc w:val="left"/>
      </w:pPr>
      <w:r>
        <w:rPr>
          <w:spacing w:val="-2"/>
        </w:rPr>
        <w:t>报告期内，公司及公司董事、监事、高级管理人员严格按照《公司法》、《证券法》、《上市公司治理准则》、《深圳</w:t>
      </w:r>
      <w:r>
        <w:rPr/>
        <w:t> </w:t>
      </w:r>
      <w:r>
        <w:rPr>
          <w:spacing w:val="-4"/>
        </w:rPr>
        <w:t>证券交易所股票上市规则》、《深圳证券交易所中小企业板上市公司规范运作指引》等法律法规、规范性文件和《公司章程》</w:t>
      </w:r>
      <w:r>
        <w:rPr>
          <w:spacing w:val="-44"/>
        </w:rPr>
        <w:t> </w:t>
      </w:r>
      <w:r>
        <w:rPr>
          <w:spacing w:val="-44"/>
        </w:rPr>
      </w:r>
      <w:r>
        <w:rPr/>
        <w:t>的有关规定，不断完善公司的法人治理结构，健全内部管理，促进公司规范运作，提高公司治理水平。</w:t>
      </w:r>
    </w:p>
    <w:p>
      <w:pPr>
        <w:pStyle w:val="BodyText"/>
        <w:spacing w:line="316" w:lineRule="auto" w:before="139"/>
        <w:ind w:left="153" w:right="1033" w:firstLine="360"/>
        <w:jc w:val="left"/>
      </w:pPr>
      <w:r>
        <w:rPr>
          <w:spacing w:val="-2"/>
        </w:rPr>
        <w:t>截至报告期末，公司治理的实际情况基本符合中国证监会发布的有关上市公司治理的规范性文件的要求。公司将坚持以</w:t>
      </w:r>
      <w:r>
        <w:rPr/>
        <w:t> 相关法律法规为准绳，不断完善公司治理制度，自觉履行信息披露义务，做好投资者关系管理工作，切实维护投资者利益， 不断提升公司规范运作水平。</w:t>
      </w:r>
    </w:p>
    <w:p>
      <w:pPr>
        <w:pStyle w:val="BodyText"/>
        <w:spacing w:line="240" w:lineRule="auto" w:before="139"/>
        <w:ind w:right="0"/>
        <w:jc w:val="left"/>
      </w:pPr>
      <w:r>
        <w:rPr/>
        <w:t>截至本报告期末公司已建立的各项制度名称及公开信息披露情况如下表：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146" w:type="dxa"/>
        <w:tblLayout w:type="fixed"/>
        <w:tblCellMar>
          <w:top w:w="0" w:type="dxa"/>
          <w:left w:w="0" w:type="dxa"/>
          <w:bottom w:w="0" w:type="dxa"/>
          <w:right w:w="0" w:type="dxa"/>
        </w:tblCellMar>
        <w:tblLook w:val="01E0"/>
      </w:tblPr>
      <w:tblGrid>
        <w:gridCol w:w="710"/>
        <w:gridCol w:w="5717"/>
        <w:gridCol w:w="2978"/>
      </w:tblGrid>
      <w:tr>
        <w:trPr>
          <w:trHeight w:val="341"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7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41" w:right="0"/>
              <w:jc w:val="left"/>
              <w:rPr>
                <w:rFonts w:ascii="宋体" w:hAnsi="宋体" w:cs="宋体" w:eastAsia="宋体" w:hint="default"/>
                <w:sz w:val="18"/>
                <w:szCs w:val="18"/>
              </w:rPr>
            </w:pPr>
            <w:r>
              <w:rPr>
                <w:rFonts w:ascii="宋体" w:hAnsi="宋体" w:cs="宋体" w:eastAsia="宋体" w:hint="default"/>
                <w:sz w:val="18"/>
                <w:szCs w:val="18"/>
              </w:rPr>
              <w:t>最新披露时间</w:t>
            </w:r>
          </w:p>
        </w:tc>
      </w:tr>
      <w:tr>
        <w:trPr>
          <w:trHeight w:val="352" w:hRule="exact"/>
        </w:trPr>
        <w:tc>
          <w:tcPr>
            <w:tcW w:w="7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57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97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董事会秘书工作制度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关联交易决策制度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财务管理办法</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子公司综合管理制度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对外担保制度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控股股东、实际控制人行为规范</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独立董事年报工作流程</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董事、监事和高级管理人员持有和买卖本公司股票管理制度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募集资金使用管理办法</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710"/>
        <w:gridCol w:w="5717"/>
        <w:gridCol w:w="2978"/>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高级管理人员薪酬管理制度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内部问责制度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利润分配管理制度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报告期末，公司未收到被监管部门采取行政监管措施的有关文件。</w:t>
      </w:r>
    </w:p>
    <w:p>
      <w:pPr>
        <w:pStyle w:val="BodyText"/>
        <w:spacing w:line="316" w:lineRule="auto" w:before="136"/>
        <w:ind w:right="0" w:firstLine="1"/>
        <w:jc w:val="left"/>
      </w:pPr>
      <w:r>
        <w:rPr>
          <w:rFonts w:ascii="宋体" w:hAnsi="宋体" w:cs="宋体" w:eastAsia="宋体" w:hint="default"/>
          <w:b/>
          <w:bCs/>
        </w:rPr>
        <w:t>（一）关于股东与股东大会</w:t>
      </w:r>
      <w:r>
        <w:rPr>
          <w:rFonts w:ascii="宋体" w:hAnsi="宋体" w:cs="宋体" w:eastAsia="宋体" w:hint="default"/>
          <w:b/>
          <w:bCs/>
          <w:w w:val="99"/>
        </w:rPr>
        <w:t> </w:t>
      </w:r>
      <w:r>
        <w:rPr>
          <w:spacing w:val="-2"/>
        </w:rPr>
        <w:t>公司能够根据《公司法》、《证券法》、《上市公司股东大会规则》及公司《股东大会议事规则》等规定和要求，规范</w:t>
      </w:r>
    </w:p>
    <w:p>
      <w:pPr>
        <w:pStyle w:val="BodyText"/>
        <w:spacing w:line="316" w:lineRule="auto" w:before="19"/>
        <w:ind w:left="153" w:right="0"/>
        <w:jc w:val="left"/>
      </w:pPr>
      <w:r>
        <w:rPr>
          <w:spacing w:val="-2"/>
        </w:rPr>
        <w:t>股东大会的召集、召开、表决程序，确保各股东享有平等地位，充分行使自己的权利。在实施选举董事、监事表决程序时采</w:t>
      </w:r>
      <w:r>
        <w:rPr>
          <w:spacing w:val="-68"/>
        </w:rPr>
        <w:t> </w:t>
      </w:r>
      <w:r>
        <w:rPr>
          <w:spacing w:val="-68"/>
        </w:rPr>
      </w:r>
      <w:r>
        <w:rPr/>
        <w:t>取累积投票制，让各股东充分行使自己的权利。</w:t>
      </w:r>
    </w:p>
    <w:p>
      <w:pPr>
        <w:pStyle w:val="BodyText"/>
        <w:spacing w:line="316" w:lineRule="auto" w:before="79"/>
        <w:ind w:right="0" w:firstLine="1"/>
        <w:jc w:val="left"/>
      </w:pPr>
      <w:r>
        <w:rPr>
          <w:rFonts w:ascii="宋体" w:hAnsi="宋体" w:cs="宋体" w:eastAsia="宋体" w:hint="default"/>
          <w:b/>
          <w:bCs/>
        </w:rPr>
        <w:t>（二）关于控股股东与公司</w:t>
      </w:r>
      <w:r>
        <w:rPr>
          <w:rFonts w:ascii="宋体" w:hAnsi="宋体" w:cs="宋体" w:eastAsia="宋体" w:hint="default"/>
          <w:b/>
          <w:bCs/>
          <w:w w:val="99"/>
        </w:rPr>
        <w:t> </w:t>
      </w:r>
      <w:r>
        <w:rPr>
          <w:spacing w:val="-2"/>
        </w:rPr>
        <w:t>公司控股股东行为规范，能依法行使其权利，并承担相应义务，没有直接或间接干预公司的决策和经营活动。公司具有</w:t>
      </w:r>
    </w:p>
    <w:p>
      <w:pPr>
        <w:pStyle w:val="BodyText"/>
        <w:spacing w:line="316" w:lineRule="auto" w:before="19"/>
        <w:ind w:left="153" w:right="1118"/>
        <w:jc w:val="left"/>
      </w:pPr>
      <w:r>
        <w:rPr>
          <w:spacing w:val="-2"/>
        </w:rPr>
        <w:t>独立的业务、经营能力和完备的运营体系，公司业务、人员、资产、机构、财务独立，公司董事会、监事会和内部机构能够</w:t>
      </w:r>
      <w:r>
        <w:rPr>
          <w:spacing w:val="-67"/>
        </w:rPr>
        <w:t> </w:t>
      </w:r>
      <w:r>
        <w:rPr>
          <w:spacing w:val="-67"/>
        </w:rPr>
      </w:r>
      <w:r>
        <w:rPr/>
        <w:t>独立运作。</w:t>
      </w:r>
    </w:p>
    <w:p>
      <w:pPr>
        <w:pStyle w:val="BodyText"/>
        <w:spacing w:line="316" w:lineRule="auto" w:before="79"/>
        <w:ind w:right="0" w:firstLine="1"/>
        <w:jc w:val="left"/>
      </w:pPr>
      <w:r>
        <w:rPr>
          <w:rFonts w:ascii="宋体" w:hAnsi="宋体" w:cs="宋体" w:eastAsia="宋体" w:hint="default"/>
          <w:b/>
          <w:bCs/>
        </w:rPr>
        <w:t>（三）关于董事与董事会</w:t>
      </w:r>
      <w:r>
        <w:rPr>
          <w:rFonts w:ascii="宋体" w:hAnsi="宋体" w:cs="宋体" w:eastAsia="宋体" w:hint="default"/>
          <w:b/>
          <w:bCs/>
          <w:w w:val="99"/>
        </w:rPr>
        <w:t> </w:t>
      </w:r>
      <w:r>
        <w:rPr>
          <w:spacing w:val="-2"/>
        </w:rPr>
        <w:t>公司目前董事会成员</w:t>
      </w:r>
      <w:r>
        <w:rPr>
          <w:rFonts w:ascii="Times New Roman" w:hAnsi="Times New Roman" w:cs="Times New Roman" w:eastAsia="Times New Roman" w:hint="default"/>
          <w:spacing w:val="-2"/>
        </w:rPr>
        <w:t>9</w:t>
      </w:r>
      <w:r>
        <w:rPr>
          <w:spacing w:val="-2"/>
        </w:rPr>
        <w:t>人，其中独立董事</w:t>
      </w:r>
      <w:r>
        <w:rPr>
          <w:rFonts w:ascii="Times New Roman" w:hAnsi="Times New Roman" w:cs="Times New Roman" w:eastAsia="Times New Roman" w:hint="default"/>
          <w:spacing w:val="-2"/>
        </w:rPr>
        <w:t>3</w:t>
      </w:r>
      <w:r>
        <w:rPr>
          <w:spacing w:val="-2"/>
        </w:rPr>
        <w:t>人，公司董事会人数和人员构成符合法律、法规的要求。董事会按照《董事会</w:t>
      </w:r>
    </w:p>
    <w:p>
      <w:pPr>
        <w:pStyle w:val="BodyText"/>
        <w:spacing w:line="312" w:lineRule="auto"/>
        <w:ind w:left="153" w:right="1131"/>
        <w:jc w:val="both"/>
      </w:pPr>
      <w:r>
        <w:rPr>
          <w:spacing w:val="-2"/>
        </w:rPr>
        <w:t>议事规则》召开会议，执行股东大会决议并依法行使职权；公司全体董事能够按照《董事会议事规则》等的要求认真履行勤</w:t>
      </w:r>
      <w:r>
        <w:rPr>
          <w:spacing w:val="-66"/>
        </w:rPr>
        <w:t> </w:t>
      </w:r>
      <w:r>
        <w:rPr>
          <w:spacing w:val="-66"/>
        </w:rPr>
      </w:r>
      <w:r>
        <w:rPr/>
        <w:t>勉尽责的义务，行使《公司章程》赋予的职权，按时出席董事会和股东大会，熟悉有关法律法规；公司的</w:t>
      </w:r>
      <w:r>
        <w:rPr>
          <w:rFonts w:ascii="Times New Roman" w:hAnsi="Times New Roman" w:cs="Times New Roman" w:eastAsia="Times New Roman" w:hint="default"/>
        </w:rPr>
        <w:t>3</w:t>
      </w:r>
      <w:r>
        <w:rPr/>
        <w:t>位独立董事在工 </w:t>
      </w:r>
      <w:r>
        <w:rPr>
          <w:spacing w:val="-2"/>
        </w:rPr>
        <w:t>作中保持充分的独立性，积极参加董事会会议，认真审议各项议案，对相关事项发表了独立意见，切实维护公司和中小股东</w:t>
      </w:r>
      <w:r>
        <w:rPr>
          <w:spacing w:val="-66"/>
        </w:rPr>
        <w:t> </w:t>
      </w:r>
      <w:r>
        <w:rPr>
          <w:spacing w:val="-66"/>
        </w:rPr>
      </w:r>
      <w:r>
        <w:rPr/>
        <w:t>的利益。</w:t>
      </w:r>
    </w:p>
    <w:p>
      <w:pPr>
        <w:pStyle w:val="BodyText"/>
        <w:spacing w:line="316" w:lineRule="auto" w:before="82"/>
        <w:ind w:right="1123" w:firstLine="1"/>
        <w:jc w:val="left"/>
      </w:pPr>
      <w:r>
        <w:rPr>
          <w:rFonts w:ascii="宋体" w:hAnsi="宋体" w:cs="宋体" w:eastAsia="宋体" w:hint="default"/>
          <w:b/>
          <w:bCs/>
        </w:rPr>
        <w:t>（四）关于监事与监事会</w:t>
      </w:r>
      <w:r>
        <w:rPr>
          <w:rFonts w:ascii="宋体" w:hAnsi="宋体" w:cs="宋体" w:eastAsia="宋体" w:hint="default"/>
          <w:b/>
          <w:bCs/>
          <w:w w:val="99"/>
        </w:rPr>
        <w:t> </w:t>
      </w:r>
      <w:r>
        <w:rPr/>
        <w:t>公司监事会由</w:t>
      </w:r>
      <w:r>
        <w:rPr>
          <w:rFonts w:ascii="Times New Roman" w:hAnsi="Times New Roman" w:cs="Times New Roman" w:eastAsia="Times New Roman" w:hint="default"/>
        </w:rPr>
        <w:t>3</w:t>
      </w:r>
      <w:r>
        <w:rPr/>
        <w:t>名监事组成，非职工代表监事</w:t>
      </w:r>
      <w:r>
        <w:rPr>
          <w:rFonts w:ascii="Times New Roman" w:hAnsi="Times New Roman" w:cs="Times New Roman" w:eastAsia="Times New Roman" w:hint="default"/>
        </w:rPr>
        <w:t>2</w:t>
      </w:r>
      <w:r>
        <w:rPr/>
        <w:t>人、职工代表监事</w:t>
      </w:r>
      <w:r>
        <w:rPr>
          <w:rFonts w:ascii="Times New Roman" w:hAnsi="Times New Roman" w:cs="Times New Roman" w:eastAsia="Times New Roman" w:hint="default"/>
        </w:rPr>
        <w:t>1</w:t>
      </w:r>
      <w:r>
        <w:rPr/>
        <w:t>人，监事人数和人员构成符合法律、法规的要求。公</w:t>
      </w:r>
    </w:p>
    <w:p>
      <w:pPr>
        <w:pStyle w:val="BodyText"/>
        <w:spacing w:line="316" w:lineRule="auto"/>
        <w:ind w:left="153" w:right="0"/>
        <w:jc w:val="left"/>
      </w:pPr>
      <w:r>
        <w:rPr>
          <w:spacing w:val="-4"/>
        </w:rPr>
        <w:t>司监事会严格按照《公司章程》及《监事会议事规则》等相关规定召集召开监事会。各监事按时出席监事会，认真履行职责，</w:t>
      </w:r>
      <w:r>
        <w:rPr>
          <w:spacing w:val="-43"/>
        </w:rPr>
        <w:t> </w:t>
      </w:r>
      <w:r>
        <w:rPr>
          <w:spacing w:val="-43"/>
        </w:rPr>
      </w:r>
      <w:r>
        <w:rPr>
          <w:spacing w:val="-4"/>
        </w:rPr>
        <w:t>能够本着对股东负责的精神，对公司重大事项、关联交易、财务状况等进行监督并发表意见，维护了公司及股东的合法权益。</w:t>
      </w:r>
    </w:p>
    <w:p>
      <w:pPr>
        <w:spacing w:line="316" w:lineRule="auto" w:before="79"/>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（五）关于信息披露与透明度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公司严格按照有关法律法规及公司《信息披露管理制度》、《投资者关系管理制度》的要求，加强信息披露事务管理，</w:t>
      </w:r>
    </w:p>
    <w:p>
      <w:pPr>
        <w:pStyle w:val="BodyText"/>
        <w:spacing w:line="314" w:lineRule="auto" w:before="19"/>
        <w:ind w:left="153" w:right="1118"/>
        <w:jc w:val="left"/>
      </w:pPr>
      <w:r>
        <w:rPr>
          <w:spacing w:val="-2"/>
        </w:rPr>
        <w:t>履行信息披露义务。公司指定董事会秘书为公司信息披露工作、投资者关系管理负责人，负责公司的信息披露与投资者关系</w:t>
      </w:r>
      <w:r>
        <w:rPr>
          <w:spacing w:val="-66"/>
        </w:rPr>
        <w:t> </w:t>
      </w:r>
      <w:r>
        <w:rPr>
          <w:spacing w:val="-66"/>
        </w:rPr>
      </w:r>
      <w:r>
        <w:rPr>
          <w:spacing w:val="-2"/>
        </w:rPr>
        <w:t>的管理工作；公司证券部为公司信息披露事务的日常工作部门。公司注重与投资者沟通交流，开通了投资者电话专线、专用</w:t>
      </w:r>
      <w:r>
        <w:rPr>
          <w:spacing w:val="-66"/>
        </w:rPr>
        <w:t> </w:t>
      </w:r>
      <w:r>
        <w:rPr>
          <w:spacing w:val="-66"/>
        </w:rPr>
      </w:r>
      <w:r>
        <w:rPr>
          <w:spacing w:val="-2"/>
        </w:rPr>
        <w:t>电子信箱，接待投资者和调研机构的来访和咨询，认真、及时回复深交所互动平台投资者的提问，确保公司所有股东能够以</w:t>
      </w:r>
      <w:r>
        <w:rPr>
          <w:spacing w:val="-66"/>
        </w:rPr>
        <w:t> </w:t>
      </w:r>
      <w:r>
        <w:rPr>
          <w:spacing w:val="-66"/>
        </w:rPr>
      </w:r>
      <w:r>
        <w:rPr/>
        <w:t>平等的机会获得信息。公司上市后指定《证券时报》等报刊和巨潮资讯网（</w:t>
      </w:r>
      <w:r>
        <w:rPr>
          <w:rFonts w:ascii="Times New Roman" w:hAnsi="Times New Roman" w:cs="Times New Roman" w:eastAsia="Times New Roman" w:hint="default"/>
          <w:color w:val="0000FF"/>
        </w:rPr>
      </w:r>
      <w:hyperlink r:id="rId13">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）为公司信息披露的报纸和</w:t>
      </w:r>
      <w:r>
        <w:rPr>
          <w:w w:val="99"/>
        </w:rPr>
        <w:t> </w:t>
      </w:r>
      <w:r>
        <w:rPr/>
        <w:t>网站。</w:t>
      </w:r>
    </w:p>
    <w:p>
      <w:pPr>
        <w:pStyle w:val="BodyText"/>
        <w:spacing w:line="316" w:lineRule="auto" w:before="80"/>
        <w:ind w:right="0" w:firstLine="1"/>
        <w:jc w:val="left"/>
      </w:pPr>
      <w:r>
        <w:rPr>
          <w:rFonts w:ascii="宋体" w:hAnsi="宋体" w:cs="宋体" w:eastAsia="宋体" w:hint="default"/>
          <w:b/>
          <w:bCs/>
        </w:rPr>
        <w:t>（六）关于相关利益者</w:t>
      </w:r>
      <w:r>
        <w:rPr>
          <w:rFonts w:ascii="宋体" w:hAnsi="宋体" w:cs="宋体" w:eastAsia="宋体" w:hint="default"/>
          <w:b/>
          <w:bCs/>
          <w:w w:val="99"/>
        </w:rPr>
        <w:t> </w:t>
      </w:r>
      <w:r>
        <w:rPr>
          <w:spacing w:val="-4"/>
        </w:rPr>
        <w:t>公司能够充分尊重和维护相关利益者的合法权益，积极与相关利益者合作，加强与各方的沟通和交流，实现公司、股东、</w:t>
      </w:r>
    </w:p>
    <w:p>
      <w:pPr>
        <w:pStyle w:val="BodyText"/>
        <w:spacing w:line="316" w:lineRule="auto" w:before="19"/>
        <w:ind w:left="514" w:right="1032" w:hanging="360"/>
        <w:jc w:val="left"/>
      </w:pPr>
      <w:r>
        <w:rPr/>
        <w:t>员工、社会等各方利益的和谐发展，以推动公司持续、稳健发展。 公司治理的实际情况与中国证监会有关上市公司治理的规范性文件要求基本符合。公司治理是一项系统而长期的工程，</w:t>
      </w:r>
    </w:p>
    <w:p>
      <w:pPr>
        <w:pStyle w:val="BodyText"/>
        <w:spacing w:line="319" w:lineRule="auto" w:before="19"/>
        <w:ind w:left="154" w:right="1032"/>
        <w:jc w:val="left"/>
      </w:pPr>
      <w:r>
        <w:rPr/>
        <w:t>需要不断持续改进，公司愿意接受各方监督，不断完善公司治理制度体系，加强内控制度的执行，促进公司健康稳健发展， 提高公司整体竞争力。</w:t>
      </w:r>
    </w:p>
    <w:p>
      <w:pPr>
        <w:spacing w:line="316" w:lineRule="auto" w:before="77"/>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（七）关于绩效评价与激励约束机制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公司建立了公正、透明、有效的董事、监事和高级管理人员的绩效评价标准和激励约束机制，公司高级管理人员的聘任</w:t>
      </w:r>
    </w:p>
    <w:p>
      <w:pPr>
        <w:pStyle w:val="BodyText"/>
        <w:spacing w:line="240" w:lineRule="auto" w:before="19"/>
        <w:ind w:left="154" w:right="0"/>
        <w:jc w:val="left"/>
      </w:pPr>
      <w:r>
        <w:rPr/>
        <w:t>公开、透明，严格按照有关法律法规的规定进行。公司未来还将探索更多形式的激励方式，形成多层次的综合激励机制，完</w:t>
      </w:r>
    </w:p>
    <w:p>
      <w:pPr>
        <w:spacing w:after="0" w:line="240" w:lineRule="auto"/>
        <w:jc w:val="left"/>
        <w:sectPr>
          <w:pgSz w:w="11910" w:h="16840"/>
          <w:pgMar w:header="691"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154" w:right="0"/>
        <w:jc w:val="left"/>
      </w:pPr>
      <w:r>
        <w:rPr/>
        <w:t>善绩效评价标准，更好地调动管理人员的工作积极性，吸引和稳定优秀管理人才和技术、业务骨干。</w:t>
      </w:r>
    </w:p>
    <w:p>
      <w:pPr>
        <w:spacing w:line="240" w:lineRule="auto" w:before="12"/>
        <w:rPr>
          <w:rFonts w:ascii="宋体" w:hAnsi="宋体" w:cs="宋体" w:eastAsia="宋体" w:hint="default"/>
          <w:sz w:val="26"/>
          <w:szCs w:val="26"/>
        </w:rPr>
      </w:pPr>
    </w:p>
    <w:p>
      <w:pPr>
        <w:pStyle w:val="BodyText"/>
        <w:spacing w:line="240" w:lineRule="auto"/>
        <w:ind w:right="0"/>
        <w:jc w:val="left"/>
      </w:pPr>
      <w:r>
        <w:rPr/>
        <w:t>公司治理与《公司法》和中国证监会相关规定的要求是否存在差异</w:t>
      </w:r>
    </w:p>
    <w:p>
      <w:pPr>
        <w:pStyle w:val="BodyText"/>
        <w:spacing w:line="348" w:lineRule="auto" w:before="124"/>
        <w:ind w:right="51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64" w:lineRule="auto" w:before="43"/>
        <w:ind w:right="0"/>
        <w:jc w:val="left"/>
      </w:pPr>
      <w:r>
        <w:rPr/>
        <w:t>公司治理专项活动开展情况以及内幕信息知情人登记管理制度的制定、实施情况 </w:t>
      </w:r>
      <w:r>
        <w:rPr>
          <w:spacing w:val="-2"/>
        </w:rPr>
        <w:t>报告期内，公司能够按照《内幕信息知情人登记管理制度》和《外部信息使用人管理制度》的要求，做好内幕信息管理</w:t>
      </w:r>
    </w:p>
    <w:p>
      <w:pPr>
        <w:pStyle w:val="BodyText"/>
        <w:spacing w:line="321" w:lineRule="auto"/>
        <w:ind w:left="153" w:right="1116"/>
        <w:jc w:val="left"/>
      </w:pPr>
      <w:r>
        <w:rPr>
          <w:spacing w:val="-2"/>
        </w:rPr>
        <w:t>以及内幕信息知情人登记工作，能够如实、完整记录内幕信息在公开披露前的报告、传递、编制、审核、披露等各环节所有</w:t>
      </w:r>
      <w:r>
        <w:rPr>
          <w:spacing w:val="-67"/>
        </w:rPr>
        <w:t> </w:t>
      </w:r>
      <w:r>
        <w:rPr>
          <w:spacing w:val="-67"/>
        </w:rPr>
      </w:r>
      <w:r>
        <w:rPr/>
        <w:t>内幕信息知情人名单。定期报告披露期间，公司对董事、监事、高级管理人员及其他内幕信息知情人员在定期报告公告前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spacing w:val="-3"/>
        </w:rPr>
        <w:t>日内、业绩预告和业绩快报公告前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日内以及其他重大事项披露期间等敏感期内买卖公司股票的情况进行自查，没有发 现相关人员利用内幕信息从事内幕交易。</w:t>
      </w:r>
    </w:p>
    <w:p>
      <w:pPr>
        <w:pStyle w:val="BodyText"/>
        <w:spacing w:line="326" w:lineRule="auto" w:before="62"/>
        <w:ind w:left="154" w:right="1131" w:firstLine="360"/>
        <w:jc w:val="both"/>
      </w:pPr>
      <w:r>
        <w:rPr>
          <w:spacing w:val="-2"/>
        </w:rPr>
        <w:t>报告期内，公司无利用内幕信息买卖公司股票、暗示或指使他人买卖公司股票、进行内幕交易或配合他人操纵证券交易</w:t>
      </w:r>
      <w:r>
        <w:rPr/>
        <w:t> </w:t>
      </w:r>
      <w:r>
        <w:rPr>
          <w:spacing w:val="-2"/>
        </w:rPr>
        <w:t>价格的情形；公司董事、监事、高级管理人员无违规买卖公司股票的情形。公司及相关人员未发生因内幕信息知情人登记管</w:t>
      </w:r>
      <w:r>
        <w:rPr>
          <w:spacing w:val="-66"/>
        </w:rPr>
        <w:t> </w:t>
      </w:r>
      <w:r>
        <w:rPr>
          <w:spacing w:val="-66"/>
        </w:rPr>
      </w:r>
      <w:r>
        <w:rPr/>
        <w:t>理制度执行不力或涉嫌内幕交易被监管部门采取监管措施及行政处罚的情况。</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bookmarkStart w:name="二、报告期内召开的年度股东大会和临时股东大会的有关情况" w:id="120"/>
      <w:bookmarkEnd w:id="120"/>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121"/>
      <w:bookmarkEnd w:id="12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3827"/>
        <w:gridCol w:w="1134"/>
        <w:gridCol w:w="1026"/>
        <w:gridCol w:w="159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exact"/>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 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年年度报告及摘要</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年度财务预算报告</w:t>
            </w:r>
          </w:p>
          <w:p>
            <w:pPr>
              <w:pStyle w:val="TableParagraph"/>
              <w:spacing w:line="240" w:lineRule="exact" w:before="1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年度存放与使用情况的专 项报告</w:t>
            </w:r>
          </w:p>
          <w:p>
            <w:pPr>
              <w:pStyle w:val="TableParagraph"/>
              <w:spacing w:line="240" w:lineRule="exact"/>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年度内部控制评价报告（附：内部控制 规则落实自查表）</w:t>
            </w:r>
          </w:p>
          <w:p>
            <w:pPr>
              <w:pStyle w:val="TableParagraph"/>
              <w:spacing w:line="22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年预计日常关联交易的议案</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、关于公司续聘会计师事务所的议案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、关于公司第三届董事、监事津贴方案的议案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4" w:lineRule="auto"/>
              <w:ind w:left="23" w:right="20"/>
              <w:jc w:val="left"/>
              <w:rPr>
                <w:rFonts w:ascii="宋体" w:hAnsi="宋体" w:cs="宋体" w:eastAsia="宋体" w:hint="default"/>
                <w:sz w:val="18"/>
                <w:szCs w:val="18"/>
              </w:rPr>
            </w:pPr>
            <w:r>
              <w:rPr>
                <w:rFonts w:ascii="宋体" w:hAnsi="宋体" w:cs="宋体" w:eastAsia="宋体" w:hint="default"/>
                <w:sz w:val="18"/>
                <w:szCs w:val="18"/>
              </w:rPr>
              <w:t>会议以现场 投票方式进 行表决，审议 通过了有关 议案</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2014-015</w:t>
            </w:r>
          </w:p>
          <w:p>
            <w:pPr>
              <w:pStyle w:val="TableParagraph"/>
              <w:spacing w:line="240" w:lineRule="exact" w:before="13"/>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10"/>
                <w:sz w:val="18"/>
                <w:szCs w:val="18"/>
              </w:rPr>
              <w:t>会决议公告》刊登在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p>
            <w:pPr>
              <w:pStyle w:val="TableParagraph"/>
              <w:spacing w:line="240" w:lineRule="exact"/>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证券报》及巨潮资讯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18">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22"/>
      <w:bookmarkEnd w:id="12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2978"/>
        <w:gridCol w:w="1559"/>
        <w:gridCol w:w="851"/>
        <w:gridCol w:w="233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5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48"/>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、公司未来三年（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股东回报规划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、关于增加公司经营范围的议案</w:t>
            </w:r>
          </w:p>
          <w:p>
            <w:pPr>
              <w:pStyle w:val="TableParagraph"/>
              <w:spacing w:line="23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、关于修订《公司章程》的议案</w:t>
            </w:r>
          </w:p>
          <w:p>
            <w:pPr>
              <w:pStyle w:val="TableParagraph"/>
              <w:spacing w:line="240" w:lineRule="exact" w:before="13"/>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、关于使用剩余超募资金永久性补充</w:t>
            </w:r>
            <w:r>
              <w:rPr>
                <w:rFonts w:ascii="宋体" w:hAnsi="宋体" w:cs="宋体" w:eastAsia="宋体" w:hint="default"/>
                <w:sz w:val="18"/>
                <w:szCs w:val="18"/>
              </w:rPr>
              <w:t> 流动资金的议案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4" w:lineRule="auto"/>
              <w:ind w:left="22" w:right="84"/>
              <w:jc w:val="both"/>
              <w:rPr>
                <w:rFonts w:ascii="宋体" w:hAnsi="宋体" w:cs="宋体" w:eastAsia="宋体" w:hint="default"/>
                <w:sz w:val="18"/>
                <w:szCs w:val="18"/>
              </w:rPr>
            </w:pPr>
            <w:r>
              <w:rPr>
                <w:rFonts w:ascii="宋体" w:hAnsi="宋体" w:cs="宋体" w:eastAsia="宋体" w:hint="default"/>
                <w:sz w:val="18"/>
                <w:szCs w:val="18"/>
              </w:rPr>
              <w:t>会议以现场投票与 网络投票相结合的 方式进行表决，审 议通过了有关议案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2" w:right="143"/>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2014-041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年第一次临时股东大会决议 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exact" w:before="9"/>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日《证券时报》、《上海证</w:t>
            </w:r>
            <w:r>
              <w:rPr>
                <w:rFonts w:ascii="宋体" w:hAnsi="宋体" w:cs="宋体" w:eastAsia="宋体" w:hint="default"/>
                <w:sz w:val="18"/>
                <w:szCs w:val="18"/>
              </w:rPr>
              <w:t> 券报》及巨潮资讯网 </w:t>
            </w: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表决权恢夊的优先股股东请求召开临时股东大会" w:id="123"/>
      <w:bookmarkEnd w:id="123"/>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91"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三、报告期内独立董事履行职责的情况" w:id="124"/>
      <w:bookmarkEnd w:id="124"/>
      <w:r>
        <w:rPr>
          <w:b w:val="0"/>
          <w:bCs w:val="0"/>
        </w:rPr>
      </w: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25"/>
      <w:bookmarkEnd w:id="12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  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独立董事对公司有关事项提出异议的情况" w:id="126"/>
      <w:bookmarkEnd w:id="12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独立董事对公司有关事项是否提出异议</w:t>
      </w:r>
    </w:p>
    <w:p>
      <w:pPr>
        <w:pStyle w:val="BodyText"/>
        <w:spacing w:line="338" w:lineRule="auto" w:before="117"/>
        <w:ind w:right="6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27"/>
      <w:bookmarkEnd w:id="12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独立董事对公司有关建议是否被采纳</w:t>
      </w:r>
    </w:p>
    <w:p>
      <w:pPr>
        <w:pStyle w:val="BodyText"/>
        <w:spacing w:line="372" w:lineRule="auto" w:before="117"/>
        <w:ind w:right="6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21" w:lineRule="auto" w:before="24"/>
        <w:ind w:left="153" w:right="1131" w:firstLine="360"/>
        <w:jc w:val="both"/>
      </w:pPr>
      <w:r>
        <w:rPr>
          <w:spacing w:val="-2"/>
        </w:rPr>
        <w:t>在</w:t>
      </w:r>
      <w:r>
        <w:rPr>
          <w:rFonts w:ascii="Times New Roman" w:hAnsi="Times New Roman" w:cs="Times New Roman" w:eastAsia="Times New Roman" w:hint="default"/>
          <w:spacing w:val="-2"/>
        </w:rPr>
        <w:t>2014</w:t>
      </w:r>
      <w:r>
        <w:rPr>
          <w:spacing w:val="-2"/>
        </w:rPr>
        <w:t>年度，独立董事对公司进行了多次实地现场考察，了解公司的生产经营情况和财务状况；独立董事通过电话和邮</w:t>
      </w:r>
      <w:r>
        <w:rPr/>
        <w:t> </w:t>
      </w:r>
      <w:r>
        <w:rPr>
          <w:spacing w:val="-2"/>
        </w:rPr>
        <w:t>件积极与公司其他董事、高管人员及相关工作人员保持密切联系，时刻关注国际经济形势以及外部市场变化对公司经营状况</w:t>
      </w:r>
      <w:r>
        <w:rPr>
          <w:spacing w:val="-64"/>
        </w:rPr>
        <w:t> </w:t>
      </w:r>
      <w:r>
        <w:rPr>
          <w:spacing w:val="-64"/>
        </w:rPr>
      </w:r>
      <w:r>
        <w:rPr>
          <w:spacing w:val="-2"/>
        </w:rPr>
        <w:t>的影响，关注传媒、网络有关公司的相关报道，及时获悉公司各重大事项的进展情况，定期审阅公司提供的信息报告，及时</w:t>
      </w:r>
      <w:r>
        <w:rPr>
          <w:spacing w:val="-66"/>
        </w:rPr>
        <w:t> </w:t>
      </w:r>
      <w:r>
        <w:rPr>
          <w:spacing w:val="-66"/>
        </w:rPr>
      </w:r>
      <w:r>
        <w:rPr>
          <w:spacing w:val="-2"/>
        </w:rPr>
        <w:t>了解掌握公司经营与发展情况，深入探讨公司经营发展中的机遇与挑战，及时提示风险。本年度重点关注公司的募投项目进</w:t>
      </w:r>
      <w:r>
        <w:rPr>
          <w:spacing w:val="-66"/>
        </w:rPr>
        <w:t> </w:t>
      </w:r>
      <w:r>
        <w:rPr>
          <w:spacing w:val="-66"/>
        </w:rPr>
      </w:r>
      <w:r>
        <w:rPr>
          <w:spacing w:val="-2"/>
        </w:rPr>
        <w:t>展情况、主营业务经营状况和发展趋势等重大经营活动，掌握公司的运行动态，在充分掌握实际情况的基础上提出相关意见</w:t>
      </w:r>
      <w:r>
        <w:rPr>
          <w:spacing w:val="-66"/>
        </w:rPr>
        <w:t> </w:t>
      </w:r>
      <w:r>
        <w:rPr>
          <w:spacing w:val="-66"/>
        </w:rPr>
      </w:r>
      <w:r>
        <w:rPr/>
        <w:t>与建议，为独立董事对董事会各项议案的审议表决、对重大事项发表独立意见提供了有力的支持。</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bookmarkStart w:name="四、董事会下设专门委员会在报告期内履行职责情况" w:id="128"/>
      <w:bookmarkEnd w:id="128"/>
      <w:r>
        <w:rPr>
          <w:b w:val="0"/>
          <w:bCs w:val="0"/>
        </w:rPr>
      </w:r>
      <w:r>
        <w:rPr/>
        <w:t>四、董事会下设专门委员会在报告期内履行职责情况</w:t>
      </w:r>
      <w:r>
        <w:rPr>
          <w:b w:val="0"/>
          <w:bCs w:val="0"/>
        </w:rPr>
      </w:r>
    </w:p>
    <w:p>
      <w:pPr>
        <w:spacing w:line="240" w:lineRule="auto" w:before="2"/>
        <w:rPr>
          <w:rFonts w:ascii="宋体" w:hAnsi="宋体" w:cs="宋体" w:eastAsia="宋体" w:hint="default"/>
          <w:b/>
          <w:bCs/>
          <w:sz w:val="29"/>
          <w:szCs w:val="29"/>
        </w:rPr>
      </w:pPr>
    </w:p>
    <w:p>
      <w:pPr>
        <w:pStyle w:val="BodyText"/>
        <w:spacing w:line="316" w:lineRule="auto"/>
        <w:ind w:left="153" w:right="1131" w:firstLine="360"/>
        <w:jc w:val="both"/>
      </w:pPr>
      <w:r>
        <w:rPr>
          <w:spacing w:val="-2"/>
        </w:rPr>
        <w:t>公司董事会下设四个专门委员会，分别为审计委员会、战略委员会、提名委员会、薪酬委员会。</w:t>
      </w:r>
      <w:r>
        <w:rPr>
          <w:rFonts w:ascii="Times New Roman" w:hAnsi="Times New Roman" w:cs="Times New Roman" w:eastAsia="Times New Roman" w:hint="default"/>
          <w:spacing w:val="-2"/>
        </w:rPr>
        <w:t>2014</w:t>
      </w:r>
      <w:r>
        <w:rPr>
          <w:spacing w:val="-2"/>
        </w:rPr>
        <w:t>年各专门委员会本</w:t>
      </w:r>
      <w:r>
        <w:rPr/>
        <w:t> </w:t>
      </w:r>
      <w:r>
        <w:rPr>
          <w:spacing w:val="-2"/>
        </w:rPr>
        <w:t>着勤勉尽责的原则，按照有关法律法规、规范性文件及公司各专门委员会工作细则的有关规定开展相关工作，报告期内，各</w:t>
      </w:r>
      <w:r>
        <w:rPr>
          <w:spacing w:val="-66"/>
        </w:rPr>
        <w:t> </w:t>
      </w:r>
      <w:r>
        <w:rPr>
          <w:spacing w:val="-66"/>
        </w:rPr>
      </w:r>
      <w:r>
        <w:rPr/>
        <w:t>专门委员会履职情况如下：</w:t>
      </w:r>
    </w:p>
    <w:p>
      <w:pPr>
        <w:spacing w:line="309" w:lineRule="auto" w:before="87"/>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、董事会审计委员会履职情况</w:t>
      </w:r>
      <w:r>
        <w:rPr>
          <w:rFonts w:ascii="宋体" w:hAnsi="宋体" w:cs="宋体" w:eastAsia="宋体" w:hint="default"/>
          <w:b/>
          <w:bCs/>
          <w:w w:val="99"/>
          <w:sz w:val="18"/>
          <w:szCs w:val="18"/>
        </w:rPr>
        <w:t> </w:t>
      </w:r>
      <w:r>
        <w:rPr>
          <w:rFonts w:ascii="宋体" w:hAnsi="宋体" w:cs="宋体" w:eastAsia="宋体" w:hint="default"/>
          <w:sz w:val="18"/>
          <w:szCs w:val="18"/>
        </w:rPr>
        <w:t>审计委员会根据有关规定积极开展相关工作，认真履行职责。报告期内，审计委员会共召开了</w:t>
      </w:r>
      <w:r>
        <w:rPr>
          <w:rFonts w:ascii="Times New Roman" w:hAnsi="Times New Roman" w:cs="Times New Roman" w:eastAsia="Times New Roman" w:hint="default"/>
          <w:sz w:val="18"/>
          <w:szCs w:val="18"/>
        </w:rPr>
        <w:t>6</w:t>
      </w:r>
      <w:r>
        <w:rPr>
          <w:rFonts w:ascii="宋体" w:hAnsi="宋体" w:cs="宋体" w:eastAsia="宋体" w:hint="default"/>
          <w:sz w:val="18"/>
          <w:szCs w:val="18"/>
        </w:rPr>
        <w:t>次会议，审议了公司内</w:t>
      </w:r>
    </w:p>
    <w:p>
      <w:pPr>
        <w:pStyle w:val="BodyText"/>
        <w:spacing w:line="326" w:lineRule="auto" w:before="12"/>
        <w:ind w:left="153" w:right="0"/>
        <w:jc w:val="left"/>
      </w:pPr>
      <w:r>
        <w:rPr>
          <w:spacing w:val="-2"/>
        </w:rPr>
        <w:t>部审计部提交的各项内部审计报告，听取了内部审计部年度工作总结和工作计划安排；对公司年度审计、外部审计机构的聘</w:t>
      </w:r>
      <w:r>
        <w:rPr>
          <w:spacing w:val="-66"/>
        </w:rPr>
        <w:t> </w:t>
      </w:r>
      <w:r>
        <w:rPr>
          <w:spacing w:val="-66"/>
        </w:rPr>
      </w:r>
      <w:r>
        <w:rPr/>
        <w:t>任等事项给予合理的建议；对财务报告、募集资金使用、内部控制建设等情况进行审核。</w:t>
      </w:r>
    </w:p>
    <w:p>
      <w:pPr>
        <w:spacing w:line="307" w:lineRule="auto" w:before="80"/>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、董事会战略委员会履职情况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报告期内，战略委员会召开了</w:t>
      </w:r>
      <w:r>
        <w:rPr>
          <w:rFonts w:ascii="Times New Roman" w:hAnsi="Times New Roman" w:cs="Times New Roman" w:eastAsia="Times New Roman" w:hint="default"/>
          <w:sz w:val="18"/>
          <w:szCs w:val="18"/>
        </w:rPr>
        <w:t>4</w:t>
      </w:r>
      <w:r>
        <w:rPr>
          <w:rFonts w:ascii="宋体" w:hAnsi="宋体" w:cs="宋体" w:eastAsia="宋体" w:hint="default"/>
          <w:sz w:val="18"/>
          <w:szCs w:val="18"/>
        </w:rPr>
        <w:t>次会议，讨论了公司未来发展战略和投资计划，为公司下一步发展指明方向；审议了与</w:t>
      </w:r>
    </w:p>
    <w:p>
      <w:pPr>
        <w:spacing w:after="0" w:line="307"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09" w:lineRule="auto" w:before="44"/>
        <w:ind w:left="154" w:right="1142"/>
        <w:jc w:val="left"/>
      </w:pPr>
      <w:r>
        <w:rPr/>
        <w:t>株式会社</w:t>
      </w:r>
      <w:r>
        <w:rPr>
          <w:rFonts w:ascii="Times New Roman" w:hAnsi="Times New Roman" w:cs="Times New Roman" w:eastAsia="Times New Roman" w:hint="default"/>
        </w:rPr>
        <w:t>IHI</w:t>
      </w:r>
      <w:r>
        <w:rPr/>
        <w:t>机械系统合资设立新公司、投资设立盐城丰东祺耀工业炉有限公司、投资设立子公司为东风日产提供热处理及 表面热处理配套加工服务等投资事项。</w:t>
      </w:r>
    </w:p>
    <w:p>
      <w:pPr>
        <w:spacing w:line="309" w:lineRule="auto" w:before="91"/>
        <w:ind w:left="513" w:right="184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、董事会提名委员会履职情况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报告期内，提名委员会召开了</w:t>
      </w:r>
      <w:r>
        <w:rPr>
          <w:rFonts w:ascii="Times New Roman" w:hAnsi="Times New Roman" w:cs="Times New Roman" w:eastAsia="Times New Roman" w:hint="default"/>
          <w:sz w:val="18"/>
          <w:szCs w:val="18"/>
        </w:rPr>
        <w:t>1</w:t>
      </w:r>
      <w:r>
        <w:rPr>
          <w:rFonts w:ascii="宋体" w:hAnsi="宋体" w:cs="宋体" w:eastAsia="宋体" w:hint="default"/>
          <w:sz w:val="18"/>
          <w:szCs w:val="18"/>
        </w:rPr>
        <w:t>次会议，对非独立董事候选人王毅先生进行了资格审查，并提交董事会审议。</w:t>
      </w:r>
    </w:p>
    <w:p>
      <w:pPr>
        <w:spacing w:line="307" w:lineRule="auto" w:before="74"/>
        <w:ind w:left="513"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、董事会薪酬委员会履职情况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报告期内，薪酬委员会召开了</w:t>
      </w:r>
      <w:r>
        <w:rPr>
          <w:rFonts w:ascii="Times New Roman" w:hAnsi="Times New Roman" w:cs="Times New Roman" w:eastAsia="Times New Roman" w:hint="default"/>
          <w:sz w:val="18"/>
          <w:szCs w:val="18"/>
        </w:rPr>
        <w:t>2</w:t>
      </w:r>
      <w:r>
        <w:rPr>
          <w:rFonts w:ascii="宋体" w:hAnsi="宋体" w:cs="宋体" w:eastAsia="宋体" w:hint="default"/>
          <w:sz w:val="18"/>
          <w:szCs w:val="18"/>
        </w:rPr>
        <w:t>次会议，对公司第三届董事、监事津贴方案进行审议，并对现任的董事、高级管理人员</w:t>
      </w:r>
    </w:p>
    <w:p>
      <w:pPr>
        <w:pStyle w:val="BodyText"/>
        <w:spacing w:line="240" w:lineRule="auto" w:before="15"/>
        <w:ind w:left="153" w:right="0"/>
        <w:jc w:val="left"/>
      </w:pPr>
      <w:r>
        <w:rPr/>
        <w:t>的</w:t>
      </w:r>
      <w:r>
        <w:rPr>
          <w:rFonts w:ascii="Times New Roman" w:hAnsi="Times New Roman" w:cs="Times New Roman" w:eastAsia="Times New Roman" w:hint="default"/>
        </w:rPr>
        <w:t>2013</w:t>
      </w:r>
      <w:r>
        <w:rPr/>
        <w:t>年度实际发放薪酬进行了审核，认为公司现任董事、高级管理人员的薪酬相对合理，符合公司发展现状。</w:t>
      </w:r>
    </w:p>
    <w:p>
      <w:pPr>
        <w:spacing w:line="240" w:lineRule="auto" w:before="1"/>
        <w:rPr>
          <w:rFonts w:ascii="宋体" w:hAnsi="宋体" w:cs="宋体" w:eastAsia="宋体" w:hint="default"/>
          <w:sz w:val="22"/>
          <w:szCs w:val="22"/>
        </w:rPr>
      </w:pPr>
    </w:p>
    <w:p>
      <w:pPr>
        <w:pStyle w:val="Heading2"/>
        <w:spacing w:line="240" w:lineRule="auto"/>
        <w:ind w:right="0"/>
        <w:jc w:val="left"/>
        <w:rPr>
          <w:b w:val="0"/>
          <w:bCs w:val="0"/>
        </w:rPr>
      </w:pPr>
      <w:bookmarkStart w:name="五、监事会工作情况" w:id="129"/>
      <w:bookmarkEnd w:id="129"/>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公司相对于控股股东在业务、人员、资产、机构、财务等方面的独立完整情况" w:id="130"/>
      <w:bookmarkEnd w:id="130"/>
      <w:r>
        <w:rPr>
          <w:b w:val="0"/>
          <w:bCs w:val="0"/>
        </w:rPr>
      </w:r>
      <w:r>
        <w:rPr/>
        <w:t>六、公司相对于控股股东在业务、人员、资产、机构、财务等方面的独立完整情况</w:t>
      </w:r>
      <w:r>
        <w:rPr>
          <w:b w:val="0"/>
          <w:bCs w:val="0"/>
        </w:rPr>
      </w:r>
    </w:p>
    <w:p>
      <w:pPr>
        <w:spacing w:line="240" w:lineRule="auto" w:before="2"/>
        <w:rPr>
          <w:rFonts w:ascii="宋体" w:hAnsi="宋体" w:cs="宋体" w:eastAsia="宋体" w:hint="default"/>
          <w:b/>
          <w:bCs/>
          <w:sz w:val="29"/>
          <w:szCs w:val="29"/>
        </w:rPr>
      </w:pPr>
    </w:p>
    <w:p>
      <w:pPr>
        <w:pStyle w:val="BodyText"/>
        <w:spacing w:line="326" w:lineRule="auto"/>
        <w:ind w:left="153" w:right="1132" w:firstLine="360"/>
        <w:jc w:val="both"/>
      </w:pPr>
      <w:r>
        <w:rPr>
          <w:spacing w:val="-2"/>
        </w:rPr>
        <w:t>公司自设立以来，严格按照《公司法》、《公司章程》及其他法律法规的要求规范运作，公司与控股股东大丰市东润投</w:t>
      </w:r>
      <w:r>
        <w:rPr/>
        <w:t> </w:t>
      </w:r>
      <w:r>
        <w:rPr>
          <w:spacing w:val="-2"/>
        </w:rPr>
        <w:t>资管理有限公司在业务、人员、资产、机构、财务上完全分开，拥有独立完整的供应、生产和销售业务系统，具有面向市场</w:t>
      </w:r>
      <w:r>
        <w:rPr>
          <w:spacing w:val="-71"/>
        </w:rPr>
        <w:t> </w:t>
      </w:r>
      <w:r>
        <w:rPr>
          <w:spacing w:val="-71"/>
        </w:rPr>
      </w:r>
      <w:r>
        <w:rPr>
          <w:spacing w:val="-2"/>
        </w:rPr>
        <w:t>自主生产经营能力。同时公司控股股东大丰市东润投资管理有限公司未以任何形式占用公司的货币资金或其他资产，不存在</w:t>
      </w:r>
      <w:r>
        <w:rPr>
          <w:spacing w:val="-64"/>
        </w:rPr>
        <w:t> </w:t>
      </w:r>
      <w:r>
        <w:rPr>
          <w:spacing w:val="-64"/>
        </w:rPr>
      </w:r>
      <w:r>
        <w:rPr/>
        <w:t>为其提供担保的情况。</w:t>
      </w:r>
    </w:p>
    <w:p>
      <w:pPr>
        <w:pStyle w:val="BodyText"/>
        <w:spacing w:line="364" w:lineRule="auto" w:before="59"/>
        <w:ind w:right="0" w:firstLine="1"/>
        <w:jc w:val="left"/>
      </w:pPr>
      <w:r>
        <w:rPr>
          <w:rFonts w:ascii="宋体" w:hAnsi="宋体" w:cs="宋体" w:eastAsia="宋体" w:hint="default"/>
          <w:b/>
          <w:bCs/>
        </w:rPr>
        <w:t>（一）业务独立情况</w:t>
      </w:r>
      <w:r>
        <w:rPr>
          <w:rFonts w:ascii="宋体" w:hAnsi="宋体" w:cs="宋体" w:eastAsia="宋体" w:hint="default"/>
          <w:b/>
          <w:bCs/>
          <w:w w:val="99"/>
        </w:rPr>
        <w:t> </w:t>
      </w:r>
      <w:r>
        <w:rPr>
          <w:spacing w:val="-2"/>
        </w:rPr>
        <w:t>公司主要从事的业务为热处理设备的研发、生产和销售，以及为机械制造企业提供金属零件的专业热处理加工服务。本</w:t>
      </w:r>
    </w:p>
    <w:p>
      <w:pPr>
        <w:pStyle w:val="BodyText"/>
        <w:spacing w:line="328" w:lineRule="auto"/>
        <w:ind w:left="153" w:right="0"/>
        <w:jc w:val="left"/>
      </w:pPr>
      <w:r>
        <w:rPr>
          <w:spacing w:val="-2"/>
        </w:rPr>
        <w:t>公司及公司控股的下属子公司拥有独立的生产及辅助生产系统、采购和销售系统以及独立的研发体系。公司自主经营，业务</w:t>
      </w:r>
      <w:r>
        <w:rPr>
          <w:spacing w:val="-66"/>
        </w:rPr>
        <w:t> </w:t>
      </w:r>
      <w:r>
        <w:rPr>
          <w:spacing w:val="-66"/>
        </w:rPr>
      </w:r>
      <w:r>
        <w:rPr/>
        <w:t>不依赖于控股股东，也不存在与控股股东之间的同业竞争与关联交易。</w:t>
      </w:r>
    </w:p>
    <w:p>
      <w:pPr>
        <w:pStyle w:val="BodyText"/>
        <w:spacing w:line="364" w:lineRule="auto" w:before="58"/>
        <w:ind w:right="0" w:firstLine="1"/>
        <w:jc w:val="left"/>
      </w:pPr>
      <w:r>
        <w:rPr>
          <w:rFonts w:ascii="宋体" w:hAnsi="宋体" w:cs="宋体" w:eastAsia="宋体" w:hint="default"/>
          <w:b/>
          <w:bCs/>
        </w:rPr>
        <w:t>（二）人员独立情况</w:t>
      </w:r>
      <w:r>
        <w:rPr>
          <w:rFonts w:ascii="宋体" w:hAnsi="宋体" w:cs="宋体" w:eastAsia="宋体" w:hint="default"/>
          <w:b/>
          <w:bCs/>
          <w:spacing w:val="1"/>
          <w:w w:val="99"/>
        </w:rPr>
        <w:t> </w:t>
      </w:r>
      <w:r>
        <w:rPr>
          <w:spacing w:val="-2"/>
        </w:rPr>
        <w:t>公司在劳动、人事及工资管理等方面完全独立。公司高级管理人员均专职在公司工作并领取薪酬，未在控股股东单位担</w:t>
      </w:r>
    </w:p>
    <w:p>
      <w:pPr>
        <w:pStyle w:val="BodyText"/>
        <w:spacing w:line="326" w:lineRule="auto"/>
        <w:ind w:left="153" w:right="0"/>
        <w:jc w:val="left"/>
      </w:pPr>
      <w:r>
        <w:rPr>
          <w:spacing w:val="-2"/>
        </w:rPr>
        <w:t>任除董事、监事以外的其他职务，未在控股股东单位领取薪酬。公司董事、监事及高级管理人员的任职，均严格按照《公司</w:t>
      </w:r>
      <w:r>
        <w:rPr>
          <w:spacing w:val="-68"/>
        </w:rPr>
        <w:t> </w:t>
      </w:r>
      <w:r>
        <w:rPr>
          <w:spacing w:val="-68"/>
        </w:rPr>
      </w:r>
      <w:r>
        <w:rPr>
          <w:spacing w:val="-4"/>
        </w:rPr>
        <w:t>法》、《公司章程》等规定的程序推选和任免，不存在控股股东超越公司股东大会、董事会和《公司章程》的规定，对董事、</w:t>
      </w:r>
      <w:r>
        <w:rPr>
          <w:spacing w:val="-49"/>
        </w:rPr>
        <w:t> </w:t>
      </w:r>
      <w:r>
        <w:rPr>
          <w:spacing w:val="-49"/>
        </w:rPr>
      </w:r>
      <w:r>
        <w:rPr/>
        <w:t>监事及高级管理人员作出人事任免决定的情形。</w:t>
      </w:r>
    </w:p>
    <w:p>
      <w:pPr>
        <w:pStyle w:val="BodyText"/>
        <w:spacing w:line="364" w:lineRule="auto" w:before="59"/>
        <w:ind w:right="0" w:firstLine="1"/>
        <w:jc w:val="left"/>
      </w:pPr>
      <w:r>
        <w:rPr>
          <w:rFonts w:ascii="宋体" w:hAnsi="宋体" w:cs="宋体" w:eastAsia="宋体" w:hint="default"/>
          <w:b/>
          <w:bCs/>
        </w:rPr>
        <w:t>（三）资产独立情况</w:t>
      </w:r>
      <w:r>
        <w:rPr>
          <w:rFonts w:ascii="宋体" w:hAnsi="宋体" w:cs="宋体" w:eastAsia="宋体" w:hint="default"/>
          <w:b/>
          <w:bCs/>
          <w:w w:val="99"/>
        </w:rPr>
        <w:t> </w:t>
      </w:r>
      <w:r>
        <w:rPr>
          <w:spacing w:val="-2"/>
        </w:rPr>
        <w:t>公司拥有独立完整的研发、采购、生产、销售系统及辅助生产设施，拥有与业务及生产经营相关的房产、生产经营设备</w:t>
      </w:r>
    </w:p>
    <w:p>
      <w:pPr>
        <w:pStyle w:val="BodyText"/>
        <w:spacing w:line="326" w:lineRule="auto"/>
        <w:ind w:left="153" w:right="0"/>
        <w:jc w:val="left"/>
      </w:pPr>
      <w:r>
        <w:rPr>
          <w:spacing w:val="-2"/>
        </w:rPr>
        <w:t>等固定资产和土地使用权、商标、专利、专有技术等无形资产，独立于控股股东及其他发起人。公司不存在控股股东违规占</w:t>
      </w:r>
      <w:r>
        <w:rPr>
          <w:spacing w:val="-66"/>
        </w:rPr>
        <w:t> </w:t>
      </w:r>
      <w:r>
        <w:rPr>
          <w:spacing w:val="-66"/>
        </w:rPr>
      </w:r>
      <w:r>
        <w:rPr>
          <w:spacing w:val="-4"/>
        </w:rPr>
        <w:t>用本公司资金、资产和其他资源的情形，不存在以承包、委托经营、租赁或其他类似方式依赖控股股东进行生产经营的情况。</w:t>
      </w:r>
      <w:r>
        <w:rPr>
          <w:spacing w:val="-46"/>
        </w:rPr>
        <w:t> </w:t>
      </w:r>
      <w:r>
        <w:rPr>
          <w:spacing w:val="-46"/>
        </w:rPr>
      </w:r>
      <w:r>
        <w:rPr/>
        <w:t>公司原材料采购和产品销售均由本公司独立面向市场自主完成，未依赖控股股东，产购销系统独立完整。</w:t>
      </w:r>
    </w:p>
    <w:p>
      <w:pPr>
        <w:pStyle w:val="BodyText"/>
        <w:spacing w:line="364" w:lineRule="auto" w:before="59"/>
        <w:ind w:right="0" w:firstLine="1"/>
        <w:jc w:val="left"/>
      </w:pPr>
      <w:r>
        <w:rPr>
          <w:rFonts w:ascii="宋体" w:hAnsi="宋体" w:cs="宋体" w:eastAsia="宋体" w:hint="default"/>
          <w:b/>
          <w:bCs/>
        </w:rPr>
        <w:t>（四）机构独立情况</w:t>
      </w:r>
      <w:r>
        <w:rPr>
          <w:rFonts w:ascii="宋体" w:hAnsi="宋体" w:cs="宋体" w:eastAsia="宋体" w:hint="default"/>
          <w:b/>
          <w:bCs/>
          <w:w w:val="99"/>
        </w:rPr>
        <w:t> </w:t>
      </w:r>
      <w:r>
        <w:rPr>
          <w:spacing w:val="-6"/>
        </w:rPr>
        <w:t>公司建立健全了包括股东大会、董事会、监事会、总经理办公会相互制衡的法人治理结构，并严格按照《公司法》、《公</w:t>
      </w:r>
    </w:p>
    <w:p>
      <w:pPr>
        <w:pStyle w:val="BodyText"/>
        <w:spacing w:line="309" w:lineRule="auto"/>
        <w:ind w:left="153" w:right="0"/>
        <w:jc w:val="left"/>
      </w:pPr>
      <w:r>
        <w:rPr>
          <w:spacing w:val="-2"/>
        </w:rPr>
        <w:t>司章程》及《议事规则》的规定履行各自的职责；公司根据生产经营管理需要设置了完全独立于控股股东的</w:t>
      </w:r>
      <w:r>
        <w:rPr>
          <w:rFonts w:ascii="Times New Roman" w:hAnsi="Times New Roman" w:cs="Times New Roman" w:eastAsia="Times New Roman" w:hint="default"/>
          <w:spacing w:val="-2"/>
        </w:rPr>
        <w:t>16</w:t>
      </w:r>
      <w:r>
        <w:rPr>
          <w:spacing w:val="-2"/>
        </w:rPr>
        <w:t>个职能部门的</w:t>
      </w:r>
      <w:r>
        <w:rPr>
          <w:spacing w:val="-64"/>
        </w:rPr>
        <w:t> </w:t>
      </w:r>
      <w:r>
        <w:rPr/>
        <w:t>内部组织机构。公司独立行使经营管理职权，与控股股东之间不存在机构混同的情形。</w:t>
      </w:r>
    </w:p>
    <w:p>
      <w:pPr>
        <w:pStyle w:val="BodyText"/>
        <w:spacing w:line="364" w:lineRule="auto" w:before="72"/>
        <w:ind w:right="1213" w:firstLine="1"/>
        <w:jc w:val="left"/>
      </w:pPr>
      <w:r>
        <w:rPr>
          <w:rFonts w:ascii="宋体" w:hAnsi="宋体" w:cs="宋体" w:eastAsia="宋体" w:hint="default"/>
          <w:b/>
          <w:bCs/>
        </w:rPr>
        <w:t>（五）财务独立情况</w:t>
      </w:r>
      <w:r>
        <w:rPr>
          <w:rFonts w:ascii="宋体" w:hAnsi="宋体" w:cs="宋体" w:eastAsia="宋体" w:hint="default"/>
          <w:b/>
          <w:bCs/>
          <w:w w:val="99"/>
        </w:rPr>
        <w:t> </w:t>
      </w:r>
      <w:r>
        <w:rPr/>
        <w:t>公司设立了独立于控股股东及其他发起人的财务会计部门和内部审计部门，建立了独立的会计核算体系和财务管理制</w:t>
      </w:r>
    </w:p>
    <w:p>
      <w:pPr>
        <w:pStyle w:val="BodyText"/>
        <w:spacing w:line="326" w:lineRule="auto"/>
        <w:ind w:left="153" w:right="0"/>
        <w:jc w:val="left"/>
      </w:pPr>
      <w:r>
        <w:rPr>
          <w:spacing w:val="-2"/>
        </w:rPr>
        <w:t>度。公司独立核算对外采购、对外销售等经济业务，以独立法人的地位对外编制会计报表。公司独立作出财务决策，独立在</w:t>
      </w:r>
      <w:r>
        <w:rPr>
          <w:spacing w:val="-66"/>
        </w:rPr>
        <w:t> </w:t>
      </w:r>
      <w:r>
        <w:rPr>
          <w:spacing w:val="-66"/>
        </w:rPr>
      </w:r>
      <w:r>
        <w:rPr>
          <w:spacing w:val="-2"/>
        </w:rPr>
        <w:t>银行开户，依法独立进行纳税申报和履行纳税义务。公司独立对外签订合同，不受股东和关联方的影响。公司不存在为控股</w:t>
      </w:r>
    </w:p>
    <w:p>
      <w:pPr>
        <w:spacing w:after="0" w:line="326" w:lineRule="auto"/>
        <w:jc w:val="left"/>
        <w:sectPr>
          <w:pgSz w:w="11910" w:h="16840"/>
          <w:pgMar w:header="691" w:footer="979" w:top="1100" w:bottom="1160" w:left="980" w:right="0"/>
        </w:sectPr>
      </w:pPr>
    </w:p>
    <w:p>
      <w:pPr>
        <w:spacing w:line="240" w:lineRule="auto" w:before="8"/>
        <w:rPr>
          <w:rFonts w:ascii="宋体" w:hAnsi="宋体" w:cs="宋体" w:eastAsia="宋体" w:hint="default"/>
          <w:sz w:val="24"/>
          <w:szCs w:val="24"/>
        </w:rPr>
      </w:pPr>
    </w:p>
    <w:p>
      <w:pPr>
        <w:pStyle w:val="BodyText"/>
        <w:spacing w:line="240" w:lineRule="auto" w:before="44"/>
        <w:ind w:left="154" w:right="0"/>
        <w:jc w:val="left"/>
      </w:pPr>
      <w:r>
        <w:rPr/>
        <w:t>股东提供担保，也不存在将本公司的借款转借给控股股东及其他发起人使用的情形。</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同业竞争情况" w:id="131"/>
      <w:bookmarkEnd w:id="131"/>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32"/>
      <w:bookmarkEnd w:id="132"/>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9"/>
          <w:szCs w:val="29"/>
        </w:rPr>
      </w:pPr>
    </w:p>
    <w:p>
      <w:pPr>
        <w:pStyle w:val="BodyText"/>
        <w:spacing w:line="326" w:lineRule="auto"/>
        <w:ind w:left="153" w:right="0" w:firstLine="360"/>
        <w:jc w:val="left"/>
      </w:pPr>
      <w:r>
        <w:rPr>
          <w:spacing w:val="-2"/>
        </w:rPr>
        <w:t>高级管理人员实行年薪制，依据行业薪酬水平、个人岗位职责、公司经营效益等因素确定。年终对高级管理人员的履职</w:t>
      </w:r>
      <w:r>
        <w:rPr/>
        <w:t> 情况和年度实际业绩进行绩效考核，并根据考核情况核发年度绩效薪酬。</w:t>
      </w:r>
      <w:r>
        <w:rPr>
          <w:rFonts w:ascii="Times New Roman" w:hAnsi="Times New Roman" w:cs="Times New Roman" w:eastAsia="Times New Roman" w:hint="default"/>
        </w:rPr>
        <w:t>2014</w:t>
      </w:r>
      <w:r>
        <w:rPr/>
        <w:t>年度高级管理人员的考核均为良好以上。</w:t>
      </w:r>
    </w:p>
    <w:p>
      <w:pPr>
        <w:pStyle w:val="BodyText"/>
        <w:spacing w:line="240" w:lineRule="auto" w:before="39"/>
        <w:ind w:right="0"/>
        <w:jc w:val="left"/>
      </w:pPr>
      <w:r>
        <w:rPr>
          <w:rFonts w:ascii="Times New Roman" w:hAnsi="Times New Roman" w:cs="Times New Roman" w:eastAsia="Times New Roman" w:hint="default"/>
        </w:rPr>
        <w:t>2014</w:t>
      </w:r>
      <w:r>
        <w:rPr/>
        <w:t>年度公司未实行股权激励计划。</w:t>
      </w:r>
    </w:p>
    <w:p>
      <w:pPr>
        <w:spacing w:after="0" w:line="240"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十节 内部控制" w:id="133"/>
      <w:bookmarkEnd w:id="133"/>
      <w:r>
        <w:rPr>
          <w:b w:val="0"/>
          <w:bCs w:val="0"/>
        </w:rPr>
      </w:r>
      <w:bookmarkStart w:name="_bookmark9" w:id="134"/>
      <w:bookmarkEnd w:id="134"/>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5"/>
      <w:bookmarkEnd w:id="135"/>
      <w:r>
        <w:rPr>
          <w:b w:val="0"/>
          <w:bCs w:val="0"/>
        </w:rPr>
      </w:r>
      <w:r>
        <w:rPr/>
        <w:t>一、内部控制建设情况</w:t>
      </w:r>
      <w:r>
        <w:rPr>
          <w:b w:val="0"/>
          <w:bCs w:val="0"/>
        </w:rPr>
      </w:r>
    </w:p>
    <w:p>
      <w:pPr>
        <w:spacing w:line="240" w:lineRule="auto" w:before="3"/>
        <w:rPr>
          <w:rFonts w:ascii="宋体" w:hAnsi="宋体" w:cs="宋体" w:eastAsia="宋体" w:hint="default"/>
          <w:b/>
          <w:bCs/>
          <w:sz w:val="29"/>
          <w:szCs w:val="29"/>
        </w:rPr>
      </w:pPr>
    </w:p>
    <w:p>
      <w:pPr>
        <w:pStyle w:val="BodyText"/>
        <w:spacing w:line="321" w:lineRule="auto"/>
        <w:ind w:left="153" w:right="1033" w:firstLine="360"/>
        <w:jc w:val="left"/>
      </w:pPr>
      <w:r>
        <w:rPr>
          <w:rFonts w:ascii="Times New Roman" w:hAnsi="Times New Roman" w:cs="Times New Roman" w:eastAsia="Times New Roman" w:hint="default"/>
          <w:spacing w:val="-2"/>
        </w:rPr>
        <w:t>1</w:t>
      </w:r>
      <w:r>
        <w:rPr>
          <w:spacing w:val="-2"/>
        </w:rPr>
        <w:t>、公司与控股股东做到了在资产、业务、机构、人员和财务上的完全独立。股东大会、董事会、监事会三会运作规范，</w:t>
      </w:r>
      <w:r>
        <w:rPr/>
        <w:t> </w:t>
      </w:r>
      <w:r>
        <w:rPr>
          <w:spacing w:val="-4"/>
        </w:rPr>
        <w:t>各司其职。公司管理层对内部控制制度的制定和实施非常重视，先后制定了一系列规范的内部控制制度。公司已在财务管理、</w:t>
      </w:r>
      <w:r>
        <w:rPr>
          <w:spacing w:val="-44"/>
        </w:rPr>
        <w:t> </w:t>
      </w:r>
      <w:r>
        <w:rPr>
          <w:spacing w:val="-44"/>
        </w:rPr>
      </w:r>
      <w:r>
        <w:rPr>
          <w:spacing w:val="-2"/>
        </w:rPr>
        <w:t>投资管理、人力资源管理、信息化管理、采购及供应管理等方面建立起了较为完善合理的内部控制制度，并在生产经营活动</w:t>
      </w:r>
      <w:r>
        <w:rPr>
          <w:spacing w:val="-66"/>
        </w:rPr>
        <w:t> </w:t>
      </w:r>
      <w:r>
        <w:rPr>
          <w:spacing w:val="-66"/>
        </w:rPr>
      </w:r>
      <w:r>
        <w:rPr/>
        <w:t>中得到了一贯的、严格的执行。公司定期对各部门工作情况进行考核，保证各执行者能胜任本职工作，并具有工作责任心、 事业心及诚实的工作态度。</w:t>
      </w:r>
    </w:p>
    <w:p>
      <w:pPr>
        <w:pStyle w:val="BodyText"/>
        <w:spacing w:line="321" w:lineRule="auto" w:before="142"/>
        <w:ind w:left="153" w:right="1131" w:firstLine="360"/>
        <w:jc w:val="both"/>
      </w:pPr>
      <w:r>
        <w:rPr>
          <w:rFonts w:ascii="Times New Roman" w:hAnsi="Times New Roman" w:cs="Times New Roman" w:eastAsia="Times New Roman" w:hint="default"/>
        </w:rPr>
        <w:t>2</w:t>
      </w:r>
      <w:r>
        <w:rPr/>
        <w:t>、规范高效的组织机构是公司加强内部控制的根本保证。股东大会是公司的最高权力机构；董事会是公司的决策执行 </w:t>
      </w:r>
      <w:r>
        <w:rPr>
          <w:spacing w:val="-2"/>
        </w:rPr>
        <w:t>机构，对股东大会负责；公司总经理由董事会聘任或解聘，负责公司的日常经营活动，并对董事会负责；监事会负责检查公</w:t>
      </w:r>
      <w:r>
        <w:rPr>
          <w:spacing w:val="-66"/>
        </w:rPr>
        <w:t> </w:t>
      </w:r>
      <w:r>
        <w:rPr>
          <w:spacing w:val="-66"/>
        </w:rPr>
      </w:r>
      <w:r>
        <w:rPr>
          <w:spacing w:val="-2"/>
        </w:rPr>
        <w:t>司财务运作情况并对董事会及高级管理人员进行监督。内部审计部、财务中心等各职能部门作为公司内部控制执行部门，在</w:t>
      </w:r>
      <w:r>
        <w:rPr>
          <w:spacing w:val="-65"/>
        </w:rPr>
        <w:t> </w:t>
      </w:r>
      <w:r>
        <w:rPr>
          <w:spacing w:val="-65"/>
        </w:rPr>
      </w:r>
      <w:r>
        <w:rPr>
          <w:spacing w:val="-2"/>
        </w:rPr>
        <w:t>日常工作中对公司财务活动、经济活动、生产活动、监督活动进行内部控制。公司针对不同的情况，采用相应的管理政策与</w:t>
      </w:r>
      <w:r>
        <w:rPr>
          <w:spacing w:val="-66"/>
        </w:rPr>
        <w:t> </w:t>
      </w:r>
      <w:r>
        <w:rPr>
          <w:spacing w:val="-66"/>
        </w:rPr>
      </w:r>
      <w:r>
        <w:rPr/>
        <w:t>措施，保证了内部控制制度的切实执行，并认真对内部控制制度进行有效的评价。</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二、董事会关于内部控制责任的声明" w:id="136"/>
      <w:bookmarkEnd w:id="136"/>
      <w:r>
        <w:rPr>
          <w:b w:val="0"/>
          <w:bCs w:val="0"/>
        </w:rPr>
      </w:r>
      <w:r>
        <w:rPr/>
        <w:t>二、董事会关于内部控制责任的声明</w:t>
      </w:r>
      <w:r>
        <w:rPr>
          <w:b w:val="0"/>
          <w:bCs w:val="0"/>
        </w:rPr>
      </w:r>
    </w:p>
    <w:p>
      <w:pPr>
        <w:spacing w:line="240" w:lineRule="auto" w:before="2"/>
        <w:rPr>
          <w:rFonts w:ascii="宋体" w:hAnsi="宋体" w:cs="宋体" w:eastAsia="宋体" w:hint="default"/>
          <w:b/>
          <w:bCs/>
          <w:sz w:val="29"/>
          <w:szCs w:val="29"/>
        </w:rPr>
      </w:pPr>
    </w:p>
    <w:p>
      <w:pPr>
        <w:pStyle w:val="BodyText"/>
        <w:spacing w:line="326" w:lineRule="auto"/>
        <w:ind w:left="153" w:right="0" w:firstLine="357"/>
        <w:jc w:val="left"/>
      </w:pPr>
      <w:r>
        <w:rPr>
          <w:spacing w:val="-2"/>
        </w:rPr>
        <w:t>公司董事会及全体董事保证内部控制报告内容不存在任何虚假记载、误导性陈述或重大遗漏，并对其内容的真实性、准</w:t>
      </w:r>
      <w:r>
        <w:rPr/>
        <w:t> 确性和完整性承担个别及连带法律责任。</w:t>
      </w:r>
    </w:p>
    <w:p>
      <w:pPr>
        <w:pStyle w:val="BodyText"/>
        <w:spacing w:line="326" w:lineRule="auto" w:before="140"/>
        <w:ind w:left="154" w:right="1035" w:firstLine="357"/>
        <w:jc w:val="left"/>
      </w:pPr>
      <w:r>
        <w:rPr/>
        <w:t>公司内部控制的目标是合理保证经营管理合法合规、资产安全、财务报告及相关信息真实完整，提高经营效率和效果， </w:t>
      </w:r>
      <w:r>
        <w:rPr>
          <w:spacing w:val="-2"/>
        </w:rPr>
        <w:t>促进实现发展战略。由于内部控制存在的固有局限性，故仅能为实现上述目标提供合理保证。此外，由于情况的变化可能导</w:t>
      </w:r>
      <w:r>
        <w:rPr>
          <w:spacing w:val="-66"/>
        </w:rPr>
        <w:t> </w:t>
      </w:r>
      <w:r>
        <w:rPr>
          <w:spacing w:val="-66"/>
        </w:rPr>
      </w:r>
      <w:r>
        <w:rPr>
          <w:spacing w:val="-2"/>
        </w:rPr>
        <w:t>致内部控制变得不恰当，或对控制政策和程序遵循的程序降低，根据内部控制评价结果推测未来内部控制的有效性具有一定</w:t>
      </w:r>
      <w:r>
        <w:rPr>
          <w:spacing w:val="-64"/>
        </w:rPr>
        <w:t> </w:t>
      </w:r>
      <w:r>
        <w:rPr>
          <w:spacing w:val="-64"/>
        </w:rPr>
      </w:r>
      <w:r>
        <w:rPr/>
        <w:t>的风险。</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三、建立财务报告内部控制的依据" w:id="137"/>
      <w:bookmarkEnd w:id="137"/>
      <w:r>
        <w:rPr>
          <w:b w:val="0"/>
          <w:bCs w:val="0"/>
        </w:rPr>
      </w:r>
      <w:r>
        <w:rPr/>
        <w:t>三、建立财务报告内部控制的依据</w:t>
      </w:r>
      <w:r>
        <w:rPr>
          <w:b w:val="0"/>
          <w:bCs w:val="0"/>
        </w:rPr>
      </w:r>
    </w:p>
    <w:p>
      <w:pPr>
        <w:spacing w:line="240" w:lineRule="auto" w:before="2"/>
        <w:rPr>
          <w:rFonts w:ascii="宋体" w:hAnsi="宋体" w:cs="宋体" w:eastAsia="宋体" w:hint="default"/>
          <w:b/>
          <w:bCs/>
          <w:sz w:val="29"/>
          <w:szCs w:val="29"/>
        </w:rPr>
      </w:pPr>
    </w:p>
    <w:p>
      <w:pPr>
        <w:pStyle w:val="BodyText"/>
        <w:spacing w:line="328" w:lineRule="auto"/>
        <w:ind w:left="154" w:right="0" w:firstLine="357"/>
        <w:jc w:val="left"/>
      </w:pPr>
      <w:r>
        <w:rPr>
          <w:spacing w:val="-2"/>
        </w:rPr>
        <w:t>公司依据《公司法》、《会计法》、《企业会计准则》和《企业内部控制基本规范》以及监管部门的相关规范性文件为</w:t>
      </w:r>
      <w:r>
        <w:rPr/>
        <w:t> 依据，建立了财务报告内部控制。报告期内，公司财务报告内部控制不存在重大缺陷。</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内部控制评价报告" w:id="138"/>
      <w:bookmarkEnd w:id="138"/>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报告期内公司不存在内部控制重大缺陷、重要缺陷。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39"/>
      <w:bookmarkEnd w:id="139"/>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691"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六、年度报告重大差错责任追究制度的建立与执行情况" w:id="140"/>
      <w:bookmarkEnd w:id="140"/>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0" w:firstLine="360"/>
        <w:jc w:val="left"/>
      </w:pPr>
      <w:r>
        <w:rPr>
          <w:spacing w:val="-2"/>
        </w:rPr>
        <w:t>公司严格按照中国证监会、深圳证券交易所等监管部门的要求，建立了《年报信息披露重大差错责任追究制度》，并就</w:t>
      </w:r>
      <w:r>
        <w:rPr/>
        <w:t> 年报信息披露重大差错责任追究做了明确规定。报告期内，公司未发生重大会计差错更正、重大遗漏信息补充等情况。</w:t>
      </w:r>
    </w:p>
    <w:p>
      <w:pPr>
        <w:spacing w:after="0" w:line="319" w:lineRule="auto"/>
        <w:jc w:val="left"/>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608" w:right="0"/>
        <w:jc w:val="left"/>
        <w:rPr>
          <w:b w:val="0"/>
          <w:bCs w:val="0"/>
        </w:rPr>
      </w:pPr>
      <w:bookmarkStart w:name="第十一节 财务报告" w:id="141"/>
      <w:bookmarkEnd w:id="141"/>
      <w:r>
        <w:rPr>
          <w:b w:val="0"/>
          <w:bCs w:val="0"/>
        </w:rPr>
      </w:r>
      <w:bookmarkStart w:name="_bookmark10" w:id="142"/>
      <w:bookmarkEnd w:id="14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3"/>
      <w:bookmarkEnd w:id="143"/>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冯家俊、郑珮</w:t>
            </w:r>
          </w:p>
        </w:tc>
      </w:tr>
    </w:tbl>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691"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4"/>
          <w:szCs w:val="14"/>
        </w:rPr>
      </w:pPr>
    </w:p>
    <w:p>
      <w:pPr>
        <w:pStyle w:val="Heading4"/>
        <w:spacing w:line="240" w:lineRule="auto"/>
        <w:ind w:left="153" w:right="0"/>
        <w:jc w:val="left"/>
        <w:rPr>
          <w:b w:val="0"/>
          <w:bCs w:val="0"/>
        </w:rPr>
      </w:pPr>
      <w:r>
        <w:rPr>
          <w:w w:val="95"/>
        </w:rPr>
        <w:t>江苏丰东热技术股份有限公司全体股东：</w:t>
      </w:r>
      <w:r>
        <w:rPr>
          <w:b w:val="0"/>
          <w:bCs w:val="0"/>
        </w:rPr>
      </w:r>
    </w:p>
    <w:p>
      <w:pPr>
        <w:pStyle w:val="Heading2"/>
        <w:spacing w:line="240" w:lineRule="auto" w:before="26"/>
        <w:ind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440" w:bottom="0" w:left="980" w:right="0"/>
          <w:cols w:num="2" w:equalWidth="0">
            <w:col w:w="3404" w:space="692"/>
            <w:col w:w="6834"/>
          </w:cols>
        </w:sectPr>
      </w:pPr>
    </w:p>
    <w:p>
      <w:pPr>
        <w:spacing w:line="240" w:lineRule="auto" w:before="4"/>
        <w:rPr>
          <w:rFonts w:ascii="宋体" w:hAnsi="宋体" w:cs="宋体" w:eastAsia="宋体" w:hint="default"/>
          <w:b/>
          <w:bCs/>
          <w:sz w:val="26"/>
          <w:szCs w:val="26"/>
        </w:rPr>
      </w:pPr>
    </w:p>
    <w:p>
      <w:pPr>
        <w:pStyle w:val="BodyText"/>
        <w:spacing w:line="300" w:lineRule="auto" w:before="44"/>
        <w:ind w:left="153" w:right="1132" w:firstLine="290"/>
        <w:jc w:val="both"/>
      </w:pPr>
      <w:r>
        <w:rPr>
          <w:spacing w:val="-1"/>
        </w:rPr>
        <w:t>我们审计了后附的江苏丰东热技术股份有限公司（以下简称“丰东股份”）财务报表，包括</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w:t>
      </w:r>
      <w:r>
        <w:rPr/>
        <w:t> </w:t>
      </w:r>
      <w:r>
        <w:rPr>
          <w:spacing w:val="-2"/>
        </w:rPr>
        <w:t>司资产负债表，</w:t>
      </w:r>
      <w:r>
        <w:rPr>
          <w:rFonts w:ascii="Times New Roman" w:hAnsi="Times New Roman" w:cs="Times New Roman" w:eastAsia="Times New Roman" w:hint="default"/>
          <w:spacing w:val="-2"/>
        </w:rPr>
        <w:t>2014</w:t>
      </w:r>
      <w:r>
        <w:rPr>
          <w:spacing w:val="-2"/>
        </w:rPr>
        <w:t>年度的合并及公司利润表、合并及公司现金流量表、合并所有者权益变动表及公司所有者权益变动表以</w:t>
      </w:r>
      <w:r>
        <w:rPr>
          <w:spacing w:val="-62"/>
        </w:rPr>
        <w:t> </w:t>
      </w:r>
      <w:r>
        <w:rPr>
          <w:spacing w:val="-62"/>
        </w:rPr>
      </w:r>
      <w:r>
        <w:rPr/>
        <w:t>及财务报表附注。</w:t>
      </w:r>
    </w:p>
    <w:p>
      <w:pPr>
        <w:spacing w:line="240" w:lineRule="auto" w:before="3"/>
        <w:rPr>
          <w:rFonts w:ascii="宋体" w:hAnsi="宋体" w:cs="宋体" w:eastAsia="宋体" w:hint="default"/>
          <w:sz w:val="26"/>
          <w:szCs w:val="26"/>
        </w:rPr>
      </w:pPr>
    </w:p>
    <w:p>
      <w:pPr>
        <w:spacing w:line="319" w:lineRule="auto" w:before="0"/>
        <w:ind w:left="588" w:right="0" w:hanging="126"/>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编制和公允列报财务报表是丰东股份管理层的责任，这种责任包括：</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按照企业会计准则的规定编制合并及公司财务</w:t>
      </w:r>
    </w:p>
    <w:p>
      <w:pPr>
        <w:pStyle w:val="BodyText"/>
        <w:spacing w:line="246" w:lineRule="exact"/>
        <w:ind w:left="153" w:right="0"/>
        <w:jc w:val="left"/>
      </w:pPr>
      <w:r>
        <w:rPr/>
        <w:t>报表，并使其实现公允反映；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27" w:right="1199" w:hanging="65"/>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我们的责任是在执行审计工作的基础上对财务报表发表审计意见。我们按照中国注册会计师审计准则的规定执行了审</w:t>
      </w:r>
    </w:p>
    <w:p>
      <w:pPr>
        <w:pStyle w:val="BodyText"/>
        <w:spacing w:line="316" w:lineRule="auto" w:before="19"/>
        <w:ind w:left="154" w:right="0"/>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left="154" w:right="1032" w:firstLine="373"/>
        <w:jc w:val="left"/>
      </w:pPr>
      <w:r>
        <w:rPr>
          <w:spacing w:val="-1"/>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9"/>
        <w:ind w:left="574"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74" w:right="1152" w:hanging="35"/>
        <w:jc w:val="left"/>
      </w:pPr>
      <w:r>
        <w:rPr>
          <w:rFonts w:ascii="宋体" w:hAnsi="宋体" w:cs="宋体" w:eastAsia="宋体" w:hint="default"/>
          <w:b/>
          <w:bCs/>
        </w:rPr>
        <w:t>三、审计意见</w:t>
      </w:r>
      <w:r>
        <w:rPr>
          <w:rFonts w:ascii="宋体" w:hAnsi="宋体" w:cs="宋体" w:eastAsia="宋体" w:hint="default"/>
          <w:b/>
          <w:bCs/>
          <w:w w:val="99"/>
        </w:rPr>
        <w:t> </w:t>
      </w:r>
      <w:r>
        <w:rPr/>
        <w:t>我们认为，丰东股份财务报表在所有重大方面按照企业会计准则的规定编制，公允反映了丰东股份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p>
    <w:p>
      <w:pPr>
        <w:pStyle w:val="BodyText"/>
        <w:tabs>
          <w:tab w:pos="5344" w:val="left" w:leader="none"/>
        </w:tabs>
        <w:spacing w:line="600" w:lineRule="auto"/>
        <w:ind w:left="1236" w:right="3600" w:hanging="1083"/>
        <w:jc w:val="left"/>
      </w:pPr>
      <w:r>
        <w:rPr/>
        <w:t>合并及公司财务状况以及</w:t>
      </w:r>
      <w:r>
        <w:rPr>
          <w:rFonts w:ascii="Times New Roman" w:hAnsi="Times New Roman" w:cs="Times New Roman" w:eastAsia="Times New Roman" w:hint="default"/>
        </w:rPr>
        <w:t>2014</w:t>
      </w:r>
      <w:r>
        <w:rPr/>
        <w:t>年度的合并及公司经营成果和合并及公司现金流量。 众华会计师事务所（特殊普通合伙）</w:t>
        <w:tab/>
        <w:t>中国注册会计师：冯家俊</w:t>
      </w:r>
    </w:p>
    <w:p>
      <w:pPr>
        <w:pStyle w:val="BodyText"/>
        <w:tabs>
          <w:tab w:pos="5312" w:val="left" w:leader="none"/>
          <w:tab w:pos="7147" w:val="left" w:leader="none"/>
        </w:tabs>
        <w:spacing w:line="636" w:lineRule="auto" w:before="119"/>
        <w:ind w:left="5378" w:right="3596" w:hanging="3276"/>
        <w:jc w:val="left"/>
      </w:pPr>
      <w:r>
        <w:rPr>
          <w:spacing w:val="-1"/>
        </w:rPr>
        <w:t>中国，上海</w:t>
        <w:tab/>
        <w:t>中国注册会计师：郑</w:t>
        <w:tab/>
      </w:r>
      <w:r>
        <w:rPr/>
        <w:t>珮</w:t>
      </w:r>
      <w:r>
        <w:rPr/>
        <w:t> 二〇一五年三月十四日</w:t>
      </w:r>
    </w:p>
    <w:p>
      <w:pPr>
        <w:spacing w:after="0" w:line="636" w:lineRule="auto"/>
        <w:jc w:val="left"/>
        <w:sectPr>
          <w:type w:val="continuous"/>
          <w:pgSz w:w="11910" w:h="16840"/>
          <w:pgMar w:top="1440" w:bottom="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0"/>
        <w:jc w:val="left"/>
        <w:rPr>
          <w:b w:val="0"/>
          <w:bCs w:val="0"/>
        </w:rPr>
      </w:pPr>
      <w:bookmarkStart w:name="二、财务报表" w:id="144"/>
      <w:bookmarkEnd w:id="144"/>
      <w:r>
        <w:rPr>
          <w:b w:val="0"/>
          <w:bCs w:val="0"/>
        </w:rPr>
      </w:r>
      <w:r>
        <w:rPr/>
        <w:t>二、财务报表</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53" w:right="0"/>
        <w:jc w:val="left"/>
      </w:pPr>
      <w:r>
        <w:rPr/>
        <w:t>财务附注中报表的单位为：人民币元</w:t>
      </w:r>
    </w:p>
    <w:p>
      <w:pPr>
        <w:spacing w:line="240" w:lineRule="auto" w:before="10"/>
        <w:rPr>
          <w:rFonts w:ascii="宋体" w:hAnsi="宋体" w:cs="宋体" w:eastAsia="宋体" w:hint="default"/>
          <w:sz w:val="23"/>
          <w:szCs w:val="23"/>
        </w:rPr>
      </w:pPr>
    </w:p>
    <w:p>
      <w:pPr>
        <w:pStyle w:val="Heading3"/>
        <w:spacing w:line="240" w:lineRule="auto"/>
        <w:ind w:left="153" w:right="0"/>
        <w:jc w:val="left"/>
        <w:rPr>
          <w:b w:val="0"/>
          <w:bCs w:val="0"/>
        </w:rPr>
      </w:pPr>
      <w:bookmarkStart w:name="1、合并资产负债表" w:id="145"/>
      <w:bookmarkEnd w:id="14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5"/>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691" w:footer="979" w:top="1100" w:bottom="1160" w:left="980" w:right="0"/>
        </w:sectPr>
      </w:pPr>
    </w:p>
    <w:p>
      <w:pPr>
        <w:pStyle w:val="BodyText"/>
        <w:spacing w:line="240" w:lineRule="auto" w:before="44"/>
        <w:ind w:left="153" w:right="-19"/>
        <w:jc w:val="left"/>
      </w:pPr>
      <w:r>
        <w:rPr/>
        <w:t>编制单位：江苏丰东热技术股份有限公司</w:t>
      </w:r>
    </w:p>
    <w:p>
      <w:pPr>
        <w:pStyle w:val="BodyText"/>
        <w:spacing w:line="240" w:lineRule="auto" w:before="81"/>
        <w:ind w:left="153" w:right="-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240" w:lineRule="auto"/>
        <w:ind w:left="153" w:right="0"/>
        <w:jc w:val="left"/>
      </w:pPr>
      <w:r>
        <w:rPr/>
        <w:t>单位：元</w:t>
      </w:r>
    </w:p>
    <w:p>
      <w:pPr>
        <w:spacing w:after="0" w:line="240" w:lineRule="auto"/>
        <w:jc w:val="left"/>
        <w:sectPr>
          <w:type w:val="continuous"/>
          <w:pgSz w:w="11910" w:h="16840"/>
          <w:pgMar w:top="1440" w:bottom="0" w:left="980" w:right="0"/>
          <w:cols w:num="2" w:equalWidth="0">
            <w:col w:w="3395" w:space="552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222,060,206.93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206,510,363.84</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20,323,143.49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25,667,076.35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141,110,483.83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112,354,794.08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15,127,102.85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10,613,791.14</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6,167,122.06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6,463,655.66</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193,150,255.92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151,211,062.30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2,138,655.22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834,830.78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600,076,970.30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513,655,574.15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5,064,131.00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3,010,000.00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91,617,710.83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74,588,550.15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216,606,512.84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210,699,056.15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23,573,670.14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3,788,554.87</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440" w:bottom="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48,108,024.44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35,871,230.08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5,919,293.97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5,919,293.97</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2,155,583.63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1,099,484.89</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8,123,956.42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4,769,450.96</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401,168,883.27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339,745,621.07</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1,001,245,853.57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853,401,195.22</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57,146,755.98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50,579,718.55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128,951,494.84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78,527,568.34</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7,009,152.98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5,553,572.53</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6,797,835.44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2,927,580.37</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63,645.84</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1,019,500.00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1,019,500.00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3,291,202.83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3,915,952.20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224,779,587.91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155,523,891.99</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12,625,234.24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14,695,758.24</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778,912.20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797,987.64</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42,404,146.44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17,493,745.88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267,183,734.35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173,017,637.87</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268,000,000.00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210,377,110.32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209,482,266.23</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24,948,823.31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22,152,958.50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167,422,340.28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150,884,764.29</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670,748,273.91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650,519,989.02</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63,313,845.31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29,863,568.33</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734,062,119.22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680,383,557.35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1,001,245,853.57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853,401,195.22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法定代表人：朱文明</w:t>
        <w:tab/>
        <w:t>主管会计工作负责人：徐仕俊</w:t>
        <w:tab/>
        <w:t>会计机构负责人：徐仕俊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6"/>
      <w:bookmarkEnd w:id="14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146,560,761.31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144,428,697.92</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10,384,797.75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19,306,565.35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86,238,167.10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79,531,787.45</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14,030,882.88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20,171,723.48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195,000.00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9,739,094.33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3,270,323.53</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158,701,006.45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109,842,214.77</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2,138,655.22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834,830.78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427,793,365.04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377,581,143.28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306,355,027.99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253,028,732.31</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93,551,542.60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93,293,265.18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3,160,000.00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21,472,079.59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22,114,868.79</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3,195,944.13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1,174,656.92</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424,574,594.31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372,771,523.20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852,367,959.35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750,352,666.48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36,750,080.04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32,862,414.67</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118,439,679.53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71,477,479.02</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3,669,488.81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3,609,798.22</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1,817,104.08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130,911.16</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63,645.84</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1,494,892.14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1,937,118.59</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500,000.00</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172,734,890.44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110,017,721.66</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10,885,234.24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13,145,758.24</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39,885,234.24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15,145,758.24</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212,620,124.68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125,163,479.90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268,000,000.00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211,266,227.30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211,266,227.30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24,948,823.31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22,152,958.50</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135,532,784.06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123,770,000.78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639,747,834.67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625,189,186.58</w:t>
            </w:r>
          </w:p>
        </w:tc>
      </w:tr>
      <w:tr>
        <w:trPr>
          <w:trHeight w:val="33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852,367,959.35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750,352,666.48</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left="154" w:right="0"/>
        <w:jc w:val="left"/>
      </w:pPr>
      <w:r>
        <w:rPr/>
        <w:t>法定代表人：朱文明</w:t>
        <w:tab/>
        <w:t>主管会计工作负责人：徐仕俊</w:t>
        <w:tab/>
        <w:t>会计机构负责人：徐仕俊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合并利润表" w:id="147"/>
      <w:bookmarkEnd w:id="147"/>
      <w:r>
        <w:rPr>
          <w:b w:val="0"/>
          <w:bCs w:val="0"/>
        </w:rPr>
      </w:r>
      <w:r>
        <w:rPr>
          <w:rFonts w:ascii="Times New Roman" w:hAnsi="Times New Roman" w:cs="Times New Roman" w:eastAsia="Times New Roman" w:hint="default"/>
        </w:rPr>
        <w:t>3</w:t>
      </w:r>
      <w:r>
        <w:rPr/>
        <w:t>、合并利润表</w:t>
      </w:r>
      <w:r>
        <w:rPr>
          <w:b w:val="0"/>
          <w:bCs w:val="0"/>
        </w:rPr>
      </w:r>
    </w:p>
    <w:p>
      <w:pPr>
        <w:pStyle w:val="BodyText"/>
        <w:spacing w:line="240" w:lineRule="auto" w:before="16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38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367,175,382.04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383,443,040.35</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367,175,382.04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383,443,040.35</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341,561,362.35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340,898,705.32</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252,129,423.85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271,849,709.20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3,824,725.31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2,299,159.80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16,856,846.05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16,804,951.35</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65,637,581.04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48,440,035.28</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604,911.74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-1,499,218.97</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2,507,874.36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3,004,068.66</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7,601,617.63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6,854,784.02</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7,517,141.43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6,791,267.62</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33,215,637.32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49,399,119.05</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10,539,431.28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4,577,837.84</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1,857,421.75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49,443.47</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1,189,284.65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1,327,914.98</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96,222.22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92,601.41</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42,565,783.95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52,649,041.91</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7,668,185.24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8,424,086.71</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34,897,598.71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44,224,955.20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32,733,440.80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43,053,161.40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2,164,157.91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1,171,793.80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0"/>
              <w:ind w:left="11" w:right="10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0"/>
              <w:ind w:left="11" w:right="10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34,897,598.71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44,224,955.20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32,733,440.80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43,053,161.40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2,164,157.91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1,171,793.80</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0.16</w:t>
            </w:r>
          </w:p>
        </w:tc>
      </w:tr>
      <w:tr>
        <w:trPr>
          <w:trHeight w:val="31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0.16</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left="154" w:right="0"/>
        <w:jc w:val="left"/>
      </w:pPr>
      <w:r>
        <w:rPr/>
        <w:t>法定代表人：朱文明</w:t>
        <w:tab/>
        <w:t>主管会计工作负责人：徐仕俊</w:t>
        <w:tab/>
        <w:t>会计机构负责人：徐仕俊</w:t>
      </w:r>
    </w:p>
    <w:p>
      <w:pPr>
        <w:spacing w:after="0" w:line="240" w:lineRule="auto"/>
        <w:jc w:val="left"/>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4" w:right="0"/>
        <w:jc w:val="left"/>
        <w:rPr>
          <w:b w:val="0"/>
          <w:bCs w:val="0"/>
        </w:rPr>
      </w:pPr>
      <w:bookmarkStart w:name="4、母公司利润表" w:id="148"/>
      <w:bookmarkEnd w:id="14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33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2"/>
                <w:sz w:val="18"/>
              </w:rPr>
              <w:t>188,920,111.47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239,846,785.55</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141,547,445.55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175,823,565.95</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1,778,127.90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1,166,082.72</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11,376,994.55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12,228,112.94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30,828,638.44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24,444,081.78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w w:val="95"/>
                <w:sz w:val="18"/>
              </w:rPr>
              <w:t>-329,688.26</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-1,810,812.57</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1,990,086.36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2,870,738.30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19,311,458.84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21,150,174.98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5,329,160.68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7,263,465.40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21,039,965.77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46,275,191.41</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10,000,636.94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1,397,413.23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924,307.01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864,281.71</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56,825.24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56,825.24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30,116,295.70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46,808,322.93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2,157,647.61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3,780,003.63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27,958,648.09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43,028,319.30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11" w:right="10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11" w:right="10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27,958,648.09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43,028,319.30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left="154" w:right="0"/>
        <w:jc w:val="left"/>
      </w:pPr>
      <w:r>
        <w:rPr/>
        <w:t>法定代表人：朱文明</w:t>
        <w:tab/>
        <w:t>主管会计工作负责人：徐仕俊</w:t>
        <w:tab/>
        <w:t>会计机构负责人：徐仕俊</w:t>
      </w:r>
    </w:p>
    <w:p>
      <w:pPr>
        <w:spacing w:after="0" w:line="240" w:lineRule="auto"/>
        <w:jc w:val="left"/>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4" w:right="0"/>
        <w:jc w:val="left"/>
        <w:rPr>
          <w:b w:val="0"/>
          <w:bCs w:val="0"/>
        </w:rPr>
      </w:pPr>
      <w:bookmarkStart w:name="5、合并现金流量表" w:id="149"/>
      <w:bookmarkEnd w:id="14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33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458,489,400.84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415,212,116.85</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58"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4,257,718.36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2,532,332.16</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8,328,138.68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13,289,562.43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471,075,257.88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431,034,011.44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268,984,488.78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284,575,398.19</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78,588,656.19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64,049,332.90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46,686,087.62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38,857,847.34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43,153,998.15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42,470,481.78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437,413,230.74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429,953,060.21</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33,662,027.14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1,080,951.23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4,320,600.00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4,736,634.36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2,563,516.40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107,404.96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527,947.51</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3,401,880.00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9,164,639.32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6,493,343.91</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69,223,483.43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24,970,996.84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2,654,131.00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1,890,000.00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71,877,614.43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26,860,996.84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-62,712,975.11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-20,367,652.93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27,678,065.00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138"/>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27,678,065.00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53,500,000.00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66,500,000.00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81,178,065.00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63,000,000.00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17,493,906.95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19,412,424.73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138"/>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569,860.00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1,213,000.00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36,493,906.95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82,412,424.73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44,684,158.05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-12,412,424.73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-83,366.99</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184,321.04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15,549,843.09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-31,514,805.39</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206,510,363.84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238,025,169.23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222,060,206.93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206,510,363.84</w:t>
            </w:r>
          </w:p>
        </w:tc>
      </w:tr>
    </w:tbl>
    <w:p>
      <w:pPr>
        <w:spacing w:line="240" w:lineRule="auto" w:before="6"/>
        <w:rPr>
          <w:rFonts w:ascii="宋体" w:hAnsi="宋体" w:cs="宋体" w:eastAsia="宋体" w:hint="default"/>
          <w:sz w:val="20"/>
          <w:szCs w:val="20"/>
        </w:rPr>
      </w:pPr>
    </w:p>
    <w:p>
      <w:pPr>
        <w:pStyle w:val="BodyText"/>
        <w:tabs>
          <w:tab w:pos="3420" w:val="left" w:leader="none"/>
          <w:tab w:pos="7561" w:val="left" w:leader="none"/>
        </w:tabs>
        <w:spacing w:line="240" w:lineRule="auto" w:before="44"/>
        <w:ind w:left="0" w:right="1229"/>
        <w:jc w:val="right"/>
      </w:pPr>
      <w:r>
        <w:rPr/>
        <w:t>法定代表人：朱文明</w:t>
        <w:tab/>
        <w:t>主管会计工作负责人：徐仕俊</w:t>
        <w:tab/>
        <w:t>会计机构负责人：徐仕俊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母公司现金流量表" w:id="150"/>
      <w:bookmarkEnd w:id="15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278,843,668.96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223,343,836.67</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3,110,002.86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1,818,020.33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6,258,428.38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9,909,217.22</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288,212,100.20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235,071,074.22</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216,883,151.22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163,966,960.60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27,999,139.39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24,798,960.88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20,414,277.44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21,727,758.57</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13,231,926.95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22,514,160.18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278,528,495.00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233,007,840.23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9,683,605.20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2,063,233.99</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4,320,600.00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21,901,400.00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17,477,298.16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15,461,672.88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23,500.00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342,316.10</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3,401,880.00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21,821,398.16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41,107,268.98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10,884,210.42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17,812,900.86</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40,617,735.00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1,890,000.00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51,501,945.42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26,202,900.86</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-29,680,547.26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14,904,368.12</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15,307,870.01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17,144,000.00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15,807,870.01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57,144,000.00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22,192,129.99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-15,144,000.00</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-63,124.54</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193,640.73</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2,132,063.39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2,017,242.84</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144,428,697.92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142,411,455.08</w:t>
            </w:r>
          </w:p>
        </w:tc>
      </w:tr>
      <w:tr>
        <w:trPr>
          <w:trHeight w:val="330"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146,560,761.31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144,428,697.92</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left="154" w:right="0"/>
        <w:jc w:val="left"/>
      </w:pPr>
      <w:r>
        <w:rPr/>
        <w:t>法定代表人：朱文明</w:t>
        <w:tab/>
        <w:t>主管会计工作负责人：徐仕俊</w:t>
        <w:tab/>
        <w:t>会计机构负责人：徐仕俊</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合并所有者权益变动表" w:id="151"/>
      <w:bookmarkEnd w:id="15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3"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38"/>
        <w:gridCol w:w="690"/>
        <w:gridCol w:w="708"/>
        <w:gridCol w:w="708"/>
        <w:gridCol w:w="285"/>
        <w:gridCol w:w="708"/>
        <w:gridCol w:w="568"/>
        <w:gridCol w:w="566"/>
        <w:gridCol w:w="582"/>
        <w:gridCol w:w="664"/>
        <w:gridCol w:w="666"/>
        <w:gridCol w:w="665"/>
        <w:gridCol w:w="665"/>
        <w:gridCol w:w="659"/>
      </w:tblGrid>
      <w:tr>
        <w:trPr>
          <w:trHeight w:val="330"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83"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0" w:type="dxa"/>
            <w:vMerge w:val="restart"/>
            <w:tcBorders>
              <w:top w:val="single" w:sz="4" w:space="0" w:color="000000"/>
              <w:left w:val="single" w:sz="4" w:space="0" w:color="000000"/>
              <w:right w:val="single" w:sz="4" w:space="0" w:color="000000"/>
            </w:tcBorders>
            <w:shd w:val="clear" w:color="auto" w:fill="D2D2D2"/>
          </w:tcPr>
          <w:p>
            <w:pPr/>
          </w:p>
        </w:tc>
        <w:tc>
          <w:tcPr>
            <w:tcW w:w="17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2" w:type="dxa"/>
            <w:vMerge w:val="restart"/>
            <w:tcBorders>
              <w:top w:val="single" w:sz="4" w:space="0" w:color="000000"/>
              <w:left w:val="single" w:sz="4" w:space="0" w:color="000000"/>
              <w:right w:val="single" w:sz="4" w:space="0" w:color="000000"/>
            </w:tcBorders>
            <w:shd w:val="clear" w:color="auto" w:fill="D2D2D2"/>
          </w:tcPr>
          <w:p>
            <w:pPr/>
          </w:p>
        </w:tc>
        <w:tc>
          <w:tcPr>
            <w:tcW w:w="664" w:type="dxa"/>
            <w:vMerge w:val="restart"/>
            <w:tcBorders>
              <w:top w:val="single" w:sz="4" w:space="0" w:color="000000"/>
              <w:left w:val="single" w:sz="4" w:space="0" w:color="000000"/>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140"/>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0"/>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30" w:hRule="exact"/>
        </w:trPr>
        <w:tc>
          <w:tcPr>
            <w:tcW w:w="1438" w:type="dxa"/>
            <w:vMerge/>
            <w:tcBorders>
              <w:left w:val="single" w:sz="4" w:space="0" w:color="000000"/>
              <w:right w:val="single" w:sz="4" w:space="0" w:color="000000"/>
            </w:tcBorders>
            <w:shd w:val="clear" w:color="auto" w:fill="D2D2D2"/>
          </w:tcPr>
          <w:p>
            <w:pPr/>
          </w:p>
        </w:tc>
        <w:tc>
          <w:tcPr>
            <w:tcW w:w="690" w:type="dxa"/>
            <w:vMerge/>
            <w:tcBorders>
              <w:left w:val="single" w:sz="4" w:space="0" w:color="000000"/>
              <w:right w:val="single" w:sz="4" w:space="0" w:color="000000"/>
            </w:tcBorders>
            <w:shd w:val="clear" w:color="auto" w:fill="D2D2D2"/>
          </w:tcPr>
          <w:p>
            <w:pPr/>
          </w:p>
        </w:tc>
        <w:tc>
          <w:tcPr>
            <w:tcW w:w="1701" w:type="dxa"/>
            <w:gridSpan w:val="3"/>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5"/>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2"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9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1701" w:type="dxa"/>
            <w:gridSpan w:val="3"/>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23"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6" w:type="dxa"/>
            <w:vMerge/>
            <w:tcBorders>
              <w:left w:val="single" w:sz="4" w:space="0" w:color="000000"/>
              <w:right w:val="single" w:sz="4" w:space="0" w:color="000000"/>
            </w:tcBorders>
            <w:shd w:val="clear" w:color="auto" w:fill="D2D2D2"/>
          </w:tcPr>
          <w:p>
            <w:pPr/>
          </w:p>
        </w:tc>
        <w:tc>
          <w:tcPr>
            <w:tcW w:w="5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5"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5"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8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5"/>
              <w:ind w:left="48" w:right="45"/>
              <w:jc w:val="left"/>
              <w:rPr>
                <w:rFonts w:ascii="宋体" w:hAnsi="宋体" w:cs="宋体" w:eastAsia="宋体" w:hint="default"/>
                <w:sz w:val="18"/>
                <w:szCs w:val="18"/>
              </w:rPr>
            </w:pPr>
            <w:r>
              <w:rPr>
                <w:rFonts w:ascii="宋体" w:hAnsi="宋体" w:cs="宋体" w:eastAsia="宋体" w:hint="default"/>
                <w:sz w:val="18"/>
                <w:szCs w:val="18"/>
              </w:rPr>
              <w:t>其 他</w:t>
            </w: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82"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71" w:hRule="exact"/>
        </w:trPr>
        <w:tc>
          <w:tcPr>
            <w:tcW w:w="1438" w:type="dxa"/>
            <w:vMerge/>
            <w:tcBorders>
              <w:left w:val="single" w:sz="4" w:space="0" w:color="000000"/>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82"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single" w:sz="16" w:space="0" w:color="FFFFFF"/>
              <w:right w:val="single" w:sz="4" w:space="0" w:color="000000"/>
            </w:tcBorders>
            <w:shd w:val="clear" w:color="auto" w:fill="D2D2D2"/>
          </w:tcPr>
          <w:p>
            <w:pPr/>
          </w:p>
        </w:tc>
        <w:tc>
          <w:tcPr>
            <w:tcW w:w="659" w:type="dxa"/>
            <w:vMerge/>
            <w:tcBorders>
              <w:left w:val="single" w:sz="4" w:space="0" w:color="000000"/>
              <w:bottom w:val="single" w:sz="16" w:space="0" w:color="FFFFFF"/>
              <w:right w:val="single" w:sz="4" w:space="0" w:color="000000"/>
            </w:tcBorders>
            <w:shd w:val="clear" w:color="auto" w:fill="D2D2D2"/>
          </w:tcPr>
          <w:p>
            <w:pPr/>
          </w:p>
        </w:tc>
      </w:tr>
      <w:tr>
        <w:trPr>
          <w:trHeight w:val="157" w:hRule="exact"/>
        </w:trPr>
        <w:tc>
          <w:tcPr>
            <w:tcW w:w="1438" w:type="dxa"/>
            <w:vMerge/>
            <w:tcBorders>
              <w:left w:val="single" w:sz="4" w:space="0" w:color="000000"/>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28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82"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16" w:space="0" w:color="FFFFFF"/>
              <w:left w:val="single" w:sz="4" w:space="0" w:color="000000"/>
              <w:right w:val="single" w:sz="4" w:space="0" w:color="000000"/>
            </w:tcBorders>
            <w:shd w:val="clear" w:color="auto" w:fill="D2D2D2"/>
          </w:tcPr>
          <w:p>
            <w:pPr/>
          </w:p>
        </w:tc>
        <w:tc>
          <w:tcPr>
            <w:tcW w:w="659" w:type="dxa"/>
            <w:vMerge w:val="restart"/>
            <w:tcBorders>
              <w:top w:val="single" w:sz="16" w:space="0" w:color="FFFFFF"/>
              <w:left w:val="single" w:sz="4" w:space="0" w:color="000000"/>
              <w:right w:val="single" w:sz="4" w:space="0" w:color="000000"/>
            </w:tcBorders>
            <w:shd w:val="clear" w:color="auto" w:fill="D2D2D2"/>
          </w:tcPr>
          <w:p>
            <w:pPr/>
          </w:p>
        </w:tc>
      </w:tr>
      <w:tr>
        <w:trPr>
          <w:trHeight w:val="18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9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85"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38"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6"/>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27"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209,482,</w:t>
            </w:r>
          </w:p>
          <w:p>
            <w:pPr>
              <w:pStyle w:val="TableParagraph"/>
              <w:spacing w:line="240" w:lineRule="auto" w:before="34"/>
              <w:ind w:left="156" w:right="0"/>
              <w:jc w:val="center"/>
              <w:rPr>
                <w:rFonts w:ascii="Times New Roman" w:hAnsi="Times New Roman" w:cs="Times New Roman" w:eastAsia="Times New Roman" w:hint="default"/>
                <w:sz w:val="18"/>
                <w:szCs w:val="18"/>
              </w:rPr>
            </w:pPr>
            <w:r>
              <w:rPr>
                <w:rFonts w:ascii="Times New Roman"/>
                <w:sz w:val="18"/>
              </w:rPr>
              <w:t>266.23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22" w:space="0" w:color="D2D2D2"/>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22,152,</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958.50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150,884</w:t>
            </w:r>
          </w:p>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,764.29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29,863,</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568.33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 w:right="0"/>
              <w:jc w:val="left"/>
              <w:rPr>
                <w:rFonts w:ascii="Times New Roman" w:hAnsi="Times New Roman" w:cs="Times New Roman" w:eastAsia="Times New Roman" w:hint="default"/>
                <w:sz w:val="18"/>
                <w:szCs w:val="18"/>
              </w:rPr>
            </w:pPr>
            <w:r>
              <w:rPr>
                <w:rFonts w:ascii="Times New Roman"/>
                <w:sz w:val="18"/>
              </w:rPr>
              <w:t>680,383</w:t>
            </w:r>
          </w:p>
          <w:p>
            <w:pPr>
              <w:pStyle w:val="TableParagraph"/>
              <w:spacing w:line="240" w:lineRule="auto" w:before="34"/>
              <w:ind w:left="85" w:right="0"/>
              <w:jc w:val="left"/>
              <w:rPr>
                <w:rFonts w:ascii="Times New Roman" w:hAnsi="Times New Roman" w:cs="Times New Roman" w:eastAsia="Times New Roman" w:hint="default"/>
                <w:sz w:val="18"/>
                <w:szCs w:val="18"/>
              </w:rPr>
            </w:pPr>
            <w:r>
              <w:rPr>
                <w:rFonts w:ascii="Times New Roman"/>
                <w:sz w:val="18"/>
              </w:rPr>
              <w:t>,557.35</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708"/>
        <w:gridCol w:w="708"/>
        <w:gridCol w:w="285"/>
        <w:gridCol w:w="708"/>
        <w:gridCol w:w="568"/>
        <w:gridCol w:w="566"/>
        <w:gridCol w:w="582"/>
        <w:gridCol w:w="664"/>
        <w:gridCol w:w="666"/>
        <w:gridCol w:w="665"/>
        <w:gridCol w:w="665"/>
        <w:gridCol w:w="659"/>
      </w:tblGrid>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8"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209,482,</w:t>
            </w:r>
          </w:p>
          <w:p>
            <w:pPr>
              <w:pStyle w:val="TableParagraph"/>
              <w:spacing w:line="240" w:lineRule="auto" w:before="34"/>
              <w:ind w:left="156" w:right="0"/>
              <w:jc w:val="center"/>
              <w:rPr>
                <w:rFonts w:ascii="Times New Roman" w:hAnsi="Times New Roman" w:cs="Times New Roman" w:eastAsia="Times New Roman" w:hint="default"/>
                <w:sz w:val="18"/>
                <w:szCs w:val="18"/>
              </w:rPr>
            </w:pPr>
            <w:r>
              <w:rPr>
                <w:rFonts w:ascii="Times New Roman"/>
                <w:sz w:val="18"/>
              </w:rPr>
              <w:t>266.23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22,152,</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958.50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150,884</w:t>
            </w:r>
          </w:p>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,764.29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29,863,</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568.33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 w:right="0"/>
              <w:jc w:val="left"/>
              <w:rPr>
                <w:rFonts w:ascii="Times New Roman" w:hAnsi="Times New Roman" w:cs="Times New Roman" w:eastAsia="Times New Roman" w:hint="default"/>
                <w:sz w:val="18"/>
                <w:szCs w:val="18"/>
              </w:rPr>
            </w:pPr>
            <w:r>
              <w:rPr>
                <w:rFonts w:ascii="Times New Roman"/>
                <w:sz w:val="18"/>
              </w:rPr>
              <w:t>680,383</w:t>
            </w:r>
          </w:p>
          <w:p>
            <w:pPr>
              <w:pStyle w:val="TableParagraph"/>
              <w:spacing w:line="240" w:lineRule="auto" w:before="34"/>
              <w:ind w:left="85" w:right="0"/>
              <w:jc w:val="left"/>
              <w:rPr>
                <w:rFonts w:ascii="Times New Roman" w:hAnsi="Times New Roman" w:cs="Times New Roman" w:eastAsia="Times New Roman" w:hint="default"/>
                <w:sz w:val="18"/>
                <w:szCs w:val="18"/>
              </w:rPr>
            </w:pPr>
            <w:r>
              <w:rPr>
                <w:rFonts w:ascii="Times New Roman"/>
                <w:sz w:val="18"/>
              </w:rPr>
              <w:t>,557.35</w:t>
            </w: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894,844.</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09</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4"/>
              <w:ind w:left="204" w:right="0"/>
              <w:jc w:val="center"/>
              <w:rPr>
                <w:rFonts w:ascii="Times New Roman" w:hAnsi="Times New Roman" w:cs="Times New Roman" w:eastAsia="Times New Roman" w:hint="default"/>
                <w:sz w:val="18"/>
                <w:szCs w:val="18"/>
              </w:rPr>
            </w:pPr>
            <w:r>
              <w:rPr>
                <w:rFonts w:ascii="Times New Roman"/>
                <w:sz w:val="18"/>
              </w:rPr>
              <w:t>64.81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16,537,</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575.99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33,450,</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276.98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53,678,</w:t>
            </w:r>
          </w:p>
          <w:p>
            <w:pPr>
              <w:pStyle w:val="TableParagraph"/>
              <w:spacing w:line="240" w:lineRule="auto" w:before="34"/>
              <w:ind w:left="130" w:right="0"/>
              <w:jc w:val="left"/>
              <w:rPr>
                <w:rFonts w:ascii="Times New Roman" w:hAnsi="Times New Roman" w:cs="Times New Roman" w:eastAsia="Times New Roman" w:hint="default"/>
                <w:sz w:val="18"/>
                <w:szCs w:val="18"/>
              </w:rPr>
            </w:pPr>
            <w:r>
              <w:rPr>
                <w:rFonts w:ascii="Times New Roman"/>
                <w:sz w:val="18"/>
              </w:rPr>
              <w:t>561.87</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32,733,</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440.80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 w:right="0"/>
              <w:jc w:val="center"/>
              <w:rPr>
                <w:rFonts w:ascii="Times New Roman" w:hAnsi="Times New Roman" w:cs="Times New Roman" w:eastAsia="Times New Roman" w:hint="default"/>
                <w:sz w:val="18"/>
                <w:szCs w:val="18"/>
              </w:rPr>
            </w:pPr>
            <w:r>
              <w:rPr>
                <w:rFonts w:ascii="Times New Roman"/>
                <w:sz w:val="18"/>
              </w:rPr>
              <w:t>2,164,1</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57.91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 w:right="0"/>
              <w:jc w:val="left"/>
              <w:rPr>
                <w:rFonts w:ascii="Times New Roman" w:hAnsi="Times New Roman" w:cs="Times New Roman" w:eastAsia="Times New Roman" w:hint="default"/>
                <w:sz w:val="18"/>
                <w:szCs w:val="18"/>
              </w:rPr>
            </w:pPr>
            <w:r>
              <w:rPr>
                <w:rFonts w:ascii="Times New Roman"/>
                <w:sz w:val="18"/>
              </w:rPr>
              <w:t>34,897,</w:t>
            </w:r>
          </w:p>
          <w:p>
            <w:pPr>
              <w:pStyle w:val="TableParagraph"/>
              <w:spacing w:line="240" w:lineRule="auto" w:before="34"/>
              <w:ind w:left="130" w:right="0"/>
              <w:jc w:val="left"/>
              <w:rPr>
                <w:rFonts w:ascii="Times New Roman" w:hAnsi="Times New Roman" w:cs="Times New Roman" w:eastAsia="Times New Roman" w:hint="default"/>
                <w:sz w:val="18"/>
                <w:szCs w:val="18"/>
              </w:rPr>
            </w:pPr>
            <w:r>
              <w:rPr>
                <w:rFonts w:ascii="Times New Roman"/>
                <w:sz w:val="18"/>
              </w:rPr>
              <w:t>598.71</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894,844.</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09</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31,855,</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979.07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 w:right="0"/>
              <w:jc w:val="left"/>
              <w:rPr>
                <w:rFonts w:ascii="Times New Roman" w:hAnsi="Times New Roman" w:cs="Times New Roman" w:eastAsia="Times New Roman" w:hint="default"/>
                <w:sz w:val="18"/>
                <w:szCs w:val="18"/>
              </w:rPr>
            </w:pPr>
            <w:r>
              <w:rPr>
                <w:rFonts w:ascii="Times New Roman"/>
                <w:sz w:val="18"/>
              </w:rPr>
              <w:t>32,750,</w:t>
            </w:r>
          </w:p>
          <w:p>
            <w:pPr>
              <w:pStyle w:val="TableParagraph"/>
              <w:spacing w:line="240" w:lineRule="auto" w:before="34"/>
              <w:ind w:left="130" w:right="0"/>
              <w:jc w:val="left"/>
              <w:rPr>
                <w:rFonts w:ascii="Times New Roman" w:hAnsi="Times New Roman" w:cs="Times New Roman" w:eastAsia="Times New Roman" w:hint="default"/>
                <w:sz w:val="18"/>
                <w:szCs w:val="18"/>
              </w:rPr>
            </w:pPr>
            <w:r>
              <w:rPr>
                <w:rFonts w:ascii="Times New Roman"/>
                <w:sz w:val="18"/>
              </w:rPr>
              <w:t>823.16</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27,678,</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065.00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 w:right="0"/>
              <w:jc w:val="left"/>
              <w:rPr>
                <w:rFonts w:ascii="Times New Roman" w:hAnsi="Times New Roman" w:cs="Times New Roman" w:eastAsia="Times New Roman" w:hint="default"/>
                <w:sz w:val="18"/>
                <w:szCs w:val="18"/>
              </w:rPr>
            </w:pPr>
            <w:r>
              <w:rPr>
                <w:rFonts w:ascii="Times New Roman"/>
                <w:sz w:val="18"/>
              </w:rPr>
              <w:t>27,678,</w:t>
            </w:r>
          </w:p>
          <w:p>
            <w:pPr>
              <w:pStyle w:val="TableParagraph"/>
              <w:spacing w:line="240" w:lineRule="auto" w:before="34"/>
              <w:ind w:left="130" w:right="0"/>
              <w:jc w:val="left"/>
              <w:rPr>
                <w:rFonts w:ascii="Times New Roman" w:hAnsi="Times New Roman" w:cs="Times New Roman" w:eastAsia="Times New Roman" w:hint="default"/>
                <w:sz w:val="18"/>
                <w:szCs w:val="18"/>
              </w:rPr>
            </w:pPr>
            <w:r>
              <w:rPr>
                <w:rFonts w:ascii="Times New Roman"/>
                <w:sz w:val="18"/>
              </w:rPr>
              <w:t>065.00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894,844.</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09</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 w:right="0"/>
              <w:jc w:val="center"/>
              <w:rPr>
                <w:rFonts w:ascii="Times New Roman" w:hAnsi="Times New Roman" w:cs="Times New Roman" w:eastAsia="Times New Roman" w:hint="default"/>
                <w:sz w:val="18"/>
                <w:szCs w:val="18"/>
              </w:rPr>
            </w:pPr>
            <w:r>
              <w:rPr>
                <w:rFonts w:ascii="Times New Roman"/>
                <w:sz w:val="18"/>
              </w:rPr>
              <w:t>4,177,9</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14.07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1" w:right="0"/>
              <w:jc w:val="center"/>
              <w:rPr>
                <w:rFonts w:ascii="Times New Roman" w:hAnsi="Times New Roman" w:cs="Times New Roman" w:eastAsia="Times New Roman" w:hint="default"/>
                <w:sz w:val="18"/>
                <w:szCs w:val="18"/>
              </w:rPr>
            </w:pPr>
            <w:r>
              <w:rPr>
                <w:rFonts w:ascii="Times New Roman"/>
                <w:sz w:val="18"/>
              </w:rPr>
              <w:t>5,072,7</w:t>
            </w:r>
          </w:p>
          <w:p>
            <w:pPr>
              <w:pStyle w:val="TableParagraph"/>
              <w:spacing w:line="240" w:lineRule="auto" w:before="34"/>
              <w:ind w:left="197" w:right="0"/>
              <w:jc w:val="center"/>
              <w:rPr>
                <w:rFonts w:ascii="Times New Roman" w:hAnsi="Times New Roman" w:cs="Times New Roman" w:eastAsia="Times New Roman" w:hint="default"/>
                <w:sz w:val="18"/>
                <w:szCs w:val="18"/>
              </w:rPr>
            </w:pPr>
            <w:r>
              <w:rPr>
                <w:rFonts w:ascii="Times New Roman"/>
                <w:sz w:val="18"/>
              </w:rPr>
              <w:t>58.16</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9"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4"/>
              <w:ind w:left="204" w:right="0"/>
              <w:jc w:val="center"/>
              <w:rPr>
                <w:rFonts w:ascii="Times New Roman" w:hAnsi="Times New Roman" w:cs="Times New Roman" w:eastAsia="Times New Roman" w:hint="default"/>
                <w:sz w:val="18"/>
                <w:szCs w:val="18"/>
              </w:rPr>
            </w:pPr>
            <w:r>
              <w:rPr>
                <w:rFonts w:ascii="Times New Roman"/>
                <w:sz w:val="18"/>
              </w:rPr>
              <w:t>64.81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-16,195,</w:t>
            </w:r>
          </w:p>
          <w:p>
            <w:pPr>
              <w:pStyle w:val="TableParagraph"/>
              <w:spacing w:line="240" w:lineRule="auto" w:before="34"/>
              <w:ind w:left="113" w:right="0"/>
              <w:jc w:val="center"/>
              <w:rPr>
                <w:rFonts w:ascii="Times New Roman" w:hAnsi="Times New Roman" w:cs="Times New Roman" w:eastAsia="Times New Roman" w:hint="default"/>
                <w:sz w:val="18"/>
                <w:szCs w:val="18"/>
              </w:rPr>
            </w:pPr>
            <w:r>
              <w:rPr>
                <w:rFonts w:ascii="Times New Roman"/>
                <w:sz w:val="18"/>
              </w:rPr>
              <w:t>864.81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 w:right="0"/>
              <w:jc w:val="left"/>
              <w:rPr>
                <w:rFonts w:ascii="Times New Roman" w:hAnsi="Times New Roman" w:cs="Times New Roman" w:eastAsia="Times New Roman" w:hint="default"/>
                <w:sz w:val="18"/>
                <w:szCs w:val="18"/>
              </w:rPr>
            </w:pPr>
            <w:r>
              <w:rPr>
                <w:rFonts w:ascii="Times New Roman"/>
                <w:sz w:val="18"/>
              </w:rPr>
              <w:t>-569,86</w:t>
            </w:r>
          </w:p>
          <w:p>
            <w:pPr>
              <w:pStyle w:val="TableParagraph"/>
              <w:spacing w:line="240" w:lineRule="auto" w:before="34"/>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-13,969,</w:t>
            </w:r>
          </w:p>
          <w:p>
            <w:pPr>
              <w:pStyle w:val="TableParagraph"/>
              <w:spacing w:line="240" w:lineRule="auto" w:before="34"/>
              <w:ind w:left="107" w:right="0"/>
              <w:jc w:val="center"/>
              <w:rPr>
                <w:rFonts w:ascii="Times New Roman" w:hAnsi="Times New Roman" w:cs="Times New Roman" w:eastAsia="Times New Roman" w:hint="default"/>
                <w:sz w:val="18"/>
                <w:szCs w:val="18"/>
              </w:rPr>
            </w:pPr>
            <w:r>
              <w:rPr>
                <w:rFonts w:ascii="Times New Roman"/>
                <w:sz w:val="18"/>
              </w:rPr>
              <w:t>860.00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9"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4"/>
              <w:ind w:left="204" w:right="0"/>
              <w:jc w:val="center"/>
              <w:rPr>
                <w:rFonts w:ascii="Times New Roman" w:hAnsi="Times New Roman" w:cs="Times New Roman" w:eastAsia="Times New Roman" w:hint="default"/>
                <w:sz w:val="18"/>
                <w:szCs w:val="18"/>
              </w:rPr>
            </w:pPr>
            <w:r>
              <w:rPr>
                <w:rFonts w:ascii="Times New Roman"/>
                <w:sz w:val="18"/>
              </w:rPr>
              <w:t>64.81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4"/>
              <w:ind w:left="203" w:right="0"/>
              <w:jc w:val="center"/>
              <w:rPr>
                <w:rFonts w:ascii="Times New Roman" w:hAnsi="Times New Roman" w:cs="Times New Roman" w:eastAsia="Times New Roman" w:hint="default"/>
                <w:sz w:val="18"/>
                <w:szCs w:val="18"/>
              </w:rPr>
            </w:pPr>
            <w:r>
              <w:rPr>
                <w:rFonts w:ascii="Times New Roman"/>
                <w:sz w:val="18"/>
              </w:rPr>
              <w:t>64.81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34"/>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6" w:right="0"/>
              <w:jc w:val="left"/>
              <w:rPr>
                <w:rFonts w:ascii="Times New Roman" w:hAnsi="Times New Roman" w:cs="Times New Roman" w:eastAsia="Times New Roman" w:hint="default"/>
                <w:sz w:val="18"/>
                <w:szCs w:val="18"/>
              </w:rPr>
            </w:pPr>
            <w:r>
              <w:rPr>
                <w:rFonts w:ascii="Times New Roman"/>
                <w:sz w:val="18"/>
              </w:rPr>
              <w:t>-569,86</w:t>
            </w:r>
          </w:p>
          <w:p>
            <w:pPr>
              <w:pStyle w:val="TableParagraph"/>
              <w:spacing w:line="240" w:lineRule="auto" w:before="34"/>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-13,969,</w:t>
            </w:r>
          </w:p>
          <w:p>
            <w:pPr>
              <w:pStyle w:val="TableParagraph"/>
              <w:spacing w:line="240" w:lineRule="auto" w:before="34"/>
              <w:ind w:left="107" w:right="0"/>
              <w:jc w:val="center"/>
              <w:rPr>
                <w:rFonts w:ascii="Times New Roman" w:hAnsi="Times New Roman" w:cs="Times New Roman" w:eastAsia="Times New Roman" w:hint="default"/>
                <w:sz w:val="18"/>
                <w:szCs w:val="18"/>
              </w:rPr>
            </w:pPr>
            <w:r>
              <w:rPr>
                <w:rFonts w:ascii="Times New Roman"/>
                <w:sz w:val="18"/>
              </w:rPr>
              <w:t>860.00</w:t>
            </w: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8"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 w:right="0"/>
              <w:jc w:val="center"/>
              <w:rPr>
                <w:rFonts w:ascii="Times New Roman" w:hAnsi="Times New Roman" w:cs="Times New Roman" w:eastAsia="Times New Roman" w:hint="default"/>
                <w:sz w:val="18"/>
                <w:szCs w:val="18"/>
              </w:rPr>
            </w:pPr>
            <w:r>
              <w:rPr>
                <w:rFonts w:ascii="Times New Roman"/>
                <w:sz w:val="18"/>
              </w:rPr>
              <w:t>210,377,</w:t>
            </w:r>
          </w:p>
          <w:p>
            <w:pPr>
              <w:pStyle w:val="TableParagraph"/>
              <w:spacing w:line="240" w:lineRule="auto" w:before="34"/>
              <w:ind w:left="161" w:right="0"/>
              <w:jc w:val="center"/>
              <w:rPr>
                <w:rFonts w:ascii="Times New Roman" w:hAnsi="Times New Roman" w:cs="Times New Roman" w:eastAsia="Times New Roman" w:hint="default"/>
                <w:sz w:val="18"/>
                <w:szCs w:val="18"/>
              </w:rPr>
            </w:pPr>
            <w:r>
              <w:rPr>
                <w:rFonts w:ascii="Times New Roman"/>
                <w:sz w:val="18"/>
              </w:rPr>
              <w:t>110.32</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left"/>
              <w:rPr>
                <w:rFonts w:ascii="Times New Roman" w:hAnsi="Times New Roman" w:cs="Times New Roman" w:eastAsia="Times New Roman" w:hint="default"/>
                <w:sz w:val="18"/>
                <w:szCs w:val="18"/>
              </w:rPr>
            </w:pPr>
            <w:r>
              <w:rPr>
                <w:rFonts w:ascii="Times New Roman"/>
                <w:sz w:val="18"/>
              </w:rPr>
              <w:t>24,948,</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823.31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 w:right="0"/>
              <w:jc w:val="left"/>
              <w:rPr>
                <w:rFonts w:ascii="Times New Roman" w:hAnsi="Times New Roman" w:cs="Times New Roman" w:eastAsia="Times New Roman" w:hint="default"/>
                <w:sz w:val="18"/>
                <w:szCs w:val="18"/>
              </w:rPr>
            </w:pPr>
            <w:r>
              <w:rPr>
                <w:rFonts w:ascii="Times New Roman"/>
                <w:sz w:val="18"/>
              </w:rPr>
              <w:t>167,422</w:t>
            </w:r>
          </w:p>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,340.28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left"/>
              <w:rPr>
                <w:rFonts w:ascii="Times New Roman" w:hAnsi="Times New Roman" w:cs="Times New Roman" w:eastAsia="Times New Roman" w:hint="default"/>
                <w:sz w:val="18"/>
                <w:szCs w:val="18"/>
              </w:rPr>
            </w:pPr>
            <w:r>
              <w:rPr>
                <w:rFonts w:ascii="Times New Roman"/>
                <w:sz w:val="18"/>
              </w:rPr>
              <w:t>63,313,</w:t>
            </w:r>
          </w:p>
          <w:p>
            <w:pPr>
              <w:pStyle w:val="TableParagraph"/>
              <w:spacing w:line="240" w:lineRule="auto" w:before="34"/>
              <w:ind w:left="136" w:right="0"/>
              <w:jc w:val="left"/>
              <w:rPr>
                <w:rFonts w:ascii="Times New Roman" w:hAnsi="Times New Roman" w:cs="Times New Roman" w:eastAsia="Times New Roman" w:hint="default"/>
                <w:sz w:val="18"/>
                <w:szCs w:val="18"/>
              </w:rPr>
            </w:pPr>
            <w:r>
              <w:rPr>
                <w:rFonts w:ascii="Times New Roman"/>
                <w:sz w:val="18"/>
              </w:rPr>
              <w:t>845.31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 w:right="0"/>
              <w:jc w:val="left"/>
              <w:rPr>
                <w:rFonts w:ascii="Times New Roman" w:hAnsi="Times New Roman" w:cs="Times New Roman" w:eastAsia="Times New Roman" w:hint="default"/>
                <w:sz w:val="18"/>
                <w:szCs w:val="18"/>
              </w:rPr>
            </w:pPr>
            <w:r>
              <w:rPr>
                <w:rFonts w:ascii="Times New Roman"/>
                <w:sz w:val="18"/>
              </w:rPr>
              <w:t>734,062</w:t>
            </w:r>
          </w:p>
          <w:p>
            <w:pPr>
              <w:pStyle w:val="TableParagraph"/>
              <w:spacing w:line="240" w:lineRule="auto" w:before="34"/>
              <w:ind w:left="92" w:right="0"/>
              <w:jc w:val="left"/>
              <w:rPr>
                <w:rFonts w:ascii="Times New Roman" w:hAnsi="Times New Roman" w:cs="Times New Roman" w:eastAsia="Times New Roman" w:hint="default"/>
                <w:sz w:val="18"/>
                <w:szCs w:val="18"/>
              </w:rPr>
            </w:pPr>
            <w:r>
              <w:rPr>
                <w:rFonts w:ascii="Times New Roman"/>
                <w:sz w:val="18"/>
              </w:rPr>
              <w:t>,119.22</w:t>
            </w:r>
          </w:p>
        </w:tc>
      </w:tr>
    </w:tbl>
    <w:p>
      <w:pPr>
        <w:spacing w:after="0" w:line="240" w:lineRule="auto"/>
        <w:jc w:val="lef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5"/>
        <w:rPr>
          <w:rFonts w:ascii="Times New Roman" w:hAnsi="Times New Roman" w:cs="Times New Roman" w:eastAsia="Times New Roman" w:hint="default"/>
          <w:sz w:val="22"/>
          <w:szCs w:val="22"/>
        </w:rPr>
      </w:pPr>
    </w:p>
    <w:p>
      <w:pPr>
        <w:pStyle w:val="BodyText"/>
        <w:spacing w:line="240" w:lineRule="auto" w:before="44"/>
        <w:ind w:left="154" w:right="0"/>
        <w:jc w:val="left"/>
      </w:pPr>
      <w:r>
        <w:rPr/>
        <w:t>上期金额</w:t>
      </w:r>
    </w:p>
    <w:p>
      <w:pPr>
        <w:pStyle w:val="BodyText"/>
        <w:spacing w:line="240" w:lineRule="auto" w:before="44"/>
        <w:ind w:left="0" w:right="1130"/>
        <w:jc w:val="right"/>
      </w:pPr>
      <w:r>
        <w:rPr/>
        <w:t>单位：元</w:t>
      </w:r>
    </w:p>
    <w:p>
      <w:pPr>
        <w:spacing w:line="240" w:lineRule="auto" w:before="11"/>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1438"/>
        <w:gridCol w:w="690"/>
        <w:gridCol w:w="708"/>
        <w:gridCol w:w="708"/>
        <w:gridCol w:w="285"/>
        <w:gridCol w:w="708"/>
        <w:gridCol w:w="426"/>
        <w:gridCol w:w="624"/>
        <w:gridCol w:w="665"/>
        <w:gridCol w:w="665"/>
        <w:gridCol w:w="665"/>
        <w:gridCol w:w="678"/>
        <w:gridCol w:w="652"/>
        <w:gridCol w:w="659"/>
      </w:tblGrid>
      <w:tr>
        <w:trPr>
          <w:trHeight w:val="330"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5"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0"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7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0" w:type="dxa"/>
            <w:vMerge w:val="restart"/>
            <w:tcBorders>
              <w:top w:val="single" w:sz="4" w:space="0" w:color="000000"/>
              <w:left w:val="single" w:sz="4" w:space="0" w:color="000000"/>
              <w:right w:val="single" w:sz="4" w:space="0" w:color="000000"/>
            </w:tcBorders>
            <w:shd w:val="clear" w:color="auto" w:fill="D2D2D2"/>
          </w:tcPr>
          <w:p>
            <w:pPr/>
          </w:p>
        </w:tc>
        <w:tc>
          <w:tcPr>
            <w:tcW w:w="17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2"/>
              <w:ind w:left="27"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31"/>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09"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1701" w:type="dxa"/>
            <w:gridSpan w:val="3"/>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257" w:right="7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426" w:type="dxa"/>
            <w:vMerge/>
            <w:tcBorders>
              <w:left w:val="single" w:sz="4" w:space="0" w:color="000000"/>
              <w:right w:val="single" w:sz="4" w:space="0" w:color="000000"/>
            </w:tcBorders>
            <w:shd w:val="clear" w:color="auto" w:fill="D2D2D2"/>
          </w:tcPr>
          <w:p>
            <w:pPr/>
          </w:p>
        </w:tc>
        <w:tc>
          <w:tcPr>
            <w:tcW w:w="624"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35" w:right="3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10"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1" w:type="dxa"/>
            <w:gridSpan w:val="3"/>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97" w:hRule="exact"/>
        </w:trPr>
        <w:tc>
          <w:tcPr>
            <w:tcW w:w="1438" w:type="dxa"/>
            <w:vMerge/>
            <w:tcBorders>
              <w:left w:val="single" w:sz="4" w:space="0" w:color="000000"/>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52" w:space="0" w:color="D2D2D2"/>
              <w:left w:val="single" w:sz="9" w:space="0" w:color="D2D2D2"/>
              <w:right w:val="single" w:sz="9" w:space="0" w:color="D2D2D2"/>
            </w:tcBorders>
          </w:tcPr>
          <w:p>
            <w:pPr>
              <w:pStyle w:val="TableParagraph"/>
              <w:spacing w:line="240" w:lineRule="auto" w:before="2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0"/>
                <w:sz w:val="18"/>
                <w:szCs w:val="18"/>
                <w:shd w:fill="D2D2D2" w:color="auto" w:val="clear"/>
              </w:rPr>
              <w:t> </w:t>
            </w:r>
            <w:r>
              <w:rPr>
                <w:rFonts w:ascii="宋体" w:hAnsi="宋体" w:cs="宋体" w:eastAsia="宋体" w:hint="default"/>
                <w:sz w:val="18"/>
                <w:szCs w:val="18"/>
                <w:shd w:fill="D2D2D2" w:color="auto" w:val="clear"/>
              </w:rPr>
              <w:t>优先股</w:t>
            </w:r>
            <w:r>
              <w:rPr>
                <w:rFonts w:ascii="宋体" w:hAnsi="宋体" w:cs="宋体" w:eastAsia="宋体" w:hint="default"/>
                <w:sz w:val="18"/>
                <w:szCs w:val="18"/>
              </w:rPr>
            </w:r>
          </w:p>
        </w:tc>
        <w:tc>
          <w:tcPr>
            <w:tcW w:w="708" w:type="dxa"/>
            <w:vMerge w:val="restart"/>
            <w:tcBorders>
              <w:top w:val="single" w:sz="52" w:space="0" w:color="D2D2D2"/>
              <w:left w:val="single" w:sz="9" w:space="0" w:color="D2D2D2"/>
              <w:right w:val="single" w:sz="23" w:space="0" w:color="D2D2D2"/>
            </w:tcBorders>
          </w:tcPr>
          <w:p>
            <w:pPr>
              <w:pStyle w:val="TableParagraph"/>
              <w:spacing w:line="240" w:lineRule="auto" w:before="2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1"/>
                <w:sz w:val="18"/>
                <w:szCs w:val="18"/>
                <w:shd w:fill="D2D2D2" w:color="auto" w:val="clear"/>
              </w:rPr>
              <w:t> </w:t>
            </w:r>
            <w:r>
              <w:rPr>
                <w:rFonts w:ascii="宋体" w:hAnsi="宋体" w:cs="宋体" w:eastAsia="宋体" w:hint="default"/>
                <w:sz w:val="18"/>
                <w:szCs w:val="18"/>
                <w:shd w:fill="D2D2D2" w:color="auto" w:val="clear"/>
              </w:rPr>
              <w:t>永续债</w:t>
            </w:r>
            <w:r>
              <w:rPr>
                <w:rFonts w:ascii="宋体" w:hAnsi="宋体" w:cs="宋体" w:eastAsia="宋体" w:hint="default"/>
                <w:sz w:val="18"/>
                <w:szCs w:val="18"/>
              </w:rPr>
            </w:r>
          </w:p>
        </w:tc>
        <w:tc>
          <w:tcPr>
            <w:tcW w:w="285" w:type="dxa"/>
            <w:vMerge w:val="restart"/>
            <w:tcBorders>
              <w:top w:val="single" w:sz="4" w:space="0" w:color="000000"/>
              <w:left w:val="single" w:sz="4" w:space="0" w:color="000000"/>
              <w:right w:val="single" w:sz="4" w:space="0" w:color="000000"/>
            </w:tcBorders>
            <w:shd w:val="clear" w:color="auto" w:fill="D2D2D2"/>
          </w:tcPr>
          <w:p>
            <w:pPr>
              <w:pStyle w:val="TableParagraph"/>
              <w:spacing w:line="197" w:lineRule="exact"/>
              <w:ind w:left="48"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4"/>
              <w:ind w:left="48" w:right="0"/>
              <w:jc w:val="left"/>
              <w:rPr>
                <w:rFonts w:ascii="宋体" w:hAnsi="宋体" w:cs="宋体" w:eastAsia="宋体" w:hint="default"/>
                <w:sz w:val="18"/>
                <w:szCs w:val="18"/>
              </w:rPr>
            </w:pPr>
            <w:r>
              <w:rPr>
                <w:rFonts w:ascii="宋体" w:hAnsi="宋体" w:cs="宋体" w:eastAsia="宋体" w:hint="default"/>
                <w:sz w:val="18"/>
                <w:szCs w:val="18"/>
              </w:rPr>
              <w:t>他</w:t>
            </w:r>
          </w:p>
        </w:tc>
        <w:tc>
          <w:tcPr>
            <w:tcW w:w="708"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62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20" w:hRule="exact"/>
        </w:trPr>
        <w:tc>
          <w:tcPr>
            <w:tcW w:w="1438" w:type="dxa"/>
            <w:vMerge/>
            <w:tcBorders>
              <w:left w:val="single" w:sz="4" w:space="0" w:color="000000"/>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9" w:space="0" w:color="D2D2D2"/>
              <w:right w:val="single" w:sz="9" w:space="0" w:color="D2D2D2"/>
            </w:tcBorders>
          </w:tcPr>
          <w:p>
            <w:pPr/>
          </w:p>
        </w:tc>
        <w:tc>
          <w:tcPr>
            <w:tcW w:w="708" w:type="dxa"/>
            <w:vMerge/>
            <w:tcBorders>
              <w:left w:val="single" w:sz="9" w:space="0" w:color="D2D2D2"/>
              <w:right w:val="single" w:sz="23" w:space="0" w:color="D2D2D2"/>
            </w:tcBorders>
          </w:tcPr>
          <w:p>
            <w:pPr/>
          </w:p>
        </w:tc>
        <w:tc>
          <w:tcPr>
            <w:tcW w:w="285"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62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9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9" w:space="0" w:color="D2D2D2"/>
              <w:bottom w:val="single" w:sz="52" w:space="0" w:color="D2D2D2"/>
              <w:right w:val="single" w:sz="9" w:space="0" w:color="D2D2D2"/>
            </w:tcBorders>
          </w:tcPr>
          <w:p>
            <w:pPr/>
          </w:p>
        </w:tc>
        <w:tc>
          <w:tcPr>
            <w:tcW w:w="708" w:type="dxa"/>
            <w:vMerge/>
            <w:tcBorders>
              <w:left w:val="single" w:sz="9" w:space="0" w:color="D2D2D2"/>
              <w:bottom w:val="single" w:sz="52" w:space="0" w:color="D2D2D2"/>
              <w:right w:val="single" w:sz="23" w:space="0" w:color="D2D2D2"/>
            </w:tcBorders>
          </w:tcPr>
          <w:p>
            <w:pPr/>
          </w:p>
        </w:tc>
        <w:tc>
          <w:tcPr>
            <w:tcW w:w="285"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70" w:hRule="exact"/>
        </w:trPr>
        <w:tc>
          <w:tcPr>
            <w:tcW w:w="1438"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26"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52" w:space="0" w:color="D2D2D2"/>
              <w:left w:val="single" w:sz="4" w:space="0" w:color="000000"/>
              <w:bottom w:val="single" w:sz="4" w:space="0" w:color="000000"/>
              <w:right w:val="single" w:sz="4" w:space="0" w:color="000000"/>
            </w:tcBorders>
          </w:tcPr>
          <w:p>
            <w:pPr/>
          </w:p>
        </w:tc>
        <w:tc>
          <w:tcPr>
            <w:tcW w:w="708" w:type="dxa"/>
            <w:tcBorders>
              <w:top w:val="single" w:sz="52" w:space="0" w:color="D2D2D2"/>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209,468,</w:t>
            </w:r>
          </w:p>
          <w:p>
            <w:pPr>
              <w:pStyle w:val="TableParagraph"/>
              <w:spacing w:line="240" w:lineRule="auto" w:before="33"/>
              <w:ind w:left="156" w:right="0"/>
              <w:jc w:val="center"/>
              <w:rPr>
                <w:rFonts w:ascii="Times New Roman" w:hAnsi="Times New Roman" w:cs="Times New Roman" w:eastAsia="Times New Roman" w:hint="default"/>
                <w:sz w:val="18"/>
                <w:szCs w:val="18"/>
              </w:rPr>
            </w:pPr>
            <w:r>
              <w:rPr>
                <w:rFonts w:ascii="Times New Roman"/>
                <w:sz w:val="18"/>
              </w:rPr>
              <w:t>822.85</w:t>
            </w:r>
          </w:p>
        </w:tc>
        <w:tc>
          <w:tcPr>
            <w:tcW w:w="426" w:type="dxa"/>
            <w:tcBorders>
              <w:top w:val="single" w:sz="22" w:space="0" w:color="D2D2D2"/>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17,850,</w:t>
            </w:r>
          </w:p>
          <w:p>
            <w:pPr>
              <w:pStyle w:val="TableParagraph"/>
              <w:spacing w:line="240" w:lineRule="auto" w:before="33"/>
              <w:ind w:left="136" w:right="0"/>
              <w:jc w:val="left"/>
              <w:rPr>
                <w:rFonts w:ascii="Times New Roman" w:hAnsi="Times New Roman" w:cs="Times New Roman" w:eastAsia="Times New Roman" w:hint="default"/>
                <w:sz w:val="18"/>
                <w:szCs w:val="18"/>
              </w:rPr>
            </w:pPr>
            <w:r>
              <w:rPr>
                <w:rFonts w:ascii="Times New Roman"/>
                <w:sz w:val="18"/>
              </w:rPr>
              <w:t>126.57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left"/>
              <w:rPr>
                <w:rFonts w:ascii="Times New Roman" w:hAnsi="Times New Roman" w:cs="Times New Roman" w:eastAsia="Times New Roman" w:hint="default"/>
                <w:sz w:val="18"/>
                <w:szCs w:val="18"/>
              </w:rPr>
            </w:pPr>
            <w:r>
              <w:rPr>
                <w:rFonts w:ascii="Times New Roman"/>
                <w:sz w:val="18"/>
              </w:rPr>
              <w:t>128,214</w:t>
            </w:r>
          </w:p>
          <w:p>
            <w:pPr>
              <w:pStyle w:val="TableParagraph"/>
              <w:spacing w:line="240" w:lineRule="auto" w:before="33"/>
              <w:ind w:left="104" w:right="0"/>
              <w:jc w:val="left"/>
              <w:rPr>
                <w:rFonts w:ascii="Times New Roman" w:hAnsi="Times New Roman" w:cs="Times New Roman" w:eastAsia="Times New Roman" w:hint="default"/>
                <w:sz w:val="18"/>
                <w:szCs w:val="18"/>
              </w:rPr>
            </w:pPr>
            <w:r>
              <w:rPr>
                <w:rFonts w:ascii="Times New Roman"/>
                <w:sz w:val="18"/>
              </w:rPr>
              <w:t>,434.82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9" w:right="0"/>
              <w:jc w:val="left"/>
              <w:rPr>
                <w:rFonts w:ascii="Times New Roman" w:hAnsi="Times New Roman" w:cs="Times New Roman" w:eastAsia="Times New Roman" w:hint="default"/>
                <w:sz w:val="18"/>
                <w:szCs w:val="18"/>
              </w:rPr>
            </w:pPr>
            <w:r>
              <w:rPr>
                <w:rFonts w:ascii="Times New Roman"/>
                <w:sz w:val="18"/>
              </w:rPr>
              <w:t>25,058,</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337.91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 w:right="0"/>
              <w:jc w:val="left"/>
              <w:rPr>
                <w:rFonts w:ascii="Times New Roman" w:hAnsi="Times New Roman" w:cs="Times New Roman" w:eastAsia="Times New Roman" w:hint="default"/>
                <w:sz w:val="18"/>
                <w:szCs w:val="18"/>
              </w:rPr>
            </w:pPr>
            <w:r>
              <w:rPr>
                <w:rFonts w:ascii="Times New Roman"/>
                <w:sz w:val="18"/>
              </w:rPr>
              <w:t>648,591</w:t>
            </w:r>
          </w:p>
          <w:p>
            <w:pPr>
              <w:pStyle w:val="TableParagraph"/>
              <w:spacing w:line="240" w:lineRule="auto" w:before="33"/>
              <w:ind w:left="85" w:right="0"/>
              <w:jc w:val="left"/>
              <w:rPr>
                <w:rFonts w:ascii="Times New Roman" w:hAnsi="Times New Roman" w:cs="Times New Roman" w:eastAsia="Times New Roman" w:hint="default"/>
                <w:sz w:val="18"/>
                <w:szCs w:val="18"/>
              </w:rPr>
            </w:pPr>
            <w:r>
              <w:rPr>
                <w:rFonts w:ascii="Times New Roman"/>
                <w:sz w:val="18"/>
              </w:rPr>
              <w:t>,722.15</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26"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209,468,</w:t>
            </w:r>
          </w:p>
          <w:p>
            <w:pPr>
              <w:pStyle w:val="TableParagraph"/>
              <w:spacing w:line="240" w:lineRule="auto" w:before="33"/>
              <w:ind w:left="156" w:right="0"/>
              <w:jc w:val="center"/>
              <w:rPr>
                <w:rFonts w:ascii="Times New Roman" w:hAnsi="Times New Roman" w:cs="Times New Roman" w:eastAsia="Times New Roman" w:hint="default"/>
                <w:sz w:val="18"/>
                <w:szCs w:val="18"/>
              </w:rPr>
            </w:pPr>
            <w:r>
              <w:rPr>
                <w:rFonts w:ascii="Times New Roman"/>
                <w:sz w:val="18"/>
              </w:rPr>
              <w:t>822.85</w:t>
            </w: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17,850,</w:t>
            </w:r>
          </w:p>
          <w:p>
            <w:pPr>
              <w:pStyle w:val="TableParagraph"/>
              <w:spacing w:line="240" w:lineRule="auto" w:before="33"/>
              <w:ind w:left="136" w:right="0"/>
              <w:jc w:val="left"/>
              <w:rPr>
                <w:rFonts w:ascii="Times New Roman" w:hAnsi="Times New Roman" w:cs="Times New Roman" w:eastAsia="Times New Roman" w:hint="default"/>
                <w:sz w:val="18"/>
                <w:szCs w:val="18"/>
              </w:rPr>
            </w:pPr>
            <w:r>
              <w:rPr>
                <w:rFonts w:ascii="Times New Roman"/>
                <w:sz w:val="18"/>
              </w:rPr>
              <w:t>126.57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left"/>
              <w:rPr>
                <w:rFonts w:ascii="Times New Roman" w:hAnsi="Times New Roman" w:cs="Times New Roman" w:eastAsia="Times New Roman" w:hint="default"/>
                <w:sz w:val="18"/>
                <w:szCs w:val="18"/>
              </w:rPr>
            </w:pPr>
            <w:r>
              <w:rPr>
                <w:rFonts w:ascii="Times New Roman"/>
                <w:sz w:val="18"/>
              </w:rPr>
              <w:t>128,214</w:t>
            </w:r>
          </w:p>
          <w:p>
            <w:pPr>
              <w:pStyle w:val="TableParagraph"/>
              <w:spacing w:line="240" w:lineRule="auto" w:before="33"/>
              <w:ind w:left="104" w:right="0"/>
              <w:jc w:val="left"/>
              <w:rPr>
                <w:rFonts w:ascii="Times New Roman" w:hAnsi="Times New Roman" w:cs="Times New Roman" w:eastAsia="Times New Roman" w:hint="default"/>
                <w:sz w:val="18"/>
                <w:szCs w:val="18"/>
              </w:rPr>
            </w:pPr>
            <w:r>
              <w:rPr>
                <w:rFonts w:ascii="Times New Roman"/>
                <w:sz w:val="18"/>
              </w:rPr>
              <w:t>,434.82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9" w:right="0"/>
              <w:jc w:val="left"/>
              <w:rPr>
                <w:rFonts w:ascii="Times New Roman" w:hAnsi="Times New Roman" w:cs="Times New Roman" w:eastAsia="Times New Roman" w:hint="default"/>
                <w:sz w:val="18"/>
                <w:szCs w:val="18"/>
              </w:rPr>
            </w:pPr>
            <w:r>
              <w:rPr>
                <w:rFonts w:ascii="Times New Roman"/>
                <w:sz w:val="18"/>
              </w:rPr>
              <w:t>25,058,</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337.91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 w:right="0"/>
              <w:jc w:val="left"/>
              <w:rPr>
                <w:rFonts w:ascii="Times New Roman" w:hAnsi="Times New Roman" w:cs="Times New Roman" w:eastAsia="Times New Roman" w:hint="default"/>
                <w:sz w:val="18"/>
                <w:szCs w:val="18"/>
              </w:rPr>
            </w:pPr>
            <w:r>
              <w:rPr>
                <w:rFonts w:ascii="Times New Roman"/>
                <w:sz w:val="18"/>
              </w:rPr>
              <w:t>648,591</w:t>
            </w:r>
          </w:p>
          <w:p>
            <w:pPr>
              <w:pStyle w:val="TableParagraph"/>
              <w:spacing w:line="240" w:lineRule="auto" w:before="33"/>
              <w:ind w:left="85" w:right="0"/>
              <w:jc w:val="left"/>
              <w:rPr>
                <w:rFonts w:ascii="Times New Roman" w:hAnsi="Times New Roman" w:cs="Times New Roman" w:eastAsia="Times New Roman" w:hint="default"/>
                <w:sz w:val="18"/>
                <w:szCs w:val="18"/>
              </w:rPr>
            </w:pPr>
            <w:r>
              <w:rPr>
                <w:rFonts w:ascii="Times New Roman"/>
                <w:sz w:val="18"/>
              </w:rPr>
              <w:t>,722.15</w:t>
            </w: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13,443.3</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w:t>
            </w: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4,302,8</w:t>
            </w:r>
          </w:p>
          <w:p>
            <w:pPr>
              <w:pStyle w:val="TableParagraph"/>
              <w:spacing w:line="240" w:lineRule="auto" w:before="33"/>
              <w:ind w:left="204" w:right="0"/>
              <w:jc w:val="center"/>
              <w:rPr>
                <w:rFonts w:ascii="Times New Roman" w:hAnsi="Times New Roman" w:cs="Times New Roman" w:eastAsia="Times New Roman" w:hint="default"/>
                <w:sz w:val="18"/>
                <w:szCs w:val="18"/>
              </w:rPr>
            </w:pPr>
            <w:r>
              <w:rPr>
                <w:rFonts w:ascii="Times New Roman"/>
                <w:sz w:val="18"/>
              </w:rPr>
              <w:t>31.93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22,670,</w:t>
            </w:r>
          </w:p>
          <w:p>
            <w:pPr>
              <w:pStyle w:val="TableParagraph"/>
              <w:spacing w:line="240" w:lineRule="auto" w:before="33"/>
              <w:ind w:left="149" w:right="0"/>
              <w:jc w:val="left"/>
              <w:rPr>
                <w:rFonts w:ascii="Times New Roman" w:hAnsi="Times New Roman" w:cs="Times New Roman" w:eastAsia="Times New Roman" w:hint="default"/>
                <w:sz w:val="18"/>
                <w:szCs w:val="18"/>
              </w:rPr>
            </w:pPr>
            <w:r>
              <w:rPr>
                <w:rFonts w:ascii="Times New Roman"/>
                <w:sz w:val="18"/>
              </w:rPr>
              <w:t>329.47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4,805,2</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30.42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31,791,</w:t>
            </w:r>
          </w:p>
          <w:p>
            <w:pPr>
              <w:pStyle w:val="TableParagraph"/>
              <w:spacing w:line="240" w:lineRule="auto" w:before="33"/>
              <w:ind w:left="130" w:right="0"/>
              <w:jc w:val="left"/>
              <w:rPr>
                <w:rFonts w:ascii="Times New Roman" w:hAnsi="Times New Roman" w:cs="Times New Roman" w:eastAsia="Times New Roman" w:hint="default"/>
                <w:sz w:val="18"/>
                <w:szCs w:val="18"/>
              </w:rPr>
            </w:pPr>
            <w:r>
              <w:rPr>
                <w:rFonts w:ascii="Times New Roman"/>
                <w:sz w:val="18"/>
              </w:rPr>
              <w:t>835.20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sz w:val="18"/>
              </w:rPr>
              <w:t>43,053,</w:t>
            </w:r>
          </w:p>
          <w:p>
            <w:pPr>
              <w:pStyle w:val="TableParagraph"/>
              <w:spacing w:line="240" w:lineRule="auto" w:before="33"/>
              <w:ind w:left="149" w:right="0"/>
              <w:jc w:val="left"/>
              <w:rPr>
                <w:rFonts w:ascii="Times New Roman" w:hAnsi="Times New Roman" w:cs="Times New Roman" w:eastAsia="Times New Roman" w:hint="default"/>
                <w:sz w:val="18"/>
                <w:szCs w:val="18"/>
              </w:rPr>
            </w:pPr>
            <w:r>
              <w:rPr>
                <w:rFonts w:ascii="Times New Roman"/>
                <w:sz w:val="18"/>
              </w:rPr>
              <w:t>161.40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center"/>
              <w:rPr>
                <w:rFonts w:ascii="Times New Roman" w:hAnsi="Times New Roman" w:cs="Times New Roman" w:eastAsia="Times New Roman" w:hint="default"/>
                <w:sz w:val="18"/>
                <w:szCs w:val="18"/>
              </w:rPr>
            </w:pPr>
            <w:r>
              <w:rPr>
                <w:rFonts w:ascii="Times New Roman"/>
                <w:sz w:val="18"/>
              </w:rPr>
              <w:t>1,171,7</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93.80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 w:right="0"/>
              <w:jc w:val="left"/>
              <w:rPr>
                <w:rFonts w:ascii="Times New Roman" w:hAnsi="Times New Roman" w:cs="Times New Roman" w:eastAsia="Times New Roman" w:hint="default"/>
                <w:sz w:val="18"/>
                <w:szCs w:val="18"/>
              </w:rPr>
            </w:pPr>
            <w:r>
              <w:rPr>
                <w:rFonts w:ascii="Times New Roman"/>
                <w:sz w:val="18"/>
              </w:rPr>
              <w:t>44,224,</w:t>
            </w:r>
          </w:p>
          <w:p>
            <w:pPr>
              <w:pStyle w:val="TableParagraph"/>
              <w:spacing w:line="240" w:lineRule="auto" w:before="33"/>
              <w:ind w:left="130" w:right="0"/>
              <w:jc w:val="left"/>
              <w:rPr>
                <w:rFonts w:ascii="Times New Roman" w:hAnsi="Times New Roman" w:cs="Times New Roman" w:eastAsia="Times New Roman" w:hint="default"/>
                <w:sz w:val="18"/>
                <w:szCs w:val="18"/>
              </w:rPr>
            </w:pPr>
            <w:r>
              <w:rPr>
                <w:rFonts w:ascii="Times New Roman"/>
                <w:sz w:val="18"/>
              </w:rPr>
              <w:t>955.20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13,443.3</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w:t>
            </w: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center"/>
              <w:rPr>
                <w:rFonts w:ascii="Times New Roman" w:hAnsi="Times New Roman" w:cs="Times New Roman" w:eastAsia="Times New Roman" w:hint="default"/>
                <w:sz w:val="18"/>
                <w:szCs w:val="18"/>
              </w:rPr>
            </w:pPr>
            <w:r>
              <w:rPr>
                <w:rFonts w:ascii="Times New Roman"/>
                <w:sz w:val="18"/>
              </w:rPr>
              <w:t>4,998,4</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36.62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9" w:right="0"/>
              <w:jc w:val="center"/>
              <w:rPr>
                <w:rFonts w:ascii="Times New Roman" w:hAnsi="Times New Roman" w:cs="Times New Roman" w:eastAsia="Times New Roman" w:hint="default"/>
                <w:sz w:val="18"/>
                <w:szCs w:val="18"/>
              </w:rPr>
            </w:pPr>
            <w:r>
              <w:rPr>
                <w:rFonts w:ascii="Times New Roman"/>
                <w:sz w:val="18"/>
              </w:rPr>
              <w:t>5,011,8</w:t>
            </w:r>
          </w:p>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80.00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center"/>
              <w:rPr>
                <w:rFonts w:ascii="Times New Roman" w:hAnsi="Times New Roman" w:cs="Times New Roman" w:eastAsia="Times New Roman" w:hint="default"/>
                <w:sz w:val="18"/>
                <w:szCs w:val="18"/>
              </w:rPr>
            </w:pPr>
            <w:r>
              <w:rPr>
                <w:rFonts w:ascii="Times New Roman"/>
                <w:sz w:val="18"/>
              </w:rPr>
              <w:t>5,001,7</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49.90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1" w:right="0"/>
              <w:jc w:val="center"/>
              <w:rPr>
                <w:rFonts w:ascii="Times New Roman" w:hAnsi="Times New Roman" w:cs="Times New Roman" w:eastAsia="Times New Roman" w:hint="default"/>
                <w:sz w:val="18"/>
                <w:szCs w:val="18"/>
              </w:rPr>
            </w:pPr>
            <w:r>
              <w:rPr>
                <w:rFonts w:ascii="Times New Roman"/>
                <w:sz w:val="18"/>
              </w:rPr>
              <w:t>5,001,7</w:t>
            </w:r>
          </w:p>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49.90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13" w:space="0" w:color="D2D2D2"/>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285"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13,443.3</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w:t>
            </w:r>
          </w:p>
        </w:tc>
        <w:tc>
          <w:tcPr>
            <w:tcW w:w="426"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-3,313.</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28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10,130.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10</w:t>
            </w:r>
          </w:p>
        </w:tc>
      </w:tr>
      <w:tr>
        <w:trPr>
          <w:trHeight w:val="445"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vMerge/>
            <w:tcBorders>
              <w:left w:val="single" w:sz="13"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85"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25"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13" w:space="0" w:color="D2D2D2"/>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285"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3"/>
              <w:ind w:left="67" w:right="0"/>
              <w:jc w:val="center"/>
              <w:rPr>
                <w:rFonts w:ascii="Times New Roman" w:hAnsi="Times New Roman" w:cs="Times New Roman" w:eastAsia="Times New Roman" w:hint="default"/>
                <w:sz w:val="18"/>
                <w:szCs w:val="18"/>
              </w:rPr>
            </w:pPr>
            <w:r>
              <w:rPr>
                <w:rFonts w:ascii="Times New Roman"/>
                <w:sz w:val="18"/>
              </w:rPr>
              <w:t>4,302,8</w:t>
            </w:r>
          </w:p>
          <w:p>
            <w:pPr>
              <w:pStyle w:val="TableParagraph"/>
              <w:spacing w:line="240" w:lineRule="auto" w:before="33"/>
              <w:ind w:left="203" w:right="0"/>
              <w:jc w:val="center"/>
              <w:rPr>
                <w:rFonts w:ascii="Times New Roman" w:hAnsi="Times New Roman" w:cs="Times New Roman" w:eastAsia="Times New Roman" w:hint="default"/>
                <w:sz w:val="18"/>
                <w:szCs w:val="18"/>
              </w:rPr>
            </w:pPr>
            <w:r>
              <w:rPr>
                <w:rFonts w:ascii="Times New Roman"/>
                <w:sz w:val="18"/>
              </w:rPr>
              <w:t>31.93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-20,382,</w:t>
            </w:r>
          </w:p>
          <w:p>
            <w:pPr>
              <w:pStyle w:val="TableParagraph"/>
              <w:spacing w:line="240" w:lineRule="auto" w:before="33"/>
              <w:ind w:left="126" w:right="0"/>
              <w:jc w:val="center"/>
              <w:rPr>
                <w:rFonts w:ascii="Times New Roman" w:hAnsi="Times New Roman" w:cs="Times New Roman" w:eastAsia="Times New Roman" w:hint="default"/>
                <w:sz w:val="18"/>
                <w:szCs w:val="18"/>
              </w:rPr>
            </w:pPr>
            <w:r>
              <w:rPr>
                <w:rFonts w:ascii="Times New Roman"/>
                <w:sz w:val="18"/>
              </w:rPr>
              <w:t>831.93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3"/>
              <w:ind w:left="109" w:right="0"/>
              <w:jc w:val="left"/>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-17,445,</w:t>
            </w:r>
          </w:p>
          <w:p>
            <w:pPr>
              <w:pStyle w:val="TableParagraph"/>
              <w:spacing w:line="240" w:lineRule="auto" w:before="33"/>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45"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vMerge/>
            <w:tcBorders>
              <w:left w:val="single" w:sz="13"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85"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70" w:hRule="exact"/>
        </w:trPr>
        <w:tc>
          <w:tcPr>
            <w:tcW w:w="1438" w:type="dxa"/>
            <w:tcBorders>
              <w:top w:val="single" w:sz="48" w:space="0" w:color="D2D2D2"/>
              <w:left w:val="single" w:sz="13" w:space="0" w:color="D2D2D2"/>
              <w:bottom w:val="single" w:sz="52" w:space="0" w:color="D2D2D2"/>
              <w:right w:val="single" w:sz="13" w:space="0" w:color="D2D2D2"/>
            </w:tcBorders>
          </w:tcPr>
          <w:p>
            <w:pPr>
              <w:pStyle w:val="TableParagraph"/>
              <w:spacing w:line="240" w:lineRule="auto" w:before="8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7" w:right="0"/>
              <w:jc w:val="center"/>
              <w:rPr>
                <w:rFonts w:ascii="Times New Roman" w:hAnsi="Times New Roman" w:cs="Times New Roman" w:eastAsia="Times New Roman" w:hint="default"/>
                <w:sz w:val="18"/>
                <w:szCs w:val="18"/>
              </w:rPr>
            </w:pPr>
            <w:r>
              <w:rPr>
                <w:rFonts w:ascii="Times New Roman"/>
                <w:sz w:val="18"/>
              </w:rPr>
              <w:t>4,302,8</w:t>
            </w:r>
          </w:p>
          <w:p>
            <w:pPr>
              <w:pStyle w:val="TableParagraph"/>
              <w:spacing w:line="240" w:lineRule="auto" w:before="33"/>
              <w:ind w:left="203" w:right="0"/>
              <w:jc w:val="center"/>
              <w:rPr>
                <w:rFonts w:ascii="Times New Roman" w:hAnsi="Times New Roman" w:cs="Times New Roman" w:eastAsia="Times New Roman" w:hint="default"/>
                <w:sz w:val="18"/>
                <w:szCs w:val="18"/>
              </w:rPr>
            </w:pPr>
            <w:r>
              <w:rPr>
                <w:rFonts w:ascii="Times New Roman"/>
                <w:sz w:val="18"/>
              </w:rPr>
              <w:t>31.93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-4,302,8</w:t>
            </w:r>
          </w:p>
          <w:p>
            <w:pPr>
              <w:pStyle w:val="TableParagraph"/>
              <w:spacing w:line="240" w:lineRule="auto" w:before="33"/>
              <w:ind w:left="216" w:right="0"/>
              <w:jc w:val="center"/>
              <w:rPr>
                <w:rFonts w:ascii="Times New Roman" w:hAnsi="Times New Roman" w:cs="Times New Roman" w:eastAsia="Times New Roman" w:hint="default"/>
                <w:sz w:val="18"/>
                <w:szCs w:val="18"/>
              </w:rPr>
            </w:pPr>
            <w:r>
              <w:rPr>
                <w:rFonts w:ascii="Times New Roman"/>
                <w:sz w:val="18"/>
              </w:rPr>
              <w:t>31.93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-16,080,</w:t>
            </w:r>
          </w:p>
          <w:p>
            <w:pPr>
              <w:pStyle w:val="TableParagraph"/>
              <w:spacing w:line="240" w:lineRule="auto" w:before="33"/>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9" w:right="0"/>
              <w:jc w:val="left"/>
              <w:rPr>
                <w:rFonts w:ascii="Times New Roman" w:hAnsi="Times New Roman" w:cs="Times New Roman" w:eastAsia="Times New Roman" w:hint="default"/>
                <w:sz w:val="18"/>
                <w:szCs w:val="18"/>
              </w:rPr>
            </w:pPr>
            <w:r>
              <w:rPr>
                <w:rFonts w:ascii="Times New Roman"/>
                <w:sz w:val="18"/>
              </w:rPr>
              <w:t>-1,365,</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-17,445,</w:t>
            </w:r>
          </w:p>
          <w:p>
            <w:pPr>
              <w:pStyle w:val="TableParagraph"/>
              <w:spacing w:line="240" w:lineRule="auto" w:before="33"/>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69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7"/>
        <w:gridCol w:w="691"/>
        <w:gridCol w:w="708"/>
        <w:gridCol w:w="708"/>
        <w:gridCol w:w="285"/>
        <w:gridCol w:w="708"/>
        <w:gridCol w:w="426"/>
        <w:gridCol w:w="624"/>
        <w:gridCol w:w="665"/>
        <w:gridCol w:w="665"/>
        <w:gridCol w:w="665"/>
        <w:gridCol w:w="678"/>
        <w:gridCol w:w="652"/>
        <w:gridCol w:w="659"/>
      </w:tblGrid>
      <w:tr>
        <w:trPr>
          <w:trHeight w:val="29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39"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209,482,</w:t>
            </w:r>
          </w:p>
          <w:p>
            <w:pPr>
              <w:pStyle w:val="TableParagraph"/>
              <w:spacing w:line="240" w:lineRule="auto" w:before="33"/>
              <w:ind w:left="156" w:right="0"/>
              <w:jc w:val="center"/>
              <w:rPr>
                <w:rFonts w:ascii="Times New Roman" w:hAnsi="Times New Roman" w:cs="Times New Roman" w:eastAsia="Times New Roman" w:hint="default"/>
                <w:sz w:val="18"/>
                <w:szCs w:val="18"/>
              </w:rPr>
            </w:pPr>
            <w:r>
              <w:rPr>
                <w:rFonts w:ascii="Times New Roman"/>
                <w:sz w:val="18"/>
              </w:rPr>
              <w:t>266.23</w:t>
            </w:r>
          </w:p>
        </w:tc>
        <w:tc>
          <w:tcPr>
            <w:tcW w:w="4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Times New Roman"/>
                <w:sz w:val="18"/>
              </w:rPr>
              <w:t>22,152,</w:t>
            </w:r>
          </w:p>
          <w:p>
            <w:pPr>
              <w:pStyle w:val="TableParagraph"/>
              <w:spacing w:line="240" w:lineRule="auto" w:before="33"/>
              <w:ind w:left="136" w:right="0"/>
              <w:jc w:val="left"/>
              <w:rPr>
                <w:rFonts w:ascii="Times New Roman" w:hAnsi="Times New Roman" w:cs="Times New Roman" w:eastAsia="Times New Roman" w:hint="default"/>
                <w:sz w:val="18"/>
                <w:szCs w:val="18"/>
              </w:rPr>
            </w:pPr>
            <w:r>
              <w:rPr>
                <w:rFonts w:ascii="Times New Roman"/>
                <w:sz w:val="18"/>
              </w:rPr>
              <w:t>958.50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 w:right="0"/>
              <w:jc w:val="left"/>
              <w:rPr>
                <w:rFonts w:ascii="Times New Roman" w:hAnsi="Times New Roman" w:cs="Times New Roman" w:eastAsia="Times New Roman" w:hint="default"/>
                <w:sz w:val="18"/>
                <w:szCs w:val="18"/>
              </w:rPr>
            </w:pPr>
            <w:r>
              <w:rPr>
                <w:rFonts w:ascii="Times New Roman"/>
                <w:sz w:val="18"/>
              </w:rPr>
              <w:t>150,884</w:t>
            </w:r>
          </w:p>
          <w:p>
            <w:pPr>
              <w:pStyle w:val="TableParagraph"/>
              <w:spacing w:line="240" w:lineRule="auto" w:before="33"/>
              <w:ind w:left="104" w:right="0"/>
              <w:jc w:val="left"/>
              <w:rPr>
                <w:rFonts w:ascii="Times New Roman" w:hAnsi="Times New Roman" w:cs="Times New Roman" w:eastAsia="Times New Roman" w:hint="default"/>
                <w:sz w:val="18"/>
                <w:szCs w:val="18"/>
              </w:rPr>
            </w:pPr>
            <w:r>
              <w:rPr>
                <w:rFonts w:ascii="Times New Roman"/>
                <w:sz w:val="18"/>
              </w:rPr>
              <w:t>,764.29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9" w:right="0"/>
              <w:jc w:val="left"/>
              <w:rPr>
                <w:rFonts w:ascii="Times New Roman" w:hAnsi="Times New Roman" w:cs="Times New Roman" w:eastAsia="Times New Roman" w:hint="default"/>
                <w:sz w:val="18"/>
                <w:szCs w:val="18"/>
              </w:rPr>
            </w:pPr>
            <w:r>
              <w:rPr>
                <w:rFonts w:ascii="Times New Roman"/>
                <w:sz w:val="18"/>
              </w:rPr>
              <w:t>29,863,</w:t>
            </w:r>
          </w:p>
          <w:p>
            <w:pPr>
              <w:pStyle w:val="TableParagraph"/>
              <w:spacing w:line="240" w:lineRule="auto" w:before="33"/>
              <w:ind w:left="124" w:right="0"/>
              <w:jc w:val="left"/>
              <w:rPr>
                <w:rFonts w:ascii="Times New Roman" w:hAnsi="Times New Roman" w:cs="Times New Roman" w:eastAsia="Times New Roman" w:hint="default"/>
                <w:sz w:val="18"/>
                <w:szCs w:val="18"/>
              </w:rPr>
            </w:pPr>
            <w:r>
              <w:rPr>
                <w:rFonts w:ascii="Times New Roman"/>
                <w:sz w:val="18"/>
              </w:rPr>
              <w:t>568.33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 w:right="0"/>
              <w:jc w:val="left"/>
              <w:rPr>
                <w:rFonts w:ascii="Times New Roman" w:hAnsi="Times New Roman" w:cs="Times New Roman" w:eastAsia="Times New Roman" w:hint="default"/>
                <w:sz w:val="18"/>
                <w:szCs w:val="18"/>
              </w:rPr>
            </w:pPr>
            <w:r>
              <w:rPr>
                <w:rFonts w:ascii="Times New Roman"/>
                <w:sz w:val="18"/>
              </w:rPr>
              <w:t>680,383</w:t>
            </w:r>
          </w:p>
          <w:p>
            <w:pPr>
              <w:pStyle w:val="TableParagraph"/>
              <w:spacing w:line="240" w:lineRule="auto" w:before="33"/>
              <w:ind w:left="85" w:right="0"/>
              <w:jc w:val="left"/>
              <w:rPr>
                <w:rFonts w:ascii="Times New Roman" w:hAnsi="Times New Roman" w:cs="Times New Roman" w:eastAsia="Times New Roman" w:hint="default"/>
                <w:sz w:val="18"/>
                <w:szCs w:val="18"/>
              </w:rPr>
            </w:pPr>
            <w:r>
              <w:rPr>
                <w:rFonts w:ascii="Times New Roman"/>
                <w:sz w:val="18"/>
              </w:rPr>
              <w:t>,557.35</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left="154" w:right="0"/>
        <w:jc w:val="left"/>
      </w:pPr>
      <w:r>
        <w:rPr/>
        <w:t>法定代表人：朱文明</w:t>
        <w:tab/>
        <w:t>主管会计工作负责人：徐仕俊</w:t>
        <w:tab/>
        <w:t>会计机构负责人：徐仕俊</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8、母公司所有者权益变动表" w:id="152"/>
      <w:bookmarkEnd w:id="15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3"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3"/>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22,152,95</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8.50</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0"/>
              <w:ind w:left="58" w:right="0"/>
              <w:jc w:val="left"/>
              <w:rPr>
                <w:rFonts w:ascii="Times New Roman" w:hAnsi="Times New Roman" w:cs="Times New Roman" w:eastAsia="Times New Roman" w:hint="default"/>
                <w:sz w:val="18"/>
                <w:szCs w:val="18"/>
              </w:rPr>
            </w:pPr>
            <w:r>
              <w:rPr>
                <w:rFonts w:ascii="Times New Roman"/>
                <w:sz w:val="18"/>
              </w:rPr>
              <w:t>123,770</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,000.78</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0"/>
              <w:ind w:left="27" w:right="0"/>
              <w:jc w:val="left"/>
              <w:rPr>
                <w:rFonts w:ascii="Times New Roman" w:hAnsi="Times New Roman" w:cs="Times New Roman" w:eastAsia="Times New Roman" w:hint="default"/>
                <w:sz w:val="18"/>
                <w:szCs w:val="18"/>
              </w:rPr>
            </w:pPr>
            <w:r>
              <w:rPr>
                <w:rFonts w:ascii="Times New Roman"/>
                <w:sz w:val="18"/>
              </w:rPr>
              <w:t>625,189,1</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86.58</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3"/>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22,152,95</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123,770</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,000.78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625,189,1</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86.58</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11,762,</w:t>
            </w:r>
          </w:p>
          <w:p>
            <w:pPr>
              <w:pStyle w:val="TableParagraph"/>
              <w:spacing w:line="240" w:lineRule="auto" w:before="33"/>
              <w:ind w:left="148" w:right="0"/>
              <w:jc w:val="left"/>
              <w:rPr>
                <w:rFonts w:ascii="Times New Roman" w:hAnsi="Times New Roman" w:cs="Times New Roman" w:eastAsia="Times New Roman" w:hint="default"/>
                <w:sz w:val="18"/>
                <w:szCs w:val="18"/>
              </w:rPr>
            </w:pPr>
            <w:r>
              <w:rPr>
                <w:rFonts w:ascii="Times New Roman"/>
                <w:sz w:val="18"/>
              </w:rPr>
              <w:t>783.28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14,558,64</w:t>
            </w:r>
          </w:p>
          <w:p>
            <w:pPr>
              <w:pStyle w:val="TableParagraph"/>
              <w:spacing w:line="240" w:lineRule="auto" w:before="33"/>
              <w:ind w:left="433" w:right="0"/>
              <w:jc w:val="left"/>
              <w:rPr>
                <w:rFonts w:ascii="Times New Roman" w:hAnsi="Times New Roman" w:cs="Times New Roman" w:eastAsia="Times New Roman" w:hint="default"/>
                <w:sz w:val="18"/>
                <w:szCs w:val="18"/>
              </w:rPr>
            </w:pPr>
            <w:r>
              <w:rPr>
                <w:rFonts w:ascii="Times New Roman"/>
                <w:sz w:val="18"/>
              </w:rPr>
              <w:t>8.09</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3"/>
              <w:ind w:left="148" w:right="0"/>
              <w:jc w:val="left"/>
              <w:rPr>
                <w:rFonts w:ascii="Times New Roman" w:hAnsi="Times New Roman" w:cs="Times New Roman" w:eastAsia="Times New Roman" w:hint="default"/>
                <w:sz w:val="18"/>
                <w:szCs w:val="18"/>
              </w:rPr>
            </w:pPr>
            <w:r>
              <w:rPr>
                <w:rFonts w:ascii="Times New Roman"/>
                <w:sz w:val="18"/>
              </w:rPr>
              <w:t>648.09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3"/>
              <w:ind w:left="433" w:right="0"/>
              <w:jc w:val="left"/>
              <w:rPr>
                <w:rFonts w:ascii="Times New Roman" w:hAnsi="Times New Roman" w:cs="Times New Roman" w:eastAsia="Times New Roman" w:hint="default"/>
                <w:sz w:val="18"/>
                <w:szCs w:val="18"/>
              </w:rPr>
            </w:pPr>
            <w:r>
              <w:rPr>
                <w:rFonts w:ascii="Times New Roman"/>
                <w:sz w:val="18"/>
              </w:rPr>
              <w:t>8.09</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-16,195,</w:t>
            </w:r>
          </w:p>
          <w:p>
            <w:pPr>
              <w:pStyle w:val="TableParagraph"/>
              <w:spacing w:line="240" w:lineRule="auto" w:before="33"/>
              <w:ind w:left="126" w:right="0"/>
              <w:jc w:val="center"/>
              <w:rPr>
                <w:rFonts w:ascii="Times New Roman" w:hAnsi="Times New Roman" w:cs="Times New Roman" w:eastAsia="Times New Roman" w:hint="default"/>
                <w:sz w:val="18"/>
                <w:szCs w:val="18"/>
              </w:rPr>
            </w:pPr>
            <w:r>
              <w:rPr>
                <w:rFonts w:ascii="Times New Roman"/>
                <w:sz w:val="18"/>
              </w:rPr>
              <w:t>864.81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45"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2,795,864</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-2,795,8</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64.81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24,948,82</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3.31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135,532</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,784.06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639,747,8</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34.67</w:t>
            </w:r>
          </w:p>
        </w:tc>
      </w:tr>
    </w:tbl>
    <w:p>
      <w:pPr>
        <w:spacing w:line="240" w:lineRule="auto" w:before="11"/>
        <w:rPr>
          <w:rFonts w:ascii="宋体" w:hAnsi="宋体" w:cs="宋体" w:eastAsia="宋体" w:hint="default"/>
          <w:sz w:val="15"/>
          <w:szCs w:val="15"/>
        </w:rPr>
      </w:pPr>
    </w:p>
    <w:p>
      <w:pPr>
        <w:pStyle w:val="BodyText"/>
        <w:spacing w:line="240" w:lineRule="auto" w:before="44"/>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right="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w w:val="95"/>
                <w:sz w:val="18"/>
                <w:szCs w:val="18"/>
                <w:shd w:fill="D2D2D2" w:color="auto" w:val="clear"/>
              </w:rPr>
              <w:t>一、上年期末余额</w:t>
            </w:r>
            <w:r>
              <w:rPr>
                <w:rFonts w:ascii="宋体" w:hAnsi="宋体" w:cs="宋体" w:eastAsia="宋体" w:hint="default"/>
                <w:spacing w:val="-7"/>
                <w:w w:val="95"/>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17,850,12</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6.57</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0"/>
              <w:ind w:left="58" w:right="0"/>
              <w:jc w:val="left"/>
              <w:rPr>
                <w:rFonts w:ascii="Times New Roman" w:hAnsi="Times New Roman" w:cs="Times New Roman" w:eastAsia="Times New Roman" w:hint="default"/>
                <w:sz w:val="18"/>
                <w:szCs w:val="18"/>
              </w:rPr>
            </w:pPr>
            <w:r>
              <w:rPr>
                <w:rFonts w:ascii="Times New Roman"/>
                <w:sz w:val="18"/>
              </w:rPr>
              <w:t>101,124</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,513.41</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0"/>
              <w:ind w:left="27" w:right="0"/>
              <w:jc w:val="left"/>
              <w:rPr>
                <w:rFonts w:ascii="Times New Roman" w:hAnsi="Times New Roman" w:cs="Times New Roman" w:eastAsia="Times New Roman" w:hint="default"/>
                <w:sz w:val="18"/>
                <w:szCs w:val="18"/>
              </w:rPr>
            </w:pPr>
            <w:r>
              <w:rPr>
                <w:rFonts w:ascii="Times New Roman"/>
                <w:sz w:val="18"/>
              </w:rPr>
              <w:t>598,240,8</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67.28</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right="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w w:val="95"/>
                <w:sz w:val="18"/>
                <w:szCs w:val="18"/>
                <w:shd w:fill="D2D2D2" w:color="auto" w:val="clear"/>
              </w:rPr>
              <w:t>二、本年期初余额</w:t>
            </w:r>
            <w:r>
              <w:rPr>
                <w:rFonts w:ascii="宋体" w:hAnsi="宋体" w:cs="宋体" w:eastAsia="宋体" w:hint="default"/>
                <w:spacing w:val="-7"/>
                <w:w w:val="95"/>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17,850,12</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6.57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101,124</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,513.41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598,240,8</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67.28</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4,302,831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22,645,</w:t>
            </w:r>
          </w:p>
          <w:p>
            <w:pPr>
              <w:pStyle w:val="TableParagraph"/>
              <w:spacing w:line="240" w:lineRule="auto" w:before="34"/>
              <w:ind w:left="148" w:right="0"/>
              <w:jc w:val="left"/>
              <w:rPr>
                <w:rFonts w:ascii="Times New Roman" w:hAnsi="Times New Roman" w:cs="Times New Roman" w:eastAsia="Times New Roman" w:hint="default"/>
                <w:sz w:val="18"/>
                <w:szCs w:val="18"/>
              </w:rPr>
            </w:pPr>
            <w:r>
              <w:rPr>
                <w:rFonts w:ascii="Times New Roman"/>
                <w:sz w:val="18"/>
              </w:rPr>
              <w:t>487.37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26,948,31</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9.30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sz w:val="18"/>
              </w:rPr>
              <w:t>43,028,</w:t>
            </w:r>
          </w:p>
          <w:p>
            <w:pPr>
              <w:pStyle w:val="TableParagraph"/>
              <w:spacing w:line="240" w:lineRule="auto" w:before="34"/>
              <w:ind w:left="148" w:right="0"/>
              <w:jc w:val="left"/>
              <w:rPr>
                <w:rFonts w:ascii="Times New Roman" w:hAnsi="Times New Roman" w:cs="Times New Roman" w:eastAsia="Times New Roman" w:hint="default"/>
                <w:sz w:val="18"/>
                <w:szCs w:val="18"/>
              </w:rPr>
            </w:pPr>
            <w:r>
              <w:rPr>
                <w:rFonts w:ascii="Times New Roman"/>
                <w:sz w:val="18"/>
              </w:rPr>
              <w:t>319.30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43,028,31</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9.30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4,302,831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 w:right="0"/>
              <w:jc w:val="center"/>
              <w:rPr>
                <w:rFonts w:ascii="Times New Roman" w:hAnsi="Times New Roman" w:cs="Times New Roman" w:eastAsia="Times New Roman" w:hint="default"/>
                <w:sz w:val="18"/>
                <w:szCs w:val="18"/>
              </w:rPr>
            </w:pPr>
            <w:r>
              <w:rPr>
                <w:rFonts w:ascii="Times New Roman"/>
                <w:sz w:val="18"/>
              </w:rPr>
              <w:t>-20,382,</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831.93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 w:right="0"/>
              <w:jc w:val="left"/>
              <w:rPr>
                <w:rFonts w:ascii="Times New Roman" w:hAnsi="Times New Roman" w:cs="Times New Roman" w:eastAsia="Times New Roman" w:hint="default"/>
                <w:sz w:val="18"/>
                <w:szCs w:val="18"/>
              </w:rPr>
            </w:pPr>
            <w:r>
              <w:rPr>
                <w:rFonts w:ascii="Times New Roman"/>
                <w:sz w:val="18"/>
              </w:rPr>
              <w:t>-16,080,0</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4,302,831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-4,302,8</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31.93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-16,080,</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-16,080,0</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22,152,95</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8.50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123,770</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,000.78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625,189,1</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86.58</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left="154" w:right="0"/>
        <w:jc w:val="left"/>
      </w:pPr>
      <w:r>
        <w:rPr/>
        <w:t>法定代表人：朱文明</w:t>
        <w:tab/>
        <w:t>主管会计工作负责人：徐仕俊</w:t>
        <w:tab/>
        <w:t>会计机构负责人：徐仕俊</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公司基本情况" w:id="153"/>
      <w:bookmarkEnd w:id="153"/>
      <w:r>
        <w:rPr>
          <w:b w:val="0"/>
          <w:bCs w:val="0"/>
        </w:rPr>
      </w:r>
      <w:r>
        <w:rPr/>
        <w:t>三、公司基本情况</w:t>
      </w:r>
      <w:r>
        <w:rPr>
          <w:b w:val="0"/>
          <w:bCs w:val="0"/>
        </w:rPr>
      </w:r>
    </w:p>
    <w:p>
      <w:pPr>
        <w:pStyle w:val="BodyText"/>
        <w:spacing w:line="307" w:lineRule="auto" w:before="182"/>
        <w:ind w:left="153" w:right="1130" w:firstLine="360"/>
        <w:jc w:val="right"/>
      </w:pPr>
      <w:r>
        <w:rPr>
          <w:spacing w:val="-1"/>
        </w:rPr>
        <w:t>江苏丰东热技术股份有限公司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为境内公开发行</w:t>
      </w:r>
      <w:r>
        <w:rPr>
          <w:rFonts w:ascii="Times New Roman" w:hAnsi="Times New Roman" w:cs="Times New Roman" w:eastAsia="Times New Roman" w:hint="default"/>
          <w:spacing w:val="-1"/>
        </w:rPr>
        <w:t>A</w:t>
      </w:r>
      <w:r>
        <w:rPr>
          <w:spacing w:val="-1"/>
        </w:rPr>
        <w:t>股股票并在深圳证券交易所上市的股份有限公司。</w:t>
      </w:r>
      <w:r>
        <w:rPr/>
        <w:t> </w:t>
      </w:r>
      <w:r>
        <w:rPr>
          <w:spacing w:val="-5"/>
        </w:rPr>
        <w:t>经中国证券监督管理委员会《关于核准江苏丰东热技术股份有限公司首次公开发行股票的批复》（证监许可［</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1757</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w:t>
      </w:r>
      <w:r>
        <w:rPr>
          <w:spacing w:val="-1"/>
        </w:rPr>
        <w:t>的核准，公司向社会公开发行人民币普通股股票</w:t>
      </w:r>
      <w:r>
        <w:rPr>
          <w:rFonts w:ascii="Times New Roman" w:hAnsi="Times New Roman" w:cs="Times New Roman" w:eastAsia="Times New Roman" w:hint="default"/>
          <w:spacing w:val="-1"/>
        </w:rPr>
        <w:t>3,400</w:t>
      </w:r>
      <w:r>
        <w:rPr>
          <w:spacing w:val="-1"/>
        </w:rPr>
        <w:t>万股，每股面值壹元，每股发行价为人民币壹拾贰元，募集资金总</w:t>
      </w:r>
    </w:p>
    <w:p>
      <w:pPr>
        <w:pStyle w:val="BodyText"/>
        <w:spacing w:line="240" w:lineRule="auto" w:before="15"/>
        <w:ind w:left="154" w:right="0"/>
        <w:jc w:val="left"/>
      </w:pPr>
      <w:r>
        <w:rPr/>
        <w:t>额为人民币肆亿零捌佰万元整。经深圳证券交易所《关于江苏丰东热技术股份有限公司人民币普通股股票上市交易的通知》</w:t>
      </w:r>
    </w:p>
    <w:p>
      <w:pPr>
        <w:pStyle w:val="BodyText"/>
        <w:spacing w:line="240" w:lineRule="auto" w:before="83"/>
        <w:ind w:left="154" w:right="0"/>
        <w:jc w:val="left"/>
      </w:pPr>
      <w:r>
        <w:rPr/>
        <w:t>（深证上［</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429</w:t>
      </w:r>
      <w:r>
        <w:rPr/>
        <w:t>号）同意，本公司发行的人民币普通股股票在深圳证券交易所上市，证券简称</w:t>
      </w:r>
      <w:r>
        <w:rPr>
          <w:rFonts w:ascii="Times New Roman" w:hAnsi="Times New Roman" w:cs="Times New Roman" w:eastAsia="Times New Roman" w:hint="default"/>
        </w:rPr>
        <w:t>“</w:t>
      </w:r>
      <w:r>
        <w:rPr/>
        <w:t>丰东股份</w:t>
      </w:r>
      <w:r>
        <w:rPr>
          <w:rFonts w:ascii="Times New Roman" w:hAnsi="Times New Roman" w:cs="Times New Roman" w:eastAsia="Times New Roman" w:hint="default"/>
        </w:rPr>
        <w:t>”</w:t>
      </w:r>
      <w:r>
        <w:rPr/>
        <w:t>，股票代码</w:t>
      </w:r>
    </w:p>
    <w:p>
      <w:pPr>
        <w:pStyle w:val="BodyText"/>
        <w:spacing w:line="240" w:lineRule="auto" w:before="71"/>
        <w:ind w:left="153" w:right="0"/>
        <w:jc w:val="left"/>
      </w:pPr>
      <w:r>
        <w:rPr>
          <w:rFonts w:ascii="Times New Roman" w:hAnsi="Times New Roman" w:cs="Times New Roman" w:eastAsia="Times New Roman" w:hint="default"/>
        </w:rPr>
        <w:t>“002530”</w:t>
      </w:r>
      <w:r>
        <w:rPr/>
        <w:t>。</w:t>
      </w:r>
    </w:p>
    <w:p>
      <w:pPr>
        <w:pStyle w:val="BodyText"/>
        <w:spacing w:line="314" w:lineRule="auto" w:before="71"/>
        <w:ind w:left="153" w:right="1031" w:firstLine="360"/>
        <w:jc w:val="left"/>
      </w:pPr>
      <w:r>
        <w:rPr>
          <w:spacing w:val="-2"/>
        </w:rPr>
        <w:t>根据财政部、国资委、证监会和全国社保基金理事会联合印发的《境内证券市场转持部分国有股充实全国社会保障基金</w:t>
      </w:r>
      <w:r>
        <w:rPr/>
        <w:t> </w:t>
      </w:r>
      <w:r>
        <w:rPr>
          <w:spacing w:val="-2"/>
        </w:rPr>
        <w:t>实施办法》文件规定及江苏省国资委《关于同意江苏丰东热技术股份有限公司国有股转持的批复》（苏国资复</w:t>
      </w:r>
      <w:r>
        <w:rPr>
          <w:rFonts w:ascii="Times New Roman" w:hAnsi="Times New Roman" w:cs="Times New Roman" w:eastAsia="Times New Roman" w:hint="default"/>
          <w:spacing w:val="-2"/>
        </w:rPr>
        <w:t>[2010]51</w:t>
      </w:r>
      <w:r>
        <w:rPr>
          <w:spacing w:val="-2"/>
        </w:rPr>
        <w:t>号），</w:t>
      </w:r>
      <w:r>
        <w:rPr>
          <w:spacing w:val="-87"/>
        </w:rPr>
        <w:t> </w:t>
      </w:r>
      <w:r>
        <w:rPr>
          <w:spacing w:val="-87"/>
        </w:rPr>
      </w:r>
      <w:r>
        <w:rPr/>
        <w:t>江苏高科技投资集团有限公司将持有的本公司</w:t>
      </w:r>
      <w:r>
        <w:rPr>
          <w:rFonts w:ascii="Times New Roman" w:hAnsi="Times New Roman" w:cs="Times New Roman" w:eastAsia="Times New Roman" w:hint="default"/>
        </w:rPr>
        <w:t>340</w:t>
      </w:r>
      <w:r>
        <w:rPr/>
        <w:t>万股股份（按本次发行</w:t>
      </w:r>
      <w:r>
        <w:rPr>
          <w:rFonts w:ascii="Times New Roman" w:hAnsi="Times New Roman" w:cs="Times New Roman" w:eastAsia="Times New Roman" w:hint="default"/>
        </w:rPr>
        <w:t>3,400</w:t>
      </w:r>
      <w:r>
        <w:rPr/>
        <w:t>万股的</w:t>
      </w:r>
      <w:r>
        <w:rPr>
          <w:rFonts w:ascii="Times New Roman" w:hAnsi="Times New Roman" w:cs="Times New Roman" w:eastAsia="Times New Roman" w:hint="default"/>
        </w:rPr>
        <w:t>10%</w:t>
      </w:r>
      <w:r>
        <w:rPr/>
        <w:t>计算）划转给全国社会保障基金理 事会。</w:t>
      </w:r>
    </w:p>
    <w:p>
      <w:pPr>
        <w:pStyle w:val="BodyText"/>
        <w:spacing w:line="309" w:lineRule="auto" w:before="28"/>
        <w:ind w:left="153" w:right="1109" w:firstLine="360"/>
        <w:jc w:val="both"/>
      </w:pPr>
      <w:r>
        <w:rPr/>
        <w:t>根据中华人民共和国财政部《关于回拨江苏丰东热技术股份有限公司部份国有股有关问题的通知》（财企</w:t>
      </w:r>
      <w:r>
        <w:rPr>
          <w:rFonts w:ascii="Times New Roman" w:hAnsi="Times New Roman" w:cs="Times New Roman" w:eastAsia="Times New Roman" w:hint="default"/>
        </w:rPr>
        <w:t>[2011]43</w:t>
      </w:r>
      <w:r>
        <w:rPr/>
        <w:t>号） </w:t>
      </w:r>
      <w:r>
        <w:rPr>
          <w:spacing w:val="-2"/>
        </w:rPr>
        <w:t>文件规定，江苏高科技投资集团有限公司原划转给全国社会保障基金理事会持有的本公司</w:t>
      </w:r>
      <w:r>
        <w:rPr>
          <w:rFonts w:ascii="Times New Roman" w:hAnsi="Times New Roman" w:cs="Times New Roman" w:eastAsia="Times New Roman" w:hint="default"/>
          <w:spacing w:val="-2"/>
        </w:rPr>
        <w:t>340</w:t>
      </w:r>
      <w:r>
        <w:rPr>
          <w:spacing w:val="-2"/>
        </w:rPr>
        <w:t>万股限售流通股于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rFonts w:ascii="Times New Roman" w:hAnsi="Times New Roman" w:cs="Times New Roman" w:eastAsia="Times New Roman" w:hint="default"/>
          <w:spacing w:val="-9"/>
        </w:rPr>
        <w:t> </w:t>
      </w:r>
      <w:r>
        <w:rPr/>
        <w:t>日回拨到江苏高科技投资集团有限公司的证券账户中。</w:t>
      </w:r>
    </w:p>
    <w:p>
      <w:pPr>
        <w:pStyle w:val="BodyText"/>
        <w:spacing w:line="309" w:lineRule="auto" w:before="31"/>
        <w:ind w:left="153" w:right="1123" w:firstLine="360"/>
        <w:jc w:val="left"/>
      </w:pPr>
      <w:r>
        <w:rPr/>
        <w:t>根据公司</w:t>
      </w:r>
      <w:r>
        <w:rPr>
          <w:rFonts w:ascii="Times New Roman" w:hAnsi="Times New Roman" w:cs="Times New Roman" w:eastAsia="Times New Roman" w:hint="default"/>
        </w:rPr>
        <w:t>2011</w:t>
      </w:r>
      <w:r>
        <w:rPr/>
        <w:t>年年度股东大会决议，本公司实施资本公积转增注册资本</w:t>
      </w:r>
      <w:r>
        <w:rPr>
          <w:rFonts w:ascii="Times New Roman" w:hAnsi="Times New Roman" w:cs="Times New Roman" w:eastAsia="Times New Roman" w:hint="default"/>
        </w:rPr>
        <w:t>134,000,000</w:t>
      </w:r>
      <w:r>
        <w:rPr/>
        <w:t>元，转增基准日为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 转增后本公司注册资本为人民币</w:t>
      </w:r>
      <w:r>
        <w:rPr>
          <w:rFonts w:ascii="Times New Roman" w:hAnsi="Times New Roman" w:cs="Times New Roman" w:eastAsia="Times New Roman" w:hint="default"/>
        </w:rPr>
        <w:t>268,000,000</w:t>
      </w:r>
      <w:r>
        <w:rPr/>
        <w:t>元。</w:t>
      </w:r>
    </w:p>
    <w:p>
      <w:pPr>
        <w:spacing w:after="0" w:line="309"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240" w:lineRule="auto" w:before="44"/>
        <w:ind w:left="51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日的公司股权结构</w:t>
      </w:r>
    </w:p>
    <w:p>
      <w:pPr>
        <w:spacing w:line="240" w:lineRule="auto" w:before="3"/>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1775"/>
        <w:gridCol w:w="2226"/>
        <w:gridCol w:w="1775"/>
        <w:gridCol w:w="2361"/>
        <w:gridCol w:w="1264"/>
      </w:tblGrid>
      <w:tr>
        <w:trPr>
          <w:trHeight w:val="334" w:hRule="exact"/>
        </w:trPr>
        <w:tc>
          <w:tcPr>
            <w:tcW w:w="1775"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26"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left="505" w:right="0"/>
              <w:jc w:val="left"/>
              <w:rPr>
                <w:rFonts w:ascii="宋体" w:hAnsi="宋体" w:cs="宋体" w:eastAsia="宋体" w:hint="default"/>
                <w:sz w:val="18"/>
                <w:szCs w:val="18"/>
              </w:rPr>
            </w:pPr>
            <w:r>
              <w:rPr>
                <w:rFonts w:ascii="宋体" w:hAnsi="宋体" w:cs="宋体" w:eastAsia="宋体" w:hint="default"/>
                <w:sz w:val="18"/>
                <w:szCs w:val="18"/>
              </w:rPr>
              <w:t>无限售流通股</w:t>
            </w:r>
          </w:p>
        </w:tc>
        <w:tc>
          <w:tcPr>
            <w:tcW w:w="1775"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right="372"/>
              <w:jc w:val="center"/>
              <w:rPr>
                <w:rFonts w:ascii="宋体" w:hAnsi="宋体" w:cs="宋体" w:eastAsia="宋体" w:hint="default"/>
                <w:sz w:val="18"/>
                <w:szCs w:val="18"/>
              </w:rPr>
            </w:pPr>
            <w:r>
              <w:rPr>
                <w:rFonts w:ascii="宋体" w:hAnsi="宋体" w:cs="宋体" w:eastAsia="宋体" w:hint="default"/>
                <w:sz w:val="18"/>
                <w:szCs w:val="18"/>
              </w:rPr>
              <w:t>限售流通股</w:t>
            </w:r>
          </w:p>
        </w:tc>
        <w:tc>
          <w:tcPr>
            <w:tcW w:w="2361"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left="6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4" w:type="dxa"/>
            <w:tcBorders>
              <w:top w:val="nil" w:sz="6" w:space="0" w:color="auto"/>
              <w:left w:val="nil" w:sz="6" w:space="0" w:color="auto"/>
              <w:bottom w:val="single" w:sz="6" w:space="0" w:color="000000"/>
              <w:right w:val="nil" w:sz="6" w:space="0" w:color="auto"/>
            </w:tcBorders>
            <w:shd w:val="clear" w:color="auto" w:fill="D7D7D7"/>
          </w:tcPr>
          <w:p>
            <w:pPr>
              <w:pStyle w:val="TableParagraph"/>
              <w:spacing w:line="240" w:lineRule="auto" w:before="15"/>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44" w:hRule="exact"/>
        </w:trPr>
        <w:tc>
          <w:tcPr>
            <w:tcW w:w="1775"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2226"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248"/>
              <w:jc w:val="right"/>
              <w:rPr>
                <w:rFonts w:ascii="Times New Roman" w:hAnsi="Times New Roman" w:cs="Times New Roman" w:eastAsia="Times New Roman" w:hint="default"/>
                <w:sz w:val="18"/>
                <w:szCs w:val="18"/>
              </w:rPr>
            </w:pPr>
            <w:r>
              <w:rPr>
                <w:rFonts w:ascii="Times New Roman"/>
                <w:sz w:val="18"/>
              </w:rPr>
              <w:t>8,600,000</w:t>
            </w:r>
          </w:p>
        </w:tc>
        <w:tc>
          <w:tcPr>
            <w:tcW w:w="1775"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44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1"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623"/>
              <w:jc w:val="right"/>
              <w:rPr>
                <w:rFonts w:ascii="Times New Roman" w:hAnsi="Times New Roman" w:cs="Times New Roman" w:eastAsia="Times New Roman" w:hint="default"/>
                <w:sz w:val="18"/>
                <w:szCs w:val="18"/>
              </w:rPr>
            </w:pPr>
            <w:r>
              <w:rPr>
                <w:rFonts w:ascii="Times New Roman"/>
                <w:sz w:val="18"/>
              </w:rPr>
              <w:t>8,600,000</w:t>
            </w:r>
          </w:p>
        </w:tc>
        <w:tc>
          <w:tcPr>
            <w:tcW w:w="1264"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3.21</w:t>
            </w:r>
          </w:p>
        </w:tc>
      </w:tr>
      <w:tr>
        <w:trPr>
          <w:trHeight w:val="33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8"/>
              <w:jc w:val="right"/>
              <w:rPr>
                <w:rFonts w:ascii="Times New Roman" w:hAnsi="Times New Roman" w:cs="Times New Roman" w:eastAsia="Times New Roman" w:hint="default"/>
                <w:sz w:val="18"/>
                <w:szCs w:val="18"/>
              </w:rPr>
            </w:pPr>
            <w:r>
              <w:rPr>
                <w:rFonts w:ascii="Times New Roman"/>
                <w:sz w:val="18"/>
              </w:rPr>
              <w:t>97,078,002</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23"/>
              <w:jc w:val="right"/>
              <w:rPr>
                <w:rFonts w:ascii="Times New Roman" w:hAnsi="Times New Roman" w:cs="Times New Roman" w:eastAsia="Times New Roman" w:hint="default"/>
                <w:sz w:val="18"/>
                <w:szCs w:val="18"/>
              </w:rPr>
            </w:pPr>
            <w:r>
              <w:rPr>
                <w:rFonts w:ascii="Times New Roman"/>
                <w:sz w:val="18"/>
              </w:rPr>
              <w:t>97,078,002</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
              <w:jc w:val="right"/>
              <w:rPr>
                <w:rFonts w:ascii="Times New Roman" w:hAnsi="Times New Roman" w:cs="Times New Roman" w:eastAsia="Times New Roman" w:hint="default"/>
                <w:sz w:val="18"/>
                <w:szCs w:val="18"/>
              </w:rPr>
            </w:pPr>
            <w:r>
              <w:rPr>
                <w:rFonts w:ascii="Times New Roman"/>
                <w:sz w:val="18"/>
              </w:rPr>
              <w:t>36.22</w:t>
            </w:r>
          </w:p>
        </w:tc>
      </w:tr>
      <w:tr>
        <w:trPr>
          <w:trHeight w:val="33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8"/>
              <w:jc w:val="right"/>
              <w:rPr>
                <w:rFonts w:ascii="Times New Roman" w:hAnsi="Times New Roman" w:cs="Times New Roman" w:eastAsia="Times New Roman" w:hint="default"/>
                <w:sz w:val="18"/>
                <w:szCs w:val="18"/>
              </w:rPr>
            </w:pPr>
            <w:r>
              <w:rPr>
                <w:rFonts w:ascii="Times New Roman"/>
                <w:sz w:val="18"/>
              </w:rPr>
              <w:t>83,935,272</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23"/>
              <w:jc w:val="right"/>
              <w:rPr>
                <w:rFonts w:ascii="Times New Roman" w:hAnsi="Times New Roman" w:cs="Times New Roman" w:eastAsia="Times New Roman" w:hint="default"/>
                <w:sz w:val="18"/>
                <w:szCs w:val="18"/>
              </w:rPr>
            </w:pPr>
            <w:r>
              <w:rPr>
                <w:rFonts w:ascii="Times New Roman"/>
                <w:sz w:val="18"/>
              </w:rPr>
              <w:t>83,935,272</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31.32</w:t>
            </w:r>
          </w:p>
        </w:tc>
      </w:tr>
      <w:tr>
        <w:trPr>
          <w:trHeight w:val="33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8"/>
              <w:jc w:val="right"/>
              <w:rPr>
                <w:rFonts w:ascii="Times New Roman" w:hAnsi="Times New Roman" w:cs="Times New Roman" w:eastAsia="Times New Roman" w:hint="default"/>
                <w:sz w:val="18"/>
                <w:szCs w:val="18"/>
              </w:rPr>
            </w:pPr>
            <w:r>
              <w:rPr>
                <w:rFonts w:ascii="Times New Roman"/>
                <w:sz w:val="18"/>
              </w:rPr>
              <w:t>71,778,100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23"/>
              <w:jc w:val="right"/>
              <w:rPr>
                <w:rFonts w:ascii="Times New Roman" w:hAnsi="Times New Roman" w:cs="Times New Roman" w:eastAsia="Times New Roman" w:hint="default"/>
                <w:sz w:val="18"/>
                <w:szCs w:val="18"/>
              </w:rPr>
            </w:pPr>
            <w:r>
              <w:rPr>
                <w:rFonts w:ascii="Times New Roman"/>
                <w:sz w:val="18"/>
              </w:rPr>
              <w:t>71,778,100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26.78</w:t>
            </w:r>
          </w:p>
        </w:tc>
      </w:tr>
      <w:tr>
        <w:trPr>
          <w:trHeight w:val="33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7"/>
              <w:jc w:val="right"/>
              <w:rPr>
                <w:rFonts w:ascii="Times New Roman" w:hAnsi="Times New Roman" w:cs="Times New Roman" w:eastAsia="Times New Roman" w:hint="default"/>
                <w:sz w:val="18"/>
                <w:szCs w:val="18"/>
              </w:rPr>
            </w:pPr>
            <w:r>
              <w:rPr>
                <w:rFonts w:ascii="Times New Roman"/>
                <w:sz w:val="18"/>
              </w:rPr>
              <w:t>96,945</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22"/>
              <w:jc w:val="right"/>
              <w:rPr>
                <w:rFonts w:ascii="Times New Roman" w:hAnsi="Times New Roman" w:cs="Times New Roman" w:eastAsia="Times New Roman" w:hint="default"/>
                <w:sz w:val="18"/>
                <w:szCs w:val="18"/>
              </w:rPr>
            </w:pPr>
            <w:r>
              <w:rPr>
                <w:rFonts w:ascii="Times New Roman"/>
                <w:sz w:val="18"/>
              </w:rPr>
              <w:t>96,945</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0.04</w:t>
            </w:r>
          </w:p>
        </w:tc>
      </w:tr>
      <w:tr>
        <w:trPr>
          <w:trHeight w:val="33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基金、理财产品</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8"/>
              <w:jc w:val="right"/>
              <w:rPr>
                <w:rFonts w:ascii="Times New Roman" w:hAnsi="Times New Roman" w:cs="Times New Roman" w:eastAsia="Times New Roman" w:hint="default"/>
                <w:sz w:val="18"/>
                <w:szCs w:val="18"/>
              </w:rPr>
            </w:pPr>
            <w:r>
              <w:rPr>
                <w:rFonts w:ascii="Times New Roman"/>
                <w:sz w:val="18"/>
              </w:rPr>
              <w:t>6,511,681</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23"/>
              <w:jc w:val="right"/>
              <w:rPr>
                <w:rFonts w:ascii="Times New Roman" w:hAnsi="Times New Roman" w:cs="Times New Roman" w:eastAsia="Times New Roman" w:hint="default"/>
                <w:sz w:val="18"/>
                <w:szCs w:val="18"/>
              </w:rPr>
            </w:pPr>
            <w:r>
              <w:rPr>
                <w:rFonts w:ascii="Times New Roman"/>
                <w:sz w:val="18"/>
              </w:rPr>
              <w:t>6,511,681</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2.43</w:t>
            </w:r>
          </w:p>
        </w:tc>
      </w:tr>
      <w:tr>
        <w:trPr>
          <w:trHeight w:val="336" w:hRule="exact"/>
        </w:trPr>
        <w:tc>
          <w:tcPr>
            <w:tcW w:w="1775"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6"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248"/>
              <w:jc w:val="right"/>
              <w:rPr>
                <w:rFonts w:ascii="Times New Roman" w:hAnsi="Times New Roman" w:cs="Times New Roman" w:eastAsia="Times New Roman" w:hint="default"/>
                <w:sz w:val="18"/>
                <w:szCs w:val="18"/>
              </w:rPr>
            </w:pPr>
            <w:r>
              <w:rPr>
                <w:rFonts w:ascii="Times New Roman"/>
                <w:sz w:val="18"/>
              </w:rPr>
              <w:t>268,000,000</w:t>
            </w:r>
          </w:p>
        </w:tc>
        <w:tc>
          <w:tcPr>
            <w:tcW w:w="1775"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37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61"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623"/>
              <w:jc w:val="right"/>
              <w:rPr>
                <w:rFonts w:ascii="Times New Roman" w:hAnsi="Times New Roman" w:cs="Times New Roman" w:eastAsia="Times New Roman" w:hint="default"/>
                <w:sz w:val="18"/>
                <w:szCs w:val="18"/>
              </w:rPr>
            </w:pPr>
            <w:r>
              <w:rPr>
                <w:rFonts w:ascii="Times New Roman"/>
                <w:sz w:val="18"/>
              </w:rPr>
              <w:t>268,000,000</w:t>
            </w:r>
          </w:p>
        </w:tc>
        <w:tc>
          <w:tcPr>
            <w:tcW w:w="1264"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9"/>
          <w:szCs w:val="9"/>
        </w:rPr>
      </w:pPr>
    </w:p>
    <w:p>
      <w:pPr>
        <w:pStyle w:val="BodyText"/>
        <w:spacing w:line="316" w:lineRule="auto" w:before="44"/>
        <w:ind w:left="154" w:right="0" w:firstLine="360"/>
        <w:jc w:val="left"/>
      </w:pPr>
      <w:r>
        <w:rPr>
          <w:spacing w:val="-2"/>
        </w:rPr>
        <w:t>公司主要经营范围：开发、生产热处理设备及其辅助设备并销售本公司自产产品；承接金属零件的热处理加工业务；提</w:t>
      </w:r>
      <w:r>
        <w:rPr/>
        <w:t> 供热处理设备的保修维修服务；提供专业热处理技术咨询服务；设备租赁。</w:t>
      </w:r>
    </w:p>
    <w:p>
      <w:pPr>
        <w:pStyle w:val="BodyText"/>
        <w:spacing w:line="316" w:lineRule="auto" w:before="19"/>
        <w:ind w:right="6433"/>
        <w:jc w:val="left"/>
      </w:pPr>
      <w:r>
        <w:rPr/>
        <w:t>本年度合并财务报表范围 江苏丰东热技术股份有限公司 上海丰东热处理工程有限公司 青岛丰东热处理有限公司 江苏丰东热处理及表面改性工程技术研究有限公司 盐城丰东特种炉业有限公司 重庆丰东热处理工程有限公司 南京丰东热处理工程有限公司 天津丰东热处理有限公司 北京丰东建通工业炉科技有限公司 长春丰东热处理有限公司 潍坊丰东热处理有限公司（本年度新设成立） 盐城丰东祺耀工业炉有限公司（本年度新设成立） 广州鑫润丰东热处理有限公司（本年度新设成立）</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54"/>
      <w:bookmarkEnd w:id="154"/>
      <w:r>
        <w:rPr>
          <w:b w:val="0"/>
          <w:bCs w:val="0"/>
        </w:rPr>
      </w: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55"/>
      <w:bookmarkEnd w:id="155"/>
      <w:r>
        <w:rPr>
          <w:b w:val="0"/>
          <w:bCs w:val="0"/>
        </w:rPr>
      </w:r>
      <w:r>
        <w:rPr>
          <w:rFonts w:ascii="Times New Roman" w:hAnsi="Times New Roman" w:cs="Times New Roman" w:eastAsia="Times New Roman" w:hint="default"/>
        </w:rPr>
        <w:t>1</w:t>
      </w:r>
      <w:r>
        <w:rPr/>
        <w:t>、编制基础</w:t>
      </w:r>
      <w:r>
        <w:rPr>
          <w:b w:val="0"/>
          <w:bCs w:val="0"/>
        </w:rPr>
      </w:r>
    </w:p>
    <w:p>
      <w:pPr>
        <w:pStyle w:val="BodyText"/>
        <w:spacing w:line="309" w:lineRule="auto" w:before="181"/>
        <w:ind w:left="153" w:right="0" w:firstLine="36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基本准则》和其他各项会计准则的规定</w:t>
      </w:r>
      <w:r>
        <w:rPr/>
        <w:t> 进行确认和计量，在此基础上编制财务报表。</w:t>
      </w:r>
    </w:p>
    <w:p>
      <w:pPr>
        <w:pStyle w:val="BodyText"/>
        <w:spacing w:line="240" w:lineRule="auto" w:before="32"/>
        <w:ind w:right="0"/>
        <w:jc w:val="left"/>
      </w:pPr>
      <w:r>
        <w:rPr/>
        <w:t>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&gt;</w:t>
      </w:r>
      <w:r>
        <w:rPr/>
        <w:t>的通知》等</w:t>
      </w:r>
      <w:r>
        <w:rPr>
          <w:rFonts w:ascii="Times New Roman" w:hAnsi="Times New Roman" w:cs="Times New Roman" w:eastAsia="Times New Roman" w:hint="default"/>
        </w:rPr>
        <w:t>7</w:t>
      </w:r>
      <w:r>
        <w:rPr/>
        <w:t>项通知（财会</w:t>
      </w:r>
      <w:r>
        <w:rPr>
          <w:rFonts w:ascii="Times New Roman" w:hAnsi="Times New Roman" w:cs="Times New Roman" w:eastAsia="Times New Roman" w:hint="default"/>
        </w:rPr>
        <w:t>[2014]6~8</w:t>
      </w:r>
      <w:r>
        <w:rPr/>
        <w:t>号、</w:t>
      </w:r>
      <w:r>
        <w:rPr>
          <w:rFonts w:ascii="Times New Roman" w:hAnsi="Times New Roman" w:cs="Times New Roman" w:eastAsia="Times New Roman" w:hint="default"/>
        </w:rPr>
        <w:t>10~11</w:t>
      </w:r>
      <w:r>
        <w:rPr/>
        <w:t>号、</w:t>
      </w:r>
    </w:p>
    <w:p>
      <w:pPr>
        <w:pStyle w:val="BodyText"/>
        <w:spacing w:line="309" w:lineRule="auto" w:before="70"/>
        <w:ind w:right="0" w:hanging="360"/>
        <w:jc w:val="left"/>
      </w:pPr>
      <w:r>
        <w:rPr>
          <w:rFonts w:ascii="Times New Roman" w:hAnsi="Times New Roman" w:cs="Times New Roman" w:eastAsia="Times New Roman" w:hint="default"/>
        </w:rPr>
        <w:t>14</w:t>
      </w:r>
      <w:r>
        <w:rPr/>
        <w:t>号、</w:t>
      </w:r>
      <w:r>
        <w:rPr>
          <w:rFonts w:ascii="Times New Roman" w:hAnsi="Times New Roman" w:cs="Times New Roman" w:eastAsia="Times New Roman" w:hint="default"/>
        </w:rPr>
        <w:t>16</w:t>
      </w:r>
      <w:r>
        <w:rPr/>
        <w:t>号）等规定，本公司自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2014</w:t>
      </w:r>
      <w:r>
        <w:rPr/>
        <w:t>年发布的前述</w:t>
      </w:r>
      <w:r>
        <w:rPr>
          <w:rFonts w:ascii="Times New Roman" w:hAnsi="Times New Roman" w:cs="Times New Roman" w:eastAsia="Times New Roman" w:hint="default"/>
        </w:rPr>
        <w:t>7</w:t>
      </w:r>
      <w:r>
        <w:rPr/>
        <w:t>项企业会计准则。 根据财政部《中华人民共和国财政部令第</w:t>
      </w:r>
      <w:r>
        <w:rPr>
          <w:rFonts w:ascii="Times New Roman" w:hAnsi="Times New Roman" w:cs="Times New Roman" w:eastAsia="Times New Roman" w:hint="default"/>
        </w:rPr>
        <w:t>76</w:t>
      </w:r>
      <w:r>
        <w:rPr/>
        <w:t>号</w:t>
      </w:r>
      <w:r>
        <w:rPr>
          <w:rFonts w:ascii="Times New Roman" w:hAnsi="Times New Roman" w:cs="Times New Roman" w:eastAsia="Times New Roman" w:hint="default"/>
        </w:rPr>
        <w:t>——</w:t>
      </w:r>
      <w:r>
        <w:rPr/>
        <w:t>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的决定》，本公司自</w:t>
      </w:r>
    </w:p>
    <w:p>
      <w:pPr>
        <w:pStyle w:val="BodyText"/>
        <w:spacing w:line="240" w:lineRule="auto" w:before="13"/>
        <w:ind w:left="15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日起执行该决定。</w:t>
      </w:r>
    </w:p>
    <w:p>
      <w:pPr>
        <w:pStyle w:val="BodyText"/>
        <w:spacing w:line="309" w:lineRule="auto" w:before="70"/>
        <w:ind w:left="153" w:right="0" w:firstLine="360"/>
        <w:jc w:val="left"/>
      </w:pPr>
      <w:r>
        <w:rPr/>
        <w:t>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[2014]23</w:t>
      </w:r>
      <w:r>
        <w:rPr/>
        <w:t>号的规定，本公司自</w:t>
      </w:r>
      <w:r>
        <w:rPr>
          <w:rFonts w:ascii="Times New Roman" w:hAnsi="Times New Roman" w:cs="Times New Roman" w:eastAsia="Times New Roman" w:hint="default"/>
        </w:rPr>
        <w:t>2014</w:t>
      </w:r>
      <w:r>
        <w:rPr/>
        <w:t>年 度起执行该规定。</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持续经营" w:id="156"/>
      <w:bookmarkEnd w:id="156"/>
      <w:r>
        <w:rPr>
          <w:b w:val="0"/>
          <w:bCs w:val="0"/>
        </w:rPr>
      </w:r>
      <w:r>
        <w:rPr>
          <w:rFonts w:ascii="Times New Roman" w:hAnsi="Times New Roman" w:cs="Times New Roman" w:eastAsia="Times New Roman" w:hint="default"/>
        </w:rPr>
        <w:t>2</w:t>
      </w:r>
      <w:r>
        <w:rPr/>
        <w:t>、持续经营</w:t>
      </w:r>
      <w:r>
        <w:rPr>
          <w:b w:val="0"/>
          <w:bCs w:val="0"/>
        </w:rPr>
      </w:r>
    </w:p>
    <w:p>
      <w:pPr>
        <w:pStyle w:val="BodyText"/>
        <w:spacing w:line="300" w:lineRule="auto" w:before="145"/>
        <w:ind w:left="154" w:right="1118" w:firstLine="36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个月内，本公司持续经营能力良好，不存在导致对本公司持续经营能力产生重大怀</w:t>
      </w:r>
      <w:r>
        <w:rPr/>
        <w:t> 疑的因素。</w:t>
      </w:r>
    </w:p>
    <w:p>
      <w:pPr>
        <w:spacing w:after="0" w:line="300" w:lineRule="auto"/>
        <w:jc w:val="left"/>
        <w:sectPr>
          <w:pgSz w:w="11910" w:h="16840"/>
          <w:pgMar w:header="691"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五、重要会计政策及会计估计" w:id="157"/>
      <w:bookmarkEnd w:id="157"/>
      <w:r>
        <w:rPr>
          <w:b w:val="0"/>
          <w:bCs w:val="0"/>
        </w:rPr>
      </w:r>
      <w:r>
        <w:rPr/>
        <w:t>五、重要会计政策及会计估计</w:t>
      </w:r>
      <w:r>
        <w:rPr>
          <w:b w:val="0"/>
          <w:bCs w:val="0"/>
        </w:rPr>
      </w:r>
    </w:p>
    <w:p>
      <w:pPr>
        <w:pStyle w:val="BodyText"/>
        <w:spacing w:line="357" w:lineRule="auto" w:before="147"/>
        <w:ind w:right="7873"/>
        <w:jc w:val="left"/>
      </w:pPr>
      <w:r>
        <w:rPr/>
        <w:t>具体会计政策和会计估计提示：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58"/>
      <w:bookmarkEnd w:id="158"/>
      <w:r>
        <w:rPr>
          <w:b w:val="0"/>
          <w:bCs w:val="0"/>
        </w:rPr>
      </w:r>
      <w:r>
        <w:rPr>
          <w:rFonts w:ascii="Times New Roman" w:hAnsi="Times New Roman" w:cs="Times New Roman" w:eastAsia="Times New Roman" w:hint="default"/>
        </w:rPr>
        <w:t>1</w:t>
      </w:r>
      <w:r>
        <w:rPr/>
        <w:t>、遵循企业会计准则的声明</w:t>
      </w:r>
      <w:r>
        <w:rPr>
          <w:b w:val="0"/>
          <w:bCs w:val="0"/>
        </w:rPr>
      </w:r>
    </w:p>
    <w:p>
      <w:pPr>
        <w:pStyle w:val="BodyText"/>
        <w:spacing w:line="316" w:lineRule="auto" w:before="145"/>
        <w:ind w:left="153" w:right="0" w:firstLine="360"/>
        <w:jc w:val="left"/>
      </w:pPr>
      <w:r>
        <w:rPr>
          <w:spacing w:val="-2"/>
        </w:rPr>
        <w:t>本公司所编制的财务报表符合企业会计准则的要求，真实、完整地反映了本公司的财务状况、经营成果、所有者权益变</w:t>
      </w:r>
      <w:r>
        <w:rPr/>
        <w:t> 动和现金流量等有关信息。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59"/>
      <w:bookmarkEnd w:id="159"/>
      <w:r>
        <w:rPr>
          <w:b w:val="0"/>
          <w:bCs w:val="0"/>
        </w:rPr>
      </w:r>
      <w:r>
        <w:rPr>
          <w:rFonts w:ascii="Times New Roman" w:hAnsi="Times New Roman" w:cs="Times New Roman" w:eastAsia="Times New Roman" w:hint="default"/>
        </w:rPr>
        <w:t>2</w:t>
      </w:r>
      <w:r>
        <w:rPr/>
        <w:t>、会计期间</w:t>
      </w:r>
      <w:r>
        <w:rPr>
          <w:b w:val="0"/>
          <w:bCs w:val="0"/>
        </w:rPr>
      </w:r>
    </w:p>
    <w:p>
      <w:pPr>
        <w:pStyle w:val="BodyText"/>
        <w:spacing w:line="240" w:lineRule="auto" w:before="145"/>
        <w:ind w:right="0"/>
        <w:jc w:val="left"/>
      </w:pPr>
      <w:r>
        <w:rPr/>
        <w:t>会计期间自公历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60"/>
      <w:bookmarkEnd w:id="16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记账本位币" w:id="161"/>
      <w:bookmarkEnd w:id="161"/>
      <w:r>
        <w:rPr>
          <w:b w:val="0"/>
          <w:bCs w:val="0"/>
        </w:rPr>
      </w:r>
      <w:r>
        <w:rPr>
          <w:rFonts w:ascii="Times New Roman" w:hAnsi="Times New Roman" w:cs="Times New Roman" w:eastAsia="Times New Roman" w:hint="default"/>
        </w:rPr>
        <w:t>4</w:t>
      </w:r>
      <w:r>
        <w:rPr/>
        <w:t>、记账本位币</w:t>
      </w:r>
      <w:r>
        <w:rPr>
          <w:b w:val="0"/>
          <w:bCs w:val="0"/>
        </w:rPr>
      </w:r>
    </w:p>
    <w:p>
      <w:pPr>
        <w:pStyle w:val="BodyText"/>
        <w:spacing w:line="240" w:lineRule="auto" w:before="146"/>
        <w:ind w:right="0"/>
        <w:jc w:val="left"/>
      </w:pPr>
      <w:r>
        <w:rPr/>
        <w:t>记账本位币为人民币。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62"/>
      <w:bookmarkEnd w:id="16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79" w:lineRule="auto" w:before="180"/>
        <w:ind w:right="1033"/>
        <w:jc w:val="left"/>
      </w:pPr>
      <w:r>
        <w:rPr/>
        <w:t>（</w:t>
      </w:r>
      <w:r>
        <w:rPr>
          <w:rFonts w:ascii="Times New Roman" w:hAnsi="Times New Roman" w:cs="Times New Roman" w:eastAsia="Times New Roman" w:hint="default"/>
        </w:rPr>
        <w:t>1</w:t>
      </w:r>
      <w:r>
        <w:rPr/>
        <w:t>）</w:t>
      </w:r>
      <w:r>
        <w:rPr>
          <w:spacing w:val="-17"/>
        </w:rPr>
        <w:t> </w:t>
      </w:r>
      <w:r>
        <w:rPr/>
        <w:t>同一控制下的企业合并</w:t>
      </w:r>
      <w:r>
        <w:rPr/>
        <w:t> 参与合并的企业在合并前后均受同一方或相同的多方最终控制且该控制并非暂时性的，认定为同一控制下的企业合并。 </w:t>
      </w:r>
      <w:r>
        <w:rPr>
          <w:spacing w:val="-2"/>
        </w:rPr>
        <w:t>合并方以支付现金、转让非现金资产或承担债务方式作为合并对价的，在合并日按照被合并方所有者权益在最终控制方</w:t>
      </w:r>
    </w:p>
    <w:p>
      <w:pPr>
        <w:pStyle w:val="BodyText"/>
        <w:spacing w:line="215" w:lineRule="exact"/>
        <w:ind w:left="154" w:right="0"/>
        <w:jc w:val="left"/>
      </w:pPr>
      <w:r>
        <w:rPr/>
        <w:t>合并财务报表中的账面价值的份额作为长期股权投资的初始投资成本。长期股权投资初始投资成本与支付的现金、转让的非</w:t>
      </w:r>
    </w:p>
    <w:p>
      <w:pPr>
        <w:pStyle w:val="BodyText"/>
        <w:spacing w:line="391" w:lineRule="auto" w:before="85"/>
        <w:ind w:left="514" w:right="0" w:hanging="360"/>
        <w:jc w:val="left"/>
      </w:pPr>
      <w:r>
        <w:rPr/>
        <w:t>现金资产以及所承担债务账面价值之间的差额，调整资本公积；资本公积不足冲减的，调整留存收益。 </w:t>
      </w:r>
      <w:r>
        <w:rPr>
          <w:spacing w:val="-2"/>
        </w:rPr>
        <w:t>合并方以发行权益性证券作为合并对价的，在合并日按照被合并方所有者权益在最终控制方合并财务报表中的账面价值</w:t>
      </w:r>
    </w:p>
    <w:p>
      <w:pPr>
        <w:pStyle w:val="BodyText"/>
        <w:spacing w:line="206" w:lineRule="exact"/>
        <w:ind w:left="154" w:right="0"/>
        <w:jc w:val="left"/>
      </w:pPr>
      <w:r>
        <w:rPr/>
        <w:t>的份额作为长期股权投资的初始投资成本。按照发行股份的面值总额作为股本，长期股权投资初始投资成本与所发行股份面</w:t>
      </w:r>
    </w:p>
    <w:p>
      <w:pPr>
        <w:pStyle w:val="BodyText"/>
        <w:spacing w:line="388" w:lineRule="auto" w:before="85"/>
        <w:ind w:left="514" w:right="1392" w:hanging="360"/>
        <w:jc w:val="left"/>
      </w:pPr>
      <w:r>
        <w:rPr/>
        <w:t>值总额之间的差额，调整资本公积；资本公积不足冲减的，调整留存收益。 合并方为企业合并发生的审计、法律服务、评估咨询等中介费用以及其他相关管理费用，于发生时计入当期损益。</w:t>
      </w:r>
    </w:p>
    <w:p>
      <w:pPr>
        <w:pStyle w:val="BodyText"/>
        <w:spacing w:line="379" w:lineRule="auto" w:before="35"/>
        <w:ind w:right="1118"/>
        <w:jc w:val="left"/>
      </w:pPr>
      <w:r>
        <w:rPr/>
        <w:t>（</w:t>
      </w:r>
      <w:r>
        <w:rPr>
          <w:rFonts w:ascii="Times New Roman" w:hAnsi="Times New Roman" w:cs="Times New Roman" w:eastAsia="Times New Roman" w:hint="default"/>
        </w:rPr>
        <w:t>2</w:t>
      </w:r>
      <w:r>
        <w:rPr/>
        <w:t>）非同一控制下的企业合并 参与合并的各方在合并前后不受同一方或相同的多方最终控制的，认定为非同一控制下的企业合并。 </w:t>
      </w:r>
      <w:r>
        <w:rPr>
          <w:spacing w:val="-2"/>
        </w:rPr>
        <w:t>购买方通过一次交换交易实现的企业合并，合并成本为购买方在购买日为取得对被购买方的控制权而付出的资产、发生</w:t>
      </w:r>
    </w:p>
    <w:p>
      <w:pPr>
        <w:pStyle w:val="BodyText"/>
        <w:spacing w:line="216" w:lineRule="exact"/>
        <w:ind w:left="153" w:right="0"/>
        <w:jc w:val="left"/>
      </w:pPr>
      <w:r>
        <w:rPr/>
        <w:t>或承担的负债以及发行的权益性证券的公允价值。通过多次交换交易分步实现的企业合并，合并成本为每一单项交易成本之</w:t>
      </w:r>
    </w:p>
    <w:p>
      <w:pPr>
        <w:pStyle w:val="BodyText"/>
        <w:spacing w:line="326" w:lineRule="auto" w:before="83"/>
        <w:ind w:left="153" w:right="0"/>
        <w:jc w:val="left"/>
      </w:pPr>
      <w:r>
        <w:rPr>
          <w:spacing w:val="-2"/>
        </w:rPr>
        <w:t>和。购买方为企业合并发生的审计、法律服务、评估咨询等中介费用以及其他相关管理费用，于发生时计入当期损益；购买</w:t>
      </w:r>
      <w:r>
        <w:rPr>
          <w:spacing w:val="-66"/>
        </w:rPr>
        <w:t> </w:t>
      </w:r>
      <w:r>
        <w:rPr>
          <w:spacing w:val="-66"/>
        </w:rPr>
      </w:r>
      <w:r>
        <w:rPr/>
        <w:t>方作为合并对价发行的权益性证券或债务性证券的交易费用，计入权益性证券或债务性证券的初始确认金额。</w:t>
      </w:r>
    </w:p>
    <w:p>
      <w:pPr>
        <w:pStyle w:val="BodyText"/>
        <w:spacing w:line="326" w:lineRule="auto" w:before="82"/>
        <w:ind w:left="153" w:right="1131" w:firstLine="360"/>
        <w:jc w:val="both"/>
      </w:pPr>
      <w:r>
        <w:rPr>
          <w:spacing w:val="-2"/>
        </w:rPr>
        <w:t>购买方的合并成本和购买方在合并中取得的可辨认净资产按购买日的公允价值计量。合并成本大于合并中取得的被购买</w:t>
      </w:r>
      <w:r>
        <w:rPr/>
        <w:t> </w:t>
      </w:r>
      <w:r>
        <w:rPr>
          <w:spacing w:val="-2"/>
        </w:rPr>
        <w:t>方于购买日可辨认净资产公允价值份额的差额，确认为商誉；合并成本小于合并中取得的被购买方可辨认净资产公允价值份</w:t>
      </w:r>
      <w:r>
        <w:rPr>
          <w:spacing w:val="-64"/>
        </w:rPr>
        <w:t> </w:t>
      </w:r>
      <w:r>
        <w:rPr>
          <w:spacing w:val="-64"/>
        </w:rPr>
      </w:r>
      <w:r>
        <w:rPr/>
        <w:t>额的差额，计入当期损益。</w:t>
      </w:r>
    </w:p>
    <w:p>
      <w:pPr>
        <w:pStyle w:val="BodyText"/>
        <w:spacing w:line="369" w:lineRule="auto" w:before="81"/>
        <w:ind w:right="0"/>
        <w:jc w:val="left"/>
      </w:pPr>
      <w:r>
        <w:rPr/>
        <w:t>（</w:t>
      </w:r>
      <w:r>
        <w:rPr>
          <w:rFonts w:ascii="Times New Roman" w:hAnsi="Times New Roman" w:cs="Times New Roman" w:eastAsia="Times New Roman" w:hint="default"/>
        </w:rPr>
        <w:t>3</w:t>
      </w:r>
      <w:r>
        <w:rPr/>
        <w:t>）因追加投资等原因能够对非同一控制下的被投资单位实施控制的 </w:t>
      </w:r>
      <w:r>
        <w:rPr>
          <w:spacing w:val="-4"/>
        </w:rPr>
        <w:t>在编制个别财务报表时，按照原持有的股权投资账面价值加上新增投资成本之和，作为改按成本法核算的初始投资成本。</w:t>
      </w:r>
    </w:p>
    <w:p>
      <w:pPr>
        <w:pStyle w:val="BodyText"/>
        <w:spacing w:line="222" w:lineRule="exact"/>
        <w:ind w:left="153" w:right="0"/>
        <w:jc w:val="left"/>
      </w:pPr>
      <w:r>
        <w:rPr/>
        <w:t>购买日之前持有的股权投资因采用权益法核算而确认的其他综合收益</w:t>
      </w:r>
      <w:r>
        <w:rPr>
          <w:spacing w:val="-82"/>
        </w:rPr>
        <w:t>，</w:t>
      </w:r>
      <w:r>
        <w:rPr/>
        <w:t>在处置该项投资时采用与被投资单位直接处置相关资</w:t>
      </w:r>
    </w:p>
    <w:p>
      <w:pPr>
        <w:pStyle w:val="BodyText"/>
        <w:spacing w:line="307" w:lineRule="auto" w:before="85"/>
        <w:ind w:left="153" w:right="0"/>
        <w:jc w:val="left"/>
      </w:pPr>
      <w:r>
        <w:rPr>
          <w:spacing w:val="-2"/>
        </w:rPr>
        <w:t>产或负债相同的基础进行会计处理。购买日之前持有的股权投资按照《企业会计准则第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w:t>
      </w:r>
      <w:r>
        <w:rPr>
          <w:spacing w:val="-64"/>
        </w:rPr>
        <w:t> </w:t>
      </w:r>
      <w:r>
        <w:rPr>
          <w:spacing w:val="-64"/>
        </w:rPr>
      </w:r>
      <w:r>
        <w:rPr/>
        <w:t>关规定进行会计处理的，原计入其他综合收益的累计公允价值变动在改按成本法核算时转入当期损益。</w:t>
      </w:r>
    </w:p>
    <w:p>
      <w:pPr>
        <w:spacing w:after="0" w:line="307"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26" w:lineRule="auto" w:before="44"/>
        <w:ind w:left="154" w:right="1131"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t>关的其他综合收益等应当转为购买日所属当期收益。</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6、合并财务报表的编制方法" w:id="163"/>
      <w:bookmarkEnd w:id="163"/>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369" w:lineRule="auto" w:before="180"/>
        <w:ind w:right="2653"/>
        <w:jc w:val="left"/>
      </w:pPr>
      <w:r>
        <w:rPr/>
        <w:t>（</w:t>
      </w:r>
      <w:r>
        <w:rPr>
          <w:rFonts w:ascii="Times New Roman" w:hAnsi="Times New Roman" w:cs="Times New Roman" w:eastAsia="Times New Roman" w:hint="default"/>
        </w:rPr>
        <w:t>1</w:t>
      </w:r>
      <w:r>
        <w:rPr/>
        <w:t>）合并范围 合并财务报表的合并范围包括本公司及子公司。合并财务报表的合并范围以控制为基础予以确定。</w:t>
      </w:r>
    </w:p>
    <w:p>
      <w:pPr>
        <w:pStyle w:val="BodyText"/>
        <w:spacing w:line="369" w:lineRule="auto" w:before="49"/>
        <w:ind w:left="514" w:right="0"/>
        <w:jc w:val="left"/>
      </w:pPr>
      <w:r>
        <w:rPr/>
        <w:t>（</w:t>
      </w:r>
      <w:r>
        <w:rPr>
          <w:rFonts w:ascii="Times New Roman" w:hAnsi="Times New Roman" w:cs="Times New Roman" w:eastAsia="Times New Roman" w:hint="default"/>
        </w:rPr>
        <w:t>2</w:t>
      </w:r>
      <w:r>
        <w:rPr/>
        <w:t>）控制的依据 </w:t>
      </w:r>
      <w:r>
        <w:rPr>
          <w:spacing w:val="-2"/>
        </w:rPr>
        <w:t>投资方拥有对被投资方的权力，通过参与被投资方的相关活动而享有可变回报，并且有能力运用对被投资方的权力影响</w:t>
      </w:r>
    </w:p>
    <w:p>
      <w:pPr>
        <w:pStyle w:val="BodyText"/>
        <w:spacing w:line="222" w:lineRule="exact"/>
        <w:ind w:left="154" w:right="0"/>
        <w:jc w:val="left"/>
      </w:pPr>
      <w:r>
        <w:rPr/>
        <w:t>其回报金额，视为投资方控制被投资方。相关活动，系为对被投资方的回报产生重大影响的活动。</w:t>
      </w:r>
    </w:p>
    <w:p>
      <w:pPr>
        <w:pStyle w:val="BodyText"/>
        <w:spacing w:line="367" w:lineRule="auto" w:before="147"/>
        <w:ind w:left="514" w:right="0"/>
        <w:jc w:val="left"/>
      </w:pPr>
      <w:r>
        <w:rPr/>
        <w:t>（</w:t>
      </w:r>
      <w:r>
        <w:rPr>
          <w:rFonts w:ascii="Times New Roman" w:hAnsi="Times New Roman" w:cs="Times New Roman" w:eastAsia="Times New Roman" w:hint="default"/>
        </w:rPr>
        <w:t>3</w:t>
      </w:r>
      <w:r>
        <w:rPr/>
        <w:t>）决策者和代理人 </w:t>
      </w:r>
      <w:r>
        <w:rPr>
          <w:spacing w:val="-2"/>
        </w:rPr>
        <w:t>代理人仅代表主要责任人行使决策权，不控制被投资方。投资方将被投资方相关活动的决策权委托给代理人的，将该决</w:t>
      </w:r>
    </w:p>
    <w:p>
      <w:pPr>
        <w:pStyle w:val="BodyText"/>
        <w:spacing w:line="224" w:lineRule="exact"/>
        <w:ind w:left="154" w:right="0"/>
        <w:jc w:val="left"/>
      </w:pPr>
      <w:r>
        <w:rPr/>
        <w:t>策权视为自身直接持有。</w:t>
      </w:r>
    </w:p>
    <w:p>
      <w:pPr>
        <w:pStyle w:val="BodyText"/>
        <w:spacing w:line="379" w:lineRule="auto" w:before="147"/>
        <w:ind w:right="1178"/>
        <w:jc w:val="left"/>
      </w:pPr>
      <w:r>
        <w:rPr/>
        <w:t>在确定决策者是否为代理人时，公司综合考虑该决策者与被投资方以及其他投资方之间的关系。 </w:t>
      </w:r>
      <w:r>
        <w:rPr>
          <w:rFonts w:ascii="Times New Roman" w:hAnsi="Times New Roman" w:cs="Times New Roman" w:eastAsia="Times New Roman" w:hint="default"/>
        </w:rPr>
        <w:t>a.</w:t>
      </w:r>
      <w:r>
        <w:rPr/>
        <w:t>存在单独一方拥有实质性权利可以无条件罢免决策者的，该决策者为代理人。 </w:t>
      </w:r>
      <w:r>
        <w:rPr>
          <w:rFonts w:ascii="Times New Roman" w:hAnsi="Times New Roman" w:cs="Times New Roman" w:eastAsia="Times New Roman" w:hint="default"/>
        </w:rPr>
        <w:t>b.</w:t>
      </w:r>
      <w:r>
        <w:rPr/>
        <w:t>除</w:t>
      </w:r>
      <w:r>
        <w:rPr>
          <w:rFonts w:ascii="Times New Roman" w:hAnsi="Times New Roman" w:cs="Times New Roman" w:eastAsia="Times New Roman" w:hint="default"/>
        </w:rPr>
        <w:t>a</w:t>
      </w:r>
      <w:r>
        <w:rPr/>
        <w:t>以外的情况下，综合考虑决策者对被投资方的决策权范围、其他方享有的实质性权利、决策者的薪酬水平、决策</w:t>
      </w:r>
    </w:p>
    <w:p>
      <w:pPr>
        <w:pStyle w:val="BodyText"/>
        <w:spacing w:line="190" w:lineRule="exact"/>
        <w:ind w:left="153" w:right="0"/>
        <w:jc w:val="left"/>
      </w:pPr>
      <w:r>
        <w:rPr/>
        <w:t>者因持有被投资方中的其他权益所承担可变回报的风险等相关因素进行判断。</w:t>
      </w:r>
    </w:p>
    <w:p>
      <w:pPr>
        <w:pStyle w:val="BodyText"/>
        <w:spacing w:line="367" w:lineRule="auto" w:before="147"/>
        <w:ind w:left="514" w:right="6972"/>
        <w:jc w:val="left"/>
      </w:pPr>
      <w:r>
        <w:rPr/>
        <w:t>（</w:t>
      </w:r>
      <w:r>
        <w:rPr>
          <w:rFonts w:ascii="Times New Roman" w:hAnsi="Times New Roman" w:cs="Times New Roman" w:eastAsia="Times New Roman" w:hint="default"/>
        </w:rPr>
        <w:t>4</w:t>
      </w:r>
      <w:r>
        <w:rPr/>
        <w:t>）投资性主体 当同时满足下列条件时，视为投资性主体：</w:t>
      </w:r>
    </w:p>
    <w:p>
      <w:pPr>
        <w:pStyle w:val="BodyText"/>
        <w:spacing w:line="367" w:lineRule="auto" w:before="51"/>
        <w:ind w:left="514" w:right="3417"/>
        <w:jc w:val="left"/>
      </w:pPr>
      <w:r>
        <w:rPr>
          <w:rFonts w:ascii="Times New Roman" w:hAnsi="Times New Roman" w:cs="Times New Roman" w:eastAsia="Times New Roman" w:hint="default"/>
        </w:rPr>
        <w:t>a.</w:t>
      </w:r>
      <w:r>
        <w:rPr/>
        <w:t>该公司是以向投资者提供投资管理服务为目的，从一个或多个投资者处获取资金； </w:t>
      </w:r>
      <w:r>
        <w:rPr>
          <w:rFonts w:ascii="Times New Roman" w:hAnsi="Times New Roman" w:cs="Times New Roman" w:eastAsia="Times New Roman" w:hint="default"/>
        </w:rPr>
        <w:t>b.</w:t>
      </w:r>
      <w:r>
        <w:rPr/>
        <w:t>该公司的唯一经营目的，是通过资本增值、投资收益或两者兼有而让投资者获得回报； </w:t>
      </w:r>
      <w:r>
        <w:rPr>
          <w:rFonts w:ascii="Times New Roman" w:hAnsi="Times New Roman" w:cs="Times New Roman" w:eastAsia="Times New Roman" w:hint="default"/>
        </w:rPr>
        <w:t>c.</w:t>
      </w:r>
      <w:r>
        <w:rPr/>
        <w:t>该公司按照公允价值对几乎所有投资的业绩进行考量和评价。 属于投资性主体的，通常情况下符合下列所有特征：</w:t>
      </w:r>
    </w:p>
    <w:p>
      <w:pPr>
        <w:pStyle w:val="BodyText"/>
        <w:spacing w:line="367" w:lineRule="auto" w:before="52"/>
        <w:ind w:left="514" w:right="6837"/>
        <w:jc w:val="left"/>
      </w:pPr>
      <w:r>
        <w:rPr>
          <w:rFonts w:ascii="Times New Roman" w:hAnsi="Times New Roman" w:cs="Times New Roman" w:eastAsia="Times New Roman" w:hint="default"/>
        </w:rPr>
        <w:t>a.</w:t>
      </w:r>
      <w:r>
        <w:rPr/>
        <w:t>拥有一个以上投资； </w:t>
      </w:r>
      <w:r>
        <w:rPr>
          <w:rFonts w:ascii="Times New Roman" w:hAnsi="Times New Roman" w:cs="Times New Roman" w:eastAsia="Times New Roman" w:hint="default"/>
        </w:rPr>
        <w:t>b.</w:t>
      </w:r>
      <w:r>
        <w:rPr/>
        <w:t>拥有一个以上投资者； </w:t>
      </w:r>
      <w:r>
        <w:rPr>
          <w:rFonts w:ascii="Times New Roman" w:hAnsi="Times New Roman" w:cs="Times New Roman" w:eastAsia="Times New Roman" w:hint="default"/>
        </w:rPr>
        <w:t>c.</w:t>
      </w:r>
      <w:r>
        <w:rPr/>
        <w:t>投资者不是该主体的关联方； </w:t>
      </w:r>
      <w:r>
        <w:rPr>
          <w:rFonts w:ascii="Times New Roman" w:hAnsi="Times New Roman" w:cs="Times New Roman" w:eastAsia="Times New Roman" w:hint="default"/>
        </w:rPr>
        <w:t>d.</w:t>
      </w:r>
      <w:r>
        <w:rPr/>
        <w:t>其所有者权益以股权或类似权益方式存在。</w:t>
      </w:r>
    </w:p>
    <w:p>
      <w:pPr>
        <w:pStyle w:val="BodyText"/>
        <w:spacing w:line="307" w:lineRule="auto" w:before="26"/>
        <w:ind w:left="153" w:right="1273" w:firstLine="360"/>
        <w:jc w:val="left"/>
      </w:pPr>
      <w:r>
        <w:rPr/>
        <w:t>如果母公司是投资性主体，则母公司仅将为其投资活动提供相关服务的子公司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纳入合并范围并编制合并财务报 表；其他子公司不予以合并，母公司对其他子公司的投资按照公允价值计量且其变动计入当期损益。</w:t>
      </w:r>
    </w:p>
    <w:p>
      <w:pPr>
        <w:pStyle w:val="BodyText"/>
        <w:spacing w:line="326" w:lineRule="auto" w:before="97"/>
        <w:ind w:left="153" w:right="1133" w:firstLine="360"/>
        <w:jc w:val="both"/>
      </w:pPr>
      <w:r>
        <w:rPr>
          <w:spacing w:val="-2"/>
        </w:rPr>
        <w:t>投资性主体的母公司本身不是投资性主体，则将其控制的全部主体，包括那些通过投资性主体所间接控制的主体，纳入</w:t>
      </w:r>
      <w:r>
        <w:rPr/>
        <w:t> 合并财务报表范围。</w:t>
      </w:r>
    </w:p>
    <w:p>
      <w:pPr>
        <w:pStyle w:val="BodyText"/>
        <w:spacing w:line="367" w:lineRule="auto" w:before="82"/>
        <w:ind w:right="1118"/>
        <w:jc w:val="left"/>
      </w:pPr>
      <w:r>
        <w:rPr/>
        <w:t>（</w:t>
      </w:r>
      <w:r>
        <w:rPr>
          <w:rFonts w:ascii="Times New Roman" w:hAnsi="Times New Roman" w:cs="Times New Roman" w:eastAsia="Times New Roman" w:hint="default"/>
        </w:rPr>
        <w:t>5</w:t>
      </w:r>
      <w:r>
        <w:rPr/>
        <w:t>）合并程序 </w:t>
      </w:r>
      <w:r>
        <w:rPr>
          <w:spacing w:val="-2"/>
        </w:rPr>
        <w:t>子公司所采用的会计政策或会计期间与本公司不一致的，按照本公司的会计政策或会计期间对子公司财务报表进行必要</w:t>
      </w:r>
    </w:p>
    <w:p>
      <w:pPr>
        <w:pStyle w:val="BodyText"/>
        <w:spacing w:line="388" w:lineRule="auto"/>
        <w:ind w:right="0" w:hanging="360"/>
        <w:jc w:val="left"/>
      </w:pPr>
      <w:r>
        <w:rPr/>
        <w:t>的调整；或者要求子公司按照本公司的会计政策或会计期间另行编报财务报表。 </w:t>
      </w:r>
      <w:r>
        <w:rPr>
          <w:spacing w:val="-4"/>
        </w:rPr>
        <w:t>合并资产负债表、合并利润表、合并现金流量表及合并所有者（股东）权益变动表分别以本公司和子公司的资产负债表、</w:t>
      </w:r>
    </w:p>
    <w:p>
      <w:pPr>
        <w:pStyle w:val="BodyText"/>
        <w:spacing w:line="209" w:lineRule="exact"/>
        <w:ind w:left="153" w:right="0"/>
        <w:jc w:val="left"/>
      </w:pPr>
      <w:r>
        <w:rPr/>
        <w:t>利润表、现金流量表及所有者（股东）权益变动表为基础，在抵销本公司与子公司、子公司相互之间发生的内部交易对合并</w:t>
      </w:r>
    </w:p>
    <w:p>
      <w:pPr>
        <w:pStyle w:val="BodyText"/>
        <w:spacing w:line="391" w:lineRule="auto" w:before="83"/>
        <w:ind w:right="0" w:hanging="360"/>
        <w:jc w:val="left"/>
      </w:pPr>
      <w:r>
        <w:rPr/>
        <w:t>资产负债表、合并利润表、合并现金流量表及合并所有者（股东）权益变动表的影响后，由本公司合并编制。 </w:t>
      </w:r>
      <w:r>
        <w:rPr>
          <w:spacing w:val="-2"/>
        </w:rPr>
        <w:t>本公司向子公司出售资产所发生的未实现内部交易损益，全额抵销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。子公司向本公司出</w:t>
      </w:r>
    </w:p>
    <w:p>
      <w:pPr>
        <w:spacing w:after="0" w:line="391"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07" w:lineRule="auto" w:before="44"/>
        <w:ind w:left="153" w:right="1132"/>
        <w:jc w:val="both"/>
      </w:pPr>
      <w:r>
        <w:rPr/>
        <w:t>售资产所发生的未实现内部交易损益，按照本公司对该子公司的分配比例在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 </w:t>
      </w:r>
      <w:r>
        <w:rPr>
          <w:spacing w:val="-2"/>
        </w:rPr>
        <w:t>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之间分配抵销。子公司之间出售资产所发生的未实现内部交易损益，应当按照本公司对出售方子公司的分配比例在</w:t>
      </w:r>
      <w:r>
        <w:rPr>
          <w:rFonts w:ascii="Times New Roman" w:hAnsi="Times New Roman" w:cs="Times New Roman" w:eastAsia="Times New Roman" w:hint="default"/>
          <w:spacing w:val="-2"/>
        </w:rPr>
        <w:t>“</w:t>
      </w:r>
      <w:r>
        <w:rPr>
          <w:spacing w:val="-2"/>
        </w:rPr>
        <w:t>归属</w:t>
      </w:r>
      <w:r>
        <w:rPr>
          <w:spacing w:val="-44"/>
        </w:rPr>
        <w:t> </w:t>
      </w:r>
      <w:r>
        <w:rPr/>
        <w:t>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07" w:lineRule="auto" w:before="78"/>
        <w:ind w:left="153" w:right="1131" w:firstLine="360"/>
        <w:jc w:val="both"/>
      </w:pPr>
      <w:r>
        <w:rPr/>
        <w:t>子公司所有者权益中不属于本公司的份额，作为少数股东权益，在合并资产负债表中所有者权益项目下以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 </w:t>
      </w:r>
      <w:r>
        <w:rPr>
          <w:spacing w:val="-2"/>
        </w:rPr>
        <w:t>子公司当期综合收益中属于少数股东权益的份额，在合并利润表中综合收益总额项目下以</w:t>
      </w:r>
      <w:r>
        <w:rPr>
          <w:rFonts w:ascii="Times New Roman" w:hAnsi="Times New Roman" w:cs="Times New Roman" w:eastAsia="Times New Roman" w:hint="default"/>
          <w:spacing w:val="-2"/>
        </w:rPr>
        <w:t>“</w:t>
      </w:r>
      <w:r>
        <w:rPr>
          <w:spacing w:val="-2"/>
        </w:rPr>
        <w:t>归属于少数股东的综合收益总额</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spacing w:val="-2"/>
        </w:rPr>
        <w:t>项目列示。有少数股东的，在合并所有者权益变动表中增加</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栏目，反映少数股东权益变动的情况。子公司少</w:t>
      </w:r>
      <w:r>
        <w:rPr>
          <w:spacing w:val="-44"/>
        </w:rPr>
        <w:t> </w:t>
      </w:r>
      <w:r>
        <w:rPr>
          <w:spacing w:val="-44"/>
        </w:rPr>
      </w:r>
      <w:r>
        <w:rPr/>
        <w:t>数股东分担的当期亏损超过了少数股东在该子公司期初所有者权益中所享有的份额的，其余额仍应当冲减少数股东权益。</w:t>
      </w:r>
    </w:p>
    <w:p>
      <w:pPr>
        <w:pStyle w:val="BodyText"/>
        <w:spacing w:line="326" w:lineRule="auto" w:before="97"/>
        <w:ind w:left="153" w:right="0" w:firstLine="360"/>
        <w:jc w:val="left"/>
      </w:pPr>
      <w:r>
        <w:rPr>
          <w:spacing w:val="-2"/>
        </w:rPr>
        <w:t>本公司在报告期内因同一控制下企业合并增加的子公司以及业务，编制合并资产负债表时，调整合并资产负债表的期初</w:t>
      </w:r>
      <w:r>
        <w:rPr/>
        <w:t> </w:t>
      </w:r>
      <w:r>
        <w:rPr>
          <w:spacing w:val="-2"/>
        </w:rPr>
        <w:t>数；编制合并利润表时，将该子公司以及业务合并当期期初至报告期末的收入、费用、利润纳入合并利润表；编制现金流量</w:t>
      </w:r>
      <w:r>
        <w:rPr>
          <w:spacing w:val="-66"/>
        </w:rPr>
        <w:t> </w:t>
      </w:r>
      <w:r>
        <w:rPr>
          <w:spacing w:val="-66"/>
        </w:rPr>
      </w:r>
      <w:r>
        <w:rPr>
          <w:spacing w:val="-4"/>
        </w:rPr>
        <w:t>表时，将该子公司以及业务合并当期期初至报告期末的现金流量纳入合并现金流量表；同时对比较报表的相关项目进行调整，</w:t>
      </w:r>
      <w:r>
        <w:rPr>
          <w:spacing w:val="-44"/>
        </w:rPr>
        <w:t> </w:t>
      </w:r>
      <w:r>
        <w:rPr>
          <w:spacing w:val="-44"/>
        </w:rPr>
      </w:r>
      <w:r>
        <w:rPr/>
        <w:t>视同合并后的报告主体自最终控制方开始控制时点起一直存在。</w:t>
      </w:r>
    </w:p>
    <w:p>
      <w:pPr>
        <w:pStyle w:val="BodyText"/>
        <w:spacing w:line="326" w:lineRule="auto" w:before="81"/>
        <w:ind w:left="154" w:right="1042" w:firstLine="360"/>
        <w:jc w:val="both"/>
      </w:pPr>
      <w:r>
        <w:rPr>
          <w:spacing w:val="-4"/>
        </w:rPr>
        <w:t>因非同一控制下企业合并或其他方式增加的子公司以及业务，编制合并资产负债表时，不调整合并资产负债表的期初数；</w:t>
      </w:r>
      <w:r>
        <w:rPr/>
        <w:t> 编制合并利润表时，将该子公司以及业务购买日至报告期末的收入、费用、利润纳入合并利润表；编制合并现金流量表时， 将该子公司购买日至报告期末的现金流量纳入合并现金流量表。</w:t>
      </w:r>
    </w:p>
    <w:p>
      <w:pPr>
        <w:pStyle w:val="BodyText"/>
        <w:spacing w:line="326" w:lineRule="auto" w:before="82"/>
        <w:ind w:left="154" w:right="0" w:firstLine="360"/>
        <w:jc w:val="left"/>
      </w:pPr>
      <w:r>
        <w:rPr>
          <w:spacing w:val="-4"/>
        </w:rPr>
        <w:t>本公司在报告期内处置子公司以及业务，编制合并资产负债表时，不调整合并资产负债表的期初数；编制合并利润表时，</w:t>
      </w:r>
      <w:r>
        <w:rPr/>
        <w:t> </w:t>
      </w:r>
      <w:r>
        <w:rPr>
          <w:spacing w:val="-2"/>
        </w:rPr>
        <w:t>将该子公司以及业务期初至处置日的收入、费用、利润纳入合并利润表；编制合并现金流量表时，将该子公司以及业务期初</w:t>
      </w:r>
      <w:r>
        <w:rPr>
          <w:spacing w:val="-66"/>
        </w:rPr>
        <w:t> </w:t>
      </w:r>
      <w:r>
        <w:rPr>
          <w:spacing w:val="-66"/>
        </w:rPr>
      </w:r>
      <w:r>
        <w:rPr/>
        <w:t>至处置日的现金流量纳入合并现金流量表。</w:t>
      </w:r>
    </w:p>
    <w:p>
      <w:pPr>
        <w:pStyle w:val="BodyText"/>
        <w:spacing w:line="240" w:lineRule="auto" w:before="82"/>
        <w:ind w:left="514" w:right="0"/>
        <w:jc w:val="left"/>
      </w:pPr>
      <w:r>
        <w:rPr/>
        <w:t>（</w:t>
      </w:r>
      <w:r>
        <w:rPr>
          <w:rFonts w:ascii="Times New Roman" w:hAnsi="Times New Roman" w:cs="Times New Roman" w:eastAsia="Times New Roman" w:hint="default"/>
        </w:rPr>
        <w:t>6</w:t>
      </w:r>
      <w:r>
        <w:rPr/>
        <w:t>）</w:t>
      </w:r>
      <w:r>
        <w:rPr>
          <w:spacing w:val="-19"/>
        </w:rPr>
        <w:t> </w:t>
      </w:r>
      <w:r>
        <w:rPr/>
        <w:t>特殊交易会计处理</w:t>
      </w:r>
    </w:p>
    <w:p>
      <w:pPr>
        <w:pStyle w:val="BodyText"/>
        <w:spacing w:line="367" w:lineRule="auto" w:before="132"/>
        <w:ind w:right="0"/>
        <w:jc w:val="left"/>
      </w:pPr>
      <w:r>
        <w:rPr>
          <w:rFonts w:ascii="Times New Roman" w:hAnsi="Times New Roman" w:cs="Times New Roman" w:eastAsia="Times New Roman" w:hint="default"/>
        </w:rPr>
        <w:t>a.</w:t>
      </w:r>
      <w:r>
        <w:rPr/>
        <w:t>购买子公司少数股东拥有的子公司股权 </w:t>
      </w:r>
      <w:r>
        <w:rPr>
          <w:spacing w:val="-2"/>
        </w:rPr>
        <w:t>在合并财务报表中，因购买少数股权新取得的长期股权投资与按照新增持股比例计算应享有子公司自购买日或合并日开</w:t>
      </w:r>
    </w:p>
    <w:p>
      <w:pPr>
        <w:pStyle w:val="BodyText"/>
        <w:spacing w:line="367" w:lineRule="auto"/>
        <w:ind w:right="0" w:hanging="360"/>
        <w:jc w:val="left"/>
      </w:pPr>
      <w:r>
        <w:rPr/>
        <w:t>始持续计算的净资产份额之间的差额，调整资本公积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 </w:t>
      </w:r>
      <w:r>
        <w:rPr>
          <w:rFonts w:ascii="Times New Roman" w:hAnsi="Times New Roman" w:cs="Times New Roman" w:eastAsia="Times New Roman" w:hint="default"/>
        </w:rPr>
        <w:t>b.</w:t>
      </w:r>
      <w:r>
        <w:rPr/>
        <w:t>不丧失控制权的情况下处置对子公司长期股权投资 </w:t>
      </w:r>
      <w:r>
        <w:rPr>
          <w:spacing w:val="-2"/>
        </w:rPr>
        <w:t>在不丧失控制权的情况下部分处置对子公司的长期股权投资，在合并财务报表中，处置价款与处置长期股权投资相对应</w:t>
      </w:r>
    </w:p>
    <w:p>
      <w:pPr>
        <w:pStyle w:val="BodyText"/>
        <w:spacing w:line="237" w:lineRule="exact"/>
        <w:ind w:left="153" w:right="0"/>
        <w:jc w:val="left"/>
      </w:pPr>
      <w:r>
        <w:rPr/>
        <w:t>享有子公司自购买日或合并日开始持续计算的净资产份额之间的差额，应当调整资本公积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w:t>
      </w:r>
    </w:p>
    <w:p>
      <w:pPr>
        <w:pStyle w:val="BodyText"/>
        <w:spacing w:line="240" w:lineRule="auto" w:before="71"/>
        <w:ind w:left="153" w:right="0"/>
        <w:jc w:val="left"/>
      </w:pPr>
      <w:r>
        <w:rPr/>
        <w:t>不足冲减的，调整留存收益。</w:t>
      </w:r>
    </w:p>
    <w:p>
      <w:pPr>
        <w:pStyle w:val="BodyText"/>
        <w:spacing w:line="369" w:lineRule="auto" w:before="146"/>
        <w:ind w:right="0"/>
        <w:jc w:val="left"/>
      </w:pPr>
      <w:r>
        <w:rPr>
          <w:rFonts w:ascii="Times New Roman" w:hAnsi="Times New Roman" w:cs="Times New Roman" w:eastAsia="Times New Roman" w:hint="default"/>
        </w:rPr>
        <w:t>c.</w:t>
      </w:r>
      <w:r>
        <w:rPr/>
        <w:t>处置部分股权投资等原因丧失了对被投资方的控制权时，对于剩余股权的处理 </w:t>
      </w:r>
      <w:r>
        <w:rPr>
          <w:spacing w:val="-2"/>
        </w:rPr>
        <w:t>在编制合并财务报表时，对于剩余股权，按照其在丧失控制权日的公允价值进行重新计量。处置股权取得的对价与剩余</w:t>
      </w:r>
    </w:p>
    <w:p>
      <w:pPr>
        <w:pStyle w:val="BodyText"/>
        <w:spacing w:line="222" w:lineRule="exact"/>
        <w:ind w:left="153" w:right="0"/>
        <w:jc w:val="left"/>
      </w:pPr>
      <w:r>
        <w:rPr/>
        <w:t>股权公允价值之和，减去按原持股比例计算应享有原有子公司自购买日或合并日开始持续计算的净资产的份额之间的差额，</w:t>
      </w:r>
    </w:p>
    <w:p>
      <w:pPr>
        <w:pStyle w:val="BodyText"/>
        <w:spacing w:line="326" w:lineRule="auto" w:before="85"/>
        <w:ind w:left="153" w:right="1133"/>
        <w:jc w:val="both"/>
      </w:pPr>
      <w:r>
        <w:rPr>
          <w:spacing w:val="-2"/>
        </w:rPr>
        <w:t>计入丧失控制权当期的投资收益，同时冲减商誉。与原有子公司股权投资相关的其他综合收益等，在丧失控制权时转为当期</w:t>
      </w:r>
      <w:r>
        <w:rPr>
          <w:spacing w:val="-66"/>
        </w:rPr>
        <w:t> </w:t>
      </w:r>
      <w:r>
        <w:rPr>
          <w:spacing w:val="-66"/>
        </w:rPr>
      </w:r>
      <w:r>
        <w:rPr/>
        <w:t>投资收益。</w:t>
      </w:r>
    </w:p>
    <w:p>
      <w:pPr>
        <w:pStyle w:val="BodyText"/>
        <w:spacing w:line="367" w:lineRule="auto" w:before="82"/>
        <w:ind w:right="0"/>
        <w:jc w:val="left"/>
      </w:pPr>
      <w:r>
        <w:rPr>
          <w:rFonts w:ascii="Times New Roman" w:hAnsi="Times New Roman" w:cs="Times New Roman" w:eastAsia="Times New Roman" w:hint="default"/>
        </w:rPr>
        <w:t>d.</w:t>
      </w:r>
      <w:r>
        <w:rPr/>
        <w:t>企业通过多次交易分步处置对子公司股权投资直至丧失控制权，且该多次交易属于一揽子交易的处理 </w:t>
      </w:r>
      <w:r>
        <w:rPr>
          <w:spacing w:val="-2"/>
        </w:rPr>
        <w:t>处置对子公司股权投资直至丧失控制权的各项交易属于一揽子交易的，应当将各项交易作为一项处置子公司并丧失控制</w:t>
      </w:r>
    </w:p>
    <w:p>
      <w:pPr>
        <w:pStyle w:val="BodyText"/>
        <w:spacing w:line="326" w:lineRule="auto"/>
        <w:ind w:left="153" w:right="1133"/>
        <w:jc w:val="both"/>
      </w:pPr>
      <w:r>
        <w:rPr>
          <w:spacing w:val="-2"/>
        </w:rPr>
        <w:t>权的交易进行会计处理；但是，在丧失控制权之前每一次处置价款与处置投资对应的享有该子公司净资产份额的差额，在合</w:t>
      </w:r>
      <w:r>
        <w:rPr>
          <w:spacing w:val="-66"/>
        </w:rPr>
        <w:t> </w:t>
      </w:r>
      <w:r>
        <w:rPr>
          <w:spacing w:val="-66"/>
        </w:rPr>
      </w:r>
      <w:r>
        <w:rPr/>
        <w:t>并财务报表中确认为其他综合收益，在丧失控制权时一并转入丧失控制权当期的损益。</w:t>
      </w:r>
    </w:p>
    <w:p>
      <w:pPr>
        <w:pStyle w:val="BodyText"/>
        <w:spacing w:line="388" w:lineRule="auto" w:before="82"/>
        <w:ind w:right="0"/>
        <w:jc w:val="left"/>
      </w:pPr>
      <w:r>
        <w:rPr/>
        <w:t>判断分步处置股权至丧失控制权过程的各项交易是否属于一揽子交易的原则如下： </w:t>
      </w:r>
      <w:r>
        <w:rPr>
          <w:spacing w:val="-2"/>
        </w:rPr>
        <w:t>处置对子公司股权投资的各项交易的条款、条件以及经济影响符合以下一种或多种情况，通常表明多次交易事项属于一</w:t>
      </w:r>
    </w:p>
    <w:p>
      <w:pPr>
        <w:pStyle w:val="BodyText"/>
        <w:spacing w:line="209" w:lineRule="exact"/>
        <w:ind w:left="153" w:right="0"/>
        <w:jc w:val="left"/>
      </w:pPr>
      <w:r>
        <w:rPr/>
        <w:t>揽子交易：</w:t>
      </w:r>
    </w:p>
    <w:p>
      <w:pPr>
        <w:pStyle w:val="BodyText"/>
        <w:spacing w:line="369" w:lineRule="auto" w:before="146"/>
        <w:ind w:left="514" w:right="5767"/>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w:t>
      </w:r>
    </w:p>
    <w:p>
      <w:pPr>
        <w:spacing w:after="0" w:line="369"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69" w:lineRule="auto" w:before="44"/>
        <w:ind w:left="514" w:right="4857"/>
        <w:jc w:val="left"/>
      </w:pP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bookmarkStart w:name="7、合营安排分类及共同经营会计处理方法" w:id="164"/>
      <w:bookmarkEnd w:id="16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369" w:lineRule="auto" w:before="180"/>
        <w:ind w:left="514" w:right="7512"/>
        <w:jc w:val="left"/>
      </w:pPr>
      <w:r>
        <w:rPr/>
        <w:t>（</w:t>
      </w:r>
      <w:r>
        <w:rPr>
          <w:rFonts w:ascii="Times New Roman" w:hAnsi="Times New Roman" w:cs="Times New Roman" w:eastAsia="Times New Roman" w:hint="default"/>
        </w:rPr>
        <w:t>1</w:t>
      </w:r>
      <w:r>
        <w:rPr/>
        <w:t>）合营安排的分类 合营安排分为共同经营和合营企业。</w:t>
      </w:r>
    </w:p>
    <w:p>
      <w:pPr>
        <w:pStyle w:val="BodyText"/>
        <w:spacing w:line="372" w:lineRule="auto" w:before="49"/>
        <w:ind w:right="2293"/>
        <w:jc w:val="left"/>
      </w:pPr>
      <w:r>
        <w:rPr/>
        <w:t>（</w:t>
      </w:r>
      <w:r>
        <w:rPr>
          <w:rFonts w:ascii="Times New Roman" w:hAnsi="Times New Roman" w:cs="Times New Roman" w:eastAsia="Times New Roman" w:hint="default"/>
        </w:rPr>
        <w:t>2</w:t>
      </w:r>
      <w:r>
        <w:rPr/>
        <w:t>）共同经营参与方的会计处理 合营方确认其与共同经营中利益份额相关的下列项目，并按照相关企业会计准则的规定进行会计处理：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07" w:lineRule="auto" w:before="39"/>
        <w:ind w:left="153" w:right="1131" w:firstLine="360"/>
        <w:jc w:val="both"/>
      </w:pPr>
      <w:r>
        <w:rPr>
          <w:spacing w:val="-1"/>
        </w:rPr>
        <w:t>合营方向共同经营投出或出售资产等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，在该资产等由共同经营出售给第三方之前，仅确认因该</w:t>
      </w:r>
      <w:r>
        <w:rPr/>
        <w:t> 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 规定的资产减值损失的，合营方全额确认该损失。</w:t>
      </w:r>
    </w:p>
    <w:p>
      <w:pPr>
        <w:pStyle w:val="BodyText"/>
        <w:spacing w:line="307" w:lineRule="auto" w:before="97"/>
        <w:ind w:left="153" w:right="0" w:firstLine="360"/>
        <w:jc w:val="left"/>
      </w:pPr>
      <w:r>
        <w:rPr/>
        <w:t>合营方自共同经营购买资产等</w:t>
      </w:r>
      <w:r>
        <w:rPr>
          <w:rFonts w:ascii="Times New Roman" w:hAnsi="Times New Roman" w:cs="Times New Roman" w:eastAsia="Times New Roman" w:hint="default"/>
        </w:rPr>
        <w:t>(</w:t>
      </w:r>
      <w:r>
        <w:rPr/>
        <w:t>该资产构成业务的除外</w:t>
      </w:r>
      <w:r>
        <w:rPr>
          <w:rFonts w:ascii="Times New Roman" w:hAnsi="Times New Roman" w:cs="Times New Roman" w:eastAsia="Times New Roman" w:hint="default"/>
        </w:rPr>
        <w:t>)</w:t>
      </w:r>
      <w:r>
        <w:rPr/>
        <w:t>，在将该资产等出售给第三方之前，仅确认因该交易产生的损益 </w:t>
      </w:r>
      <w:r>
        <w:rPr>
          <w:spacing w:val="-2"/>
        </w:rPr>
        <w:t>中归属于共同经营其他参与方的部分。购入的资产发生符合《企业会计准则第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资产减值》等规定的资产减值损失的，</w:t>
      </w:r>
      <w:r>
        <w:rPr>
          <w:spacing w:val="-64"/>
        </w:rPr>
        <w:t> </w:t>
      </w:r>
      <w:r>
        <w:rPr>
          <w:spacing w:val="-64"/>
        </w:rPr>
      </w:r>
      <w:r>
        <w:rPr/>
        <w:t>合营方按其承担的份额确认该部分损失。</w:t>
      </w:r>
    </w:p>
    <w:p>
      <w:pPr>
        <w:pStyle w:val="BodyText"/>
        <w:spacing w:line="326" w:lineRule="auto" w:before="96"/>
        <w:ind w:left="154" w:right="1132" w:firstLine="360"/>
        <w:jc w:val="both"/>
      </w:pPr>
      <w:r>
        <w:rPr>
          <w:spacing w:val="-2"/>
        </w:rPr>
        <w:t>对共同经营不享有共同控制的参与方，如果享有该共同经营相关资产且承担该共同经营相关负债的，按照上述方法进行</w:t>
      </w:r>
      <w:r>
        <w:rPr/>
        <w:t> 会计处理；否则，按照相关企业会计准则的规定进行会计处理。</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8、现金及现金等价物的确定标准" w:id="165"/>
      <w:bookmarkEnd w:id="165"/>
      <w:r>
        <w:rPr>
          <w:b w:val="0"/>
          <w:bCs w:val="0"/>
        </w:rPr>
      </w:r>
      <w:r>
        <w:rPr>
          <w:rFonts w:ascii="Times New Roman" w:hAnsi="Times New Roman" w:cs="Times New Roman" w:eastAsia="Times New Roman" w:hint="default"/>
        </w:rPr>
        <w:t>8</w:t>
      </w:r>
      <w:r>
        <w:rPr/>
        <w:t>、现金及现金等价物的确定标准</w:t>
      </w:r>
      <w:r>
        <w:rPr>
          <w:b w:val="0"/>
          <w:bCs w:val="0"/>
        </w:rPr>
      </w:r>
    </w:p>
    <w:p>
      <w:pPr>
        <w:pStyle w:val="BodyText"/>
        <w:spacing w:line="326" w:lineRule="auto" w:before="181"/>
        <w:ind w:left="154" w:right="1132" w:firstLine="360"/>
        <w:jc w:val="both"/>
      </w:pPr>
      <w:r>
        <w:rPr>
          <w:spacing w:val="-2"/>
        </w:rPr>
        <w:t>列示于现金流量表中的现金是指库存现金及可随时用于支付的存款，现金等价物是指持有的期限短（一般指从购买日起</w:t>
      </w:r>
      <w:r>
        <w:rPr/>
        <w:t> 三个月内到期）、流动性强、易于转换为已知金额现金及价值变动风险很小的投资。</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9、外币业务和外币报表折算" w:id="166"/>
      <w:bookmarkEnd w:id="166"/>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369" w:lineRule="auto" w:before="180"/>
        <w:ind w:right="5173"/>
        <w:jc w:val="left"/>
      </w:pPr>
      <w:r>
        <w:rPr/>
        <w:t>（</w:t>
      </w:r>
      <w:r>
        <w:rPr>
          <w:rFonts w:ascii="Times New Roman" w:hAnsi="Times New Roman" w:cs="Times New Roman" w:eastAsia="Times New Roman" w:hint="default"/>
        </w:rPr>
        <w:t>1</w:t>
      </w:r>
      <w:r>
        <w:rPr/>
        <w:t>）外币业务 外币业务按业务发生日的即期汇率将外币金额折算为人民币入账。</w:t>
      </w:r>
    </w:p>
    <w:p>
      <w:pPr>
        <w:pStyle w:val="BodyText"/>
        <w:spacing w:line="326" w:lineRule="auto" w:before="49"/>
        <w:ind w:left="153" w:right="1132" w:firstLine="360"/>
        <w:jc w:val="both"/>
      </w:pPr>
      <w:r>
        <w:rPr>
          <w:spacing w:val="-2"/>
        </w:rPr>
        <w:t>于资产负债表日，外币货币性项目采用资产负债表日的即期汇率折算为人民币，所产生的折算差额除了为购建或生产符</w:t>
      </w:r>
      <w:r>
        <w:rPr/>
        <w:t> </w:t>
      </w:r>
      <w:r>
        <w:rPr>
          <w:spacing w:val="-2"/>
        </w:rPr>
        <w:t>合资本化条件的资产而借入的外币借款产生的汇兑差额按资本化的原则处理外，直接计入当期损益。以历史成本计量的外币</w:t>
      </w:r>
      <w:r>
        <w:rPr>
          <w:spacing w:val="-64"/>
        </w:rPr>
        <w:t> </w:t>
      </w:r>
      <w:r>
        <w:rPr>
          <w:spacing w:val="-64"/>
        </w:rPr>
      </w:r>
      <w:r>
        <w:rPr/>
        <w:t>非货币性项目，于资产负债表日采用交易发生日的即期汇率折算。</w:t>
      </w:r>
    </w:p>
    <w:p>
      <w:pPr>
        <w:pStyle w:val="BodyText"/>
        <w:spacing w:line="367" w:lineRule="auto" w:before="82"/>
        <w:ind w:left="514" w:right="0"/>
        <w:jc w:val="left"/>
      </w:pPr>
      <w:r>
        <w:rPr/>
        <w:t>（</w:t>
      </w:r>
      <w:r>
        <w:rPr>
          <w:rFonts w:ascii="Times New Roman" w:hAnsi="Times New Roman" w:cs="Times New Roman" w:eastAsia="Times New Roman" w:hint="default"/>
        </w:rPr>
        <w:t>2</w:t>
      </w:r>
      <w:r>
        <w:rPr/>
        <w:t>）外币财务报表的折算 </w:t>
      </w:r>
      <w:r>
        <w:rPr>
          <w:spacing w:val="-2"/>
        </w:rPr>
        <w:t>以非记账本位币编制的资产负债表中的资产和负债项目，采用资产负债表日的即期汇率折算成记账本位币，所有者权益</w:t>
      </w:r>
    </w:p>
    <w:p>
      <w:pPr>
        <w:pStyle w:val="BodyText"/>
        <w:spacing w:line="326" w:lineRule="auto"/>
        <w:ind w:left="154" w:right="1132"/>
        <w:jc w:val="both"/>
      </w:pPr>
      <w:r>
        <w:rPr>
          <w:spacing w:val="-2"/>
        </w:rPr>
        <w:t>中除未分配利润项目外，其他项目采用发生时的即期汇率折算。以非记账本位币编制的利润表中的收入与费用项目，采用交</w:t>
      </w:r>
      <w:r>
        <w:rPr>
          <w:spacing w:val="-66"/>
        </w:rPr>
        <w:t> </w:t>
      </w:r>
      <w:r>
        <w:rPr>
          <w:spacing w:val="-66"/>
        </w:rPr>
      </w:r>
      <w:r>
        <w:rPr>
          <w:spacing w:val="-2"/>
        </w:rPr>
        <w:t>易发生日的即期汇率折算成记账本位币。上述折算产生的外币报表折算差额，在其他综合收益中核算。以非记账本位币编制</w:t>
      </w:r>
      <w:r>
        <w:rPr>
          <w:spacing w:val="-66"/>
        </w:rPr>
        <w:t> </w:t>
      </w:r>
      <w:r>
        <w:rPr>
          <w:spacing w:val="-66"/>
        </w:rPr>
      </w:r>
      <w:r>
        <w:rPr>
          <w:spacing w:val="-2"/>
        </w:rPr>
        <w:t>的现金流量表中各项目的现金流量采用现金流量发生日的即期汇率折算成记账本位币。汇率变动对现金的影响额，在现金流</w:t>
      </w:r>
      <w:r>
        <w:rPr>
          <w:spacing w:val="-64"/>
        </w:rPr>
        <w:t> </w:t>
      </w:r>
      <w:r>
        <w:rPr>
          <w:spacing w:val="-64"/>
        </w:rPr>
      </w:r>
      <w:r>
        <w:rPr/>
        <w:t>量表中单独列示。</w:t>
      </w:r>
    </w:p>
    <w:p>
      <w:pPr>
        <w:spacing w:after="0" w:line="326" w:lineRule="auto"/>
        <w:jc w:val="both"/>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0、金融工具" w:id="167"/>
      <w:bookmarkEnd w:id="167"/>
      <w:r>
        <w:rPr>
          <w:b w:val="0"/>
          <w:bCs w:val="0"/>
        </w:rPr>
      </w:r>
      <w:r>
        <w:rPr>
          <w:rFonts w:ascii="Times New Roman" w:hAnsi="Times New Roman" w:cs="Times New Roman" w:eastAsia="Times New Roman" w:hint="default"/>
        </w:rPr>
        <w:t>10</w:t>
      </w:r>
      <w:r>
        <w:rPr/>
        <w:t>、金融工具</w:t>
      </w:r>
      <w:r>
        <w:rPr>
          <w:b w:val="0"/>
          <w:bCs w:val="0"/>
        </w:rPr>
      </w:r>
    </w:p>
    <w:p>
      <w:pPr>
        <w:pStyle w:val="BodyText"/>
        <w:spacing w:line="381" w:lineRule="auto" w:before="180"/>
        <w:ind w:right="4993"/>
        <w:jc w:val="left"/>
      </w:pPr>
      <w:r>
        <w:rPr/>
        <w:t>（</w:t>
      </w:r>
      <w:r>
        <w:rPr>
          <w:rFonts w:ascii="Times New Roman" w:hAnsi="Times New Roman" w:cs="Times New Roman" w:eastAsia="Times New Roman" w:hint="default"/>
        </w:rPr>
        <w:t>1</w:t>
      </w:r>
      <w:r>
        <w:rPr/>
        <w:t>）</w:t>
      </w:r>
      <w:r>
        <w:rPr>
          <w:spacing w:val="-18"/>
        </w:rPr>
        <w:t> </w:t>
      </w:r>
      <w:r>
        <w:rPr/>
        <w:t>金融工具的确认和终止确认</w:t>
      </w:r>
      <w:r>
        <w:rPr/>
        <w:t> 本公司于成为金融工具合同的一方时确认一项金融资产或金融负债。 金融资产满足下列条件之一的，终止确认： </w:t>
      </w:r>
      <w:r>
        <w:rPr>
          <w:rFonts w:ascii="Times New Roman" w:hAnsi="Times New Roman" w:cs="Times New Roman" w:eastAsia="Times New Roman" w:hint="default"/>
        </w:rPr>
        <w:t>a.</w:t>
      </w:r>
      <w:r>
        <w:rPr/>
        <w:t>收取该金融资产现金流量的合同权利终止；</w:t>
      </w:r>
    </w:p>
    <w:p>
      <w:pPr>
        <w:pStyle w:val="BodyText"/>
        <w:spacing w:line="367" w:lineRule="auto" w:before="15"/>
        <w:ind w:left="514" w:right="2337"/>
        <w:jc w:val="left"/>
      </w:pPr>
      <w:r>
        <w:rPr>
          <w:rFonts w:ascii="Times New Roman" w:hAnsi="Times New Roman" w:cs="Times New Roman" w:eastAsia="Times New Roman" w:hint="default"/>
        </w:rPr>
        <w:t>b.</w:t>
      </w:r>
      <w:r>
        <w:rPr/>
        <w:t>该金融资产已转移，且符合《企业会计准则第</w:t>
      </w:r>
      <w:r>
        <w:rPr>
          <w:rFonts w:ascii="Times New Roman" w:hAnsi="Times New Roman" w:cs="Times New Roman" w:eastAsia="Times New Roman" w:hint="default"/>
        </w:rPr>
        <w:t>23</w:t>
      </w:r>
      <w:r>
        <w:rPr/>
        <w:t>号－金融资产转移》规定的金融资产终止确认条件。 金融负债的现时义务全部或部分已经解除的，终止确认该金融负债或其一部分。</w:t>
      </w:r>
    </w:p>
    <w:p>
      <w:pPr>
        <w:pStyle w:val="BodyText"/>
        <w:spacing w:line="326" w:lineRule="auto" w:before="67"/>
        <w:ind w:left="514" w:right="0"/>
        <w:jc w:val="left"/>
      </w:pPr>
      <w:r>
        <w:rPr/>
        <w:t>（</w:t>
      </w:r>
      <w:r>
        <w:rPr>
          <w:rFonts w:ascii="Times New Roman" w:hAnsi="Times New Roman" w:cs="Times New Roman" w:eastAsia="Times New Roman" w:hint="default"/>
        </w:rPr>
        <w:t>2</w:t>
      </w:r>
      <w:r>
        <w:rPr/>
        <w:t>）金融资产的分类 </w:t>
      </w:r>
      <w:r>
        <w:rPr>
          <w:spacing w:val="-2"/>
        </w:rPr>
        <w:t>金融资产于初始确认时分类为：以公允价值计量且其变动计入当期损益的金融资产、应收款项、可供出售金融资产和持</w:t>
      </w:r>
    </w:p>
    <w:p>
      <w:pPr>
        <w:pStyle w:val="BodyText"/>
        <w:spacing w:line="336" w:lineRule="auto" w:before="20"/>
        <w:ind w:right="1118" w:hanging="360"/>
        <w:jc w:val="left"/>
      </w:pPr>
      <w:r>
        <w:rPr/>
        <w:t>有至到期投资。金融资产的分类取决于本公司对金融资产的持有意图和持有能力。 </w:t>
      </w:r>
      <w:r>
        <w:rPr>
          <w:rFonts w:ascii="Times New Roman" w:hAnsi="Times New Roman" w:cs="Times New Roman" w:eastAsia="Times New Roman" w:hint="default"/>
        </w:rPr>
        <w:t>a.</w:t>
      </w:r>
      <w:r>
        <w:rPr/>
        <w:t>以公允价值计量且其变动计入当期损益的金融资产 </w:t>
      </w:r>
      <w:r>
        <w:rPr>
          <w:spacing w:val="-2"/>
        </w:rPr>
        <w:t>以公允价值计量且其变动计入当期损益的金融资产包括持有目的为短期内出售的金融资产，该资产在资产负债表中以交</w:t>
      </w:r>
    </w:p>
    <w:p>
      <w:pPr>
        <w:pStyle w:val="BodyText"/>
        <w:spacing w:line="240" w:lineRule="auto" w:before="11"/>
        <w:ind w:left="153" w:right="0"/>
        <w:jc w:val="left"/>
      </w:pPr>
      <w:r>
        <w:rPr/>
        <w:t>易性金融资产列示。</w:t>
      </w:r>
    </w:p>
    <w:p>
      <w:pPr>
        <w:pStyle w:val="BodyText"/>
        <w:spacing w:line="326" w:lineRule="auto" w:before="105"/>
        <w:ind w:right="1118"/>
        <w:jc w:val="left"/>
      </w:pPr>
      <w:r>
        <w:rPr>
          <w:rFonts w:ascii="Times New Roman" w:hAnsi="Times New Roman" w:cs="Times New Roman" w:eastAsia="Times New Roman" w:hint="default"/>
        </w:rPr>
        <w:t>b.</w:t>
      </w:r>
      <w:r>
        <w:rPr/>
        <w:t>应收款项 </w:t>
      </w:r>
      <w:r>
        <w:rPr>
          <w:spacing w:val="-2"/>
        </w:rPr>
        <w:t>应收款项是指在活跃市场中没有报价、回收金额固定或可确定的非衍生金融资产，包括应收账款、其他应收款和长期应</w:t>
      </w:r>
    </w:p>
    <w:p>
      <w:pPr>
        <w:pStyle w:val="BodyText"/>
        <w:spacing w:line="240" w:lineRule="auto" w:before="19"/>
        <w:ind w:left="153" w:right="0"/>
        <w:jc w:val="left"/>
      </w:pPr>
      <w:r>
        <w:rPr/>
        <w:t>收款等。</w:t>
      </w:r>
    </w:p>
    <w:p>
      <w:pPr>
        <w:pStyle w:val="BodyText"/>
        <w:spacing w:line="326" w:lineRule="auto" w:before="105"/>
        <w:ind w:right="0"/>
        <w:jc w:val="left"/>
      </w:pPr>
      <w:r>
        <w:rPr>
          <w:rFonts w:ascii="Times New Roman" w:hAnsi="Times New Roman" w:cs="Times New Roman" w:eastAsia="Times New Roman" w:hint="default"/>
        </w:rPr>
        <w:t>c.</w:t>
      </w:r>
      <w:r>
        <w:rPr/>
        <w:t>可供出售金融资产 </w:t>
      </w:r>
      <w:r>
        <w:rPr>
          <w:spacing w:val="-2"/>
        </w:rPr>
        <w:t>可供出售金融资产包括初始确认时即被指定为可供出售的非衍生金融资产及未被划分为其他类的金融资产。自资产负债</w:t>
      </w:r>
    </w:p>
    <w:p>
      <w:pPr>
        <w:pStyle w:val="BodyText"/>
        <w:spacing w:line="240" w:lineRule="auto" w:before="20"/>
        <w:ind w:left="153" w:right="0"/>
        <w:jc w:val="left"/>
      </w:pPr>
      <w:r>
        <w:rPr/>
        <w:t>表日起</w:t>
      </w:r>
      <w:r>
        <w:rPr>
          <w:rFonts w:ascii="Times New Roman" w:hAnsi="Times New Roman" w:cs="Times New Roman" w:eastAsia="Times New Roman" w:hint="default"/>
        </w:rPr>
        <w:t>12</w:t>
      </w:r>
      <w:r>
        <w:rPr/>
        <w:t>个月内将出售的可供出售金融资产在资产负债表中列示为一年内到期的非流动资产。</w:t>
      </w:r>
    </w:p>
    <w:p>
      <w:pPr>
        <w:pStyle w:val="BodyText"/>
        <w:spacing w:line="328" w:lineRule="auto" w:before="91"/>
        <w:ind w:right="1033"/>
        <w:jc w:val="left"/>
      </w:pPr>
      <w:r>
        <w:rPr>
          <w:rFonts w:ascii="Times New Roman" w:hAnsi="Times New Roman" w:cs="Times New Roman" w:eastAsia="Times New Roman" w:hint="default"/>
        </w:rPr>
        <w:t>d.</w:t>
      </w:r>
      <w:r>
        <w:rPr/>
        <w:t>持有至到期投资 持有至到期投资是指到期日固定、回收金额固定或可确定，且管理层有明确意图和能力持有至到期的非衍生金融资产。</w:t>
      </w:r>
    </w:p>
    <w:p>
      <w:pPr>
        <w:pStyle w:val="BodyText"/>
        <w:spacing w:line="240" w:lineRule="auto" w:before="17"/>
        <w:ind w:left="153" w:right="0"/>
        <w:jc w:val="left"/>
      </w:pPr>
      <w:r>
        <w:rPr/>
        <w:t>自资产负债表日起</w:t>
      </w:r>
      <w:r>
        <w:rPr>
          <w:rFonts w:ascii="Times New Roman" w:hAnsi="Times New Roman" w:cs="Times New Roman" w:eastAsia="Times New Roman" w:hint="default"/>
        </w:rPr>
        <w:t>12</w:t>
      </w:r>
      <w:r>
        <w:rPr/>
        <w:t>个月内到期的持有至到期投资在资产负债表中列示为一年内到期的非流动资产。</w:t>
      </w:r>
    </w:p>
    <w:p>
      <w:pPr>
        <w:pStyle w:val="BodyText"/>
        <w:spacing w:line="326" w:lineRule="auto" w:before="149"/>
        <w:ind w:left="514" w:right="0"/>
        <w:jc w:val="left"/>
      </w:pPr>
      <w:r>
        <w:rPr/>
        <w:t>（</w:t>
      </w:r>
      <w:r>
        <w:rPr>
          <w:rFonts w:ascii="Times New Roman" w:hAnsi="Times New Roman" w:cs="Times New Roman" w:eastAsia="Times New Roman" w:hint="default"/>
        </w:rPr>
        <w:t>3</w:t>
      </w:r>
      <w:r>
        <w:rPr/>
        <w:t>）金融资产的计量 </w:t>
      </w:r>
      <w:r>
        <w:rPr>
          <w:spacing w:val="-2"/>
        </w:rPr>
        <w:t>金融资产于本公司成为金融工具合同的一方时，按公允价值在资产负债表内确认。以公允价值计量且其变动计入当期损</w:t>
      </w:r>
    </w:p>
    <w:p>
      <w:pPr>
        <w:pStyle w:val="BodyText"/>
        <w:spacing w:line="345" w:lineRule="auto" w:before="20"/>
        <w:ind w:right="0" w:hanging="360"/>
        <w:jc w:val="left"/>
      </w:pPr>
      <w:r>
        <w:rPr/>
        <w:t>益的金融资产，取得时发生的相关交易费用直接计入当期损益。其他金融资产的相关交易费用计入初始确认金额。 </w:t>
      </w:r>
      <w:r>
        <w:rPr>
          <w:spacing w:val="-2"/>
        </w:rPr>
        <w:t>以公允价值计量且其变动计入当期损益的金融资产和可供出售金融资产按照公允价值进行后续计量，但在活跃市场中没</w:t>
      </w:r>
    </w:p>
    <w:p>
      <w:pPr>
        <w:pStyle w:val="BodyText"/>
        <w:spacing w:line="326" w:lineRule="auto" w:before="5"/>
        <w:ind w:left="153" w:right="1118"/>
        <w:jc w:val="left"/>
      </w:pPr>
      <w:r>
        <w:rPr>
          <w:spacing w:val="-2"/>
        </w:rPr>
        <w:t>有报价且其公允价值不能可靠计量的权益工具投资，按照成本计量；应收款项以及持有至到期投资采用实际利率法，以摊余</w:t>
      </w:r>
      <w:r>
        <w:rPr>
          <w:spacing w:val="-66"/>
        </w:rPr>
        <w:t> </w:t>
      </w:r>
      <w:r>
        <w:rPr>
          <w:spacing w:val="-66"/>
        </w:rPr>
      </w:r>
      <w:r>
        <w:rPr/>
        <w:t>成本计量。</w:t>
      </w:r>
    </w:p>
    <w:p>
      <w:pPr>
        <w:pStyle w:val="BodyText"/>
        <w:spacing w:line="326" w:lineRule="auto" w:before="40"/>
        <w:ind w:left="154" w:right="1131" w:firstLine="360"/>
        <w:jc w:val="both"/>
      </w:pPr>
      <w:r>
        <w:rPr>
          <w:spacing w:val="-2"/>
        </w:rPr>
        <w:t>以公允价值计量且其变动计入当期损益的金融资产的公允价值变动计入公允价值变动损益；在资产持有期间所取得的利</w:t>
      </w:r>
      <w:r>
        <w:rPr/>
        <w:t> 息或现金股利以及在处置时产生的处置损益，计入当期损益。</w:t>
      </w:r>
    </w:p>
    <w:p>
      <w:pPr>
        <w:pStyle w:val="BodyText"/>
        <w:spacing w:line="326" w:lineRule="auto" w:before="40"/>
        <w:ind w:left="154" w:right="1132" w:firstLine="360"/>
        <w:jc w:val="both"/>
      </w:pPr>
      <w:r>
        <w:rPr>
          <w:spacing w:val="-2"/>
        </w:rPr>
        <w:t>除减值损失及外币货币性金融资产形成的汇兑损益外，可供出售金融资产公允价值变动计入所有者权益，待该金融资产</w:t>
      </w:r>
      <w:r>
        <w:rPr/>
        <w:t> </w:t>
      </w:r>
      <w:r>
        <w:rPr>
          <w:spacing w:val="-2"/>
        </w:rPr>
        <w:t>终止确认时，原直接计入权益的公允价值变动累计额转入当期损益。可供出售债务工具投资在持有期间按实际利率法计算利</w:t>
      </w:r>
      <w:r>
        <w:rPr>
          <w:spacing w:val="-64"/>
        </w:rPr>
        <w:t> </w:t>
      </w:r>
      <w:r>
        <w:rPr>
          <w:spacing w:val="-64"/>
        </w:rPr>
      </w:r>
      <w:r>
        <w:rPr/>
        <w:t>息，计入投资收益；可供出售权益工具投资的现金股利，于被投资单位宣告发放股利时计入投资收益。</w:t>
      </w:r>
    </w:p>
    <w:p>
      <w:pPr>
        <w:pStyle w:val="BodyText"/>
        <w:spacing w:line="326" w:lineRule="auto" w:before="98"/>
        <w:ind w:right="0"/>
        <w:jc w:val="left"/>
      </w:pPr>
      <w:r>
        <w:rPr/>
        <w:t>（</w:t>
      </w:r>
      <w:r>
        <w:rPr>
          <w:rFonts w:ascii="Times New Roman" w:hAnsi="Times New Roman" w:cs="Times New Roman" w:eastAsia="Times New Roman" w:hint="default"/>
        </w:rPr>
        <w:t>4</w:t>
      </w:r>
      <w:r>
        <w:rPr/>
        <w:t>）金融资产转移的确认依据和计量方法 </w:t>
      </w:r>
      <w:r>
        <w:rPr>
          <w:spacing w:val="-2"/>
        </w:rPr>
        <w:t>公司已将金融资产所有权上几乎所有的风险和报酬转移给转入方的，终止确认该金融资产；保留了金融资产所有权上几</w:t>
      </w:r>
    </w:p>
    <w:p>
      <w:pPr>
        <w:pStyle w:val="BodyText"/>
        <w:spacing w:line="348" w:lineRule="auto" w:before="20"/>
        <w:ind w:right="4093" w:hanging="360"/>
        <w:jc w:val="left"/>
      </w:pPr>
      <w:r>
        <w:rPr/>
        <w:t>乎所有的风险和报酬的，不终止确认该金融资产。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7" w:lineRule="auto"/>
        <w:ind w:left="153" w:right="1131" w:firstLine="360"/>
        <w:jc w:val="both"/>
      </w:pP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因转移而收到的对价，与原直接计入所有者权益的公允价值变动累计额（涉及转移的金融资产为可供出售金融资产的</w:t>
      </w:r>
      <w:r>
        <w:rPr/>
        <w:t> 情形）之和。</w:t>
      </w:r>
    </w:p>
    <w:p>
      <w:pPr>
        <w:spacing w:after="0" w:line="307" w:lineRule="auto"/>
        <w:jc w:val="both"/>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26" w:lineRule="auto" w:before="44"/>
        <w:ind w:left="154" w:right="1131" w:firstLine="360"/>
        <w:jc w:val="both"/>
      </w:pPr>
      <w:r>
        <w:rPr>
          <w:spacing w:val="-2"/>
        </w:rPr>
        <w:t>因金融资产转移获得了新金融资产或承担了新金融负债的，在转移日按照公允价值确认该金融资产或金融负债（包括看</w:t>
      </w:r>
      <w:r>
        <w:rPr/>
        <w:t> 涨期权、看跌期权、担保负债、远期合同、互换等），并将该金融资产扣除金融负债后的净额作为上述对价的组成部分。</w:t>
      </w:r>
    </w:p>
    <w:p>
      <w:pPr>
        <w:pStyle w:val="BodyText"/>
        <w:spacing w:line="326" w:lineRule="auto" w:before="39"/>
        <w:ind w:left="153" w:right="1131" w:firstLine="360"/>
        <w:jc w:val="both"/>
      </w:pPr>
      <w:r>
        <w:rPr>
          <w:spacing w:val="-2"/>
        </w:rPr>
        <w:t>公司与金融资产转入方签订服务合同提供相关服务的（包括收取该金融资产的现金流量，并将所收取的现金流量交付给</w:t>
      </w:r>
      <w:r>
        <w:rPr/>
        <w:t> </w:t>
      </w:r>
      <w:r>
        <w:rPr>
          <w:spacing w:val="-2"/>
        </w:rPr>
        <w:t>指定的资金保管机构等），就该服务合同确认一项服务资产或服务负债。服务负债应当按照公允价值进行初始计量，并作为</w:t>
      </w:r>
      <w:r>
        <w:rPr>
          <w:spacing w:val="-66"/>
        </w:rPr>
        <w:t> </w:t>
      </w:r>
      <w:r>
        <w:rPr>
          <w:spacing w:val="-66"/>
        </w:rPr>
      </w:r>
      <w:r>
        <w:rPr/>
        <w:t>上述对价的组成部分。</w:t>
      </w:r>
    </w:p>
    <w:p>
      <w:pPr>
        <w:pStyle w:val="BodyText"/>
        <w:spacing w:line="326" w:lineRule="auto" w:before="40"/>
        <w:ind w:left="153" w:right="1131"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5"/>
        </w:rPr>
        <w:t> </w:t>
      </w:r>
      <w:r>
        <w:rPr>
          <w:spacing w:val="-65"/>
        </w:rPr>
      </w:r>
      <w:r>
        <w:rPr/>
        <w:t>金额的差额计入当期损益：</w:t>
      </w:r>
    </w:p>
    <w:p>
      <w:pPr>
        <w:pStyle w:val="BodyText"/>
        <w:spacing w:line="326" w:lineRule="auto" w:before="40"/>
        <w:ind w:right="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终止确认部分的对价，与原直接计入所有者权益的公允价值变动累计额中对应终止确认部分的金额（涉及转移的金融</w:t>
      </w:r>
    </w:p>
    <w:p>
      <w:pPr>
        <w:pStyle w:val="BodyText"/>
        <w:spacing w:line="348" w:lineRule="auto"/>
        <w:ind w:right="0" w:hanging="360"/>
        <w:jc w:val="left"/>
      </w:pPr>
      <w:r>
        <w:rPr/>
        <w:t>资产为可供出售金融资产的情形）之和。 </w:t>
      </w:r>
      <w:r>
        <w:rPr>
          <w:spacing w:val="-2"/>
        </w:rPr>
        <w:t>原直接计入所有者权益的公允价值变动累计额中对应终止确认部分的金额，按照金融资产终止确认部分和未终止确认部</w:t>
      </w:r>
    </w:p>
    <w:p>
      <w:pPr>
        <w:pStyle w:val="BodyText"/>
        <w:spacing w:line="240" w:lineRule="auto" w:before="2"/>
        <w:ind w:left="153" w:right="0"/>
        <w:jc w:val="left"/>
      </w:pPr>
      <w:r>
        <w:rPr/>
        <w:t>分的相对公允价值，对该累计额进行分摊后确定。</w:t>
      </w:r>
    </w:p>
    <w:p>
      <w:pPr>
        <w:spacing w:line="240" w:lineRule="auto" w:before="6"/>
        <w:rPr>
          <w:rFonts w:ascii="宋体" w:hAnsi="宋体" w:cs="宋体" w:eastAsia="宋体" w:hint="default"/>
          <w:sz w:val="12"/>
          <w:szCs w:val="12"/>
        </w:rPr>
      </w:pPr>
    </w:p>
    <w:p>
      <w:pPr>
        <w:pStyle w:val="BodyText"/>
        <w:spacing w:line="316" w:lineRule="auto"/>
        <w:ind w:left="154" w:right="1131" w:firstLine="360"/>
        <w:jc w:val="both"/>
      </w:pPr>
      <w:r>
        <w:rPr/>
        <w:t>（</w:t>
      </w:r>
      <w:r>
        <w:rPr>
          <w:rFonts w:ascii="Times New Roman" w:hAnsi="Times New Roman" w:cs="Times New Roman" w:eastAsia="Times New Roman" w:hint="default"/>
        </w:rPr>
        <w:t>5</w:t>
      </w:r>
      <w:r>
        <w:rPr/>
        <w:t>）金融负债于初始确认时分类为：以公允价值计量且其变动计入当期损益的金融负债和其他金融负债。以公允价值 </w:t>
      </w:r>
      <w:r>
        <w:rPr>
          <w:spacing w:val="-2"/>
        </w:rPr>
        <w:t>计量且其变动计入当期损益的金融负债，包括交易性金融负债和初始确认时指定为以公允价值计量且其变动计入当期损益的</w:t>
      </w:r>
      <w:r>
        <w:rPr>
          <w:spacing w:val="-64"/>
        </w:rPr>
        <w:t> </w:t>
      </w:r>
      <w:r>
        <w:rPr>
          <w:spacing w:val="-64"/>
        </w:rPr>
      </w:r>
      <w:r>
        <w:rPr/>
        <w:t>金融负债。</w:t>
      </w:r>
    </w:p>
    <w:p>
      <w:pPr>
        <w:pStyle w:val="BodyText"/>
        <w:spacing w:line="328" w:lineRule="auto" w:before="105"/>
        <w:ind w:left="514" w:right="0"/>
        <w:jc w:val="left"/>
      </w:pPr>
      <w:r>
        <w:rPr/>
        <w:t>（</w:t>
      </w:r>
      <w:r>
        <w:rPr>
          <w:rFonts w:ascii="Times New Roman" w:hAnsi="Times New Roman" w:cs="Times New Roman" w:eastAsia="Times New Roman" w:hint="default"/>
        </w:rPr>
        <w:t>6</w:t>
      </w:r>
      <w:r>
        <w:rPr/>
        <w:t>）金融负债的计量 </w:t>
      </w:r>
      <w:r>
        <w:rPr>
          <w:spacing w:val="-2"/>
        </w:rPr>
        <w:t>金融负债于本公司成为金融工具合同的一方时，按公允价值在资产负债表内确认。以公允价值计量且其变动计入当期损</w:t>
      </w:r>
    </w:p>
    <w:p>
      <w:pPr>
        <w:pStyle w:val="BodyText"/>
        <w:spacing w:line="348" w:lineRule="auto" w:before="17"/>
        <w:ind w:right="0" w:hanging="360"/>
        <w:jc w:val="left"/>
      </w:pPr>
      <w:r>
        <w:rPr/>
        <w:t>益的金融负债，取得时发生的相关交易费用直接计入当期损益；其他金融负债的相关交易费用计入初始确认金额。 </w:t>
      </w:r>
      <w:r>
        <w:rPr>
          <w:spacing w:val="-2"/>
        </w:rPr>
        <w:t>以公允价值计量且其变动计入当期损益的金融负债，按照公允价值后续计量，且不扣除将来结清金融负债时可能发生的</w:t>
      </w:r>
    </w:p>
    <w:p>
      <w:pPr>
        <w:pStyle w:val="BodyText"/>
        <w:spacing w:line="240" w:lineRule="auto" w:before="2"/>
        <w:ind w:left="153" w:right="0"/>
        <w:jc w:val="left"/>
      </w:pPr>
      <w:r>
        <w:rPr/>
        <w:t>交易费用。其他金融负债，采用实际利率法，按照摊余成本进行后续计量。</w:t>
      </w:r>
    </w:p>
    <w:p>
      <w:pPr>
        <w:spacing w:line="240" w:lineRule="auto" w:before="6"/>
        <w:rPr>
          <w:rFonts w:ascii="宋体" w:hAnsi="宋体" w:cs="宋体" w:eastAsia="宋体" w:hint="default"/>
          <w:sz w:val="12"/>
          <w:szCs w:val="12"/>
        </w:rPr>
      </w:pPr>
    </w:p>
    <w:p>
      <w:pPr>
        <w:pStyle w:val="BodyText"/>
        <w:spacing w:line="326" w:lineRule="auto"/>
        <w:ind w:left="514" w:right="0"/>
        <w:jc w:val="left"/>
      </w:pPr>
      <w:r>
        <w:rPr/>
        <w:t>（</w:t>
      </w:r>
      <w:r>
        <w:rPr>
          <w:rFonts w:ascii="Times New Roman" w:hAnsi="Times New Roman" w:cs="Times New Roman" w:eastAsia="Times New Roman" w:hint="default"/>
        </w:rPr>
        <w:t>7</w:t>
      </w:r>
      <w:r>
        <w:rPr/>
        <w:t>）金融资产和金融负债的公允价值的确定方法 </w:t>
      </w:r>
      <w:r>
        <w:rPr>
          <w:spacing w:val="-2"/>
        </w:rPr>
        <w:t>存在活跃市场的金融资产或金融负债，采用活跃市场中的报价确定其公允价值。金融工具不存在活跃市场的，采用估值</w:t>
      </w:r>
    </w:p>
    <w:p>
      <w:pPr>
        <w:pStyle w:val="BodyText"/>
        <w:spacing w:line="326" w:lineRule="auto" w:before="20"/>
        <w:ind w:left="154" w:right="1132"/>
        <w:jc w:val="both"/>
      </w:pPr>
      <w:r>
        <w:rPr>
          <w:spacing w:val="-2"/>
        </w:rPr>
        <w:t>技术确定其公允价值，估值技术包括参考熟悉情况并自愿交易的各方最近进行的市场交易中使用的价格、参照实质上相同的</w:t>
      </w:r>
      <w:r>
        <w:rPr>
          <w:spacing w:val="-64"/>
        </w:rPr>
        <w:t> </w:t>
      </w:r>
      <w:r>
        <w:rPr>
          <w:spacing w:val="-64"/>
        </w:rPr>
      </w:r>
      <w:r>
        <w:rPr/>
        <w:t>其他金融工具的当前公允价值、现金流量折现法和期权定价模型等。</w:t>
      </w:r>
    </w:p>
    <w:p>
      <w:pPr>
        <w:pStyle w:val="BodyText"/>
        <w:spacing w:line="328" w:lineRule="auto" w:before="98"/>
        <w:ind w:left="514" w:right="0"/>
        <w:jc w:val="left"/>
      </w:pPr>
      <w:r>
        <w:rPr/>
        <w:t>（</w:t>
      </w:r>
      <w:r>
        <w:rPr>
          <w:rFonts w:ascii="Times New Roman" w:hAnsi="Times New Roman" w:cs="Times New Roman" w:eastAsia="Times New Roman" w:hint="default"/>
        </w:rPr>
        <w:t>8</w:t>
      </w:r>
      <w:r>
        <w:rPr/>
        <w:t>）金融资产减值测试方法及会计处理方法 </w:t>
      </w:r>
      <w:r>
        <w:rPr>
          <w:spacing w:val="-2"/>
        </w:rPr>
        <w:t>除以公允价值计量且其变动计入当期损益的金融资产外，本公司于资产负债表日对金融资产的账面价值进行检查，如果</w:t>
      </w:r>
    </w:p>
    <w:p>
      <w:pPr>
        <w:pStyle w:val="BodyText"/>
        <w:spacing w:line="348" w:lineRule="auto" w:before="17"/>
        <w:ind w:left="514" w:right="0" w:hanging="360"/>
        <w:jc w:val="left"/>
      </w:pPr>
      <w:r>
        <w:rPr/>
        <w:t>有客观证据表明某项金融资产发生减值的，计提减值准备。 </w:t>
      </w: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p>
    <w:p>
      <w:pPr>
        <w:pStyle w:val="BodyText"/>
        <w:spacing w:line="216" w:lineRule="exact"/>
        <w:ind w:left="154" w:right="0"/>
        <w:jc w:val="left"/>
      </w:pPr>
      <w:r>
        <w:rPr/>
        <w:t>额，计提减值准备。如果有客观证据表明该金融资产价值已恢复，且客观上与确认该损失后发生的事项有关，原确认的减值</w:t>
      </w:r>
    </w:p>
    <w:p>
      <w:pPr>
        <w:pStyle w:val="BodyText"/>
        <w:spacing w:line="345" w:lineRule="auto" w:before="85"/>
        <w:ind w:left="514" w:right="0" w:hanging="360"/>
        <w:jc w:val="left"/>
      </w:pPr>
      <w:r>
        <w:rPr/>
        <w:t>损失予以转回，计入当期损益。 </w:t>
      </w:r>
      <w:r>
        <w:rPr>
          <w:spacing w:val="-2"/>
        </w:rPr>
        <w:t>当可供出售金融资产的公允价值发生较大幅度或非暂时性下降，原直接计入所有者权益的因公允价值下降形成的累计损</w:t>
      </w:r>
    </w:p>
    <w:p>
      <w:pPr>
        <w:pStyle w:val="BodyText"/>
        <w:spacing w:line="326" w:lineRule="auto" w:before="5"/>
        <w:ind w:left="154" w:right="1131"/>
        <w:jc w:val="both"/>
      </w:pPr>
      <w:r>
        <w:rPr>
          <w:spacing w:val="-2"/>
        </w:rPr>
        <w:t>失计入减值损失。对已确认减值损失的可供出售债务工具投资，在期后公允价值上升且客观上与确认原减值损失确认后发生</w:t>
      </w:r>
      <w:r>
        <w:rPr>
          <w:spacing w:val="-64"/>
        </w:rPr>
        <w:t> </w:t>
      </w:r>
      <w:r>
        <w:rPr>
          <w:spacing w:val="-64"/>
        </w:rPr>
      </w:r>
      <w:r>
        <w:rPr>
          <w:spacing w:val="-2"/>
        </w:rPr>
        <w:t>的事项有关的，原确认的减值损失予以转回，计入当期损益。对已确认减值损失的可供出售权益工具投资，在期后公允价值</w:t>
      </w:r>
      <w:r>
        <w:rPr>
          <w:spacing w:val="-66"/>
        </w:rPr>
        <w:t> </w:t>
      </w:r>
      <w:r>
        <w:rPr>
          <w:spacing w:val="-66"/>
        </w:rPr>
      </w:r>
      <w:r>
        <w:rPr>
          <w:spacing w:val="-2"/>
        </w:rPr>
        <w:t>上升且客观上与确认原减值损失后发生的事项有关的，原确认的减值损失予以转回，直接计入所有者权益。在活跃市场中没</w:t>
      </w:r>
      <w:r>
        <w:rPr>
          <w:spacing w:val="-66"/>
        </w:rPr>
        <w:t> </w:t>
      </w:r>
      <w:r>
        <w:rPr>
          <w:spacing w:val="-66"/>
        </w:rPr>
      </w:r>
      <w:r>
        <w:rPr/>
        <w:t>有报价且其公允价值不能可靠计量的权益工具投资发生的减值损失，如果在以后期间价值得以恢复，也不予转回。</w:t>
      </w:r>
    </w:p>
    <w:p>
      <w:pPr>
        <w:pStyle w:val="BodyText"/>
        <w:spacing w:line="240" w:lineRule="auto" w:before="39"/>
        <w:ind w:left="514" w:right="0"/>
        <w:jc w:val="left"/>
      </w:pPr>
      <w:r>
        <w:rPr/>
        <w:t>可供出售金融资产</w:t>
      </w:r>
      <w:r>
        <w:rPr>
          <w:rFonts w:ascii="Times New Roman" w:hAnsi="Times New Roman" w:cs="Times New Roman" w:eastAsia="Times New Roman" w:hint="default"/>
        </w:rPr>
        <w:t>-</w:t>
      </w:r>
      <w:r>
        <w:rPr/>
        <w:t>权益工具投资减值认定标准：</w:t>
      </w:r>
    </w:p>
    <w:p>
      <w:pPr>
        <w:spacing w:line="240" w:lineRule="auto" w:before="12"/>
        <w:rPr>
          <w:rFonts w:ascii="宋体" w:hAnsi="宋体" w:cs="宋体" w:eastAsia="宋体" w:hint="default"/>
          <w:sz w:val="13"/>
          <w:szCs w:val="13"/>
        </w:rPr>
      </w:pPr>
    </w:p>
    <w:tbl>
      <w:tblPr>
        <w:tblW w:w="0" w:type="auto"/>
        <w:jc w:val="left"/>
        <w:tblInd w:w="426" w:type="dxa"/>
        <w:tblLayout w:type="fixed"/>
        <w:tblCellMar>
          <w:top w:w="0" w:type="dxa"/>
          <w:left w:w="0" w:type="dxa"/>
          <w:bottom w:w="0" w:type="dxa"/>
          <w:right w:w="0" w:type="dxa"/>
        </w:tblCellMar>
        <w:tblLook w:val="01E0"/>
      </w:tblPr>
      <w:tblGrid>
        <w:gridCol w:w="3691"/>
        <w:gridCol w:w="5382"/>
      </w:tblGrid>
      <w:tr>
        <w:trPr>
          <w:trHeight w:val="275" w:hRule="exact"/>
        </w:trPr>
        <w:tc>
          <w:tcPr>
            <w:tcW w:w="3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18"/>
                <w:szCs w:val="18"/>
              </w:rPr>
            </w:pPr>
            <w:r>
              <w:rPr>
                <w:rFonts w:ascii="宋体" w:hAnsi="宋体" w:cs="宋体" w:eastAsia="宋体" w:hint="default"/>
                <w:sz w:val="18"/>
                <w:szCs w:val="18"/>
              </w:rPr>
              <w:t>当公允价值低于其初始投资成本超过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（含</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275" w:hRule="exact"/>
        </w:trPr>
        <w:tc>
          <w:tcPr>
            <w:tcW w:w="36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left"/>
              <w:rPr>
                <w:rFonts w:ascii="宋体" w:hAnsi="宋体" w:cs="宋体" w:eastAsia="宋体" w:hint="default"/>
                <w:sz w:val="18"/>
                <w:szCs w:val="18"/>
              </w:rPr>
            </w:pPr>
            <w:r>
              <w:rPr>
                <w:rFonts w:ascii="宋体" w:hAnsi="宋体" w:cs="宋体" w:eastAsia="宋体" w:hint="default"/>
                <w:sz w:val="18"/>
                <w:szCs w:val="18"/>
              </w:rPr>
              <w:t>低于其初始投资成本持续时间超过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个月（含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个月）的</w:t>
            </w:r>
          </w:p>
        </w:tc>
      </w:tr>
      <w:tr>
        <w:trPr>
          <w:trHeight w:val="515" w:hRule="exact"/>
        </w:trPr>
        <w:tc>
          <w:tcPr>
            <w:tcW w:w="369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 w:right="8"/>
              <w:jc w:val="left"/>
              <w:rPr>
                <w:rFonts w:ascii="宋体" w:hAnsi="宋体" w:cs="宋体" w:eastAsia="宋体" w:hint="default"/>
                <w:sz w:val="18"/>
                <w:szCs w:val="18"/>
              </w:rPr>
            </w:pPr>
            <w:r>
              <w:rPr>
                <w:rFonts w:ascii="宋体" w:hAnsi="宋体" w:cs="宋体" w:eastAsia="宋体" w:hint="default"/>
                <w:spacing w:val="4"/>
                <w:sz w:val="18"/>
                <w:szCs w:val="18"/>
              </w:rPr>
              <w:t>成本指权益工具投资依据准则规定确定的账面初始投资成本扣除已</w:t>
            </w:r>
            <w:r>
              <w:rPr>
                <w:rFonts w:ascii="宋体" w:hAnsi="宋体" w:cs="宋体" w:eastAsia="宋体" w:hint="default"/>
                <w:sz w:val="18"/>
                <w:szCs w:val="18"/>
              </w:rPr>
              <w:t> 收回或摊销金额</w:t>
            </w:r>
          </w:p>
        </w:tc>
      </w:tr>
      <w:tr>
        <w:trPr>
          <w:trHeight w:val="276" w:hRule="exact"/>
        </w:trPr>
        <w:tc>
          <w:tcPr>
            <w:tcW w:w="369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存在活跃市场的按期末市场公开价格确定；不存在活跃市场的按</w:t>
            </w:r>
          </w:p>
        </w:tc>
      </w:tr>
    </w:tbl>
    <w:p>
      <w:pPr>
        <w:spacing w:after="0" w:line="228" w:lineRule="exact"/>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426" w:type="dxa"/>
        <w:tblLayout w:type="fixed"/>
        <w:tblCellMar>
          <w:top w:w="0" w:type="dxa"/>
          <w:left w:w="0" w:type="dxa"/>
          <w:bottom w:w="0" w:type="dxa"/>
          <w:right w:w="0" w:type="dxa"/>
        </w:tblCellMar>
        <w:tblLook w:val="01E0"/>
      </w:tblPr>
      <w:tblGrid>
        <w:gridCol w:w="3691"/>
        <w:gridCol w:w="5382"/>
      </w:tblGrid>
      <w:tr>
        <w:trPr>
          <w:trHeight w:val="515" w:hRule="exact"/>
        </w:trPr>
        <w:tc>
          <w:tcPr>
            <w:tcW w:w="3691" w:type="dxa"/>
            <w:tcBorders>
              <w:top w:val="single" w:sz="6" w:space="0" w:color="000000"/>
              <w:left w:val="single" w:sz="6" w:space="0" w:color="000000"/>
              <w:bottom w:val="single" w:sz="6" w:space="0" w:color="000000"/>
              <w:right w:val="single" w:sz="6" w:space="0" w:color="000000"/>
            </w:tcBorders>
          </w:tcPr>
          <w:p>
            <w:pPr/>
          </w:p>
        </w:tc>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 w:right="323"/>
              <w:jc w:val="left"/>
              <w:rPr>
                <w:rFonts w:ascii="宋体" w:hAnsi="宋体" w:cs="宋体" w:eastAsia="宋体" w:hint="default"/>
                <w:sz w:val="18"/>
                <w:szCs w:val="18"/>
              </w:rPr>
            </w:pPr>
            <w:r>
              <w:rPr>
                <w:rFonts w:ascii="宋体" w:hAnsi="宋体" w:cs="宋体" w:eastAsia="宋体" w:hint="default"/>
                <w:sz w:val="18"/>
                <w:szCs w:val="18"/>
              </w:rPr>
              <w:t>照类似金融资产当时的市场收益率对未来现金流量进行折现确定 为公允价值</w:t>
            </w:r>
          </w:p>
        </w:tc>
      </w:tr>
      <w:tr>
        <w:trPr>
          <w:trHeight w:val="516" w:hRule="exact"/>
        </w:trPr>
        <w:tc>
          <w:tcPr>
            <w:tcW w:w="369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0"/>
              <w:ind w:left="2" w:right="281"/>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，反弹持 续时间未超过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个月的均作为持续下跌期间</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1、应收款项" w:id="168"/>
      <w:bookmarkEnd w:id="16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69"/>
      <w:bookmarkEnd w:id="16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5"/>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810"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对于单项金额重大的应收款项（应收账款金额在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万元以上、其他应</w:t>
            </w:r>
          </w:p>
          <w:p>
            <w:pPr>
              <w:pStyle w:val="TableParagraph"/>
              <w:spacing w:line="240" w:lineRule="exact" w:before="14"/>
              <w:ind w:left="23" w:right="21"/>
              <w:jc w:val="left"/>
              <w:rPr>
                <w:rFonts w:ascii="宋体" w:hAnsi="宋体" w:cs="宋体" w:eastAsia="宋体" w:hint="default"/>
                <w:sz w:val="18"/>
                <w:szCs w:val="18"/>
              </w:rPr>
            </w:pPr>
            <w:r>
              <w:rPr>
                <w:rFonts w:ascii="宋体" w:hAnsi="宋体" w:cs="宋体" w:eastAsia="宋体" w:hint="default"/>
                <w:sz w:val="18"/>
                <w:szCs w:val="18"/>
              </w:rPr>
              <w:t>收款金额在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万元以上），当存在客观证据表明本公司将无法按应收款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项的原有条款收回所有款项时，确认相应的坏账准备。</w:t>
            </w:r>
          </w:p>
        </w:tc>
      </w:tr>
      <w:tr>
        <w:trPr>
          <w:trHeight w:val="570"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21"/>
              <w:jc w:val="left"/>
              <w:rPr>
                <w:rFonts w:ascii="宋体" w:hAnsi="宋体" w:cs="宋体" w:eastAsia="宋体" w:hint="default"/>
                <w:sz w:val="18"/>
                <w:szCs w:val="18"/>
              </w:rPr>
            </w:pPr>
            <w:r>
              <w:rPr>
                <w:rFonts w:ascii="宋体" w:hAnsi="宋体" w:cs="宋体" w:eastAsia="宋体" w:hint="default"/>
                <w:spacing w:val="-2"/>
                <w:sz w:val="18"/>
                <w:szCs w:val="18"/>
              </w:rPr>
              <w:t>根据该款项预计未来现金流量现值低于其账面价值的差额，单独进行减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值测试，计提坏账准备。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0"/>
      <w:bookmarkEnd w:id="17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5"/>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3970"/>
        <w:gridCol w:w="5598"/>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按账龄进行组合</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经减值测试后不需计提坏账准备的组合</w:t>
            </w:r>
          </w:p>
        </w:tc>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11"/>
        <w:rPr>
          <w:rFonts w:ascii="宋体" w:hAnsi="宋体" w:cs="宋体" w:eastAsia="宋体" w:hint="default"/>
          <w:b/>
          <w:bCs/>
          <w:sz w:val="15"/>
          <w:szCs w:val="15"/>
        </w:rPr>
      </w:pPr>
    </w:p>
    <w:p>
      <w:pPr>
        <w:pStyle w:val="BodyText"/>
        <w:spacing w:line="240" w:lineRule="auto" w:before="44"/>
        <w:ind w:left="514" w:right="0"/>
        <w:jc w:val="left"/>
      </w:pPr>
      <w:r>
        <w:rPr/>
        <w:t>组合中，采用账龄分析法计提坏账准备的：</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6"/>
        <w:gridCol w:w="3272"/>
        <w:gridCol w:w="3190"/>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514" w:right="0"/>
        <w:jc w:val="left"/>
      </w:pPr>
      <w:r>
        <w:rPr/>
        <w:t>组合中，采用余额百分比法计提坏账准备的：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单项金额上重大但单独计提坏账准备的应收款项" w:id="171"/>
      <w:bookmarkEnd w:id="17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3119"/>
        <w:gridCol w:w="6450"/>
      </w:tblGrid>
      <w:tr>
        <w:trPr>
          <w:trHeight w:val="5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3"/>
                <w:sz w:val="18"/>
                <w:szCs w:val="18"/>
              </w:rPr>
              <w:t>对于单项金额虽不重大的应收款项，当存在客观证据表明本公司将无法按应收款项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的原有条款收回所有款项时，确认相应的坏账准备。</w:t>
            </w:r>
          </w:p>
        </w:tc>
      </w:tr>
      <w:tr>
        <w:trPr>
          <w:trHeight w:val="5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3"/>
                <w:sz w:val="18"/>
                <w:szCs w:val="18"/>
              </w:rPr>
              <w:t>根据该款项预计未来现金流量现值低于其账面价值的差额，单独进行减值测试，计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提坏账准备。</w:t>
            </w:r>
          </w:p>
        </w:tc>
      </w:tr>
    </w:tbl>
    <w:p>
      <w:pPr>
        <w:spacing w:after="0" w:line="244"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12、存货" w:id="172"/>
      <w:bookmarkEnd w:id="172"/>
      <w:r>
        <w:rPr>
          <w:b w:val="0"/>
          <w:bCs w:val="0"/>
        </w:rPr>
      </w:r>
      <w:r>
        <w:rPr>
          <w:rFonts w:ascii="Times New Roman" w:hAnsi="Times New Roman" w:cs="Times New Roman" w:eastAsia="Times New Roman" w:hint="default"/>
        </w:rPr>
        <w:t>12</w:t>
      </w:r>
      <w:r>
        <w:rPr/>
        <w:t>、存货</w:t>
      </w:r>
      <w:r>
        <w:rPr>
          <w:b w:val="0"/>
          <w:bCs w:val="0"/>
        </w:rPr>
      </w:r>
    </w:p>
    <w:p>
      <w:pPr>
        <w:pStyle w:val="BodyText"/>
        <w:spacing w:line="369" w:lineRule="auto" w:before="180"/>
        <w:ind w:left="514" w:right="3012"/>
        <w:jc w:val="left"/>
      </w:pPr>
      <w:r>
        <w:rPr/>
        <w:t>（</w:t>
      </w:r>
      <w:r>
        <w:rPr>
          <w:rFonts w:ascii="Times New Roman" w:hAnsi="Times New Roman" w:cs="Times New Roman" w:eastAsia="Times New Roman" w:hint="default"/>
        </w:rPr>
        <w:t>1</w:t>
      </w:r>
      <w:r>
        <w:rPr/>
        <w:t>）存货的类别 存货包括原材料、在产品、产成品、发出商品和周转材料等，按成本与可变现净值孰低列示。</w:t>
      </w:r>
    </w:p>
    <w:p>
      <w:pPr>
        <w:pStyle w:val="BodyText"/>
        <w:spacing w:line="369" w:lineRule="auto" w:before="49"/>
        <w:ind w:left="514" w:right="0"/>
        <w:jc w:val="left"/>
      </w:pPr>
      <w:r>
        <w:rPr/>
        <w:t>（</w:t>
      </w:r>
      <w:r>
        <w:rPr>
          <w:rFonts w:ascii="Times New Roman" w:hAnsi="Times New Roman" w:cs="Times New Roman" w:eastAsia="Times New Roman" w:hint="default"/>
        </w:rPr>
        <w:t>2</w:t>
      </w:r>
      <w:r>
        <w:rPr/>
        <w:t>）发出存货的计价方法 </w:t>
      </w:r>
      <w:r>
        <w:rPr>
          <w:spacing w:val="-2"/>
        </w:rPr>
        <w:t>存货发出时的成本按加权平均法核算，产成品和在产品成本包括原材料、直接人工以及在正常生产能力下按照一定方法</w:t>
      </w:r>
    </w:p>
    <w:p>
      <w:pPr>
        <w:pStyle w:val="BodyText"/>
        <w:spacing w:line="222" w:lineRule="exact"/>
        <w:ind w:left="154" w:right="0"/>
        <w:jc w:val="left"/>
      </w:pPr>
      <w:r>
        <w:rPr/>
        <w:t>分配的制造费用。周转材料包括低值易耗品和包装物等。</w:t>
      </w:r>
    </w:p>
    <w:p>
      <w:pPr>
        <w:pStyle w:val="BodyText"/>
        <w:spacing w:line="367" w:lineRule="auto" w:before="147"/>
        <w:ind w:left="514"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存货成本高于其可变现净值的，计提存货跌价准备，计入当期损益。可变现净值，是指在日常活动中，存货的估计售价</w:t>
      </w:r>
    </w:p>
    <w:p>
      <w:pPr>
        <w:pStyle w:val="BodyText"/>
        <w:spacing w:line="224" w:lineRule="exact"/>
        <w:ind w:left="154" w:right="0"/>
        <w:jc w:val="left"/>
      </w:pPr>
      <w:r>
        <w:rPr/>
        <w:t>减去至完工时估计将要发生的成本、估计的销售费用以及相关税费后的金额。公司确定存货的可变现净值，以取得的确凿证</w:t>
      </w:r>
    </w:p>
    <w:p>
      <w:pPr>
        <w:pStyle w:val="BodyText"/>
        <w:spacing w:line="391" w:lineRule="auto" w:before="85"/>
        <w:ind w:right="0" w:hanging="360"/>
        <w:jc w:val="left"/>
      </w:pPr>
      <w:r>
        <w:rPr/>
        <w:t>据为基础，并且考虑持有存货的目的、资产负债表日后事项的影响等因素。 </w:t>
      </w:r>
      <w:r>
        <w:rPr>
          <w:spacing w:val="-2"/>
        </w:rPr>
        <w:t>为生产而持有的材料等，用其生产的产成品的可变现净值高于成本的，该材料仍然按照成本计量；材料价格的下降表明</w:t>
      </w:r>
    </w:p>
    <w:p>
      <w:pPr>
        <w:pStyle w:val="BodyText"/>
        <w:spacing w:line="206" w:lineRule="exact"/>
        <w:ind w:left="153" w:right="0"/>
        <w:jc w:val="left"/>
      </w:pPr>
      <w:r>
        <w:rPr/>
        <w:t>产成品的可变现净值低于成本的，该材料按照可变现净值计量。</w:t>
      </w:r>
    </w:p>
    <w:p>
      <w:pPr>
        <w:pStyle w:val="BodyText"/>
        <w:spacing w:line="326" w:lineRule="auto" w:before="147"/>
        <w:ind w:left="154" w:right="0" w:firstLine="360"/>
        <w:jc w:val="left"/>
      </w:pPr>
      <w:r>
        <w:rPr>
          <w:spacing w:val="-2"/>
        </w:rPr>
        <w:t>为执行销售合同或者劳务合同而持有的存货，其可变现净值以合同价格为基础计算。持有存货的数量多于销售合同订购</w:t>
      </w:r>
      <w:r>
        <w:rPr/>
        <w:t> 数量的，超出部分的存货的可变现净值以一般销售价格为基础计算。</w:t>
      </w:r>
    </w:p>
    <w:p>
      <w:pPr>
        <w:pStyle w:val="BodyText"/>
        <w:spacing w:line="367" w:lineRule="auto" w:before="82"/>
        <w:ind w:left="514" w:right="7872"/>
        <w:jc w:val="left"/>
      </w:pPr>
      <w:r>
        <w:rPr/>
        <w:t>（</w:t>
      </w:r>
      <w:r>
        <w:rPr>
          <w:rFonts w:ascii="Times New Roman" w:hAnsi="Times New Roman" w:cs="Times New Roman" w:eastAsia="Times New Roman" w:hint="default"/>
        </w:rPr>
        <w:t>4</w:t>
      </w:r>
      <w:r>
        <w:rPr/>
        <w:t>）存货的盘存制度 存货盘存制度采用永续盘存制。</w:t>
      </w:r>
    </w:p>
    <w:p>
      <w:pPr>
        <w:pStyle w:val="BodyText"/>
        <w:spacing w:line="379" w:lineRule="auto" w:before="50"/>
        <w:ind w:right="6613"/>
        <w:jc w:val="left"/>
      </w:pPr>
      <w:r>
        <w:rPr/>
        <w:t>（</w:t>
      </w:r>
      <w:r>
        <w:rPr>
          <w:rFonts w:ascii="Times New Roman" w:hAnsi="Times New Roman" w:cs="Times New Roman" w:eastAsia="Times New Roman" w:hint="default"/>
        </w:rPr>
        <w:t>5</w:t>
      </w:r>
      <w:r>
        <w:rPr/>
        <w:t>）低值易耗品和包装物的摊销方法 低值易耗品在领用时采用一次转销法核算成本。 包装物在领用时采用一次转销法核算成本。</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bookmarkStart w:name="13、划分为持有待售资产" w:id="173"/>
      <w:bookmarkEnd w:id="173"/>
      <w:r>
        <w:rPr>
          <w:b w:val="0"/>
          <w:bCs w:val="0"/>
        </w:rPr>
      </w:r>
      <w:r>
        <w:rPr>
          <w:rFonts w:ascii="Times New Roman" w:hAnsi="Times New Roman" w:cs="Times New Roman" w:eastAsia="Times New Roman" w:hint="default"/>
        </w:rPr>
        <w:t>13</w:t>
      </w:r>
      <w:r>
        <w:rPr/>
        <w:t>、划分为持有待售资产</w:t>
      </w:r>
      <w:r>
        <w:rPr>
          <w:b w:val="0"/>
          <w:bCs w:val="0"/>
        </w:rPr>
      </w:r>
    </w:p>
    <w:p>
      <w:pPr>
        <w:pStyle w:val="BodyText"/>
        <w:spacing w:line="367" w:lineRule="auto" w:before="146"/>
        <w:ind w:left="514" w:right="3582"/>
        <w:jc w:val="left"/>
      </w:pPr>
      <w:r>
        <w:rPr/>
        <w:t>同时满足下列条件的资产，确认为持有待售资产： </w:t>
      </w:r>
      <w:r>
        <w:rPr>
          <w:rFonts w:ascii="Times New Roman" w:hAnsi="Times New Roman" w:cs="Times New Roman" w:eastAsia="Times New Roman" w:hint="default"/>
        </w:rPr>
        <w:t>(1</w:t>
      </w:r>
      <w:r>
        <w:rPr/>
        <w:t>）该资产必须在其当期状况下仅根据出售此类资产的通常和惯用条款即可立即出售； </w:t>
      </w:r>
      <w:r>
        <w:rPr>
          <w:rFonts w:ascii="Times New Roman" w:hAnsi="Times New Roman" w:cs="Times New Roman" w:eastAsia="Times New Roman" w:hint="default"/>
        </w:rPr>
        <w:t>(2</w:t>
      </w:r>
      <w:r>
        <w:rPr/>
        <w:t>）公司已经就处置该部分资产作出决议； </w:t>
      </w:r>
      <w:r>
        <w:rPr>
          <w:rFonts w:ascii="Times New Roman" w:hAnsi="Times New Roman" w:cs="Times New Roman" w:eastAsia="Times New Roman" w:hint="default"/>
        </w:rPr>
        <w:t>(3</w:t>
      </w:r>
      <w:r>
        <w:rPr/>
        <w:t>）公司已经与受让方签订了不可撤销的转让协议；</w:t>
      </w:r>
    </w:p>
    <w:p>
      <w:pPr>
        <w:pStyle w:val="BodyText"/>
        <w:spacing w:line="240" w:lineRule="auto" w:before="19"/>
        <w:ind w:left="514" w:right="0"/>
        <w:jc w:val="left"/>
      </w:pPr>
      <w:r>
        <w:rPr>
          <w:rFonts w:ascii="Times New Roman" w:hAnsi="Times New Roman" w:cs="Times New Roman" w:eastAsia="Times New Roman" w:hint="default"/>
        </w:rPr>
        <w:t>(4</w:t>
      </w:r>
      <w:r>
        <w:rPr/>
        <w:t>）该项转让将在一年内完成。</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4、长期股权投资" w:id="174"/>
      <w:bookmarkEnd w:id="174"/>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367" w:lineRule="auto" w:before="181"/>
        <w:ind w:right="0"/>
        <w:jc w:val="left"/>
      </w:pPr>
      <w:r>
        <w:rPr/>
        <w:t>（</w:t>
      </w:r>
      <w:r>
        <w:rPr>
          <w:rFonts w:ascii="Times New Roman" w:hAnsi="Times New Roman" w:cs="Times New Roman" w:eastAsia="Times New Roman" w:hint="default"/>
        </w:rPr>
        <w:t>1</w:t>
      </w:r>
      <w:r>
        <w:rPr/>
        <w:t>）共同控制、重大影响的判断标准 </w:t>
      </w:r>
      <w:r>
        <w:rPr>
          <w:spacing w:val="-2"/>
        </w:rPr>
        <w:t>按照相关约定对某项安排所共有的控制，并且该安排的相关活动必须经过分享控制权的参与方一致同意后才能决策，则</w:t>
      </w:r>
    </w:p>
    <w:p>
      <w:pPr>
        <w:pStyle w:val="BodyText"/>
        <w:spacing w:line="388" w:lineRule="auto"/>
        <w:ind w:right="0" w:hanging="360"/>
        <w:jc w:val="left"/>
      </w:pPr>
      <w:r>
        <w:rPr/>
        <w:t>视为共同控制。如果存在两个或两个以上的参与方组合能够集体控制某项安排的，不视为共同控制。 </w:t>
      </w:r>
      <w:r>
        <w:rPr>
          <w:spacing w:val="-2"/>
        </w:rPr>
        <w:t>对被投资单位的财务和经营政策有参与决策的权力，但并不能够控制或者与其他方一起共同控制这些政策的制定，则视</w:t>
      </w:r>
    </w:p>
    <w:p>
      <w:pPr>
        <w:pStyle w:val="BodyText"/>
        <w:spacing w:line="209" w:lineRule="exact"/>
        <w:ind w:left="153" w:right="0"/>
        <w:jc w:val="left"/>
      </w:pPr>
      <w:r>
        <w:rPr/>
        <w:t>为对被投资单位实施重大影响。</w:t>
      </w:r>
    </w:p>
    <w:p>
      <w:pPr>
        <w:pStyle w:val="BodyText"/>
        <w:spacing w:line="369" w:lineRule="auto" w:before="146"/>
        <w:ind w:left="514" w:right="0"/>
        <w:jc w:val="left"/>
      </w:pPr>
      <w:r>
        <w:rPr/>
        <w:t>（</w:t>
      </w:r>
      <w:r>
        <w:rPr>
          <w:rFonts w:ascii="Times New Roman" w:hAnsi="Times New Roman" w:cs="Times New Roman" w:eastAsia="Times New Roman" w:hint="default"/>
        </w:rPr>
        <w:t>2</w:t>
      </w:r>
      <w:r>
        <w:rPr/>
        <w:t>）初始投资成本确定 企业合并形成的长期股权投资，按照本附注</w:t>
      </w:r>
      <w:r>
        <w:rPr>
          <w:rFonts w:ascii="Times New Roman" w:hAnsi="Times New Roman" w:cs="Times New Roman" w:eastAsia="Times New Roman" w:hint="default"/>
        </w:rPr>
        <w:t>“3.5</w:t>
      </w:r>
      <w:r>
        <w:rPr/>
        <w:t>同一控制下和非同一控制下企业合并的会计处理方法</w:t>
      </w:r>
      <w:r>
        <w:rPr>
          <w:rFonts w:ascii="Times New Roman" w:hAnsi="Times New Roman" w:cs="Times New Roman" w:eastAsia="Times New Roman" w:hint="default"/>
        </w:rPr>
        <w:t>”</w:t>
      </w:r>
      <w:r>
        <w:rPr/>
        <w:t>的相关内容确认</w:t>
      </w:r>
    </w:p>
    <w:p>
      <w:pPr>
        <w:pStyle w:val="BodyText"/>
        <w:spacing w:line="198" w:lineRule="exact"/>
        <w:ind w:left="153" w:right="0"/>
        <w:jc w:val="left"/>
      </w:pPr>
      <w:r>
        <w:rPr/>
        <w:t>初始投资成本；除企业合并形成的长期股权投资以外，其他方式取得的长期股权投资，按照下述方法确认其初始投资成本：</w:t>
      </w:r>
    </w:p>
    <w:p>
      <w:pPr>
        <w:pStyle w:val="BodyText"/>
        <w:spacing w:line="307" w:lineRule="auto" w:before="147"/>
        <w:ind w:left="154" w:right="0" w:firstLine="360"/>
        <w:jc w:val="left"/>
      </w:pPr>
      <w:r>
        <w:rPr>
          <w:rFonts w:ascii="Times New Roman" w:hAnsi="Times New Roman" w:cs="Times New Roman" w:eastAsia="Times New Roman" w:hint="default"/>
          <w:spacing w:val="-1"/>
        </w:rPr>
        <w:t>a.</w:t>
      </w:r>
      <w:r>
        <w:rPr>
          <w:spacing w:val="-1"/>
        </w:rPr>
        <w:t>以支付现金取得的长期股权投资，应当按照实际支付的购买价款作为初始投资成本。初始投资成本包括与取得长期股</w:t>
      </w:r>
      <w:r>
        <w:rPr/>
        <w:t> 权投资直接相关的费用、税金及其他必要支出。</w:t>
      </w:r>
    </w:p>
    <w:p>
      <w:pPr>
        <w:spacing w:after="0" w:line="307"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09" w:lineRule="auto" w:before="44"/>
        <w:ind w:left="154" w:right="1130" w:firstLine="360"/>
        <w:jc w:val="both"/>
      </w:pPr>
      <w:r>
        <w:rPr>
          <w:rFonts w:ascii="Times New Roman" w:hAnsi="Times New Roman" w:cs="Times New Roman" w:eastAsia="Times New Roman" w:hint="default"/>
          <w:spacing w:val="-1"/>
        </w:rPr>
        <w:t>b.</w:t>
      </w:r>
      <w:r>
        <w:rPr>
          <w:spacing w:val="-1"/>
        </w:rPr>
        <w:t>以发行权益性证券取得的长期股权投资，应当按照发行权益性证券的公允价值作为初始投资成本。与发行权益行证券</w:t>
      </w:r>
      <w:r>
        <w:rPr/>
        <w:t> 直接相关的费用，应当按照《企业会计准则第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w:t>
      </w:r>
    </w:p>
    <w:p>
      <w:pPr>
        <w:pStyle w:val="BodyText"/>
        <w:spacing w:line="316" w:lineRule="auto" w:before="74"/>
        <w:ind w:left="153" w:right="1132" w:firstLine="360"/>
        <w:jc w:val="both"/>
      </w:pPr>
      <w:r>
        <w:rPr>
          <w:rFonts w:ascii="Times New Roman" w:hAnsi="Times New Roman" w:cs="Times New Roman" w:eastAsia="Times New Roman" w:hint="default"/>
          <w:spacing w:val="-1"/>
        </w:rPr>
        <w:t>c.</w:t>
      </w:r>
      <w:r>
        <w:rPr>
          <w:spacing w:val="-1"/>
        </w:rPr>
        <w:t>在非货币性资产交换具备商业实质和换入资产或换出资产的公允价值能够可靠计量的前提下，非货币性资产交换换入</w:t>
      </w:r>
      <w:r>
        <w:rPr/>
        <w:t> </w:t>
      </w: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pStyle w:val="BodyText"/>
        <w:spacing w:line="240" w:lineRule="auto" w:before="89"/>
        <w:ind w:right="0"/>
        <w:jc w:val="left"/>
      </w:pPr>
      <w:r>
        <w:rPr>
          <w:rFonts w:ascii="Times New Roman" w:hAnsi="Times New Roman" w:cs="Times New Roman" w:eastAsia="Times New Roman" w:hint="default"/>
        </w:rPr>
        <w:t>d.</w:t>
      </w:r>
      <w:r>
        <w:rPr/>
        <w:t>通过债务重组取得的长期股权投资，其初始投资成本按照公允价值为基础确定。</w:t>
      </w:r>
    </w:p>
    <w:p>
      <w:pPr>
        <w:pStyle w:val="BodyText"/>
        <w:spacing w:line="240" w:lineRule="auto" w:before="132"/>
        <w:ind w:right="0"/>
        <w:jc w:val="left"/>
      </w:pPr>
      <w:r>
        <w:rPr/>
        <w:t>（</w:t>
      </w:r>
      <w:r>
        <w:rPr>
          <w:rFonts w:ascii="Times New Roman" w:hAnsi="Times New Roman" w:cs="Times New Roman" w:eastAsia="Times New Roman" w:hint="default"/>
        </w:rPr>
        <w:t>3</w:t>
      </w:r>
      <w:r>
        <w:rPr/>
        <w:t>）后续计量及损益确认方法</w:t>
      </w:r>
    </w:p>
    <w:p>
      <w:pPr>
        <w:pStyle w:val="BodyText"/>
        <w:spacing w:line="367" w:lineRule="auto" w:before="133"/>
        <w:ind w:left="514" w:right="0"/>
        <w:jc w:val="left"/>
      </w:pPr>
      <w:r>
        <w:rPr>
          <w:rFonts w:ascii="Times New Roman" w:hAnsi="Times New Roman" w:cs="Times New Roman" w:eastAsia="Times New Roman" w:hint="default"/>
        </w:rPr>
        <w:t>a.</w:t>
      </w:r>
      <w:r>
        <w:rPr/>
        <w:t>成本法后续计量 </w:t>
      </w:r>
      <w:r>
        <w:rPr>
          <w:spacing w:val="-2"/>
        </w:rPr>
        <w:t>公司能够对被投资单位实施控制的长期股权投资采用成本法核算，长期股权投资按照初始投资成本计价。追加或收回投</w:t>
      </w:r>
    </w:p>
    <w:p>
      <w:pPr>
        <w:pStyle w:val="BodyText"/>
        <w:spacing w:line="224" w:lineRule="exact"/>
        <w:ind w:left="154" w:right="0"/>
        <w:jc w:val="left"/>
      </w:pPr>
      <w:r>
        <w:rPr/>
        <w:t>资调整长期股权投资的成本。被投资单位宣告分派的现金股利或利润，确认为当期投资收益。</w:t>
      </w:r>
    </w:p>
    <w:p>
      <w:pPr>
        <w:pStyle w:val="BodyText"/>
        <w:spacing w:line="367" w:lineRule="auto" w:before="147"/>
        <w:ind w:right="0"/>
        <w:jc w:val="left"/>
      </w:pPr>
      <w:r>
        <w:rPr>
          <w:rFonts w:ascii="Times New Roman" w:hAnsi="Times New Roman" w:cs="Times New Roman" w:eastAsia="Times New Roman" w:hint="default"/>
        </w:rPr>
        <w:t>b.</w:t>
      </w:r>
      <w:r>
        <w:rPr/>
        <w:t>权益法后续计量 </w:t>
      </w:r>
      <w:r>
        <w:rPr>
          <w:spacing w:val="-2"/>
        </w:rPr>
        <w:t>公司对联营企业和合营企业的长期股权投资，采用权益法核算，长期股权投资的初始投资成本大于投资时应享有被投资</w:t>
      </w:r>
    </w:p>
    <w:p>
      <w:pPr>
        <w:pStyle w:val="BodyText"/>
        <w:spacing w:line="326" w:lineRule="auto"/>
        <w:ind w:left="153" w:right="0"/>
        <w:jc w:val="left"/>
      </w:pPr>
      <w:r>
        <w:rPr>
          <w:spacing w:val="-2"/>
        </w:rPr>
        <w:t>单位可辨认净资产公允价值份额的，不调整长期股权投资的初始投资成本；长期股权投资的初始投资成本小于投资时应享有</w:t>
      </w:r>
      <w:r>
        <w:rPr>
          <w:spacing w:val="-64"/>
        </w:rPr>
        <w:t> </w:t>
      </w:r>
      <w:r>
        <w:rPr>
          <w:spacing w:val="-64"/>
        </w:rPr>
      </w:r>
      <w:r>
        <w:rPr/>
        <w:t>被投资单位可辨认净资产公允价值份额的，其差额计入当期损益，同时调整长期股权投资的成本。</w:t>
      </w:r>
    </w:p>
    <w:p>
      <w:pPr>
        <w:pStyle w:val="BodyText"/>
        <w:spacing w:line="326" w:lineRule="auto" w:before="82"/>
        <w:ind w:left="153" w:right="1132" w:firstLine="360"/>
        <w:jc w:val="both"/>
      </w:pPr>
      <w:r>
        <w:rPr>
          <w:spacing w:val="-2"/>
        </w:rPr>
        <w:t>采用权益法核算时，投资方取得长期股权投资后，按照应享有或应分担的被投资单位实现的净损益和其他综合收益的份</w:t>
      </w:r>
      <w:r>
        <w:rPr/>
        <w:t> </w:t>
      </w:r>
      <w:r>
        <w:rPr>
          <w:spacing w:val="-2"/>
        </w:rPr>
        <w:t>额，分别确认投资收益和其他综合收益，同时调整长期股权投资的账面价值；投资方按照被投资单位宣告分派的利润或现金</w:t>
      </w:r>
      <w:r>
        <w:rPr>
          <w:spacing w:val="-66"/>
        </w:rPr>
        <w:t> </w:t>
      </w:r>
      <w:r>
        <w:rPr>
          <w:spacing w:val="-66"/>
        </w:rPr>
      </w:r>
      <w:r>
        <w:rPr>
          <w:spacing w:val="-2"/>
        </w:rPr>
        <w:t>股利计算应享有的部分，相应减少长期股权投资的账面价值；投资方对于被投资单位除净损益、其他综合收益和利润分配以</w:t>
      </w:r>
      <w:r>
        <w:rPr>
          <w:spacing w:val="-66"/>
        </w:rPr>
        <w:t> </w:t>
      </w:r>
      <w:r>
        <w:rPr>
          <w:spacing w:val="-66"/>
        </w:rPr>
      </w:r>
      <w:r>
        <w:rPr>
          <w:spacing w:val="-2"/>
        </w:rPr>
        <w:t>外所有者权益的其他变动，调整长期股权投资的账面价值并计入所有者权益。投资方在确认应享有被投资单位净损益的份额</w:t>
      </w:r>
      <w:r>
        <w:rPr>
          <w:spacing w:val="-64"/>
        </w:rPr>
        <w:t> </w:t>
      </w:r>
      <w:r>
        <w:rPr>
          <w:spacing w:val="-64"/>
        </w:rPr>
      </w:r>
      <w:r>
        <w:rPr>
          <w:spacing w:val="-2"/>
        </w:rPr>
        <w:t>时，以取得投资时被投资单位可辨认净资产的公允价值为基础，对被投资单位的净利润进行调整后确认。被投资单位采用的</w:t>
      </w:r>
      <w:r>
        <w:rPr>
          <w:spacing w:val="-66"/>
        </w:rPr>
        <w:t> </w:t>
      </w:r>
      <w:r>
        <w:rPr>
          <w:spacing w:val="-66"/>
        </w:rPr>
      </w:r>
      <w:r>
        <w:rPr>
          <w:spacing w:val="-2"/>
        </w:rPr>
        <w:t>会计政策及会计期间与投资方不一致的，按照投资方的会计政策及会计期间对被投资单位的财务报表进行调整，并据以确认</w:t>
      </w:r>
      <w:r>
        <w:rPr>
          <w:spacing w:val="-64"/>
        </w:rPr>
        <w:t> </w:t>
      </w:r>
      <w:r>
        <w:rPr>
          <w:spacing w:val="-64"/>
        </w:rPr>
      </w:r>
      <w:r>
        <w:rPr/>
        <w:t>投资收益和其他综合收益等。</w:t>
      </w:r>
    </w:p>
    <w:p>
      <w:pPr>
        <w:pStyle w:val="BodyText"/>
        <w:spacing w:line="326" w:lineRule="auto" w:before="81"/>
        <w:ind w:left="153" w:right="1131" w:firstLine="360"/>
        <w:jc w:val="both"/>
      </w:pPr>
      <w:r>
        <w:rPr>
          <w:spacing w:val="-2"/>
        </w:rPr>
        <w:t>投资方确认被投资单位发生的净亏损，以长期股权投资的账面价值以及其他实质上构成对被投资单位净投资的长期权益</w:t>
      </w:r>
      <w:r>
        <w:rPr/>
        <w:t> </w:t>
      </w:r>
      <w:r>
        <w:rPr>
          <w:spacing w:val="-2"/>
        </w:rPr>
        <w:t>减记至零为限，投资方负有承担额外损失义务的除外。被投资单位以后实现净利润的，投资方在其收益分享额弥补未确认的</w:t>
      </w:r>
      <w:r>
        <w:rPr>
          <w:spacing w:val="-66"/>
        </w:rPr>
        <w:t> </w:t>
      </w:r>
      <w:r>
        <w:rPr>
          <w:spacing w:val="-66"/>
        </w:rPr>
      </w:r>
      <w:r>
        <w:rPr/>
        <w:t>亏损分担额后，恢复确认收益分享额。</w:t>
      </w:r>
    </w:p>
    <w:p>
      <w:pPr>
        <w:pStyle w:val="BodyText"/>
        <w:spacing w:line="326" w:lineRule="auto" w:before="82"/>
        <w:ind w:left="153" w:right="1131" w:firstLine="360"/>
        <w:jc w:val="both"/>
      </w:pPr>
      <w:r>
        <w:rPr>
          <w:spacing w:val="-2"/>
        </w:rPr>
        <w:t>投资方计算确认应享有或应分担被投资单位的净损益时，与联营企业、合营企业之间发生的未实现内部交易损益按照应</w:t>
      </w:r>
      <w:r>
        <w:rPr/>
        <w:t> </w:t>
      </w:r>
      <w:r>
        <w:rPr>
          <w:spacing w:val="-2"/>
        </w:rPr>
        <w:t>享有的比例计算归属于投资方的部分，予以抵销，在此基础上确认投资收益。投资方与被投资单位发生的未实现内部交易损</w:t>
      </w:r>
      <w:r>
        <w:rPr>
          <w:spacing w:val="-66"/>
        </w:rPr>
        <w:t> </w:t>
      </w:r>
      <w:r>
        <w:rPr>
          <w:spacing w:val="-66"/>
        </w:rPr>
      </w:r>
      <w:r>
        <w:rPr/>
        <w:t>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资产减值》等的有关规定属于资产减值损失的，全额确认。</w:t>
      </w:r>
    </w:p>
    <w:p>
      <w:pPr>
        <w:pStyle w:val="BodyText"/>
        <w:spacing w:line="326" w:lineRule="auto" w:before="62"/>
        <w:ind w:left="153" w:right="1133" w:firstLine="360"/>
        <w:jc w:val="both"/>
      </w:pPr>
      <w:r>
        <w:rPr>
          <w:spacing w:val="-2"/>
        </w:rPr>
        <w:t>投资方对联营企业的权益性投资，其中一部分通过风险投资机构、共同基金、信托公司或包括投连险基金在内的类似主</w:t>
      </w:r>
      <w:r>
        <w:rPr/>
        <w:t> </w:t>
      </w:r>
      <w:r>
        <w:rPr>
          <w:spacing w:val="-2"/>
        </w:rPr>
        <w:t>体间接持有的，无论以上主体是否对这部分投资具有重大影响，投资方都按照金融工具政策的有关规定，对间接持有的该部</w:t>
      </w:r>
      <w:r>
        <w:rPr>
          <w:spacing w:val="-66"/>
        </w:rPr>
        <w:t> </w:t>
      </w:r>
      <w:r>
        <w:rPr>
          <w:spacing w:val="-66"/>
        </w:rPr>
      </w:r>
      <w:r>
        <w:rPr/>
        <w:t>分投资选择以公允价值计量且其变动计入损益，并对其余部分采用权益法核算。</w:t>
      </w:r>
    </w:p>
    <w:p>
      <w:pPr>
        <w:pStyle w:val="BodyText"/>
        <w:spacing w:line="369" w:lineRule="auto" w:before="81"/>
        <w:ind w:right="0"/>
        <w:jc w:val="left"/>
      </w:pPr>
      <w:r>
        <w:rPr>
          <w:rFonts w:ascii="Times New Roman" w:hAnsi="Times New Roman" w:cs="Times New Roman" w:eastAsia="Times New Roman" w:hint="default"/>
        </w:rPr>
        <w:t>c.</w:t>
      </w:r>
      <w:r>
        <w:rPr/>
        <w:t>因追加投资等原因能够对被投资单位施加重大影响或实施共同控制但不构成控制的处理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w:t>
      </w:r>
    </w:p>
    <w:p>
      <w:pPr>
        <w:pStyle w:val="BodyText"/>
        <w:spacing w:line="198" w:lineRule="exact"/>
        <w:ind w:left="154" w:right="0"/>
        <w:jc w:val="left"/>
      </w:pPr>
      <w:r>
        <w:rPr/>
        <w:t>为改按权益法核算的初始投资成本。原持有的股权投资分类为可供出售金融资产的，其公允价值与账面价值之间的差额，以</w:t>
      </w:r>
    </w:p>
    <w:p>
      <w:pPr>
        <w:pStyle w:val="BodyText"/>
        <w:spacing w:line="240" w:lineRule="auto" w:before="85"/>
        <w:ind w:left="154" w:right="0"/>
        <w:jc w:val="left"/>
      </w:pPr>
      <w:r>
        <w:rPr/>
        <w:t>及原计入其他综合收益的累计公允价值变动转入改按权益法核算的当期损益。</w:t>
      </w:r>
    </w:p>
    <w:p>
      <w:pPr>
        <w:pStyle w:val="BodyText"/>
        <w:spacing w:line="369" w:lineRule="auto" w:before="146"/>
        <w:ind w:right="0"/>
        <w:jc w:val="left"/>
        <w:rPr>
          <w:rFonts w:ascii="Times New Roman" w:hAnsi="Times New Roman" w:cs="Times New Roman" w:eastAsia="Times New Roman" w:hint="default"/>
        </w:rPr>
      </w:pPr>
      <w:r>
        <w:rPr>
          <w:rFonts w:ascii="Times New Roman" w:hAnsi="Times New Roman" w:cs="Times New Roman" w:eastAsia="Times New Roman" w:hint="default"/>
        </w:rPr>
        <w:t>d.</w:t>
      </w:r>
      <w:r>
        <w:rPr/>
        <w:t>处置部分股权的处理 因处置部分股权投资等原因丧失了对被投资单位的共同控制或重大影响的，处置后的剩余股权改按本附注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p>
    <w:p>
      <w:pPr>
        <w:pStyle w:val="BodyText"/>
        <w:spacing w:line="198" w:lineRule="exact"/>
        <w:ind w:left="153" w:right="0"/>
        <w:jc w:val="left"/>
      </w:pPr>
      <w:r>
        <w:rPr/>
        <w:t>的政策核算，其在丧失共同控制或重大影响之日的公允价值与账面价值之间的差额计入当期损益。原股权投资因采用权益法</w:t>
      </w:r>
    </w:p>
    <w:p>
      <w:pPr>
        <w:pStyle w:val="BodyText"/>
        <w:spacing w:line="326" w:lineRule="auto" w:before="85"/>
        <w:ind w:left="153" w:right="1118"/>
        <w:jc w:val="left"/>
      </w:pPr>
      <w:r>
        <w:rPr/>
        <w:t>核算而确认的其他综合收益，在终止采用权益法核算时采用与被投资单位直接处置相关资产或负债相同的基础进行会计处</w:t>
      </w:r>
      <w:r>
        <w:rPr>
          <w:spacing w:val="-9"/>
        </w:rPr>
        <w:t> </w:t>
      </w:r>
      <w:r>
        <w:rPr>
          <w:spacing w:val="-9"/>
        </w:rPr>
      </w:r>
      <w:r>
        <w:rPr/>
        <w:t>理。</w:t>
      </w:r>
    </w:p>
    <w:p>
      <w:pPr>
        <w:pStyle w:val="BodyText"/>
        <w:spacing w:line="240" w:lineRule="auto" w:before="82"/>
        <w:ind w:left="514" w:right="0"/>
        <w:jc w:val="left"/>
      </w:pPr>
      <w:r>
        <w:rPr/>
        <w:t>因处置部分权益性投资等原因丧失了对被投资单位的控制的，在编制个别财务报表时，处置后的剩余股权能够对被投资</w:t>
      </w:r>
    </w:p>
    <w:p>
      <w:pPr>
        <w:spacing w:after="0" w:line="240"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14" w:lineRule="auto" w:before="44"/>
        <w:ind w:left="153" w:right="1130"/>
        <w:jc w:val="both"/>
      </w:pP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w:t>
      </w:r>
      <w:r>
        <w:rPr>
          <w:spacing w:val="-43"/>
        </w:rPr>
        <w:t> </w:t>
      </w:r>
      <w:r>
        <w:rPr>
          <w:spacing w:val="-43"/>
        </w:rPr>
      </w:r>
      <w:r>
        <w:rPr>
          <w:spacing w:val="2"/>
        </w:rPr>
        <w:t>控制之日的公允价值与账面价值间的差额计入当期损益。在编制合并财务报表时，按照本附注</w:t>
      </w:r>
      <w:r>
        <w:rPr>
          <w:rFonts w:ascii="Times New Roman" w:hAnsi="Times New Roman" w:cs="Times New Roman" w:eastAsia="Times New Roman" w:hint="default"/>
          <w:spacing w:val="2"/>
        </w:rPr>
        <w:t>“</w:t>
      </w:r>
      <w:r>
        <w:rPr>
          <w:spacing w:val="2"/>
        </w:rPr>
        <w:t>合并财务报表的编制方法</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的相关内容处理。</w:t>
      </w:r>
    </w:p>
    <w:p>
      <w:pPr>
        <w:pStyle w:val="BodyText"/>
        <w:spacing w:line="367" w:lineRule="auto" w:before="92"/>
        <w:ind w:right="0"/>
        <w:jc w:val="left"/>
      </w:pPr>
      <w:r>
        <w:rPr>
          <w:rFonts w:ascii="Times New Roman" w:hAnsi="Times New Roman" w:cs="Times New Roman" w:eastAsia="Times New Roman" w:hint="default"/>
        </w:rPr>
        <w:t>e.</w:t>
      </w:r>
      <w:r>
        <w:rPr/>
        <w:t>对联营企业或合营企业的权益性投资全部或部分分类为持有待售资产的处理 </w:t>
      </w:r>
      <w:r>
        <w:rPr>
          <w:spacing w:val="-2"/>
        </w:rPr>
        <w:t>分类为持有待售资产的对联营企业或合营企业的权益性投资，以账面价值与公允价值减去处置费用孰低的金额列示，公</w:t>
      </w:r>
    </w:p>
    <w:p>
      <w:pPr>
        <w:pStyle w:val="BodyText"/>
        <w:spacing w:line="224" w:lineRule="exact"/>
        <w:ind w:left="153" w:right="0"/>
        <w:jc w:val="both"/>
      </w:pPr>
      <w:r>
        <w:rPr/>
        <w:t>允价值减去处置费用低于原账面价值的金额，确认为资产减值损失。对于未划分为持有待售资产的剩余权益性投资，采用权</w:t>
      </w:r>
    </w:p>
    <w:p>
      <w:pPr>
        <w:pStyle w:val="BodyText"/>
        <w:spacing w:line="326" w:lineRule="auto" w:before="85"/>
        <w:ind w:left="153" w:right="1131"/>
        <w:jc w:val="both"/>
      </w:pPr>
      <w:r>
        <w:rPr>
          <w:spacing w:val="-2"/>
        </w:rPr>
        <w:t>益法进行会计处理。已划分为持有待售的对联营企业或合营企业的权益性投资，不再符合持有待售资产分类条件的，从被分</w:t>
      </w:r>
      <w:r>
        <w:rPr>
          <w:spacing w:val="-65"/>
        </w:rPr>
        <w:t> </w:t>
      </w:r>
      <w:r>
        <w:rPr>
          <w:spacing w:val="-65"/>
        </w:rPr>
      </w:r>
      <w:r>
        <w:rPr/>
        <w:t>类为持有待售资产之日起采用权益法进行追溯调整。分类为持有待售期间的财务报表作相应调整。</w:t>
      </w:r>
    </w:p>
    <w:p>
      <w:pPr>
        <w:pStyle w:val="BodyText"/>
        <w:spacing w:line="369" w:lineRule="auto" w:before="81"/>
        <w:ind w:left="514" w:right="0"/>
        <w:jc w:val="left"/>
      </w:pPr>
      <w:r>
        <w:rPr>
          <w:rFonts w:ascii="Times New Roman" w:hAnsi="Times New Roman" w:cs="Times New Roman" w:eastAsia="Times New Roman" w:hint="default"/>
        </w:rPr>
        <w:t>f.</w:t>
      </w:r>
      <w:r>
        <w:rPr/>
        <w:t>处置长期股权投资的处理</w:t>
      </w:r>
      <w:r>
        <w:rPr>
          <w:w w:val="99"/>
        </w:rPr>
        <w:t> </w:t>
      </w:r>
      <w:r>
        <w:rPr>
          <w:spacing w:val="-2"/>
        </w:rPr>
        <w:t>处置长期股权投资，其账面价值与实际取得价款之间的差额，计入当期损益。采用权益法核算的长期股权投资，在处置</w:t>
      </w:r>
    </w:p>
    <w:p>
      <w:pPr>
        <w:pStyle w:val="BodyText"/>
        <w:spacing w:line="222" w:lineRule="exact"/>
        <w:ind w:left="154" w:right="0"/>
        <w:jc w:val="both"/>
      </w:pPr>
      <w:r>
        <w:rPr/>
        <w:t>该项投资时，采用与被投资单位直接处置相关资产或负债相同的基础，按相应比例对原计入其他综合收益的部分进行会计处</w:t>
      </w:r>
    </w:p>
    <w:p>
      <w:pPr>
        <w:pStyle w:val="BodyText"/>
        <w:spacing w:line="240" w:lineRule="auto" w:before="85"/>
        <w:ind w:left="154" w:right="0"/>
        <w:jc w:val="both"/>
      </w:pPr>
      <w:r>
        <w:rPr/>
        <w:t>理。</w:t>
      </w:r>
    </w:p>
    <w:p>
      <w:pPr>
        <w:spacing w:line="240" w:lineRule="auto" w:before="11"/>
        <w:rPr>
          <w:rFonts w:ascii="宋体" w:hAnsi="宋体" w:cs="宋体" w:eastAsia="宋体" w:hint="default"/>
          <w:sz w:val="24"/>
          <w:szCs w:val="24"/>
        </w:rPr>
      </w:pPr>
    </w:p>
    <w:p>
      <w:pPr>
        <w:spacing w:line="391" w:lineRule="auto" w:before="0"/>
        <w:ind w:left="513" w:right="8593" w:firstLine="62"/>
        <w:jc w:val="left"/>
        <w:rPr>
          <w:rFonts w:ascii="宋体" w:hAnsi="宋体" w:cs="宋体" w:eastAsia="宋体" w:hint="default"/>
          <w:sz w:val="18"/>
          <w:szCs w:val="18"/>
        </w:rPr>
      </w:pPr>
      <w:bookmarkStart w:name="15、投资性房地产" w:id="175"/>
      <w:bookmarkEnd w:id="175"/>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18"/>
          <w:szCs w:val="18"/>
        </w:rPr>
        <w:t>投资性房地产计量模式 成本法计量 折旧或摊销方法</w:t>
      </w:r>
    </w:p>
    <w:p>
      <w:pPr>
        <w:pStyle w:val="BodyText"/>
        <w:spacing w:line="326" w:lineRule="auto" w:before="32"/>
        <w:ind w:left="153" w:right="0" w:firstLine="360"/>
        <w:jc w:val="left"/>
      </w:pPr>
      <w:r>
        <w:rPr>
          <w:spacing w:val="-2"/>
        </w:rPr>
        <w:t>投资性房地产包括已出租持有并准备增值后转让的土地使用权以及已出租的建筑物，以实际成本进行初始计量。与投资</w:t>
      </w:r>
      <w:r>
        <w:rPr/>
        <w:t> </w:t>
      </w:r>
      <w:r>
        <w:rPr>
          <w:spacing w:val="-4"/>
        </w:rPr>
        <w:t>性房地产有关的后续支出，在相关的经济利益很可能流入本公司且其成本能够可靠的计量时，计入投资性房地产成本；否则，</w:t>
      </w:r>
      <w:r>
        <w:rPr>
          <w:spacing w:val="-44"/>
        </w:rPr>
        <w:t> </w:t>
      </w:r>
      <w:r>
        <w:rPr>
          <w:spacing w:val="-44"/>
        </w:rPr>
      </w:r>
      <w:r>
        <w:rPr/>
        <w:t>在发生时计入当期损益。</w:t>
      </w:r>
    </w:p>
    <w:p>
      <w:pPr>
        <w:pStyle w:val="BodyText"/>
        <w:spacing w:line="326" w:lineRule="auto" w:before="82"/>
        <w:ind w:left="153" w:right="0" w:firstLine="360"/>
        <w:jc w:val="left"/>
      </w:pPr>
      <w:r>
        <w:rPr>
          <w:spacing w:val="-2"/>
        </w:rPr>
        <w:t>本公司采用成本模式对所有投资性房地产进行后续计量，按其预计使用寿命及净残值率对建筑物和土地使用权计提折旧</w:t>
      </w:r>
      <w:r>
        <w:rPr/>
        <w:t> 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率列示如下：</w:t>
      </w:r>
    </w:p>
    <w:p>
      <w:pPr>
        <w:spacing w:line="240" w:lineRule="auto" w:before="8"/>
        <w:rPr>
          <w:rFonts w:ascii="宋体" w:hAnsi="宋体" w:cs="宋体" w:eastAsia="宋体" w:hint="default"/>
          <w:sz w:val="7"/>
          <w:szCs w:val="7"/>
        </w:rPr>
      </w:pPr>
    </w:p>
    <w:tbl>
      <w:tblPr>
        <w:tblW w:w="0" w:type="auto"/>
        <w:jc w:val="left"/>
        <w:tblInd w:w="1198" w:type="dxa"/>
        <w:tblLayout w:type="fixed"/>
        <w:tblCellMar>
          <w:top w:w="0" w:type="dxa"/>
          <w:left w:w="0" w:type="dxa"/>
          <w:bottom w:w="0" w:type="dxa"/>
          <w:right w:w="0" w:type="dxa"/>
        </w:tblCellMar>
        <w:tblLook w:val="01E0"/>
      </w:tblPr>
      <w:tblGrid>
        <w:gridCol w:w="1685"/>
        <w:gridCol w:w="2256"/>
        <w:gridCol w:w="1850"/>
        <w:gridCol w:w="1720"/>
      </w:tblGrid>
      <w:tr>
        <w:trPr>
          <w:trHeight w:val="355" w:hRule="exact"/>
        </w:trPr>
        <w:tc>
          <w:tcPr>
            <w:tcW w:w="1685" w:type="dxa"/>
            <w:tcBorders>
              <w:top w:val="single" w:sz="6" w:space="0" w:color="000000"/>
              <w:left w:val="nil" w:sz="6" w:space="0" w:color="auto"/>
              <w:bottom w:val="single" w:sz="6" w:space="0" w:color="000000"/>
              <w:right w:val="nil" w:sz="6" w:space="0" w:color="auto"/>
            </w:tcBorders>
            <w:shd w:val="clear" w:color="auto" w:fill="D7D7D7"/>
          </w:tcPr>
          <w:p>
            <w:pPr>
              <w:pStyle w:val="TableParagraph"/>
              <w:spacing w:line="240" w:lineRule="auto" w:before="67"/>
              <w:ind w:left="36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256" w:type="dxa"/>
            <w:tcBorders>
              <w:top w:val="single" w:sz="6" w:space="0" w:color="000000"/>
              <w:left w:val="nil" w:sz="6" w:space="0" w:color="auto"/>
              <w:bottom w:val="single" w:sz="6" w:space="0" w:color="000000"/>
              <w:right w:val="nil" w:sz="6" w:space="0" w:color="auto"/>
            </w:tcBorders>
            <w:shd w:val="clear" w:color="auto" w:fill="D7D7D7"/>
          </w:tcPr>
          <w:p>
            <w:pPr>
              <w:pStyle w:val="TableParagraph"/>
              <w:spacing w:line="240" w:lineRule="auto" w:before="67"/>
              <w:ind w:left="37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1850" w:type="dxa"/>
            <w:tcBorders>
              <w:top w:val="single" w:sz="6" w:space="0" w:color="000000"/>
              <w:left w:val="nil" w:sz="6" w:space="0" w:color="auto"/>
              <w:bottom w:val="single" w:sz="6" w:space="0" w:color="000000"/>
              <w:right w:val="nil" w:sz="6" w:space="0" w:color="auto"/>
            </w:tcBorders>
            <w:shd w:val="clear" w:color="auto" w:fill="D7D7D7"/>
          </w:tcPr>
          <w:p>
            <w:pPr>
              <w:pStyle w:val="TableParagraph"/>
              <w:spacing w:line="240" w:lineRule="auto" w:before="67"/>
              <w:ind w:left="30"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720" w:type="dxa"/>
            <w:tcBorders>
              <w:top w:val="single" w:sz="6" w:space="0" w:color="000000"/>
              <w:left w:val="nil" w:sz="6" w:space="0" w:color="auto"/>
              <w:bottom w:val="single" w:sz="6" w:space="0" w:color="000000"/>
              <w:right w:val="nil" w:sz="6" w:space="0" w:color="auto"/>
            </w:tcBorders>
            <w:shd w:val="clear" w:color="auto" w:fill="D7D7D7"/>
          </w:tcPr>
          <w:p>
            <w:pPr>
              <w:pStyle w:val="TableParagraph"/>
              <w:spacing w:line="240" w:lineRule="auto" w:before="67"/>
              <w:ind w:left="219" w:right="0"/>
              <w:jc w:val="center"/>
              <w:rPr>
                <w:rFonts w:ascii="宋体" w:hAnsi="宋体" w:cs="宋体" w:eastAsia="宋体" w:hint="default"/>
                <w:sz w:val="18"/>
                <w:szCs w:val="18"/>
              </w:rPr>
            </w:pPr>
            <w:r>
              <w:rPr>
                <w:rFonts w:ascii="宋体" w:hAnsi="宋体" w:cs="宋体" w:eastAsia="宋体" w:hint="default"/>
                <w:sz w:val="18"/>
                <w:szCs w:val="18"/>
              </w:rPr>
              <w:t>年折旧</w:t>
            </w:r>
            <w:r>
              <w:rPr>
                <w:rFonts w:ascii="Times New Roman" w:hAnsi="Times New Roman" w:cs="Times New Roman" w:eastAsia="Times New Roman" w:hint="default"/>
                <w:sz w:val="18"/>
                <w:szCs w:val="18"/>
              </w:rPr>
              <w:t>(</w:t>
            </w:r>
            <w:r>
              <w:rPr>
                <w:rFonts w:ascii="宋体" w:hAnsi="宋体" w:cs="宋体" w:eastAsia="宋体" w:hint="default"/>
                <w:sz w:val="18"/>
                <w:szCs w:val="18"/>
              </w:rPr>
              <w:t>摊销</w:t>
            </w:r>
            <w:r>
              <w:rPr>
                <w:rFonts w:ascii="Times New Roman" w:hAnsi="Times New Roman" w:cs="Times New Roman" w:eastAsia="Times New Roman" w:hint="default"/>
                <w:sz w:val="18"/>
                <w:szCs w:val="18"/>
              </w:rPr>
              <w:t>)</w:t>
            </w:r>
            <w:r>
              <w:rPr>
                <w:rFonts w:ascii="宋体" w:hAnsi="宋体" w:cs="宋体" w:eastAsia="宋体" w:hint="default"/>
                <w:sz w:val="18"/>
                <w:szCs w:val="18"/>
              </w:rPr>
              <w:t>率</w:t>
            </w:r>
          </w:p>
        </w:tc>
      </w:tr>
      <w:tr>
        <w:trPr>
          <w:trHeight w:val="356" w:hRule="exact"/>
        </w:trPr>
        <w:tc>
          <w:tcPr>
            <w:tcW w:w="1685" w:type="dxa"/>
            <w:tcBorders>
              <w:top w:val="single" w:sz="6" w:space="0" w:color="000000"/>
              <w:left w:val="nil" w:sz="6" w:space="0" w:color="auto"/>
              <w:bottom w:val="single" w:sz="6" w:space="0" w:color="000000"/>
              <w:right w:val="nil" w:sz="6" w:space="0" w:color="auto"/>
            </w:tcBorders>
          </w:tcPr>
          <w:p>
            <w:pPr>
              <w:pStyle w:val="TableParagraph"/>
              <w:spacing w:line="240" w:lineRule="auto" w:before="66"/>
              <w:ind w:left="369"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2256" w:type="dxa"/>
            <w:tcBorders>
              <w:top w:val="single" w:sz="6" w:space="0" w:color="000000"/>
              <w:left w:val="nil" w:sz="6" w:space="0" w:color="auto"/>
              <w:bottom w:val="single" w:sz="6" w:space="0" w:color="000000"/>
              <w:right w:val="nil" w:sz="6" w:space="0" w:color="auto"/>
            </w:tcBorders>
          </w:tcPr>
          <w:p>
            <w:pPr>
              <w:pStyle w:val="TableParagraph"/>
              <w:spacing w:line="240" w:lineRule="auto" w:before="66"/>
              <w:ind w:left="3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850" w:type="dxa"/>
            <w:tcBorders>
              <w:top w:val="single" w:sz="10" w:space="0" w:color="000000"/>
              <w:left w:val="nil" w:sz="6" w:space="0" w:color="auto"/>
              <w:bottom w:val="single" w:sz="6" w:space="0" w:color="000000"/>
              <w:right w:val="nil" w:sz="6" w:space="0" w:color="auto"/>
            </w:tcBorders>
          </w:tcPr>
          <w:p>
            <w:pPr>
              <w:pStyle w:val="TableParagraph"/>
              <w:spacing w:line="240" w:lineRule="auto" w:before="112"/>
              <w:ind w:left="29" w:right="0"/>
              <w:jc w:val="center"/>
              <w:rPr>
                <w:rFonts w:ascii="Times New Roman" w:hAnsi="Times New Roman" w:cs="Times New Roman" w:eastAsia="Times New Roman" w:hint="default"/>
                <w:sz w:val="18"/>
                <w:szCs w:val="18"/>
              </w:rPr>
            </w:pPr>
            <w:r>
              <w:rPr>
                <w:rFonts w:ascii="Times New Roman"/>
                <w:sz w:val="18"/>
              </w:rPr>
              <w:t>10%</w:t>
            </w:r>
          </w:p>
        </w:tc>
        <w:tc>
          <w:tcPr>
            <w:tcW w:w="1720" w:type="dxa"/>
            <w:tcBorders>
              <w:top w:val="single" w:sz="10" w:space="0" w:color="000000"/>
              <w:left w:val="nil" w:sz="6" w:space="0" w:color="auto"/>
              <w:bottom w:val="single" w:sz="6" w:space="0" w:color="000000"/>
              <w:right w:val="nil" w:sz="6" w:space="0" w:color="auto"/>
            </w:tcBorders>
          </w:tcPr>
          <w:p>
            <w:pPr>
              <w:pStyle w:val="TableParagraph"/>
              <w:spacing w:line="240" w:lineRule="auto" w:before="112"/>
              <w:ind w:left="219" w:right="0"/>
              <w:jc w:val="center"/>
              <w:rPr>
                <w:rFonts w:ascii="Times New Roman" w:hAnsi="Times New Roman" w:cs="Times New Roman" w:eastAsia="Times New Roman" w:hint="default"/>
                <w:sz w:val="18"/>
                <w:szCs w:val="18"/>
              </w:rPr>
            </w:pPr>
            <w:r>
              <w:rPr>
                <w:rFonts w:ascii="Times New Roman"/>
                <w:sz w:val="18"/>
              </w:rPr>
              <w:t>4.50%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固定资产" w:id="176"/>
      <w:bookmarkEnd w:id="17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7"/>
      <w:bookmarkEnd w:id="177"/>
      <w:r>
        <w:rPr>
          <w:b w:val="0"/>
          <w:bCs w:val="0"/>
        </w:rPr>
      </w:r>
      <w:r>
        <w:rPr/>
        <w:t>（</w:t>
      </w:r>
      <w:r>
        <w:rPr>
          <w:rFonts w:ascii="Times New Roman" w:hAnsi="Times New Roman" w:cs="Times New Roman" w:eastAsia="Times New Roman" w:hint="default"/>
        </w:rPr>
        <w:t>1</w:t>
      </w:r>
      <w:r>
        <w:rPr/>
        <w:t>）确认条件</w:t>
      </w:r>
      <w:r>
        <w:rPr>
          <w:b w:val="0"/>
          <w:bCs w:val="0"/>
        </w:rPr>
      </w:r>
    </w:p>
    <w:p>
      <w:pPr>
        <w:pStyle w:val="BodyText"/>
        <w:spacing w:line="309" w:lineRule="auto" w:before="146"/>
        <w:ind w:left="153" w:right="1131" w:firstLine="360"/>
        <w:jc w:val="both"/>
      </w:pPr>
      <w:r>
        <w:rPr>
          <w:spacing w:val="-2"/>
        </w:rPr>
        <w:t>固定资产是指为生产商品、提供劳务、出租或经营管理而持有的，使用寿命超过一个会计年度的有形资产。固定资产同</w:t>
      </w:r>
      <w:r>
        <w:rPr/>
        <w:t> </w:t>
      </w:r>
      <w:r>
        <w:rPr>
          <w:spacing w:val="-2"/>
        </w:rPr>
        <w:t>时满足下列条件的，才能予以确认：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）该固定资产的成本能够可靠地计</w:t>
      </w:r>
      <w:r>
        <w:rPr>
          <w:spacing w:val="-63"/>
        </w:rPr>
        <w:t> </w:t>
      </w:r>
      <w:r>
        <w:rPr>
          <w:spacing w:val="-63"/>
        </w:rPr>
      </w:r>
      <w:r>
        <w:rPr/>
        <w:t>量。</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折旧方法" w:id="178"/>
      <w:bookmarkEnd w:id="17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4"/>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18-19%</w:t>
            </w:r>
          </w:p>
        </w:tc>
      </w:tr>
    </w:tbl>
    <w:p>
      <w:pPr>
        <w:spacing w:after="0" w:line="240" w:lineRule="auto"/>
        <w:jc w:val="lef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3）融资租入固定资产的认定依据、计价和折旧方法" w:id="179"/>
      <w:bookmarkEnd w:id="17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pStyle w:val="BodyText"/>
        <w:spacing w:line="240" w:lineRule="auto" w:before="146"/>
        <w:ind w:left="51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在建工程" w:id="180"/>
      <w:bookmarkEnd w:id="180"/>
      <w:r>
        <w:rPr>
          <w:b w:val="0"/>
          <w:bCs w:val="0"/>
        </w:rPr>
      </w:r>
      <w:r>
        <w:rPr>
          <w:rFonts w:ascii="Times New Roman" w:hAnsi="Times New Roman" w:cs="Times New Roman" w:eastAsia="Times New Roman" w:hint="default"/>
        </w:rPr>
        <w:t>17</w:t>
      </w:r>
      <w:r>
        <w:rPr/>
        <w:t>、在建工程</w:t>
      </w:r>
      <w:r>
        <w:rPr>
          <w:b w:val="0"/>
          <w:bCs w:val="0"/>
        </w:rPr>
      </w:r>
    </w:p>
    <w:p>
      <w:pPr>
        <w:pStyle w:val="BodyText"/>
        <w:spacing w:line="326" w:lineRule="auto" w:before="181"/>
        <w:ind w:left="154" w:right="1132" w:firstLine="360"/>
        <w:jc w:val="both"/>
      </w:pPr>
      <w:r>
        <w:rPr>
          <w:spacing w:val="-2"/>
        </w:rPr>
        <w:t>在建工程按实际发生的成本计量。实际成本包括建筑费用、其他为使在建工程达到预定可使用状态所发生的必要支出以</w:t>
      </w:r>
      <w:r>
        <w:rPr/>
        <w:t> </w:t>
      </w:r>
      <w:r>
        <w:rPr>
          <w:spacing w:val="-2"/>
        </w:rPr>
        <w:t>及在资产达到预定可使用状态之前所发生的符合资本化条件的借款费用。在建工程在达到预定可使用状态时，转入固定资产</w:t>
      </w:r>
      <w:r>
        <w:rPr>
          <w:spacing w:val="-64"/>
        </w:rPr>
        <w:t> </w:t>
      </w:r>
      <w:r>
        <w:rPr>
          <w:spacing w:val="-64"/>
        </w:rPr>
      </w:r>
      <w:r>
        <w:rPr/>
        <w:t>并自次月起开始计提折旧。</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18、借款费用" w:id="181"/>
      <w:bookmarkEnd w:id="181"/>
      <w:r>
        <w:rPr>
          <w:b w:val="0"/>
          <w:bCs w:val="0"/>
        </w:rPr>
      </w:r>
      <w:r>
        <w:rPr>
          <w:rFonts w:ascii="Times New Roman" w:hAnsi="Times New Roman" w:cs="Times New Roman" w:eastAsia="Times New Roman" w:hint="default"/>
        </w:rPr>
        <w:t>18</w:t>
      </w:r>
      <w:r>
        <w:rPr/>
        <w:t>、借款费用</w:t>
      </w:r>
      <w:r>
        <w:rPr>
          <w:b w:val="0"/>
          <w:bCs w:val="0"/>
        </w:rPr>
      </w:r>
    </w:p>
    <w:p>
      <w:pPr>
        <w:pStyle w:val="BodyText"/>
        <w:spacing w:line="326" w:lineRule="auto" w:before="180"/>
        <w:ind w:left="154" w:right="1032" w:firstLine="360"/>
        <w:jc w:val="left"/>
      </w:pPr>
      <w:r>
        <w:rPr>
          <w:spacing w:val="-2"/>
        </w:rPr>
        <w:t>发生的可直接归属于需要经过相当长时间的购建活动才能达到预定可使用状态之固定资产的购建的借款费用，在资产支</w:t>
      </w:r>
      <w:r>
        <w:rPr/>
        <w:t> </w:t>
      </w:r>
      <w:r>
        <w:rPr>
          <w:spacing w:val="-2"/>
        </w:rPr>
        <w:t>出及借款费用已经发生、为使资产达到预定可使用状态所必要的购建活动已经开始时，开始资本化并计入该资产的成本。当</w:t>
      </w:r>
      <w:r>
        <w:rPr>
          <w:spacing w:val="-66"/>
        </w:rPr>
        <w:t> </w:t>
      </w:r>
      <w:r>
        <w:rPr>
          <w:spacing w:val="-66"/>
        </w:rPr>
      </w:r>
      <w:r>
        <w:rPr/>
        <w:t>购建的资产达到预定可使用状态时停止资本化，其后发生的借款费用计入当期损益。如果资产的购建活动发生非正常中断， 并且中断时间连续超过</w:t>
      </w:r>
      <w:r>
        <w:rPr>
          <w:rFonts w:ascii="Times New Roman" w:hAnsi="Times New Roman" w:cs="Times New Roman" w:eastAsia="Times New Roman" w:hint="default"/>
        </w:rPr>
        <w:t>3</w:t>
      </w:r>
      <w:r>
        <w:rPr/>
        <w:t>个月，暂停借款费用的资本化，直至资产的购建活动重新开始。</w:t>
      </w:r>
    </w:p>
    <w:p>
      <w:pPr>
        <w:pStyle w:val="BodyText"/>
        <w:spacing w:line="319" w:lineRule="auto" w:before="62"/>
        <w:ind w:left="153" w:right="1130" w:firstLine="360"/>
        <w:jc w:val="both"/>
      </w:pPr>
      <w:r>
        <w:rPr>
          <w:spacing w:val="-1"/>
        </w:rPr>
        <w:t>在资本化期间内，专门借款</w:t>
      </w:r>
      <w:r>
        <w:rPr>
          <w:rFonts w:ascii="Times New Roman" w:hAnsi="Times New Roman" w:cs="Times New Roman" w:eastAsia="Times New Roman" w:hint="default"/>
          <w:spacing w:val="-1"/>
        </w:rPr>
        <w:t>(</w:t>
      </w:r>
      <w:r>
        <w:rPr>
          <w:spacing w:val="-1"/>
        </w:rPr>
        <w:t>指为购建或者生产符合资本化条件的资产而专门借入的款项</w:t>
      </w:r>
      <w:r>
        <w:rPr>
          <w:rFonts w:ascii="Times New Roman" w:hAnsi="Times New Roman" w:cs="Times New Roman" w:eastAsia="Times New Roman" w:hint="default"/>
          <w:spacing w:val="-1"/>
        </w:rPr>
        <w:t>)</w:t>
      </w:r>
      <w:r>
        <w:rPr>
          <w:spacing w:val="-1"/>
        </w:rPr>
        <w:t>以专门借款当期实际发生的利</w:t>
      </w:r>
      <w:r>
        <w:rPr/>
        <w:t> </w:t>
      </w:r>
      <w:r>
        <w:rPr>
          <w:spacing w:val="-2"/>
        </w:rPr>
        <w:t>息费用，减去将尚未动用的借款资金存入银行取得的利息收入或进行暂时性投资取得的投资收益后确定应予资本化的利息金</w:t>
      </w:r>
      <w:r>
        <w:rPr>
          <w:spacing w:val="-64"/>
        </w:rPr>
        <w:t> </w:t>
      </w:r>
      <w:r>
        <w:rPr>
          <w:spacing w:val="-64"/>
        </w:rPr>
      </w:r>
      <w:r>
        <w:rPr>
          <w:spacing w:val="-2"/>
        </w:rPr>
        <w:t>额；一般借款则根据累计资产支出超过专门借款部分的资产支出加权平均数乘以所占用一般借款的资本化率，计算确定一般</w:t>
      </w:r>
      <w:r>
        <w:rPr>
          <w:spacing w:val="-64"/>
        </w:rPr>
        <w:t> </w:t>
      </w:r>
      <w:r>
        <w:rPr>
          <w:spacing w:val="-64"/>
        </w:rPr>
      </w:r>
      <w:r>
        <w:rPr/>
        <w:t>借款应予资本化的利息金额。资本化率根据一般借款加权平均利率计算确定。</w:t>
      </w:r>
    </w:p>
    <w:p>
      <w:pPr>
        <w:pStyle w:val="BodyText"/>
        <w:spacing w:line="240" w:lineRule="auto" w:before="88"/>
        <w:ind w:right="0"/>
        <w:jc w:val="left"/>
      </w:pPr>
      <w:r>
        <w:rPr/>
        <w:t>借款存在折价或者溢价的，按照实际利率法确定每一会计期间应摊销的折价或者溢价金额，调整每期利息金额。</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19、生物资产" w:id="182"/>
      <w:bookmarkEnd w:id="182"/>
      <w:r>
        <w:rPr>
          <w:b w:val="0"/>
          <w:bCs w:val="0"/>
        </w:rPr>
      </w:r>
      <w:r>
        <w:rPr>
          <w:rFonts w:ascii="Times New Roman" w:hAnsi="Times New Roman" w:cs="Times New Roman" w:eastAsia="Times New Roman" w:hint="default"/>
        </w:rPr>
        <w:t>19</w:t>
      </w:r>
      <w:r>
        <w:rPr/>
        <w:t>、生物资产</w:t>
      </w:r>
      <w:r>
        <w:rPr>
          <w:b w:val="0"/>
          <w:bCs w:val="0"/>
        </w:rPr>
      </w:r>
    </w:p>
    <w:p>
      <w:pPr>
        <w:pStyle w:val="BodyText"/>
        <w:spacing w:line="240" w:lineRule="auto" w:before="146"/>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无形资产" w:id="183"/>
      <w:bookmarkEnd w:id="18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6"/>
        <w:rPr>
          <w:rFonts w:ascii="宋体" w:hAnsi="宋体" w:cs="宋体" w:eastAsia="宋体" w:hint="default"/>
          <w:b/>
          <w:bCs/>
          <w:sz w:val="24"/>
          <w:szCs w:val="24"/>
        </w:rPr>
      </w:pPr>
    </w:p>
    <w:p>
      <w:pPr>
        <w:pStyle w:val="BodyText"/>
        <w:spacing w:line="388" w:lineRule="auto"/>
        <w:ind w:right="1118" w:firstLine="62"/>
        <w:jc w:val="left"/>
      </w:pPr>
      <w:bookmarkStart w:name="（1）计价方法、使用寿命、减值测试"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t>无形资产包括土地使用权、专利权及非专利技术等。无形资产以实际成本计量。 </w:t>
      </w:r>
      <w:r>
        <w:rPr>
          <w:spacing w:val="-2"/>
        </w:rPr>
        <w:t>土地使用权按使用年限平均摊销。外购土地及建筑物的价款难以在土地使用权与建筑物之间合理分配的，全部作为固定</w:t>
      </w:r>
    </w:p>
    <w:p>
      <w:pPr>
        <w:pStyle w:val="BodyText"/>
        <w:spacing w:line="208" w:lineRule="exact"/>
        <w:ind w:left="153" w:right="0"/>
        <w:jc w:val="left"/>
      </w:pPr>
      <w:r>
        <w:rPr/>
        <w:t>资产。专利权按法律规定的有效年限平均摊销。</w:t>
      </w:r>
    </w:p>
    <w:p>
      <w:pPr>
        <w:pStyle w:val="BodyText"/>
        <w:spacing w:line="240" w:lineRule="auto" w:before="147"/>
        <w:ind w:right="0"/>
        <w:jc w:val="left"/>
      </w:pPr>
      <w:r>
        <w:rPr/>
        <w:t>对使用寿命有限的无形资产的预计使用寿命及摊销方法于每年年度终了进行复核并作适当调整。</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内部研究开发支出会计政策" w:id="185"/>
      <w:bookmarkEnd w:id="18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304" w:lineRule="auto" w:before="164"/>
        <w:ind w:left="153" w:right="1118" w:firstLine="360"/>
        <w:jc w:val="left"/>
      </w:pPr>
      <w:r>
        <w:rPr>
          <w:spacing w:val="-2"/>
        </w:rPr>
        <w:t>根据内部研究开发项目支出的性质以及研发活动最终形成无形资产是否具有较大不确定性，分为研究阶段支出和开发阶</w:t>
      </w:r>
      <w:r>
        <w:rPr/>
        <w:t> 段支出。</w:t>
      </w:r>
    </w:p>
    <w:p>
      <w:pPr>
        <w:pStyle w:val="BodyText"/>
        <w:spacing w:line="328" w:lineRule="auto" w:before="46"/>
        <w:ind w:right="2293"/>
        <w:jc w:val="left"/>
      </w:pPr>
      <w:r>
        <w:rPr/>
        <w:t>研究阶段的支出，于发生时计入当期损益；开发阶段的支出，同时满足下列条件的，确认为无形资产：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管理层具有完成该无形资产并使用或出售的意图；</w:t>
      </w:r>
    </w:p>
    <w:p>
      <w:pPr>
        <w:pStyle w:val="BodyText"/>
        <w:spacing w:line="319" w:lineRule="auto" w:before="8"/>
        <w:ind w:right="0"/>
        <w:jc w:val="left"/>
      </w:pPr>
      <w:r>
        <w:rPr>
          <w:rFonts w:ascii="Times New Roman" w:hAnsi="Times New Roman" w:cs="Times New Roman" w:eastAsia="Times New Roman" w:hint="default"/>
        </w:rPr>
        <w:t>c.</w:t>
      </w:r>
      <w:r>
        <w:rPr/>
        <w:t>能够证明该无形资产将如何产生经济利益； </w:t>
      </w: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6"/>
        <w:ind w:left="153" w:right="0"/>
        <w:jc w:val="left"/>
      </w:pPr>
      <w:r>
        <w:rPr/>
        <w:t>资本化的开发阶段的支出在资产负债表上列示为开发支出，自该项目达到预定可使用状态之日起转为无形资产。</w:t>
      </w:r>
    </w:p>
    <w:p>
      <w:pPr>
        <w:spacing w:after="0" w:line="240" w:lineRule="auto"/>
        <w:jc w:val="left"/>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1、长期资产减值" w:id="186"/>
      <w:bookmarkEnd w:id="186"/>
      <w:r>
        <w:rPr>
          <w:b w:val="0"/>
          <w:bCs w:val="0"/>
        </w:rPr>
      </w:r>
      <w:r>
        <w:rPr>
          <w:rFonts w:ascii="Times New Roman" w:hAnsi="Times New Roman" w:cs="Times New Roman" w:eastAsia="Times New Roman" w:hint="default"/>
        </w:rPr>
        <w:t>21</w:t>
      </w:r>
      <w:r>
        <w:rPr/>
        <w:t>、长期资产减值</w:t>
      </w:r>
      <w:r>
        <w:rPr>
          <w:b w:val="0"/>
          <w:bCs w:val="0"/>
        </w:rPr>
      </w:r>
    </w:p>
    <w:p>
      <w:pPr>
        <w:pStyle w:val="BodyText"/>
        <w:spacing w:line="326" w:lineRule="auto" w:before="180"/>
        <w:ind w:left="153" w:right="1131" w:firstLine="360"/>
        <w:jc w:val="both"/>
      </w:pPr>
      <w:r>
        <w:rPr>
          <w:spacing w:val="-2"/>
        </w:rPr>
        <w:t>在财务报表中单独列示的商誉和使用寿命不确定的无形资产，无论是否存在减值迹象，至少每年进行减值测试。固定资</w:t>
      </w:r>
      <w:r>
        <w:rPr/>
        <w:t> </w:t>
      </w:r>
      <w:r>
        <w:rPr>
          <w:spacing w:val="-2"/>
        </w:rPr>
        <w:t>产、无形资产、以成本模式计量的投资性房地产及长期股权投资等，于资产负债表日存在减值迹象的，进行减值测试。减值</w:t>
      </w:r>
      <w:r>
        <w:rPr>
          <w:spacing w:val="-66"/>
        </w:rPr>
        <w:t> </w:t>
      </w:r>
      <w:r>
        <w:rPr>
          <w:spacing w:val="-66"/>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4"/>
        </w:rPr>
        <w:t> </w:t>
      </w:r>
      <w:r>
        <w:rPr>
          <w:spacing w:val="-64"/>
        </w:rPr>
      </w:r>
      <w:r>
        <w:rPr>
          <w:spacing w:val="-2"/>
        </w:rPr>
        <w:t>果难以对单项资产的可收回金额进行估计的，以该资产所属的资产组确定资产组的可收回金额。资产组是能够独立产生现金</w:t>
      </w:r>
      <w:r>
        <w:rPr>
          <w:spacing w:val="-64"/>
        </w:rPr>
        <w:t> </w:t>
      </w:r>
      <w:r>
        <w:rPr>
          <w:spacing w:val="-64"/>
        </w:rPr>
      </w:r>
      <w:r>
        <w:rPr/>
        <w:t>流入的最小资产组合。前述资产减值损失一经确认，如果在以后期间价值得以恢复，也不予转回。</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2、长期待摊费用" w:id="187"/>
      <w:bookmarkEnd w:id="187"/>
      <w:r>
        <w:rPr>
          <w:b w:val="0"/>
          <w:bCs w:val="0"/>
        </w:rPr>
      </w:r>
      <w:r>
        <w:rPr>
          <w:rFonts w:ascii="Times New Roman" w:hAnsi="Times New Roman" w:cs="Times New Roman" w:eastAsia="Times New Roman" w:hint="default"/>
        </w:rPr>
        <w:t>22</w:t>
      </w:r>
      <w:r>
        <w:rPr/>
        <w:t>、长期待摊费用</w:t>
      </w:r>
      <w:r>
        <w:rPr>
          <w:b w:val="0"/>
          <w:bCs w:val="0"/>
        </w:rPr>
      </w:r>
    </w:p>
    <w:p>
      <w:pPr>
        <w:pStyle w:val="BodyText"/>
        <w:spacing w:line="316" w:lineRule="auto" w:before="146"/>
        <w:ind w:left="153" w:right="1230" w:firstLine="360"/>
        <w:jc w:val="both"/>
      </w:pPr>
      <w:r>
        <w:rPr/>
        <w:t>长期待摊费用包括经营租入固定资产改良及其他已经发生但应由本期和以后各期负担的分摊期限在一年以上的各项费 用，按预计受益期间分期平均摊销，并以实际支出减去累计摊销后的净额列示。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职工薪酬" w:id="188"/>
      <w:bookmarkEnd w:id="188"/>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89"/>
      <w:bookmarkEnd w:id="18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326" w:lineRule="auto" w:before="181"/>
        <w:ind w:left="153" w:right="1033" w:firstLine="360"/>
        <w:jc w:val="left"/>
      </w:pPr>
      <w:r>
        <w:rPr>
          <w:spacing w:val="-2"/>
        </w:rPr>
        <w:t>在职工为公司提供服务的会计期间，将实际发生的短期薪酬确认为负债，并计入当期损益或相关资产成本。发生的职工</w:t>
      </w:r>
      <w:r>
        <w:rPr/>
        <w:t> 福利费，在实际发生时根据实际发生额计入当期损益或相关资产成本。职工福利费为非货币性福利的，按照公允价值计量。 </w:t>
      </w:r>
      <w:r>
        <w:rPr>
          <w:spacing w:val="-2"/>
        </w:rPr>
        <w:t>为职工缴纳的医疗保险费、工伤保险费、生育保险费等社会保险费和住房公积金，以及按规定提取的工会经费和职工教育经</w:t>
      </w:r>
      <w:r>
        <w:rPr>
          <w:spacing w:val="-66"/>
        </w:rPr>
        <w:t> </w:t>
      </w:r>
      <w:r>
        <w:rPr>
          <w:spacing w:val="-66"/>
        </w:rPr>
      </w:r>
      <w:r>
        <w:rPr/>
        <w:t>费，在职工为公司提供服务的会计期间，根据规定的计提基础和计提比例计算确定相应的职工薪酬金额，并确认相应负债，</w:t>
      </w:r>
      <w:r>
        <w:rPr/>
        <w:t> 计入当期损益或相关资产成本。</w:t>
      </w:r>
    </w:p>
    <w:p>
      <w:pPr>
        <w:pStyle w:val="BodyText"/>
        <w:spacing w:line="326" w:lineRule="auto" w:before="81"/>
        <w:ind w:left="153" w:right="1132" w:firstLine="360"/>
        <w:jc w:val="both"/>
      </w:pPr>
      <w:r>
        <w:rPr>
          <w:spacing w:val="-2"/>
        </w:rPr>
        <w:t>在职工提供服务从而增加了其未来享有的带薪缺勤权利时，确认与累积带薪缺勤相关的职工薪酬，并以累积未行使权利</w:t>
      </w:r>
      <w:r>
        <w:rPr/>
        <w:t> 而增加的预期支付金额计量。在职工实际发生缺勤的会计期间确认与非累积带薪缺勤相关的职工薪酬。</w:t>
      </w:r>
    </w:p>
    <w:p>
      <w:pPr>
        <w:pStyle w:val="BodyText"/>
        <w:spacing w:line="379" w:lineRule="auto" w:before="81"/>
        <w:ind w:right="4993"/>
        <w:jc w:val="left"/>
      </w:pPr>
      <w:r>
        <w:rPr/>
        <w:t>利润分享计划同时满足下列条件时，公司确认相关的应付职工薪酬： </w:t>
      </w:r>
      <w:r>
        <w:rPr>
          <w:rFonts w:ascii="Times New Roman" w:hAnsi="Times New Roman" w:cs="Times New Roman" w:eastAsia="Times New Roman" w:hint="default"/>
        </w:rPr>
        <w:t>a.</w:t>
      </w:r>
      <w:r>
        <w:rPr/>
        <w:t>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2）离职后福利的会计处理方法" w:id="190"/>
      <w:bookmarkEnd w:id="19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367" w:lineRule="auto" w:before="181"/>
        <w:ind w:left="514" w:right="0"/>
        <w:jc w:val="left"/>
      </w:pPr>
      <w:r>
        <w:rPr/>
        <w:t>（</w:t>
      </w:r>
      <w:r>
        <w:rPr>
          <w:rFonts w:ascii="Times New Roman" w:hAnsi="Times New Roman" w:cs="Times New Roman" w:eastAsia="Times New Roman" w:hint="default"/>
        </w:rPr>
        <w:t>1</w:t>
      </w:r>
      <w:r>
        <w:rPr/>
        <w:t>）设定提存计划 </w:t>
      </w:r>
      <w:r>
        <w:rPr>
          <w:spacing w:val="-2"/>
        </w:rPr>
        <w:t>公司在职工为其提供服务的会计期间，将根据设定提存计划计算的应缴存金额确认为负债，并计入当期损益或相关资产</w:t>
      </w:r>
    </w:p>
    <w:p>
      <w:pPr>
        <w:pStyle w:val="BodyText"/>
        <w:spacing w:line="326" w:lineRule="auto"/>
        <w:ind w:left="154" w:right="0"/>
        <w:jc w:val="left"/>
      </w:pPr>
      <w:r>
        <w:rPr>
          <w:spacing w:val="-2"/>
        </w:rPr>
        <w:t>成本。根据设定提存计划，预期不会在职工提供相关服务的年度报告期结束后十二个月内支付全部应缴存金额的，公司将全</w:t>
      </w:r>
      <w:r>
        <w:rPr>
          <w:spacing w:val="-66"/>
        </w:rPr>
        <w:t> </w:t>
      </w:r>
      <w:r>
        <w:rPr>
          <w:spacing w:val="-66"/>
        </w:rPr>
      </w:r>
      <w:r>
        <w:rPr/>
        <w:t>部应缴存金额以折现后的金额计量应付职工薪酬。</w:t>
      </w:r>
    </w:p>
    <w:p>
      <w:pPr>
        <w:pStyle w:val="BodyText"/>
        <w:spacing w:line="367" w:lineRule="auto" w:before="82"/>
        <w:ind w:left="514" w:right="6252"/>
        <w:jc w:val="left"/>
      </w:pPr>
      <w:r>
        <w:rPr/>
        <w:t>（</w:t>
      </w:r>
      <w:r>
        <w:rPr>
          <w:rFonts w:ascii="Times New Roman" w:hAnsi="Times New Roman" w:cs="Times New Roman" w:eastAsia="Times New Roman" w:hint="default"/>
        </w:rPr>
        <w:t>2</w:t>
      </w:r>
      <w:r>
        <w:rPr/>
        <w:t>）设定受益计划 公司对设定受益计划的会计处理包括下列四个步骤：</w:t>
      </w:r>
    </w:p>
    <w:p>
      <w:pPr>
        <w:pStyle w:val="BodyText"/>
        <w:spacing w:line="316" w:lineRule="auto" w:before="52"/>
        <w:ind w:left="154" w:right="1131" w:firstLine="360"/>
        <w:jc w:val="both"/>
      </w:pPr>
      <w:r>
        <w:rPr>
          <w:rFonts w:ascii="Times New Roman" w:hAnsi="Times New Roman" w:cs="Times New Roman" w:eastAsia="Times New Roman" w:hint="default"/>
          <w:spacing w:val="-1"/>
        </w:rPr>
        <w:t>a.</w:t>
      </w:r>
      <w:r>
        <w:rPr>
          <w:spacing w:val="-1"/>
        </w:rPr>
        <w:t>根据预期累计福利单位法，采用无偏且相互一致的精算假设对有关人口统计变量和财务变量等做出估计，计量设定受</w:t>
      </w:r>
      <w:r>
        <w:rPr/>
        <w:t> </w:t>
      </w:r>
      <w:r>
        <w:rPr>
          <w:spacing w:val="-2"/>
        </w:rPr>
        <w:t>益计划所产生的义务，并确定相关义务的归属期间。公司将设定受益计划所产生的义务予以折现，以确定设定受益计划义务</w:t>
      </w:r>
      <w:r>
        <w:rPr>
          <w:spacing w:val="-66"/>
        </w:rPr>
        <w:t> </w:t>
      </w:r>
      <w:r>
        <w:rPr>
          <w:spacing w:val="-66"/>
        </w:rPr>
      </w:r>
      <w:r>
        <w:rPr/>
        <w:t>的现值和当期服务成本。</w:t>
      </w:r>
    </w:p>
    <w:p>
      <w:pPr>
        <w:pStyle w:val="BodyText"/>
        <w:spacing w:line="316" w:lineRule="auto" w:before="89"/>
        <w:ind w:left="154" w:right="1132" w:firstLine="360"/>
        <w:jc w:val="both"/>
      </w:pPr>
      <w:r>
        <w:rPr>
          <w:rFonts w:ascii="Times New Roman" w:hAnsi="Times New Roman" w:cs="Times New Roman" w:eastAsia="Times New Roman" w:hint="default"/>
          <w:spacing w:val="-1"/>
        </w:rPr>
        <w:t>b.</w:t>
      </w:r>
      <w:r>
        <w:rPr>
          <w:spacing w:val="-1"/>
        </w:rPr>
        <w:t>设定受益计划存在资产的，公司将设定受益计划义务现值减去设定受益计划资产公允价值所形成的赤字或盈余确认为</w:t>
      </w:r>
      <w:r>
        <w:rPr/>
        <w:t> </w:t>
      </w:r>
      <w:r>
        <w:rPr>
          <w:spacing w:val="-2"/>
        </w:rPr>
        <w:t>一项设定受益计划净负债或净资产。设定受益计划存在盈余的，公司以设定受益计划的盈余和资产上限两项的孰低者计量设</w:t>
      </w:r>
      <w:r>
        <w:rPr>
          <w:spacing w:val="-64"/>
        </w:rPr>
        <w:t> </w:t>
      </w:r>
      <w:r>
        <w:rPr>
          <w:spacing w:val="-64"/>
        </w:rPr>
      </w:r>
      <w:r>
        <w:rPr/>
        <w:t>定受益计划净资产。</w:t>
      </w:r>
    </w:p>
    <w:p>
      <w:pPr>
        <w:pStyle w:val="BodyText"/>
        <w:spacing w:line="240" w:lineRule="auto" w:before="89"/>
        <w:ind w:left="514" w:right="0"/>
        <w:jc w:val="left"/>
      </w:pPr>
      <w:r>
        <w:rPr>
          <w:rFonts w:ascii="Times New Roman" w:hAnsi="Times New Roman" w:cs="Times New Roman" w:eastAsia="Times New Roman" w:hint="default"/>
        </w:rPr>
        <w:t>c.</w:t>
      </w:r>
      <w:r>
        <w:rPr/>
        <w:t>确定应当计入当期损益的金额。</w:t>
      </w:r>
    </w:p>
    <w:p>
      <w:pPr>
        <w:spacing w:after="0" w:line="240"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69" w:lineRule="auto" w:before="44"/>
        <w:ind w:left="514" w:right="0"/>
        <w:jc w:val="left"/>
      </w:pPr>
      <w:r>
        <w:rPr>
          <w:rFonts w:ascii="Times New Roman" w:hAnsi="Times New Roman" w:cs="Times New Roman" w:eastAsia="Times New Roman" w:hint="default"/>
        </w:rPr>
        <w:t>d.</w:t>
      </w:r>
      <w:r>
        <w:rPr/>
        <w:t>确定应当计入其他综合收益的金额。 </w:t>
      </w:r>
      <w:r>
        <w:rPr>
          <w:spacing w:val="-2"/>
        </w:rPr>
        <w:t>公司根据预期累计福利单位法确定的公式将设定受益计划产生的福利义务归属于职工提供服务的期间，并计入当期损益</w:t>
      </w:r>
    </w:p>
    <w:p>
      <w:pPr>
        <w:pStyle w:val="BodyText"/>
        <w:spacing w:line="222" w:lineRule="exact"/>
        <w:ind w:left="154" w:right="0"/>
        <w:jc w:val="left"/>
      </w:pPr>
      <w:r>
        <w:rPr/>
        <w:t>或相关资产成本。当职工后续年度的服务将导致其享有的设定受益计划福利水平显著高于以前年度时，按照直线法将累计设</w:t>
      </w:r>
    </w:p>
    <w:p>
      <w:pPr>
        <w:pStyle w:val="BodyText"/>
        <w:spacing w:line="326" w:lineRule="auto" w:before="85"/>
        <w:ind w:left="154" w:right="1212"/>
        <w:jc w:val="left"/>
      </w:pPr>
      <w:r>
        <w:rPr/>
        <w:t>定受益计划义务分摊确认于职工提供服务而导致企业第一次产生设定受益计划福利义务至职工提供服务不再导致该福利义 务显著增加的期间。</w:t>
      </w:r>
    </w:p>
    <w:p>
      <w:pPr>
        <w:pStyle w:val="BodyText"/>
        <w:spacing w:line="326" w:lineRule="auto" w:before="82"/>
        <w:ind w:left="153" w:right="0" w:firstLine="360"/>
        <w:jc w:val="left"/>
      </w:pPr>
      <w:r>
        <w:rPr>
          <w:spacing w:val="-2"/>
        </w:rPr>
        <w:t>报告期末，公司将设定受益计划产生的职工薪酬成本确认为：服务成本、设定受益计划净负债或净资产的利息净额，以</w:t>
      </w:r>
      <w:r>
        <w:rPr/>
        <w:t> 及重新计量设定受益计划净负债或净资产所产生的变动。</w:t>
      </w:r>
    </w:p>
    <w:p>
      <w:pPr>
        <w:pStyle w:val="BodyText"/>
        <w:spacing w:line="240" w:lineRule="auto" w:before="82"/>
        <w:ind w:left="514" w:right="0"/>
        <w:jc w:val="left"/>
      </w:pPr>
      <w:r>
        <w:rPr/>
        <w:t>在设定受益计划下，公司在下列日期孰早日将过去服务成本确认为当期费用：</w:t>
      </w:r>
    </w:p>
    <w:p>
      <w:pPr>
        <w:pStyle w:val="BodyText"/>
        <w:spacing w:line="367" w:lineRule="auto" w:before="146"/>
        <w:ind w:right="5893"/>
        <w:jc w:val="left"/>
      </w:pPr>
      <w:r>
        <w:rPr>
          <w:rFonts w:ascii="Times New Roman" w:hAnsi="Times New Roman" w:cs="Times New Roman" w:eastAsia="Times New Roman" w:hint="default"/>
        </w:rPr>
        <w:t>a.</w:t>
      </w:r>
      <w:r>
        <w:rPr/>
        <w:t>修改设定受益计划时。 </w:t>
      </w:r>
      <w:r>
        <w:rPr>
          <w:rFonts w:ascii="Times New Roman" w:hAnsi="Times New Roman" w:cs="Times New Roman" w:eastAsia="Times New Roman" w:hint="default"/>
        </w:rPr>
        <w:t>b.</w:t>
      </w:r>
      <w:r>
        <w:rPr/>
        <w:t>企业确认相关重组费用或辞退福利时。 公司在设定受益计划结算时，确认一项结算利得或损失。</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bookmarkStart w:name="（3）辞退福利的会计处理方法" w:id="191"/>
      <w:bookmarkEnd w:id="19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pStyle w:val="BodyText"/>
        <w:spacing w:line="240" w:lineRule="auto" w:before="181"/>
        <w:ind w:right="0"/>
        <w:jc w:val="left"/>
      </w:pPr>
      <w:r>
        <w:rPr/>
        <w:t>公司向职工提供辞退福利的，在下列两者孰早日确认辞退福利产生的职工薪酬负债，并计入当期损益：</w:t>
      </w:r>
    </w:p>
    <w:p>
      <w:pPr>
        <w:pStyle w:val="BodyText"/>
        <w:spacing w:line="240" w:lineRule="auto" w:before="83"/>
        <w:ind w:right="0"/>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309" w:lineRule="auto" w:before="71"/>
        <w:ind w:left="514" w:right="4092"/>
        <w:jc w:val="left"/>
      </w:pPr>
      <w:r>
        <w:rPr>
          <w:rFonts w:ascii="Times New Roman" w:hAnsi="Times New Roman" w:cs="Times New Roman" w:eastAsia="Times New Roman" w:hint="default"/>
        </w:rPr>
        <w:t>2</w:t>
      </w:r>
      <w:r>
        <w:rPr/>
        <w:t>）公司确认与涉及支付辞退福利的重组相关的成本或费用时。 公司按照辞退计划条款的规定，合理预计并确认辞退福利产生的应付职工薪酬。</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4）其他长期职工福利的会计处理方法" w:id="192"/>
      <w:bookmarkEnd w:id="19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9"/>
          <w:szCs w:val="29"/>
        </w:rPr>
      </w:pPr>
    </w:p>
    <w:p>
      <w:pPr>
        <w:pStyle w:val="BodyText"/>
        <w:spacing w:line="391" w:lineRule="auto"/>
        <w:ind w:right="1033"/>
        <w:jc w:val="left"/>
      </w:pPr>
      <w:r>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w:t>
      </w:r>
    </w:p>
    <w:p>
      <w:pPr>
        <w:pStyle w:val="BodyText"/>
        <w:spacing w:line="206" w:lineRule="exact"/>
        <w:ind w:left="153" w:right="0"/>
        <w:jc w:val="left"/>
      </w:pPr>
      <w:r>
        <w:rPr/>
        <w:t>将其他长期职工福利产生的职工薪酬成本确认为下列组成部分：</w:t>
      </w:r>
    </w:p>
    <w:p>
      <w:pPr>
        <w:pStyle w:val="BodyText"/>
        <w:spacing w:line="367" w:lineRule="auto" w:before="147"/>
        <w:ind w:left="514" w:right="5587"/>
        <w:jc w:val="left"/>
      </w:pPr>
      <w:r>
        <w:rPr>
          <w:rFonts w:ascii="Times New Roman" w:hAnsi="Times New Roman" w:cs="Times New Roman" w:eastAsia="Times New Roman" w:hint="default"/>
        </w:rPr>
        <w:t>a.</w:t>
      </w:r>
      <w:r>
        <w:rPr/>
        <w:t>服务成本。 </w:t>
      </w: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w:t>
      </w:r>
    </w:p>
    <w:p>
      <w:pPr>
        <w:pStyle w:val="BodyText"/>
        <w:spacing w:line="388" w:lineRule="auto" w:before="26"/>
        <w:ind w:right="0"/>
        <w:jc w:val="left"/>
      </w:pPr>
      <w:r>
        <w:rPr/>
        <w:t>为简化相关会计处理，上述项目的总净额应计入当期损益或相关资产成本。 </w:t>
      </w:r>
      <w:r>
        <w:rPr>
          <w:spacing w:val="-2"/>
        </w:rPr>
        <w:t>长期残疾福利水平取决于职工提供服务期间长短的，公司在职工提供服务的期间确认应付长期残疾福利义务；长期残疾</w:t>
      </w:r>
    </w:p>
    <w:p>
      <w:pPr>
        <w:pStyle w:val="BodyText"/>
        <w:spacing w:line="209" w:lineRule="exact"/>
        <w:ind w:left="153" w:right="0"/>
        <w:jc w:val="left"/>
      </w:pPr>
      <w:r>
        <w:rPr/>
        <w:t>福利与职工提供服务期间长短无关的，公司在导致职工长期残疾的事件发生的当期确认应付长期残疾福利义务。</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24、预计负债" w:id="193"/>
      <w:bookmarkEnd w:id="193"/>
      <w:r>
        <w:rPr>
          <w:b w:val="0"/>
          <w:bCs w:val="0"/>
        </w:rPr>
      </w:r>
      <w:r>
        <w:rPr>
          <w:rFonts w:ascii="Times New Roman" w:hAnsi="Times New Roman" w:cs="Times New Roman" w:eastAsia="Times New Roman" w:hint="default"/>
        </w:rPr>
        <w:t>24</w:t>
      </w:r>
      <w:r>
        <w:rPr/>
        <w:t>、预计负债</w:t>
      </w:r>
      <w:r>
        <w:rPr>
          <w:b w:val="0"/>
          <w:bCs w:val="0"/>
        </w:rPr>
      </w:r>
    </w:p>
    <w:p>
      <w:pPr>
        <w:pStyle w:val="BodyText"/>
        <w:spacing w:line="326" w:lineRule="auto" w:before="181"/>
        <w:ind w:left="153" w:right="0" w:firstLine="360"/>
        <w:jc w:val="left"/>
      </w:pPr>
      <w:r>
        <w:rPr>
          <w:spacing w:val="-4"/>
        </w:rPr>
        <w:t>对因产品质量保证、亏损合同等形成的现时义务，其履行很可能导致经济利益的流出，在该义务的金额能够可靠计量时，</w:t>
      </w:r>
      <w:r>
        <w:rPr/>
        <w:t> 确认为预计负债。对于未来经营亏损，不确认预计负债。</w:t>
      </w:r>
    </w:p>
    <w:p>
      <w:pPr>
        <w:pStyle w:val="BodyText"/>
        <w:spacing w:line="326" w:lineRule="auto" w:before="82"/>
        <w:ind w:left="154"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240" w:lineRule="auto" w:before="83"/>
        <w:ind w:right="0"/>
        <w:jc w:val="left"/>
      </w:pPr>
      <w:r>
        <w:rPr/>
        <w:t>于资产负债表日，对预计负债的账面价值进行复核并作适当调整，以反映当前的最佳估计数。</w:t>
      </w:r>
    </w:p>
    <w:p>
      <w:pPr>
        <w:spacing w:after="0" w:line="240" w:lineRule="auto"/>
        <w:jc w:val="left"/>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5、股份支付" w:id="194"/>
      <w:bookmarkEnd w:id="194"/>
      <w:r>
        <w:rPr>
          <w:b w:val="0"/>
          <w:bCs w:val="0"/>
        </w:rPr>
      </w:r>
      <w:r>
        <w:rPr>
          <w:rFonts w:ascii="Times New Roman" w:hAnsi="Times New Roman" w:cs="Times New Roman" w:eastAsia="Times New Roman" w:hint="default"/>
        </w:rPr>
        <w:t>25</w:t>
      </w:r>
      <w:r>
        <w:rPr/>
        <w:t>、股份支付</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26、优先股、永续债等其他金融工具" w:id="195"/>
      <w:bookmarkEnd w:id="195"/>
      <w:r>
        <w:rPr>
          <w:b w:val="0"/>
          <w:bCs w:val="0"/>
        </w:rPr>
      </w:r>
      <w:r>
        <w:rPr>
          <w:rFonts w:ascii="Times New Roman" w:hAnsi="Times New Roman" w:cs="Times New Roman" w:eastAsia="Times New Roman" w:hint="default"/>
        </w:rPr>
        <w:t>26</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7、收入" w:id="196"/>
      <w:bookmarkEnd w:id="196"/>
      <w:r>
        <w:rPr>
          <w:b w:val="0"/>
          <w:bCs w:val="0"/>
        </w:rPr>
      </w:r>
      <w:r>
        <w:rPr>
          <w:rFonts w:ascii="Times New Roman" w:hAnsi="Times New Roman" w:cs="Times New Roman" w:eastAsia="Times New Roman" w:hint="default"/>
        </w:rPr>
        <w:t>27</w:t>
      </w:r>
      <w:r>
        <w:rPr/>
        <w:t>、收入</w:t>
      </w:r>
      <w:r>
        <w:rPr>
          <w:b w:val="0"/>
          <w:bCs w:val="0"/>
        </w:rPr>
      </w:r>
    </w:p>
    <w:p>
      <w:pPr>
        <w:pStyle w:val="BodyText"/>
        <w:spacing w:line="326" w:lineRule="auto" w:before="192"/>
        <w:ind w:left="153" w:right="0" w:firstLine="360"/>
        <w:jc w:val="left"/>
      </w:pPr>
      <w:r>
        <w:rPr>
          <w:spacing w:val="-2"/>
        </w:rPr>
        <w:t>收入的金额按照本公司在日常经营活动中销售商品和提供劳务时，已收或应收合同或协议价款的公允价值确定。收入按</w:t>
      </w:r>
      <w:r>
        <w:rPr/>
        <w:t> 扣除增值税、商业折扣、销售折让及销售退回的净额列示。</w:t>
      </w:r>
    </w:p>
    <w:p>
      <w:pPr>
        <w:pStyle w:val="BodyText"/>
        <w:spacing w:line="326" w:lineRule="auto" w:before="82"/>
        <w:ind w:left="154" w:right="0" w:firstLine="360"/>
        <w:jc w:val="left"/>
      </w:pPr>
      <w:r>
        <w:rPr>
          <w:spacing w:val="-2"/>
        </w:rPr>
        <w:t>与交易相关的经济利益能够流入本公司，相关的收入能够可靠计量且满足下列各项经营活动的特定收入确认标准时，确</w:t>
      </w:r>
      <w:r>
        <w:rPr/>
        <w:t> 认相关的收入。</w:t>
      </w:r>
    </w:p>
    <w:p>
      <w:pPr>
        <w:pStyle w:val="BodyText"/>
        <w:spacing w:line="367" w:lineRule="auto" w:before="82"/>
        <w:ind w:right="1118"/>
        <w:jc w:val="left"/>
      </w:pPr>
      <w:r>
        <w:rPr/>
        <w:t>（</w:t>
      </w:r>
      <w:r>
        <w:rPr>
          <w:rFonts w:ascii="Times New Roman" w:hAnsi="Times New Roman" w:cs="Times New Roman" w:eastAsia="Times New Roman" w:hint="default"/>
        </w:rPr>
        <w:t>1</w:t>
      </w:r>
      <w:r>
        <w:rPr/>
        <w:t>）销售商品 </w:t>
      </w:r>
      <w:r>
        <w:rPr>
          <w:spacing w:val="-2"/>
        </w:rPr>
        <w:t>商品销售在商品所有权上的主要风险和报酬已转移给买方，本公司不再对该商品实施继续管理权和实际控制权，与交易</w:t>
      </w:r>
    </w:p>
    <w:p>
      <w:pPr>
        <w:pStyle w:val="BodyText"/>
        <w:spacing w:line="224" w:lineRule="exact"/>
        <w:ind w:left="153" w:right="0"/>
        <w:jc w:val="both"/>
      </w:pPr>
      <w:r>
        <w:rPr/>
        <w:t>相关的经济利益很可能流入企业，并且与销售该商品相关的收入和成本能够可靠地计量时，确认营业收入的实现。</w:t>
      </w:r>
    </w:p>
    <w:p>
      <w:pPr>
        <w:pStyle w:val="BodyText"/>
        <w:spacing w:line="367" w:lineRule="auto" w:before="147"/>
        <w:ind w:right="0"/>
        <w:jc w:val="left"/>
      </w:pPr>
      <w:r>
        <w:rPr/>
        <w:t>（</w:t>
      </w:r>
      <w:r>
        <w:rPr>
          <w:rFonts w:ascii="Times New Roman" w:hAnsi="Times New Roman" w:cs="Times New Roman" w:eastAsia="Times New Roman" w:hint="default"/>
        </w:rPr>
        <w:t>2</w:t>
      </w:r>
      <w:r>
        <w:rPr/>
        <w:t>）提供劳务 </w:t>
      </w:r>
      <w:r>
        <w:rPr>
          <w:spacing w:val="-4"/>
        </w:rPr>
        <w:t>提供的劳务在同一会计年度开始并完成的，在劳务已经提供，收到价款或取得收取价款的证据时，确认营业收入的实现；</w:t>
      </w:r>
    </w:p>
    <w:p>
      <w:pPr>
        <w:pStyle w:val="BodyText"/>
        <w:spacing w:line="326" w:lineRule="auto"/>
        <w:ind w:left="153" w:right="1133"/>
        <w:jc w:val="both"/>
      </w:pPr>
      <w:r>
        <w:rPr>
          <w:spacing w:val="-2"/>
        </w:rPr>
        <w:t>劳务的开始和完成分属不同会计年度的，在劳务合同的总收入、劳务的完成程度能够可靠地确定，与交易相关的价款能够流</w:t>
      </w:r>
      <w:r>
        <w:rPr>
          <w:spacing w:val="-66"/>
        </w:rPr>
        <w:t> </w:t>
      </w:r>
      <w:r>
        <w:rPr>
          <w:spacing w:val="-66"/>
        </w:rPr>
      </w:r>
      <w:r>
        <w:rPr>
          <w:spacing w:val="-2"/>
        </w:rPr>
        <w:t>入，已经发生的成本和为完成劳务将要发生的成本能够可靠地计量时，按完工百分比法确认营业收入的实现；长期合同工程</w:t>
      </w:r>
      <w:r>
        <w:rPr>
          <w:spacing w:val="-66"/>
        </w:rPr>
        <w:t> </w:t>
      </w:r>
      <w:r>
        <w:rPr>
          <w:spacing w:val="-66"/>
        </w:rPr>
      </w:r>
      <w:r>
        <w:rPr/>
        <w:t>在合同结果已经能够合理地预见时，按结账时已完成工程进度的百分比法确认营业收入的实现。</w:t>
      </w:r>
    </w:p>
    <w:p>
      <w:pPr>
        <w:pStyle w:val="BodyText"/>
        <w:spacing w:line="367" w:lineRule="auto" w:before="82"/>
        <w:ind w:left="514" w:right="0"/>
        <w:jc w:val="left"/>
      </w:pPr>
      <w:r>
        <w:rPr/>
        <w:t>（</w:t>
      </w:r>
      <w:r>
        <w:rPr>
          <w:rFonts w:ascii="Times New Roman" w:hAnsi="Times New Roman" w:cs="Times New Roman" w:eastAsia="Times New Roman" w:hint="default"/>
        </w:rPr>
        <w:t>3</w:t>
      </w:r>
      <w:r>
        <w:rPr/>
        <w:t>）让渡资产使用权 </w:t>
      </w:r>
      <w:r>
        <w:rPr>
          <w:spacing w:val="-2"/>
        </w:rPr>
        <w:t>让渡资产使用权取得的利息收入和使用费收入，在与交易相关的经济利益能够流入企业，且收入的金额能够可靠地计量</w:t>
      </w:r>
    </w:p>
    <w:p>
      <w:pPr>
        <w:pStyle w:val="BodyText"/>
        <w:spacing w:line="224" w:lineRule="exact"/>
        <w:ind w:left="154" w:right="0"/>
        <w:jc w:val="both"/>
      </w:pPr>
      <w:r>
        <w:rPr/>
        <w:t>时，确认收入的实现。</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28、政府补助" w:id="197"/>
      <w:bookmarkEnd w:id="197"/>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8"/>
      <w:bookmarkEnd w:id="19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326" w:lineRule="auto" w:before="181"/>
        <w:ind w:left="154" w:right="1032" w:firstLine="360"/>
        <w:jc w:val="left"/>
      </w:pPr>
      <w:r>
        <w:rPr/>
        <w:t>与资产相关的政府补助，是指公司取得的、用于购建或以其他方式形成长期资产的政府补助。与资产相关的政府补助， </w:t>
      </w:r>
      <w:r>
        <w:rPr>
          <w:spacing w:val="-2"/>
        </w:rPr>
        <w:t>确认为递延收益，并在相关资产使用寿命内平均分配，计入当期损益。但是，按照名义金额计量的政府补助，直接计入当期</w:t>
      </w:r>
      <w:r>
        <w:rPr>
          <w:spacing w:val="-66"/>
        </w:rPr>
        <w:t> </w:t>
      </w:r>
      <w:r>
        <w:rPr>
          <w:spacing w:val="-66"/>
        </w:rPr>
      </w:r>
      <w:r>
        <w:rPr/>
        <w:t>损益。</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与收益相关的政府补助判断依据及会计处理方法" w:id="199"/>
      <w:bookmarkEnd w:id="19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326" w:lineRule="auto" w:before="181"/>
        <w:ind w:left="154" w:right="1131" w:firstLine="360"/>
        <w:jc w:val="both"/>
      </w:pPr>
      <w:r>
        <w:rPr>
          <w:spacing w:val="-2"/>
        </w:rPr>
        <w:t>与收益相关的政府补助，是指除与资产相关的政府补助之外的政府补助。与收益相关的政府补助，用于补偿公司以后期</w:t>
      </w:r>
      <w:r>
        <w:rPr/>
        <w:t> </w:t>
      </w:r>
      <w:r>
        <w:rPr>
          <w:spacing w:val="-2"/>
        </w:rPr>
        <w:t>间的相关费用或损失的，确认为递延收益，并在确认相关费用的期间，计入当期损益；用于补偿公司已发生的相关费用或损</w:t>
      </w:r>
      <w:r>
        <w:rPr>
          <w:spacing w:val="-66"/>
        </w:rPr>
        <w:t> </w:t>
      </w:r>
      <w:r>
        <w:rPr>
          <w:spacing w:val="-66"/>
        </w:rPr>
      </w:r>
      <w:r>
        <w:rPr/>
        <w:t>失的，直接计入当期损益。</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9、递延所得税资产/递延所得税负债" w:id="200"/>
      <w:bookmarkEnd w:id="200"/>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09" w:lineRule="auto" w:before="180"/>
        <w:ind w:left="153" w:right="1169" w:firstLine="36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包括应纳税暂时性差异和可抵扣暂 时性差异</w:t>
      </w:r>
      <w:r>
        <w:rPr>
          <w:rFonts w:ascii="Times New Roman" w:hAnsi="Times New Roman" w:cs="Times New Roman" w:eastAsia="Times New Roman" w:hint="default"/>
        </w:rPr>
        <w:t>)</w:t>
      </w:r>
      <w:r>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Times New Roman" w:hAnsi="Times New Roman" w:cs="Times New Roman" w:eastAsia="Times New Roman" w:hint="default"/>
        </w:rPr>
        <w:t>(</w:t>
      </w:r>
      <w:r>
        <w:rPr/>
        <w:t>或可抵扣 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BodyText"/>
        <w:spacing w:line="391" w:lineRule="auto" w:before="94"/>
        <w:ind w:left="514" w:right="1032"/>
        <w:jc w:val="left"/>
      </w:pPr>
      <w:r>
        <w:rPr/>
        <w:t>递延所得税资产的确认以本公司很可能取得用来抵扣可抵扣暂时性差异、可抵扣亏损和税款抵减的应纳税所得额为限。 </w:t>
      </w:r>
      <w:r>
        <w:rPr>
          <w:spacing w:val="-2"/>
        </w:rPr>
        <w:t>对子公司、联营企业及合营企业投资相关的暂时性差异产生的递延所得税资产和递延所得税负债，予以确认。但本公司</w:t>
      </w:r>
    </w:p>
    <w:p>
      <w:pPr>
        <w:spacing w:after="0" w:line="391"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240" w:lineRule="auto" w:before="44"/>
        <w:ind w:left="154" w:right="0"/>
        <w:jc w:val="left"/>
      </w:pPr>
      <w:r>
        <w:rPr/>
        <w:t>能够控制暂时性差异转回的时间且该暂时性差异在可预见的未来很可能不会转回的，不予确认。</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bookmarkStart w:name="30、租赁" w:id="201"/>
      <w:bookmarkEnd w:id="201"/>
      <w:r>
        <w:rPr>
          <w:b w:val="0"/>
          <w:bCs w:val="0"/>
        </w:rPr>
      </w:r>
      <w:r>
        <w:rPr>
          <w:rFonts w:ascii="Times New Roman" w:hAnsi="Times New Roman" w:cs="Times New Roman" w:eastAsia="Times New Roman" w:hint="default"/>
        </w:rPr>
        <w:t>30</w:t>
      </w:r>
      <w:r>
        <w:rPr/>
        <w:t>、租赁</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240" w:lineRule="auto" w:before="146"/>
        <w:ind w:right="0"/>
        <w:jc w:val="left"/>
      </w:pPr>
      <w:r>
        <w:rPr/>
        <w:t>经营租赁的租金支出在租赁期内按照直线法计入相关资产成本或当期损益。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16" w:lineRule="auto" w:before="145"/>
        <w:ind w:left="153" w:right="1131" w:firstLine="360"/>
        <w:jc w:val="both"/>
      </w:pPr>
      <w:r>
        <w:rPr>
          <w:spacing w:val="-2"/>
        </w:rPr>
        <w:t>按租赁资产的公允价值与最低租赁付款额的现值两者中较低者作为租入资产的入账价值，租入资产的入账价值与最低租</w:t>
      </w:r>
      <w:r>
        <w:rPr/>
        <w:t> </w:t>
      </w:r>
      <w:r>
        <w:rPr>
          <w:spacing w:val="-2"/>
        </w:rPr>
        <w:t>赁付款额之间的差额为未确认融资费用，在租赁期内按实际利率法摊销。最低租赁付款额扣除未确认融资费用后的余额以长</w:t>
      </w:r>
      <w:r>
        <w:rPr>
          <w:spacing w:val="-64"/>
        </w:rPr>
        <w:t> </w:t>
      </w:r>
      <w:r>
        <w:rPr>
          <w:spacing w:val="-64"/>
        </w:rPr>
      </w:r>
      <w:r>
        <w:rPr/>
        <w:t>期应付款列示。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1、其他重要的会计政策和会计估计" w:id="204"/>
      <w:bookmarkEnd w:id="204"/>
      <w:r>
        <w:rPr>
          <w:b w:val="0"/>
          <w:bCs w:val="0"/>
        </w:rPr>
      </w:r>
      <w:r>
        <w:rPr>
          <w:rFonts w:ascii="Times New Roman" w:hAnsi="Times New Roman" w:cs="Times New Roman" w:eastAsia="Times New Roman" w:hint="default"/>
        </w:rPr>
        <w:t>31</w:t>
      </w:r>
      <w:r>
        <w:rPr/>
        <w:t>、其他重要的会计政策和会计估计</w:t>
      </w:r>
      <w:r>
        <w:rPr>
          <w:b w:val="0"/>
          <w:bCs w:val="0"/>
        </w:rPr>
      </w:r>
    </w:p>
    <w:p>
      <w:pPr>
        <w:pStyle w:val="BodyText"/>
        <w:spacing w:line="381" w:lineRule="auto" w:before="146"/>
        <w:ind w:right="1118"/>
        <w:jc w:val="left"/>
      </w:pPr>
      <w:r>
        <w:rPr/>
        <w:t>商誉 </w:t>
      </w:r>
      <w:r>
        <w:rPr>
          <w:spacing w:val="-2"/>
        </w:rPr>
        <w:t>商誉为股权投资成本超过应享有的被投资单位于投资取得日的公允价值份额的差额，或者为非同一控制下企业合并成本</w:t>
      </w:r>
    </w:p>
    <w:p>
      <w:pPr>
        <w:pStyle w:val="BodyText"/>
        <w:spacing w:line="205" w:lineRule="exact"/>
        <w:ind w:left="153" w:right="0"/>
        <w:jc w:val="left"/>
      </w:pPr>
      <w:r>
        <w:rPr/>
        <w:t>超过企业合并中取得的被购买方可辨认净资产于购买日的公允价值份额的差额。</w:t>
      </w:r>
    </w:p>
    <w:p>
      <w:pPr>
        <w:pStyle w:val="BodyText"/>
        <w:spacing w:line="316" w:lineRule="auto" w:before="139"/>
        <w:ind w:left="153" w:right="0" w:firstLine="360"/>
        <w:jc w:val="left"/>
      </w:pPr>
      <w:r>
        <w:rPr>
          <w:spacing w:val="-2"/>
        </w:rPr>
        <w:t>企业合并形成的商誉在合并财务报表上单独列示。购买联营企业和合营企业股权投资成本超过投资时应享有被投资单位</w:t>
      </w:r>
      <w:r>
        <w:rPr/>
        <w:t> 的公允价值份额的差额，包含于长期股权投资。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重要会计政策和会计估计变更" w:id="205"/>
      <w:bookmarkEnd w:id="205"/>
      <w:r>
        <w:rPr>
          <w:b w:val="0"/>
          <w:bCs w:val="0"/>
        </w:rPr>
      </w:r>
      <w:r>
        <w:rPr>
          <w:rFonts w:ascii="Times New Roman" w:hAnsi="Times New Roman" w:cs="Times New Roman" w:eastAsia="Times New Roman" w:hint="default"/>
        </w:rPr>
        <w:t>32</w:t>
      </w:r>
      <w:r>
        <w:rPr/>
        <w:t>、重要会计政策和会计估计变更</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4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8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right="0"/>
              <w:jc w:val="left"/>
              <w:rPr>
                <w:rFonts w:ascii="宋体" w:hAnsi="宋体" w:cs="宋体" w:eastAsia="宋体" w:hint="default"/>
                <w:sz w:val="12"/>
                <w:szCs w:val="12"/>
              </w:rPr>
            </w:pP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日第三届董事会</w:t>
            </w:r>
          </w:p>
          <w:p>
            <w:pPr>
              <w:pStyle w:val="TableParagraph"/>
              <w:spacing w:line="251" w:lineRule="exact"/>
              <w:ind w:left="-139"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position w:val="2"/>
                <w:sz w:val="18"/>
                <w:szCs w:val="18"/>
              </w:rPr>
              <w:t>第五次会议通过</w:t>
            </w:r>
            <w:r>
              <w:rPr>
                <w:rFonts w:ascii="宋体" w:hAnsi="宋体" w:cs="宋体" w:eastAsia="宋体" w:hint="default"/>
                <w:spacing w:val="-3"/>
                <w:sz w:val="18"/>
                <w:szCs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39"/>
              <w:jc w:val="left"/>
              <w:rPr>
                <w:rFonts w:ascii="宋体" w:hAnsi="宋体" w:cs="宋体" w:eastAsia="宋体" w:hint="default"/>
                <w:sz w:val="18"/>
                <w:szCs w:val="18"/>
              </w:rPr>
            </w:pPr>
            <w:r>
              <w:rPr>
                <w:rFonts w:ascii="宋体" w:hAnsi="宋体" w:cs="宋体" w:eastAsia="宋体" w:hint="default"/>
                <w:sz w:val="18"/>
                <w:szCs w:val="18"/>
              </w:rPr>
              <w:t>期初长期股权投资减少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期初可供出售金融资产增加</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3,010,000.00</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元，不影响净资产及净利润。</w:t>
            </w:r>
          </w:p>
        </w:tc>
      </w:tr>
      <w:tr>
        <w:trPr>
          <w:trHeight w:val="8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p>
        </w:tc>
        <w:tc>
          <w:tcPr>
            <w:tcW w:w="3190" w:type="dxa"/>
            <w:vMerge/>
            <w:tcBorders>
              <w:left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期初递延收益增加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14,695,758.24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初其他非流动负债减少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14,695,758.24</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元，不影响净资产及净利润。</w:t>
            </w:r>
          </w:p>
        </w:tc>
      </w:tr>
      <w:tr>
        <w:trPr>
          <w:trHeight w:val="33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p>
        </w:tc>
        <w:tc>
          <w:tcPr>
            <w:tcW w:w="3190" w:type="dxa"/>
            <w:vMerge/>
            <w:tcBorders>
              <w:left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p>
        </w:tc>
        <w:tc>
          <w:tcPr>
            <w:tcW w:w="3190" w:type="dxa"/>
            <w:vMerge/>
            <w:tcBorders>
              <w:left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p>
        </w:tc>
        <w:tc>
          <w:tcPr>
            <w:tcW w:w="3190" w:type="dxa"/>
            <w:vMerge/>
            <w:tcBorders>
              <w:left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p>
        </w:tc>
        <w:tc>
          <w:tcPr>
            <w:tcW w:w="3190" w:type="dxa"/>
            <w:vMerge/>
            <w:tcBorders>
              <w:left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126"/>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 权益的披露》</w:t>
            </w:r>
          </w:p>
        </w:tc>
        <w:tc>
          <w:tcPr>
            <w:tcW w:w="3190" w:type="dxa"/>
            <w:vMerge/>
            <w:tcBorders>
              <w:left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67"/>
              <w:jc w:val="left"/>
              <w:rPr>
                <w:rFonts w:ascii="宋体" w:hAnsi="宋体" w:cs="宋体" w:eastAsia="宋体" w:hint="default"/>
                <w:sz w:val="18"/>
                <w:szCs w:val="18"/>
              </w:rPr>
            </w:pPr>
            <w:r>
              <w:rPr>
                <w:rFonts w:ascii="宋体" w:hAnsi="宋体" w:cs="宋体" w:eastAsia="宋体" w:hint="default"/>
                <w:sz w:val="18"/>
                <w:szCs w:val="18"/>
              </w:rPr>
              <w:t>中华人民共和国财政部令第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财政 部关于修改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w:t>
            </w:r>
            <w:r>
              <w:rPr>
                <w:rFonts w:ascii="Times New Roman" w:hAnsi="Times New Roman" w:cs="Times New Roman" w:eastAsia="Times New Roman" w:hint="default"/>
                <w:sz w:val="18"/>
                <w:szCs w:val="18"/>
              </w:rPr>
              <w:t>&gt; </w:t>
            </w:r>
            <w:r>
              <w:rPr>
                <w:rFonts w:ascii="宋体" w:hAnsi="宋体" w:cs="宋体" w:eastAsia="宋体" w:hint="default"/>
                <w:sz w:val="18"/>
                <w:szCs w:val="18"/>
              </w:rPr>
              <w:t>的决定</w:t>
            </w:r>
          </w:p>
        </w:tc>
        <w:tc>
          <w:tcPr>
            <w:tcW w:w="3190" w:type="dxa"/>
            <w:vMerge/>
            <w:tcBorders>
              <w:left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145"/>
              <w:jc w:val="left"/>
              <w:rPr>
                <w:rFonts w:ascii="宋体" w:hAnsi="宋体" w:cs="宋体" w:eastAsia="宋体" w:hint="default"/>
                <w:sz w:val="18"/>
                <w:szCs w:val="18"/>
              </w:rPr>
            </w:pPr>
            <w:r>
              <w:rPr>
                <w:rFonts w:ascii="宋体" w:hAnsi="宋体" w:cs="宋体" w:eastAsia="宋体" w:hint="default"/>
                <w:sz w:val="18"/>
                <w:szCs w:val="18"/>
              </w:rPr>
              <w:t>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p>
        </w:tc>
        <w:tc>
          <w:tcPr>
            <w:tcW w:w="3190" w:type="dxa"/>
            <w:vMerge/>
            <w:tcBorders>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4"/>
          <w:szCs w:val="4"/>
        </w:rPr>
      </w:pPr>
    </w:p>
    <w:p>
      <w:pPr>
        <w:pStyle w:val="BodyText"/>
        <w:spacing w:line="367" w:lineRule="auto" w:before="44"/>
        <w:ind w:right="1055"/>
        <w:jc w:val="left"/>
      </w:pPr>
      <w:r>
        <w:rPr/>
        <w:t>因执行</w:t>
      </w:r>
      <w:r>
        <w:rPr>
          <w:rFonts w:ascii="Times New Roman" w:hAnsi="Times New Roman" w:cs="Times New Roman" w:eastAsia="Times New Roman" w:hint="default"/>
        </w:rPr>
        <w:t>2014</w:t>
      </w:r>
      <w:r>
        <w:rPr/>
        <w:t>年度新修订和发布的企业会计准则而导致的会计政策变更。 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&gt;</w:t>
      </w:r>
      <w:r>
        <w:rPr/>
        <w:t>的通知》等</w:t>
      </w:r>
      <w:r>
        <w:rPr>
          <w:rFonts w:ascii="Times New Roman" w:hAnsi="Times New Roman" w:cs="Times New Roman" w:eastAsia="Times New Roman" w:hint="default"/>
        </w:rPr>
        <w:t>7</w:t>
      </w:r>
      <w:r>
        <w:rPr/>
        <w:t>项通知（财会</w:t>
      </w:r>
      <w:r>
        <w:rPr>
          <w:rFonts w:ascii="Times New Roman" w:hAnsi="Times New Roman" w:cs="Times New Roman" w:eastAsia="Times New Roman" w:hint="default"/>
        </w:rPr>
        <w:t>[2014]6~8</w:t>
      </w:r>
      <w:r>
        <w:rPr/>
        <w:t>号、</w:t>
      </w:r>
      <w:r>
        <w:rPr>
          <w:rFonts w:ascii="Times New Roman" w:hAnsi="Times New Roman" w:cs="Times New Roman" w:eastAsia="Times New Roman" w:hint="default"/>
        </w:rPr>
        <w:t>10~11</w:t>
      </w:r>
      <w:r>
        <w:rPr/>
        <w:t>号、</w:t>
      </w:r>
    </w:p>
    <w:p>
      <w:pPr>
        <w:spacing w:after="0" w:line="367"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07" w:lineRule="auto" w:before="44"/>
        <w:ind w:left="153" w:right="1139"/>
        <w:jc w:val="both"/>
      </w:pPr>
      <w:r>
        <w:rPr>
          <w:rFonts w:ascii="Times New Roman" w:hAnsi="Times New Roman" w:cs="Times New Roman" w:eastAsia="Times New Roman" w:hint="default"/>
        </w:rPr>
        <w:t>14</w:t>
      </w:r>
      <w:r>
        <w:rPr/>
        <w:t>号、</w:t>
      </w:r>
      <w:r>
        <w:rPr>
          <w:rFonts w:ascii="Times New Roman" w:hAnsi="Times New Roman" w:cs="Times New Roman" w:eastAsia="Times New Roman" w:hint="default"/>
        </w:rPr>
        <w:t>16</w:t>
      </w:r>
      <w:r>
        <w:rPr/>
        <w:t>号）等规定，本公司自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2014</w:t>
      </w:r>
      <w:r>
        <w:rPr/>
        <w:t>年发布的前述</w:t>
      </w:r>
      <w:r>
        <w:rPr>
          <w:rFonts w:ascii="Times New Roman" w:hAnsi="Times New Roman" w:cs="Times New Roman" w:eastAsia="Times New Roman" w:hint="default"/>
        </w:rPr>
        <w:t>7</w:t>
      </w:r>
      <w:r>
        <w:rPr/>
        <w:t>项企业会计准则。具体包括：《企业会计准 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 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长期股权投资》及《企业会 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pStyle w:val="BodyText"/>
        <w:spacing w:line="240" w:lineRule="auto" w:before="36"/>
        <w:ind w:right="0"/>
        <w:jc w:val="left"/>
      </w:pPr>
      <w:r>
        <w:rPr/>
        <w:t>根据财政部《中华人民共和国财政部令第</w:t>
      </w:r>
      <w:r>
        <w:rPr>
          <w:rFonts w:ascii="Times New Roman" w:hAnsi="Times New Roman" w:cs="Times New Roman" w:eastAsia="Times New Roman" w:hint="default"/>
        </w:rPr>
        <w:t>76</w:t>
      </w:r>
      <w:r>
        <w:rPr/>
        <w:t>号</w:t>
      </w:r>
      <w:r>
        <w:rPr>
          <w:rFonts w:ascii="Times New Roman" w:hAnsi="Times New Roman" w:cs="Times New Roman" w:eastAsia="Times New Roman" w:hint="default"/>
        </w:rPr>
        <w:t>——</w:t>
      </w:r>
      <w:r>
        <w:rPr/>
        <w:t>财政部关于修改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的决定》，本公司自</w:t>
      </w:r>
    </w:p>
    <w:p>
      <w:pPr>
        <w:pStyle w:val="BodyText"/>
        <w:spacing w:line="240" w:lineRule="auto" w:before="70"/>
        <w:ind w:left="154" w:right="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日起执行该决定。</w:t>
      </w:r>
    </w:p>
    <w:p>
      <w:pPr>
        <w:pStyle w:val="BodyText"/>
        <w:spacing w:line="307" w:lineRule="auto" w:before="91"/>
        <w:ind w:left="153" w:right="1130" w:firstLine="360"/>
        <w:jc w:val="left"/>
      </w:pPr>
      <w:r>
        <w:rPr/>
        <w:t>根据财政部《关于印发修订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[2014]23</w:t>
      </w:r>
      <w:r>
        <w:rPr/>
        <w:t>号）的规定，本公司自</w:t>
      </w:r>
      <w:r>
        <w:rPr>
          <w:rFonts w:ascii="Times New Roman" w:hAnsi="Times New Roman" w:cs="Times New Roman" w:eastAsia="Times New Roman" w:hint="default"/>
        </w:rPr>
        <w:t>2014 </w:t>
      </w:r>
      <w:r>
        <w:rPr/>
        <w:t>年度起执行该规定。</w:t>
      </w:r>
    </w:p>
    <w:p>
      <w:pPr>
        <w:pStyle w:val="BodyText"/>
        <w:spacing w:line="240" w:lineRule="auto" w:before="55"/>
        <w:ind w:right="0"/>
        <w:jc w:val="left"/>
      </w:pPr>
      <w:r>
        <w:rPr/>
        <w:t>上述会计政策变更业经公司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日第三届第五次董事会会议通过。</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4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税项" w:id="208"/>
      <w:bookmarkEnd w:id="208"/>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09"/>
      <w:bookmarkEnd w:id="20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5"/>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2410"/>
        <w:gridCol w:w="4395"/>
        <w:gridCol w:w="2765"/>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5" w:type="dxa"/>
            <w:vMerge w:val="restart"/>
            <w:tcBorders>
              <w:top w:val="single" w:sz="4" w:space="0" w:color="000000"/>
              <w:left w:val="single" w:sz="9" w:space="0" w:color="D2D2D2"/>
              <w:right w:val="single" w:sz="4" w:space="0" w:color="000000"/>
            </w:tcBorders>
          </w:tcPr>
          <w:p>
            <w:pPr>
              <w:pStyle w:val="TableParagraph"/>
              <w:spacing w:line="300" w:lineRule="auto" w:before="51"/>
              <w:ind w:left="17" w:right="159"/>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应纳税额按应纳税销售额乘以适用税率 扣除当期允许抵扣的进项税后的余额计算</w:t>
            </w:r>
            <w:r>
              <w:rPr>
                <w:rFonts w:ascii="Times New Roman" w:hAnsi="Times New Roman" w:cs="Times New Roman" w:eastAsia="Times New Roman" w:hint="default"/>
                <w:sz w:val="18"/>
                <w:szCs w:val="18"/>
              </w:rPr>
              <w:t>)</w:t>
            </w:r>
          </w:p>
        </w:tc>
        <w:tc>
          <w:tcPr>
            <w:tcW w:w="27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2"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395" w:type="dxa"/>
            <w:vMerge/>
            <w:tcBorders>
              <w:left w:val="single" w:sz="9" w:space="0" w:color="D2D2D2"/>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5" w:type="dxa"/>
            <w:vMerge/>
            <w:tcBorders>
              <w:left w:val="single" w:sz="9" w:space="0" w:color="D2D2D2"/>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3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3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应纳增值税、营业税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3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应纳增值税、营业税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应纳增值税、营业税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税收优惠" w:id="210"/>
      <w:bookmarkEnd w:id="210"/>
      <w:r>
        <w:rPr>
          <w:b w:val="0"/>
          <w:bCs w:val="0"/>
        </w:rPr>
      </w:r>
      <w:r>
        <w:rPr>
          <w:rFonts w:ascii="Times New Roman" w:hAnsi="Times New Roman" w:cs="Times New Roman" w:eastAsia="Times New Roman" w:hint="default"/>
        </w:rPr>
        <w:t>2</w:t>
      </w:r>
      <w:r>
        <w:rPr/>
        <w:t>、税收优惠</w:t>
      </w:r>
      <w:r>
        <w:rPr>
          <w:b w:val="0"/>
          <w:bCs w:val="0"/>
        </w:rPr>
      </w:r>
    </w:p>
    <w:p>
      <w:pPr>
        <w:pStyle w:val="BodyText"/>
        <w:spacing w:line="309" w:lineRule="auto" w:before="180"/>
        <w:ind w:left="153" w:right="1199" w:firstLine="360"/>
        <w:jc w:val="both"/>
      </w:pPr>
      <w:r>
        <w:rPr/>
        <w:t>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日经江苏省高新技术企业认定管理工作协调小组苏高企协</w:t>
      </w:r>
      <w:r>
        <w:rPr>
          <w:rFonts w:ascii="Times New Roman" w:hAnsi="Times New Roman" w:cs="Times New Roman" w:eastAsia="Times New Roman" w:hint="default"/>
        </w:rPr>
        <w:t>[2009]7</w:t>
      </w:r>
      <w:r>
        <w:rPr/>
        <w:t>号文认定为高新技术企业，证书编号 为</w:t>
      </w:r>
      <w:r>
        <w:rPr>
          <w:rFonts w:ascii="Times New Roman" w:hAnsi="Times New Roman" w:cs="Times New Roman" w:eastAsia="Times New Roman" w:hint="default"/>
        </w:rPr>
        <w:t>GR200932000013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日通过复审，自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15%</w:t>
      </w:r>
      <w:r>
        <w:rPr/>
        <w:t>的所得税率。</w:t>
      </w:r>
    </w:p>
    <w:p>
      <w:pPr>
        <w:pStyle w:val="BodyText"/>
        <w:spacing w:line="307" w:lineRule="auto" w:before="76"/>
        <w:ind w:left="153" w:right="0" w:firstLine="360"/>
        <w:jc w:val="left"/>
      </w:pPr>
      <w:r>
        <w:rPr>
          <w:spacing w:val="-2"/>
        </w:rPr>
        <w:t>公司子公司青岛丰东热处理有限公司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日获得由青岛市科学技术局、青岛市财政局、山东省青岛市国家税务</w:t>
      </w:r>
      <w:r>
        <w:rPr/>
        <w:t> 局、青岛市地方税务局共同颁发的高新技术企业证书，证书编号为</w:t>
      </w:r>
      <w:r>
        <w:rPr>
          <w:rFonts w:ascii="Times New Roman" w:hAnsi="Times New Roman" w:cs="Times New Roman" w:eastAsia="Times New Roman" w:hint="default"/>
        </w:rPr>
        <w:t>GR201137100030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日通过复审，自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日起执行</w:t>
      </w:r>
      <w:r>
        <w:rPr>
          <w:rFonts w:ascii="Times New Roman" w:hAnsi="Times New Roman" w:cs="Times New Roman" w:eastAsia="Times New Roman" w:hint="default"/>
        </w:rPr>
        <w:t>15%</w:t>
      </w:r>
      <w:r>
        <w:rPr/>
        <w:t>的所得税率。</w:t>
      </w:r>
    </w:p>
    <w:p>
      <w:pPr>
        <w:pStyle w:val="BodyText"/>
        <w:spacing w:line="309" w:lineRule="auto" w:before="76"/>
        <w:ind w:left="153" w:right="1139" w:firstLine="360"/>
        <w:jc w:val="right"/>
      </w:pPr>
      <w:r>
        <w:rPr/>
        <w:t>公司子公司盐城丰东特种炉业有限公司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日获得由江苏省科学技术厅、江苏省财政厅、江苏省国家税务局、 </w:t>
      </w:r>
      <w:r>
        <w:rPr>
          <w:w w:val="95"/>
        </w:rPr>
        <w:t>江苏省地方税务局共同颁发的高新技术企业证书，证书编号为</w:t>
      </w:r>
      <w:r>
        <w:rPr>
          <w:rFonts w:ascii="Times New Roman" w:hAnsi="Times New Roman" w:cs="Times New Roman" w:eastAsia="Times New Roman" w:hint="default"/>
          <w:w w:val="95"/>
        </w:rPr>
        <w:t>GR201332001057</w:t>
      </w:r>
      <w:r>
        <w:rPr>
          <w:w w:val="95"/>
        </w:rPr>
        <w:t>，自</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1</w:t>
      </w:r>
      <w:r>
        <w:rPr>
          <w:w w:val="95"/>
        </w:rPr>
        <w:t>月</w:t>
      </w:r>
      <w:r>
        <w:rPr>
          <w:rFonts w:ascii="Times New Roman" w:hAnsi="Times New Roman" w:cs="Times New Roman" w:eastAsia="Times New Roman" w:hint="default"/>
          <w:w w:val="95"/>
        </w:rPr>
        <w:t>1</w:t>
      </w:r>
      <w:r>
        <w:rPr>
          <w:w w:val="95"/>
        </w:rPr>
        <w:t>日起执行</w:t>
      </w:r>
      <w:r>
        <w:rPr>
          <w:rFonts w:ascii="Times New Roman" w:hAnsi="Times New Roman" w:cs="Times New Roman" w:eastAsia="Times New Roman" w:hint="default"/>
          <w:w w:val="95"/>
        </w:rPr>
        <w:t>15%</w:t>
      </w:r>
      <w:r>
        <w:rPr>
          <w:w w:val="95"/>
        </w:rPr>
        <w:t>的所得税率。</w:t>
      </w:r>
    </w:p>
    <w:p>
      <w:pPr>
        <w:pStyle w:val="BodyText"/>
        <w:spacing w:line="307" w:lineRule="auto" w:before="74"/>
        <w:ind w:left="153" w:right="1129" w:firstLine="360"/>
        <w:jc w:val="both"/>
      </w:pPr>
      <w:r>
        <w:rPr/>
        <w:t>公司子公司重庆丰东热处理工程有限公司系公司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月购并的子公司，按应纳税所得额和当期适用之税率计缴所得 </w:t>
      </w:r>
      <w:r>
        <w:rPr>
          <w:spacing w:val="-1"/>
        </w:rPr>
        <w:t>税，根据《财政部、国家税务总局、海关总署关于西部大开发税收优惠政策问题的通知》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[2001]202</w:t>
      </w:r>
      <w:r>
        <w:rPr>
          <w:spacing w:val="-1"/>
        </w:rPr>
        <w:t>号</w:t>
      </w:r>
      <w:r>
        <w:rPr>
          <w:rFonts w:ascii="Times New Roman" w:hAnsi="Times New Roman" w:cs="Times New Roman" w:eastAsia="Times New Roman" w:hint="default"/>
          <w:spacing w:val="-1"/>
        </w:rPr>
        <w:t>)</w:t>
      </w:r>
      <w:r>
        <w:rPr>
          <w:spacing w:val="-1"/>
        </w:rPr>
        <w:t>规定，所得税税</w:t>
      </w:r>
      <w:r>
        <w:rPr>
          <w:spacing w:val="-84"/>
        </w:rPr>
        <w:t> </w:t>
      </w:r>
      <w:r>
        <w:rPr>
          <w:spacing w:val="-84"/>
        </w:rPr>
      </w:r>
      <w:r>
        <w:rPr>
          <w:spacing w:val="-1"/>
        </w:rPr>
        <w:t>率为</w:t>
      </w:r>
      <w:r>
        <w:rPr>
          <w:rFonts w:ascii="Times New Roman" w:hAnsi="Times New Roman" w:cs="Times New Roman" w:eastAsia="Times New Roman" w:hint="default"/>
          <w:spacing w:val="-1"/>
        </w:rPr>
        <w:t>15%</w:t>
      </w:r>
      <w:r>
        <w:rPr>
          <w:spacing w:val="-1"/>
        </w:rPr>
        <w:t>；重庆丰东系重庆市民政局发证的社会福利企业，证号为福企证字第</w:t>
      </w:r>
      <w:r>
        <w:rPr>
          <w:rFonts w:ascii="Times New Roman" w:hAnsi="Times New Roman" w:cs="Times New Roman" w:eastAsia="Times New Roman" w:hint="default"/>
          <w:spacing w:val="-1"/>
        </w:rPr>
        <w:t>500059990636</w:t>
      </w:r>
      <w:r>
        <w:rPr>
          <w:spacing w:val="-1"/>
        </w:rPr>
        <w:t>号，按照财政部、国家税务总局</w:t>
      </w:r>
      <w:r>
        <w:rPr>
          <w:spacing w:val="-86"/>
        </w:rPr>
        <w:t> </w:t>
      </w:r>
      <w:r>
        <w:rPr>
          <w:spacing w:val="-86"/>
        </w:rPr>
      </w:r>
      <w:r>
        <w:rPr/>
        <w:t>财税</w:t>
      </w:r>
      <w:r>
        <w:rPr>
          <w:rFonts w:ascii="Times New Roman" w:hAnsi="Times New Roman" w:cs="Times New Roman" w:eastAsia="Times New Roman" w:hint="default"/>
        </w:rPr>
        <w:t>[2007]92</w:t>
      </w:r>
      <w:r>
        <w:rPr/>
        <w:t>号《财政部、国家税务总局关于促进残疾人就业税收优惠政策的通知》，享受有关税收优惠政策。</w:t>
      </w:r>
    </w:p>
    <w:p>
      <w:pPr>
        <w:pStyle w:val="BodyText"/>
        <w:spacing w:line="326" w:lineRule="auto" w:before="15"/>
        <w:ind w:left="153" w:right="1131" w:firstLine="360"/>
        <w:jc w:val="both"/>
      </w:pPr>
      <w:r>
        <w:rPr>
          <w:spacing w:val="-2"/>
        </w:rPr>
        <w:t>公司子公司长春丰东热处理有限公司、江苏丰东热处理及表面改性工程技术研究有限公司、南京丰东热处理工程有限公</w:t>
      </w:r>
      <w:r>
        <w:rPr/>
        <w:t> </w:t>
      </w:r>
      <w:r>
        <w:rPr>
          <w:spacing w:val="-2"/>
        </w:rPr>
        <w:t>司、天津丰东热处理有限公司、上海丰东热处理工程有限公司、北京丰东建通工业炉科技有限公司、潍坊丰东热处理有限公</w:t>
      </w:r>
      <w:r>
        <w:rPr>
          <w:spacing w:val="-66"/>
        </w:rPr>
        <w:t> </w:t>
      </w:r>
      <w:r>
        <w:rPr>
          <w:spacing w:val="-66"/>
        </w:rPr>
      </w:r>
      <w:r>
        <w:rPr/>
        <w:t>司、盐城丰东祺耀工业炉有限公司和广州鑫润丰东热处理有限公司</w:t>
      </w:r>
      <w:r>
        <w:rPr>
          <w:rFonts w:ascii="Times New Roman" w:hAnsi="Times New Roman" w:cs="Times New Roman" w:eastAsia="Times New Roman" w:hint="default"/>
        </w:rPr>
        <w:t>2014</w:t>
      </w:r>
      <w:r>
        <w:rPr/>
        <w:t>年度所得税率为</w:t>
      </w:r>
      <w:r>
        <w:rPr>
          <w:rFonts w:ascii="Times New Roman" w:hAnsi="Times New Roman" w:cs="Times New Roman" w:eastAsia="Times New Roman" w:hint="default"/>
        </w:rPr>
        <w:t>25%</w:t>
      </w:r>
      <w:r>
        <w:rPr/>
        <w:t>。</w:t>
      </w:r>
    </w:p>
    <w:p>
      <w:pPr>
        <w:spacing w:after="0" w:line="326" w:lineRule="auto"/>
        <w:jc w:val="both"/>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其他" w:id="211"/>
      <w:bookmarkEnd w:id="211"/>
      <w:r>
        <w:rPr>
          <w:b w:val="0"/>
          <w:bCs w:val="0"/>
        </w:rPr>
      </w:r>
      <w:r>
        <w:rPr>
          <w:rFonts w:ascii="Times New Roman" w:hAnsi="Times New Roman" w:cs="Times New Roman" w:eastAsia="Times New Roman" w:hint="default"/>
        </w:rPr>
        <w:t>3</w:t>
      </w:r>
      <w:r>
        <w:rPr/>
        <w:t>、其他</w:t>
      </w:r>
      <w:r>
        <w:rPr>
          <w:b w:val="0"/>
          <w:bCs w:val="0"/>
        </w:rPr>
      </w:r>
    </w:p>
    <w:p>
      <w:pPr>
        <w:pStyle w:val="BodyText"/>
        <w:spacing w:line="240" w:lineRule="auto" w:before="146"/>
        <w:ind w:right="0"/>
        <w:jc w:val="left"/>
      </w:pPr>
      <w:r>
        <w:rPr/>
        <w:t>无</w:t>
      </w: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bookmarkStart w:name="七、合并财务报表项目注释" w:id="212"/>
      <w:bookmarkEnd w:id="212"/>
      <w:r>
        <w:rPr>
          <w:b w:val="0"/>
          <w:bCs w:val="0"/>
        </w:rPr>
      </w:r>
      <w:r>
        <w:rPr/>
        <w:t>七、合并财务报表项目注释</w:t>
      </w:r>
      <w:r>
        <w:rPr>
          <w:b w:val="0"/>
          <w:bCs w:val="0"/>
        </w:rPr>
      </w:r>
    </w:p>
    <w:p>
      <w:pPr>
        <w:spacing w:line="240" w:lineRule="auto" w:before="1"/>
        <w:rPr>
          <w:rFonts w:ascii="宋体" w:hAnsi="宋体" w:cs="宋体" w:eastAsia="宋体" w:hint="default"/>
          <w:b/>
          <w:bCs/>
          <w:sz w:val="17"/>
          <w:szCs w:val="17"/>
        </w:rPr>
      </w:pPr>
    </w:p>
    <w:p>
      <w:pPr>
        <w:pStyle w:val="Heading3"/>
        <w:spacing w:line="240" w:lineRule="auto"/>
        <w:ind w:right="0"/>
        <w:jc w:val="left"/>
        <w:rPr>
          <w:b w:val="0"/>
          <w:bCs w:val="0"/>
        </w:rPr>
      </w:pPr>
      <w:bookmarkStart w:name="1、货币资金" w:id="213"/>
      <w:bookmarkEnd w:id="21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144,069.98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19,506.60</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221,132,564.55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205,635,857.24</w:t>
            </w:r>
          </w:p>
        </w:tc>
      </w:tr>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783,572.40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855,000.00</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222,060,206.93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206,510,363.84</w:t>
            </w:r>
          </w:p>
        </w:tc>
      </w:tr>
    </w:tbl>
    <w:p>
      <w:pPr>
        <w:spacing w:line="240" w:lineRule="auto" w:before="6"/>
        <w:rPr>
          <w:rFonts w:ascii="宋体" w:hAnsi="宋体" w:cs="宋体" w:eastAsia="宋体" w:hint="default"/>
          <w:sz w:val="11"/>
          <w:szCs w:val="11"/>
        </w:rPr>
      </w:pPr>
    </w:p>
    <w:p>
      <w:pPr>
        <w:pStyle w:val="Heading3"/>
        <w:spacing w:line="240" w:lineRule="auto" w:before="35"/>
        <w:ind w:right="0"/>
        <w:jc w:val="left"/>
        <w:rPr>
          <w:b w:val="0"/>
          <w:bCs w:val="0"/>
        </w:rPr>
      </w:pPr>
      <w:bookmarkStart w:name="2、衍生金融资产" w:id="214"/>
      <w:bookmarkEnd w:id="214"/>
      <w:r>
        <w:rPr>
          <w:b w:val="0"/>
          <w:bCs w:val="0"/>
        </w:rPr>
      </w:r>
      <w:r>
        <w:rPr>
          <w:rFonts w:ascii="Times New Roman" w:hAnsi="Times New Roman" w:cs="Times New Roman" w:eastAsia="Times New Roman" w:hint="default"/>
        </w:rPr>
        <w:t>2</w:t>
      </w:r>
      <w:r>
        <w:rPr/>
        <w:t>、衍生金融资产</w:t>
      </w:r>
      <w:r>
        <w:rPr>
          <w:b w:val="0"/>
          <w:bCs w:val="0"/>
        </w:rPr>
      </w:r>
    </w:p>
    <w:p>
      <w:pPr>
        <w:pStyle w:val="BodyText"/>
        <w:spacing w:line="240" w:lineRule="auto" w:before="14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3、应收票据" w:id="215"/>
      <w:bookmarkEnd w:id="215"/>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1"/>
        <w:rPr>
          <w:rFonts w:ascii="宋体" w:hAnsi="宋体" w:cs="宋体" w:eastAsia="宋体" w:hint="default"/>
          <w:b/>
          <w:bCs/>
          <w:sz w:val="16"/>
          <w:szCs w:val="16"/>
        </w:rPr>
      </w:pPr>
    </w:p>
    <w:p>
      <w:pPr>
        <w:pStyle w:val="Heading3"/>
        <w:spacing w:line="240" w:lineRule="auto"/>
        <w:ind w:right="0"/>
        <w:jc w:val="left"/>
        <w:rPr>
          <w:b w:val="0"/>
          <w:bCs w:val="0"/>
        </w:rPr>
      </w:pPr>
      <w:bookmarkStart w:name="（1）应收票据分类列示" w:id="216"/>
      <w:bookmarkEnd w:id="21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19,425,143.49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25,219,076.35</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898,000.00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448,000.00</w:t>
            </w:r>
          </w:p>
        </w:tc>
      </w:tr>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20,323,143.49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25,667,076.35</w:t>
            </w:r>
          </w:p>
        </w:tc>
      </w:tr>
    </w:tbl>
    <w:p>
      <w:pPr>
        <w:spacing w:line="240" w:lineRule="auto" w:before="6"/>
        <w:rPr>
          <w:rFonts w:ascii="宋体" w:hAnsi="宋体" w:cs="宋体" w:eastAsia="宋体" w:hint="default"/>
          <w:sz w:val="11"/>
          <w:szCs w:val="11"/>
        </w:rPr>
      </w:pPr>
    </w:p>
    <w:p>
      <w:pPr>
        <w:pStyle w:val="Heading3"/>
        <w:spacing w:line="240" w:lineRule="auto" w:before="35"/>
        <w:ind w:right="0"/>
        <w:jc w:val="left"/>
        <w:rPr>
          <w:b w:val="0"/>
          <w:bCs w:val="0"/>
        </w:rPr>
      </w:pPr>
      <w:bookmarkStart w:name="（2）期末公司已质押的应收票据" w:id="217"/>
      <w:bookmarkEnd w:id="21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71"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11"/>
          <w:szCs w:val="11"/>
        </w:rPr>
      </w:pPr>
    </w:p>
    <w:p>
      <w:pPr>
        <w:pStyle w:val="Heading3"/>
        <w:spacing w:line="240" w:lineRule="auto" w:before="35"/>
        <w:ind w:right="0"/>
        <w:jc w:val="left"/>
        <w:rPr>
          <w:b w:val="0"/>
          <w:bCs w:val="0"/>
        </w:rPr>
      </w:pPr>
      <w:bookmarkStart w:name="（3）期末公司已背书或贴现且在资产负债表日尚未到期的应收票据" w:id="218"/>
      <w:bookmarkEnd w:id="21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7,409,753.84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7,409,753.84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19"/>
      <w:bookmarkEnd w:id="21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after="0" w:line="240" w:lineRule="auto"/>
        <w:jc w:val="right"/>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r>
        <w:trPr>
          <w:trHeight w:val="3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应收账款" w:id="220"/>
      <w:bookmarkEnd w:id="220"/>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899"/>
        <w:gridCol w:w="653"/>
        <w:gridCol w:w="654"/>
        <w:gridCol w:w="762"/>
        <w:gridCol w:w="813"/>
        <w:gridCol w:w="932"/>
        <w:gridCol w:w="932"/>
      </w:tblGrid>
      <w:tr>
        <w:trPr>
          <w:trHeight w:val="40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1" w:right="4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661" w:type="dxa"/>
            <w:gridSpan w:val="2"/>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0" w:hRule="exact"/>
        </w:trPr>
        <w:tc>
          <w:tcPr>
            <w:tcW w:w="1635" w:type="dxa"/>
            <w:vMerge w:val="restart"/>
            <w:tcBorders>
              <w:top w:val="nil" w:sz="6" w:space="0" w:color="auto"/>
              <w:left w:val="single" w:sz="4" w:space="0" w:color="000000"/>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653" w:type="dxa"/>
            <w:vMerge/>
            <w:tcBorders>
              <w:left w:val="single" w:sz="4" w:space="0" w:color="000000"/>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148,633,</w:t>
            </w:r>
          </w:p>
          <w:p>
            <w:pPr>
              <w:pStyle w:val="TableParagraph"/>
              <w:spacing w:line="240" w:lineRule="auto" w:before="34"/>
              <w:ind w:left="200" w:right="0"/>
              <w:jc w:val="center"/>
              <w:rPr>
                <w:rFonts w:ascii="Times New Roman" w:hAnsi="Times New Roman" w:cs="Times New Roman" w:eastAsia="Times New Roman" w:hint="default"/>
                <w:sz w:val="18"/>
                <w:szCs w:val="18"/>
              </w:rPr>
            </w:pPr>
            <w:r>
              <w:rPr>
                <w:rFonts w:ascii="Times New Roman"/>
                <w:sz w:val="18"/>
              </w:rPr>
              <w:t>270.67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7,522,78</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6.84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w:t>
            </w:r>
          </w:p>
        </w:tc>
        <w:tc>
          <w:tcPr>
            <w:tcW w:w="653"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141,110</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,483.83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116,954</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,151.34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4,599,357</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112,354,79</w:t>
            </w:r>
          </w:p>
          <w:p>
            <w:pPr>
              <w:pStyle w:val="TableParagraph"/>
              <w:spacing w:line="240" w:lineRule="auto" w:before="34"/>
              <w:ind w:left="584" w:right="0"/>
              <w:jc w:val="left"/>
              <w:rPr>
                <w:rFonts w:ascii="Times New Roman" w:hAnsi="Times New Roman" w:cs="Times New Roman" w:eastAsia="Times New Roman" w:hint="default"/>
                <w:sz w:val="18"/>
                <w:szCs w:val="18"/>
              </w:rPr>
            </w:pPr>
            <w:r>
              <w:rPr>
                <w:rFonts w:ascii="Times New Roman"/>
                <w:sz w:val="18"/>
              </w:rPr>
              <w:t>4.08</w:t>
            </w: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1,464,98</w:t>
            </w:r>
          </w:p>
          <w:p>
            <w:pPr>
              <w:pStyle w:val="TableParagraph"/>
              <w:spacing w:line="240" w:lineRule="auto" w:before="34"/>
              <w:ind w:left="403"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1,464,98</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9.75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2,202,5</w:t>
            </w:r>
          </w:p>
          <w:p>
            <w:pPr>
              <w:pStyle w:val="TableParagraph"/>
              <w:spacing w:line="240" w:lineRule="auto" w:before="34"/>
              <w:ind w:left="192" w:right="0"/>
              <w:jc w:val="center"/>
              <w:rPr>
                <w:rFonts w:ascii="Times New Roman" w:hAnsi="Times New Roman" w:cs="Times New Roman" w:eastAsia="Times New Roman" w:hint="default"/>
                <w:sz w:val="18"/>
                <w:szCs w:val="18"/>
              </w:rPr>
            </w:pPr>
            <w:r>
              <w:rPr>
                <w:rFonts w:ascii="Times New Roman"/>
                <w:sz w:val="18"/>
              </w:rPr>
              <w:t>06.87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2,202,506</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3" w:space="0" w:color="D2D2D2"/>
              <w:right w:val="single" w:sz="4" w:space="0" w:color="000000"/>
            </w:tcBorders>
          </w:tcPr>
          <w:p>
            <w:pPr>
              <w:pStyle w:val="TableParagraph"/>
              <w:spacing w:line="240" w:lineRule="auto" w:before="63"/>
              <w:ind w:left="63" w:right="0"/>
              <w:jc w:val="center"/>
              <w:rPr>
                <w:rFonts w:ascii="Times New Roman" w:hAnsi="Times New Roman" w:cs="Times New Roman" w:eastAsia="Times New Roman" w:hint="default"/>
                <w:sz w:val="18"/>
                <w:szCs w:val="18"/>
              </w:rPr>
            </w:pPr>
            <w:r>
              <w:rPr>
                <w:rFonts w:ascii="Times New Roman"/>
                <w:sz w:val="18"/>
              </w:rPr>
              <w:t>150,098,</w:t>
            </w:r>
          </w:p>
          <w:p>
            <w:pPr>
              <w:pStyle w:val="TableParagraph"/>
              <w:spacing w:line="240" w:lineRule="auto" w:before="34"/>
              <w:ind w:left="200" w:right="0"/>
              <w:jc w:val="center"/>
              <w:rPr>
                <w:rFonts w:ascii="Times New Roman" w:hAnsi="Times New Roman" w:cs="Times New Roman" w:eastAsia="Times New Roman" w:hint="default"/>
                <w:sz w:val="18"/>
                <w:szCs w:val="18"/>
              </w:rPr>
            </w:pPr>
            <w:r>
              <w:rPr>
                <w:rFonts w:ascii="Times New Roman"/>
                <w:sz w:val="18"/>
              </w:rPr>
              <w:t>260.42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8,987,77</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6.59</w:t>
            </w:r>
          </w:p>
        </w:tc>
        <w:tc>
          <w:tcPr>
            <w:tcW w:w="89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5.99%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3"/>
              <w:ind w:left="42" w:right="0"/>
              <w:jc w:val="left"/>
              <w:rPr>
                <w:rFonts w:ascii="Times New Roman" w:hAnsi="Times New Roman" w:cs="Times New Roman" w:eastAsia="Times New Roman" w:hint="default"/>
                <w:sz w:val="18"/>
                <w:szCs w:val="18"/>
              </w:rPr>
            </w:pPr>
            <w:r>
              <w:rPr>
                <w:rFonts w:ascii="Times New Roman"/>
                <w:sz w:val="18"/>
              </w:rPr>
              <w:t>141,110</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,483.83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41" w:right="0"/>
              <w:jc w:val="left"/>
              <w:rPr>
                <w:rFonts w:ascii="Times New Roman" w:hAnsi="Times New Roman" w:cs="Times New Roman" w:eastAsia="Times New Roman" w:hint="default"/>
                <w:sz w:val="18"/>
                <w:szCs w:val="18"/>
              </w:rPr>
            </w:pPr>
            <w:r>
              <w:rPr>
                <w:rFonts w:ascii="Times New Roman"/>
                <w:sz w:val="18"/>
              </w:rPr>
              <w:t>119,156</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,658.21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6,801,864</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left="95" w:right="0"/>
              <w:jc w:val="left"/>
              <w:rPr>
                <w:rFonts w:ascii="Times New Roman" w:hAnsi="Times New Roman" w:cs="Times New Roman" w:eastAsia="Times New Roman" w:hint="default"/>
                <w:sz w:val="18"/>
                <w:szCs w:val="18"/>
              </w:rPr>
            </w:pPr>
            <w:r>
              <w:rPr>
                <w:rFonts w:ascii="Times New Roman"/>
                <w:sz w:val="18"/>
              </w:rPr>
              <w:t>112,354,79</w:t>
            </w:r>
          </w:p>
          <w:p>
            <w:pPr>
              <w:pStyle w:val="TableParagraph"/>
              <w:spacing w:line="240" w:lineRule="auto" w:before="34"/>
              <w:ind w:left="584" w:right="0"/>
              <w:jc w:val="left"/>
              <w:rPr>
                <w:rFonts w:ascii="Times New Roman" w:hAnsi="Times New Roman" w:cs="Times New Roman" w:eastAsia="Times New Roman" w:hint="default"/>
                <w:sz w:val="18"/>
                <w:szCs w:val="18"/>
              </w:rPr>
            </w:pPr>
            <w:r>
              <w:rPr>
                <w:rFonts w:ascii="Times New Roman"/>
                <w:sz w:val="18"/>
              </w:rPr>
              <w:t>4.08</w:t>
            </w:r>
          </w:p>
        </w:tc>
      </w:tr>
      <w:tr>
        <w:trPr>
          <w:trHeight w:val="44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pStyle w:val="BodyText"/>
        <w:spacing w:line="240" w:lineRule="auto" w:before="51"/>
        <w:ind w:left="51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440" w:bottom="0" w:left="980" w:right="0"/>
          <w:cols w:num="2" w:equalWidth="0">
            <w:col w:w="4655" w:space="3815"/>
            <w:col w:w="246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190"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5"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94"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65"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7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102,844,704.18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514,223.52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0.50%</w:t>
            </w:r>
          </w:p>
        </w:tc>
      </w:tr>
      <w:tr>
        <w:trPr>
          <w:trHeight w:val="37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23,981,743.28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1,199,087.18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5.00%</w:t>
            </w:r>
          </w:p>
        </w:tc>
      </w:tr>
      <w:tr>
        <w:trPr>
          <w:trHeight w:val="37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10,008,852.13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1,000,885.23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w:t>
            </w:r>
          </w:p>
        </w:tc>
      </w:tr>
      <w:tr>
        <w:trPr>
          <w:trHeight w:val="37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8,270,625.65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2,481,187.69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30.00%</w:t>
            </w:r>
          </w:p>
        </w:tc>
      </w:tr>
      <w:tr>
        <w:trPr>
          <w:trHeight w:val="37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2,399,884.42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1,199,942.21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50.00%</w:t>
            </w:r>
          </w:p>
        </w:tc>
      </w:tr>
      <w:tr>
        <w:trPr>
          <w:trHeight w:val="37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1,127,461.01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1,127,461.01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7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148,633,270.67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7,522,786.84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5.06%</w:t>
            </w:r>
          </w:p>
        </w:tc>
      </w:tr>
    </w:tbl>
    <w:p>
      <w:pPr>
        <w:pStyle w:val="BodyText"/>
        <w:spacing w:line="360" w:lineRule="auto" w:before="51"/>
        <w:ind w:left="514" w:right="6072"/>
        <w:jc w:val="left"/>
      </w:pPr>
      <w:r>
        <w:rPr/>
        <w:t>确定该组合依据的说明： 组合中，采用余额百分比法计提坏账准备的应收账款：</w:t>
      </w:r>
    </w:p>
    <w:p>
      <w:pPr>
        <w:pStyle w:val="BodyText"/>
        <w:spacing w:line="338" w:lineRule="auto" w:before="26"/>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440" w:bottom="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47"/>
        <w:ind w:left="514" w:right="0"/>
        <w:jc w:val="left"/>
      </w:pPr>
      <w:r>
        <w:rPr/>
        <w:t>本期计提坏账准备金额</w:t>
      </w:r>
      <w:r>
        <w:rPr>
          <w:spacing w:val="-47"/>
        </w:rPr>
        <w:t> </w:t>
      </w:r>
      <w:r>
        <w:rPr>
          <w:rFonts w:ascii="Times New Roman" w:hAnsi="Times New Roman" w:cs="Times New Roman" w:eastAsia="Times New Roman" w:hint="default"/>
        </w:rPr>
        <w:t>2,273,965.76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223"/>
      <w:bookmarkEnd w:id="22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88,053.30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应收账款情况" w:id="224"/>
      <w:bookmarkEnd w:id="22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490"/>
        <w:jc w:val="right"/>
      </w:pPr>
      <w:r>
        <w:rPr/>
        <w:t>单位： 元</w:t>
      </w:r>
    </w:p>
    <w:p>
      <w:pPr>
        <w:spacing w:line="240" w:lineRule="auto" w:before="5"/>
        <w:rPr>
          <w:rFonts w:ascii="宋体" w:hAnsi="宋体" w:cs="宋体" w:eastAsia="宋体" w:hint="default"/>
          <w:sz w:val="9"/>
          <w:szCs w:val="9"/>
        </w:rPr>
      </w:pPr>
    </w:p>
    <w:tbl>
      <w:tblPr>
        <w:tblW w:w="0" w:type="auto"/>
        <w:jc w:val="left"/>
        <w:tblInd w:w="462" w:type="dxa"/>
        <w:tblLayout w:type="fixed"/>
        <w:tblCellMar>
          <w:top w:w="0" w:type="dxa"/>
          <w:left w:w="0" w:type="dxa"/>
          <w:bottom w:w="0" w:type="dxa"/>
          <w:right w:w="0" w:type="dxa"/>
        </w:tblCellMar>
        <w:tblLook w:val="01E0"/>
      </w:tblPr>
      <w:tblGrid>
        <w:gridCol w:w="1761"/>
        <w:gridCol w:w="1761"/>
        <w:gridCol w:w="1759"/>
        <w:gridCol w:w="1761"/>
        <w:gridCol w:w="1960"/>
      </w:tblGrid>
      <w:tr>
        <w:trPr>
          <w:trHeight w:val="329" w:hRule="exact"/>
        </w:trPr>
        <w:tc>
          <w:tcPr>
            <w:tcW w:w="1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61"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12,219,802.18</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8.14%</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8,331,649.80</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5.55%</w:t>
            </w:r>
          </w:p>
        </w:tc>
      </w:tr>
      <w:tr>
        <w:trPr>
          <w:trHeight w:val="348"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4,552,000.00</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3.03%</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4,386,495.62</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2.92%</w:t>
            </w:r>
          </w:p>
        </w:tc>
      </w:tr>
      <w:tr>
        <w:trPr>
          <w:trHeight w:val="347" w:hRule="exact"/>
        </w:trPr>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3,985,767.66</w:t>
            </w:r>
          </w:p>
        </w:tc>
        <w:tc>
          <w:tcPr>
            <w:tcW w:w="1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预付款项" w:id="225"/>
      <w:bookmarkEnd w:id="22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6"/>
      <w:bookmarkEnd w:id="22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14,257,816.49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10,066,958.85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869,286.36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493,949.28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52,883.01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15,127,102.85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10,613,791.14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吊的预付款情况" w:id="227"/>
      <w:bookmarkEnd w:id="22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310"/>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128"/>
        <w:gridCol w:w="1984"/>
        <w:gridCol w:w="1559"/>
        <w:gridCol w:w="1702"/>
        <w:gridCol w:w="2126"/>
      </w:tblGrid>
      <w:tr>
        <w:trPr>
          <w:trHeight w:val="347" w:hRule="exact"/>
        </w:trPr>
        <w:tc>
          <w:tcPr>
            <w:tcW w:w="212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69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5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2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占预付账款总额比例</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1,633,927.74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10.80%</w:t>
            </w:r>
          </w:p>
        </w:tc>
      </w:tr>
      <w:tr>
        <w:trPr>
          <w:trHeight w:val="34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1,017,000.00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6.72%</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491,808.65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3.25%</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472,030.00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3.12%</w:t>
            </w:r>
          </w:p>
        </w:tc>
      </w:tr>
      <w:tr>
        <w:trPr>
          <w:trHeight w:val="34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408,000.00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2.70%</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6、其他应收款" w:id="228"/>
      <w:bookmarkEnd w:id="22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9"/>
      <w:bookmarkEnd w:id="22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6,294,21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127,094.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6,167,122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6,552,9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92.28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89,336.62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6,463,655.6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61,174.10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6,355,01</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0.99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187,888.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2.96%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6,167,122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6,614,1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66.38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150,510.7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6,463,655.6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pStyle w:val="BodyText"/>
        <w:spacing w:line="240" w:lineRule="auto" w:before="51"/>
        <w:ind w:left="51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440" w:bottom="0" w:left="980" w:right="0"/>
          <w:cols w:num="2" w:equalWidth="0">
            <w:col w:w="4835" w:space="3635"/>
            <w:col w:w="246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319,351.67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149,010.26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163,644.99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49,093.49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27,863.55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721,374.02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127,094.83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r>
    </w:tbl>
    <w:p>
      <w:pPr>
        <w:pStyle w:val="BodyText"/>
        <w:spacing w:line="360" w:lineRule="auto" w:before="51"/>
        <w:ind w:left="514" w:right="5892"/>
        <w:jc w:val="left"/>
      </w:pPr>
      <w:r>
        <w:rPr/>
        <w:t>确定该组合依据的说明： 组合中，采用余额百分比法计提坏账准备的其他应收款：</w:t>
      </w:r>
    </w:p>
    <w:p>
      <w:pPr>
        <w:pStyle w:val="BodyText"/>
        <w:spacing w:line="340" w:lineRule="auto" w:before="26"/>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关联方、押金备用金的组合</w:t>
      </w:r>
    </w:p>
    <w:p>
      <w:pPr>
        <w:spacing w:after="0" w:line="338" w:lineRule="auto"/>
        <w:jc w:val="left"/>
        <w:sectPr>
          <w:type w:val="continuous"/>
          <w:pgSz w:w="11910" w:h="16840"/>
          <w:pgMar w:top="1440" w:bottom="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310"/>
        <w:jc w:val="right"/>
      </w:pPr>
      <w:r>
        <w:rPr/>
        <w:t>单位： 元</w:t>
      </w:r>
    </w:p>
    <w:p>
      <w:pPr>
        <w:spacing w:line="240" w:lineRule="auto" w:before="5"/>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410"/>
        <w:gridCol w:w="1560"/>
        <w:gridCol w:w="1560"/>
        <w:gridCol w:w="1701"/>
        <w:gridCol w:w="2268"/>
      </w:tblGrid>
      <w:tr>
        <w:trPr>
          <w:trHeight w:val="329" w:hRule="exact"/>
        </w:trPr>
        <w:tc>
          <w:tcPr>
            <w:tcW w:w="241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3"/>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3"/>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26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1,830,798.50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员工出差借款</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3,742,044.37</w:t>
            </w:r>
          </w:p>
        </w:tc>
        <w:tc>
          <w:tcPr>
            <w:tcW w:w="1560"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5,572,842.87</w:t>
            </w:r>
          </w:p>
        </w:tc>
        <w:tc>
          <w:tcPr>
            <w:tcW w:w="1560"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47"/>
        <w:ind w:left="514" w:right="0"/>
        <w:jc w:val="left"/>
      </w:pPr>
      <w:r>
        <w:rPr/>
        <w:t>本期计提坏账准备金额</w:t>
      </w:r>
      <w:r>
        <w:rPr>
          <w:spacing w:val="-46"/>
        </w:rPr>
        <w:t> </w:t>
      </w:r>
      <w:r>
        <w:rPr>
          <w:rFonts w:ascii="Times New Roman" w:hAnsi="Times New Roman" w:cs="Times New Roman" w:eastAsia="Times New Roman" w:hint="default"/>
        </w:rPr>
        <w:t>37,378.21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231"/>
      <w:bookmarkEnd w:id="23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1,830,798.50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1,365,670.01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3,742,044.37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2,300,913.00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782,168.12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947,583.37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6,355,010.99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6,614,166.38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232"/>
      <w:bookmarkEnd w:id="23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340,353.00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263,381.74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1,438,834.74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存货" w:id="233"/>
      <w:bookmarkEnd w:id="233"/>
      <w:r>
        <w:rPr>
          <w:b w:val="0"/>
          <w:bCs w:val="0"/>
        </w:rPr>
      </w:r>
      <w:r>
        <w:rPr>
          <w:rFonts w:ascii="Times New Roman" w:hAnsi="Times New Roman" w:cs="Times New Roman" w:eastAsia="Times New Roman" w:hint="default"/>
        </w:rPr>
        <w:t>7</w:t>
      </w:r>
      <w:r>
        <w:rPr/>
        <w:t>、存货</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34"/>
      <w:bookmarkEnd w:id="23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50,681,224.21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441,904.34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50,239,319.87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51,772,767.67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556,233.31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51,216,534.36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64,654,471.87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919,316.61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63,735,155.26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65,899,270.73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608,457.25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65,290,813.48</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1,815,186.87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1,815,186.87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689,179.13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689,179.13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76,420,226.78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76,420,226.78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33,022,631.33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33,022,631.33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940,367.14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940,367.14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991,904.00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991,904.00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194,511,476.87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1,361,220.95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193,150,255.92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152,375,752.86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1,164,690.56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151,211,062.30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35"/>
      <w:bookmarkEnd w:id="23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556,233.31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114,328.97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441,904.34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608,457.25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310,859.36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919,316.61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1,164,690.56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310,859.36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114,328.97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1,361,220.95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划分为持有待售的资产" w:id="236"/>
      <w:bookmarkEnd w:id="236"/>
      <w:r>
        <w:rPr>
          <w:b w:val="0"/>
          <w:bCs w:val="0"/>
        </w:rPr>
      </w:r>
      <w:r>
        <w:rPr>
          <w:rFonts w:ascii="Times New Roman" w:hAnsi="Times New Roman" w:cs="Times New Roman" w:eastAsia="Times New Roman" w:hint="default"/>
        </w:rPr>
        <w:t>8</w:t>
      </w:r>
      <w:r>
        <w:rPr/>
        <w:t>、划分为持有待售的资产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bookmarkStart w:name="上适用" w:id="237"/>
      <w:bookmarkEnd w:id="237"/>
      <w:r>
        <w:rPr/>
      </w: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38"/>
      <w:bookmarkEnd w:id="238"/>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bookmarkStart w:name="上适用" w:id="239"/>
      <w:bookmarkEnd w:id="239"/>
      <w:r>
        <w:rPr/>
      </w: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其他流动资产" w:id="240"/>
      <w:bookmarkEnd w:id="240"/>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1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增值税待抵扣进项税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2,138,655.22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834,830.78</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2,138,655.22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834,830.78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可供出售金融资产" w:id="241"/>
      <w:bookmarkEnd w:id="241"/>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2"/>
      <w:bookmarkEnd w:id="24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10"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6"/>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4"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10"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3,010,000.00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3,010,000.00</w:t>
            </w:r>
          </w:p>
        </w:tc>
      </w:tr>
      <w:tr>
        <w:trPr>
          <w:trHeight w:val="41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3,010,000.00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3,010,000.00</w:t>
            </w:r>
          </w:p>
        </w:tc>
      </w:tr>
      <w:tr>
        <w:trPr>
          <w:trHeight w:val="410"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5,064,131.00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3,010,000.00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3,010,000.00</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期末按成本计量的可供出售金融资产" w:id="243"/>
      <w:bookmarkEnd w:id="24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江苏大丰 农村商业 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2,054,131.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84,476.20</w:t>
            </w: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84,476.20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持有至到期投资" w:id="244"/>
      <w:bookmarkEnd w:id="244"/>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245"/>
      <w:bookmarkEnd w:id="245"/>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46"/>
      <w:bookmarkEnd w:id="246"/>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247"/>
      <w:bookmarkEnd w:id="247"/>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48"/>
      <w:bookmarkEnd w:id="24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61,803,99</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4.72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5,446,795</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64,750,79</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796" w:type="dxa"/>
            <w:tcBorders>
              <w:top w:val="single" w:sz="4" w:space="0" w:color="000000"/>
              <w:left w:val="single" w:sz="4" w:space="0" w:color="000000"/>
              <w:bottom w:val="single" w:sz="52" w:space="0" w:color="D2D2D2"/>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-2,141,26</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12,858,73</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9.66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6"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13" w:space="0" w:color="D2D2D2"/>
              <w:right w:val="single" w:sz="4" w:space="0" w:color="000000"/>
            </w:tcBorders>
          </w:tcPr>
          <w:p>
            <w:pPr>
              <w:pStyle w:val="TableParagraph"/>
              <w:spacing w:line="240" w:lineRule="auto" w:before="64"/>
              <w:ind w:left="34" w:right="0"/>
              <w:jc w:val="left"/>
              <w:rPr>
                <w:rFonts w:ascii="Times New Roman" w:hAnsi="Times New Roman" w:cs="Times New Roman" w:eastAsia="Times New Roman" w:hint="default"/>
                <w:sz w:val="18"/>
                <w:szCs w:val="18"/>
              </w:rPr>
            </w:pPr>
            <w:r>
              <w:rPr>
                <w:rFonts w:ascii="Times New Roman"/>
                <w:sz w:val="18"/>
              </w:rPr>
              <w:t>61,803,99</w:t>
            </w:r>
          </w:p>
          <w:p>
            <w:pPr>
              <w:pStyle w:val="TableParagraph"/>
              <w:spacing w:line="240" w:lineRule="auto" w:before="33"/>
              <w:ind w:left="439" w:right="0"/>
              <w:jc w:val="left"/>
              <w:rPr>
                <w:rFonts w:ascii="Times New Roman" w:hAnsi="Times New Roman" w:cs="Times New Roman" w:eastAsia="Times New Roman" w:hint="default"/>
                <w:sz w:val="18"/>
                <w:szCs w:val="18"/>
              </w:rPr>
            </w:pPr>
            <w:r>
              <w:rPr>
                <w:rFonts w:ascii="Times New Roman"/>
                <w:sz w:val="18"/>
              </w:rPr>
              <w:t>4.72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3,305,535</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.41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77,609,53</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0.13</w:t>
            </w:r>
          </w:p>
        </w:tc>
        <w:tc>
          <w:tcPr>
            <w:tcW w:w="798" w:type="dxa"/>
            <w:vMerge w:val="restart"/>
            <w:tcBorders>
              <w:top w:val="single" w:sz="4" w:space="0" w:color="000000"/>
              <w:left w:val="single" w:sz="4" w:space="0" w:color="000000"/>
              <w:right w:val="single" w:sz="4" w:space="0" w:color="000000"/>
            </w:tcBorders>
          </w:tcPr>
          <w:p>
            <w:pPr/>
          </w:p>
        </w:tc>
      </w:tr>
      <w:tr>
        <w:trPr>
          <w:trHeight w:val="445"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13"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29"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1"/>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12,784,55</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5.43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2,023,625</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14,008,18</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 w:right="0"/>
              <w:jc w:val="left"/>
              <w:rPr>
                <w:rFonts w:ascii="Times New Roman" w:hAnsi="Times New Roman" w:cs="Times New Roman" w:eastAsia="Times New Roman" w:hint="default"/>
                <w:sz w:val="18"/>
                <w:szCs w:val="18"/>
              </w:rPr>
            </w:pPr>
            <w:r>
              <w:rPr>
                <w:rFonts w:ascii="Times New Roman"/>
                <w:sz w:val="18"/>
              </w:rPr>
              <w:t>12,784,55</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5.43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2,023,625</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14,008,18</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 w:right="0"/>
              <w:jc w:val="left"/>
              <w:rPr>
                <w:rFonts w:ascii="Times New Roman" w:hAnsi="Times New Roman" w:cs="Times New Roman" w:eastAsia="Times New Roman" w:hint="default"/>
                <w:sz w:val="18"/>
                <w:szCs w:val="18"/>
              </w:rPr>
            </w:pPr>
            <w:r>
              <w:rPr>
                <w:rFonts w:ascii="Times New Roman"/>
                <w:sz w:val="18"/>
              </w:rPr>
              <w:t>74,588,55</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5,329,160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91,617,71</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0.83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4813"/>
        <w:jc w:val="left"/>
      </w:pPr>
      <w:r>
        <w:rPr/>
        <w:t>其他说明 上述长期股权投资单位无向投资企业转移资金的能力受到限制的情况。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5、投资性房地产" w:id="249"/>
      <w:bookmarkEnd w:id="24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0"/>
      <w:bookmarkEnd w:id="25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pStyle w:val="BodyText"/>
        <w:spacing w:line="240" w:lineRule="auto" w:before="14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51"/>
      <w:bookmarkEnd w:id="25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pStyle w:val="BodyText"/>
        <w:spacing w:line="240" w:lineRule="auto" w:before="14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6、固定资产" w:id="252"/>
      <w:bookmarkEnd w:id="25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53"/>
      <w:bookmarkEnd w:id="25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155,437,757.09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110,441,643.39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9,130,946.52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13,376,440.73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288,386,787.73</w:t>
            </w:r>
          </w:p>
        </w:tc>
      </w:tr>
      <w:tr>
        <w:trPr>
          <w:trHeight w:val="37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10,117,406.24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17,985,513.56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4,774,361.36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2,378,462.61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35,255,743.77</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1,377,816.70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10,193,088.59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4,774,361.36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2,378,462.61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18,723,729.26</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8,739,589.54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7,792,424.97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16,532,014.51</w:t>
            </w:r>
          </w:p>
        </w:tc>
      </w:tr>
      <w:tr>
        <w:trPr>
          <w:trHeight w:val="37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8,939,776.54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1,707,670.69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787,249.00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608,849.03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12,043,545.26</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8,939,776.54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1,707,670.69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787,249.00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608,849.03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12,043,545.26</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156,615,386.79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126,719,486.26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13,118,058.88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15,146,054.31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311,598,986.24</w:t>
            </w:r>
          </w:p>
        </w:tc>
      </w:tr>
      <w:tr>
        <w:trPr>
          <w:trHeight w:val="37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28,456,648.73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34,949,552.86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4,754,915.06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8,086,614.93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76,247,731.58</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7,091,242.36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10,773,228.12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1,708,014.49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1,793,651.25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21,366,136.22</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7,091,242.36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10,773,228.12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1,708,014.49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1,793,651.25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21,366,136.22</w:t>
            </w:r>
          </w:p>
        </w:tc>
      </w:tr>
      <w:tr>
        <w:trPr>
          <w:trHeight w:val="37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2,143,879.26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746,415.64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540,173.93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520,925.57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3,951,394.40</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2,143,879.26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746,415.64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540,173.93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520,925.57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3,951,394.40</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33,404,011.83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44,976,365.34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5,922,755.62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9,359,340.61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93,662,473.40</w:t>
            </w:r>
          </w:p>
        </w:tc>
      </w:tr>
      <w:tr>
        <w:trPr>
          <w:trHeight w:val="37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1,030,000.00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37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1,030,000.00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1,330,000.00</w:t>
            </w:r>
          </w:p>
        </w:tc>
      </w:tr>
      <w:tr>
        <w:trPr>
          <w:trHeight w:val="370"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122,911,374.96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80,713,120.92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7,195,303.26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5,786,713.70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216,606,512.84</w:t>
            </w:r>
          </w:p>
        </w:tc>
      </w:tr>
      <w:tr>
        <w:trPr>
          <w:trHeight w:val="37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126,681,108.36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74,462,090.53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4,266,031.46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5,289,825.80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210,699,056.15</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691"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7、在建工程" w:id="254"/>
      <w:bookmarkEnd w:id="25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55"/>
      <w:bookmarkEnd w:id="25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20,721,594.98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20,721,594.98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107,867.92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107,867.92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2,492,824.15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2,492,824.15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359,251.01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359,251.01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520,686.95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520,686.95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23,573,670.14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23,573,670.14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3,788,554.87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3,788,554.87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56"/>
      <w:bookmarkEnd w:id="25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617"/>
        <w:gridCol w:w="737"/>
        <w:gridCol w:w="736"/>
        <w:gridCol w:w="736"/>
        <w:gridCol w:w="737"/>
        <w:gridCol w:w="736"/>
        <w:gridCol w:w="736"/>
        <w:gridCol w:w="737"/>
        <w:gridCol w:w="736"/>
        <w:gridCol w:w="736"/>
        <w:gridCol w:w="737"/>
        <w:gridCol w:w="736"/>
      </w:tblGrid>
      <w:tr>
        <w:trPr>
          <w:trHeight w:val="105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3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6"/>
              <w:jc w:val="left"/>
              <w:rPr>
                <w:rFonts w:ascii="宋体" w:hAnsi="宋体" w:cs="宋体" w:eastAsia="宋体" w:hint="default"/>
                <w:sz w:val="18"/>
                <w:szCs w:val="18"/>
              </w:rPr>
            </w:pPr>
            <w:r>
              <w:rPr>
                <w:rFonts w:ascii="宋体" w:hAnsi="宋体" w:cs="宋体" w:eastAsia="宋体" w:hint="default"/>
                <w:sz w:val="18"/>
                <w:szCs w:val="18"/>
              </w:rPr>
              <w:t>天津丰东 厂房</w:t>
            </w:r>
          </w:p>
        </w:tc>
        <w:tc>
          <w:tcPr>
            <w:tcW w:w="61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107,867.</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20,613,7</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27.06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20,721,5</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94.98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6"/>
              <w:jc w:val="left"/>
              <w:rPr>
                <w:rFonts w:ascii="宋体" w:hAnsi="宋体" w:cs="宋体" w:eastAsia="宋体" w:hint="default"/>
                <w:sz w:val="18"/>
                <w:szCs w:val="18"/>
              </w:rPr>
            </w:pPr>
            <w:r>
              <w:rPr>
                <w:rFonts w:ascii="宋体" w:hAnsi="宋体" w:cs="宋体" w:eastAsia="宋体" w:hint="default"/>
                <w:sz w:val="18"/>
                <w:szCs w:val="18"/>
              </w:rPr>
              <w:t>南京丰东 厂房</w:t>
            </w:r>
          </w:p>
        </w:tc>
        <w:tc>
          <w:tcPr>
            <w:tcW w:w="61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3" w:right="0"/>
              <w:jc w:val="left"/>
              <w:rPr>
                <w:rFonts w:ascii="Times New Roman" w:hAnsi="Times New Roman" w:cs="Times New Roman" w:eastAsia="Times New Roman" w:hint="default"/>
                <w:sz w:val="18"/>
                <w:szCs w:val="18"/>
              </w:rPr>
            </w:pPr>
            <w:r>
              <w:rPr>
                <w:rFonts w:ascii="Times New Roman"/>
                <w:sz w:val="18"/>
              </w:rPr>
              <w:t>2,492,82</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4.15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3" w:right="0"/>
              <w:jc w:val="left"/>
              <w:rPr>
                <w:rFonts w:ascii="Times New Roman" w:hAnsi="Times New Roman" w:cs="Times New Roman" w:eastAsia="Times New Roman" w:hint="default"/>
                <w:sz w:val="18"/>
                <w:szCs w:val="18"/>
              </w:rPr>
            </w:pPr>
            <w:r>
              <w:rPr>
                <w:rFonts w:ascii="Times New Roman"/>
                <w:sz w:val="18"/>
              </w:rPr>
              <w:t>2,492,82</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4.15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6"/>
              <w:jc w:val="left"/>
              <w:rPr>
                <w:rFonts w:ascii="宋体" w:hAnsi="宋体" w:cs="宋体" w:eastAsia="宋体" w:hint="default"/>
                <w:sz w:val="18"/>
                <w:szCs w:val="18"/>
              </w:rPr>
            </w:pPr>
            <w:r>
              <w:rPr>
                <w:rFonts w:ascii="宋体" w:hAnsi="宋体" w:cs="宋体" w:eastAsia="宋体" w:hint="default"/>
                <w:sz w:val="18"/>
                <w:szCs w:val="18"/>
              </w:rPr>
              <w:t>设备安装 工程</w:t>
            </w:r>
          </w:p>
        </w:tc>
        <w:tc>
          <w:tcPr>
            <w:tcW w:w="61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520,686.</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6,984,98</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7,146,42</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4.97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359,251.</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61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3,160,00</w:t>
            </w:r>
          </w:p>
          <w:p>
            <w:pPr>
              <w:pStyle w:val="TableParagraph"/>
              <w:spacing w:line="240" w:lineRule="auto" w:before="33"/>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6,225,58</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9.54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9,385,58</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9.54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3,788,55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36,317,1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16,532,0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23,573,6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70.14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工程物资" w:id="257"/>
      <w:bookmarkEnd w:id="257"/>
      <w:r>
        <w:rPr>
          <w:b w:val="0"/>
          <w:bCs w:val="0"/>
        </w:rPr>
      </w:r>
      <w:r>
        <w:rPr>
          <w:rFonts w:ascii="Times New Roman" w:hAnsi="Times New Roman" w:cs="Times New Roman" w:eastAsia="Times New Roman" w:hint="default"/>
        </w:rPr>
        <w:t>18</w:t>
      </w:r>
      <w:r>
        <w:rPr/>
        <w:t>、工程物资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258"/>
      <w:bookmarkEnd w:id="258"/>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固定资产清理" w:id="259"/>
      <w:bookmarkEnd w:id="259"/>
      <w:r>
        <w:rPr>
          <w:b w:val="0"/>
          <w:bCs w:val="0"/>
        </w:rPr>
      </w:r>
      <w:r>
        <w:rPr>
          <w:rFonts w:ascii="Times New Roman" w:hAnsi="Times New Roman" w:cs="Times New Roman" w:eastAsia="Times New Roman" w:hint="default"/>
        </w:rPr>
        <w:t>19</w:t>
      </w:r>
      <w:r>
        <w:rPr/>
        <w:t>、固定资产清理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260"/>
      <w:bookmarkEnd w:id="260"/>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生产性生物资产" w:id="261"/>
      <w:bookmarkEnd w:id="261"/>
      <w:r>
        <w:rPr>
          <w:b w:val="0"/>
          <w:bCs w:val="0"/>
        </w:rPr>
      </w:r>
      <w:r>
        <w:rPr>
          <w:rFonts w:ascii="Times New Roman" w:hAnsi="Times New Roman" w:cs="Times New Roman" w:eastAsia="Times New Roman" w:hint="default"/>
        </w:rPr>
        <w:t>20</w:t>
      </w:r>
      <w:r>
        <w:rPr/>
        <w:t>、生产性生物资产</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62"/>
      <w:bookmarkEnd w:id="26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pStyle w:val="BodyText"/>
        <w:spacing w:line="240" w:lineRule="auto" w:before="14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20"/>
          <w:pgSz w:w="11910" w:h="16840"/>
          <w:pgMar w:footer="979" w:header="691" w:top="1100" w:bottom="1160" w:left="980" w:right="0"/>
          <w:pgNumType w:start="101"/>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采用公允价值计量模式的生产性生物资产" w:id="263"/>
      <w:bookmarkEnd w:id="26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pStyle w:val="BodyText"/>
        <w:spacing w:line="240" w:lineRule="auto" w:before="147"/>
        <w:ind w:left="576" w:right="0" w:hanging="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1、油气资产" w:id="264"/>
      <w:bookmarkEnd w:id="264"/>
      <w:r>
        <w:rPr>
          <w:b w:val="0"/>
          <w:bCs w:val="0"/>
        </w:rPr>
      </w:r>
      <w:r>
        <w:rPr>
          <w:rFonts w:ascii="Times New Roman" w:hAnsi="Times New Roman" w:cs="Times New Roman" w:eastAsia="Times New Roman" w:hint="default"/>
        </w:rPr>
        <w:t>21</w:t>
      </w:r>
      <w:r>
        <w:rPr/>
        <w:t>、油气资产</w:t>
      </w:r>
      <w:r>
        <w:rPr>
          <w:b w:val="0"/>
          <w:bCs w:val="0"/>
        </w:rPr>
      </w:r>
    </w:p>
    <w:p>
      <w:pPr>
        <w:pStyle w:val="BodyText"/>
        <w:spacing w:line="240" w:lineRule="auto" w:before="14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2、无形资产" w:id="265"/>
      <w:bookmarkEnd w:id="265"/>
      <w:r>
        <w:rPr>
          <w:b w:val="0"/>
          <w:bCs w:val="0"/>
        </w:rPr>
      </w:r>
      <w:r>
        <w:rPr>
          <w:rFonts w:ascii="Times New Roman" w:hAnsi="Times New Roman" w:cs="Times New Roman" w:eastAsia="Times New Roman" w:hint="default"/>
        </w:rPr>
        <w:t>22</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6"/>
      <w:bookmarkEnd w:id="26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329"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34,665,187.97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5,344,217.90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1,246,057.85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41,255,463.72</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13,439,310.00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3,244,019.08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16,683,329.08</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13,439,310.00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3,244,019.08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16,683,329.08</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3,477,893.00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3,477,893.00</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3,477,893.00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3,477,893.00</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44,626,604.97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5,344,217.90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4,490,076.93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54,460,899.80</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4,388,080.75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669,226.73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326,926.16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5,384,233.64</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730,120.04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537,921.86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161,500.31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1,429,542.21</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730,120.04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537,921.86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161,500.31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1,429,542.21</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460,900.49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460,900.49</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460,900.49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460,900.49</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4,657,300.30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1,207,148.59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488,426.47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6,352,875.36</w:t>
            </w:r>
          </w:p>
        </w:tc>
      </w:tr>
      <w:tr>
        <w:trPr>
          <w:trHeight w:val="330"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39,969,304.67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4,137,069.31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4,001,650.46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48,108,024.44</w:t>
            </w:r>
          </w:p>
        </w:tc>
      </w:tr>
      <w:tr>
        <w:trPr>
          <w:trHeight w:val="33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30,277,107.22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4,674,991.17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919,131.69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35,871,230.08</w:t>
            </w:r>
          </w:p>
        </w:tc>
      </w:tr>
    </w:tbl>
    <w:p>
      <w:pPr>
        <w:pStyle w:val="BodyText"/>
        <w:spacing w:line="348" w:lineRule="auto" w:before="92"/>
        <w:ind w:right="466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 其他说明：</w:t>
      </w:r>
    </w:p>
    <w:p>
      <w:pPr>
        <w:pStyle w:val="BodyText"/>
        <w:spacing w:line="240" w:lineRule="auto" w:before="44"/>
        <w:ind w:right="0"/>
        <w:jc w:val="left"/>
      </w:pPr>
      <w:r>
        <w:rPr/>
        <w:t>土地使用权为：</w:t>
      </w:r>
    </w:p>
    <w:p>
      <w:pPr>
        <w:pStyle w:val="BodyText"/>
        <w:spacing w:line="240" w:lineRule="auto" w:before="127"/>
        <w:ind w:right="0"/>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2007</w:t>
      </w:r>
      <w:r>
        <w:rPr/>
        <w:t>年取得的大丰开发区土地，面积为</w:t>
      </w:r>
      <w:r>
        <w:rPr>
          <w:rFonts w:ascii="Times New Roman" w:hAnsi="Times New Roman" w:cs="Times New Roman" w:eastAsia="Times New Roman" w:hint="default"/>
        </w:rPr>
        <w:t>130,656</w:t>
      </w:r>
      <w:r>
        <w:rPr/>
        <w:t>平方米，土地使用权期限为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日到</w:t>
      </w:r>
      <w:r>
        <w:rPr>
          <w:rFonts w:ascii="Times New Roman" w:hAnsi="Times New Roman" w:cs="Times New Roman" w:eastAsia="Times New Roman" w:hint="default"/>
        </w:rPr>
        <w:t>2057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w:t>
      </w:r>
    </w:p>
    <w:p>
      <w:pPr>
        <w:pStyle w:val="BodyText"/>
        <w:spacing w:line="240" w:lineRule="auto" w:before="112"/>
        <w:ind w:left="514" w:right="0"/>
        <w:jc w:val="left"/>
      </w:pPr>
      <w:r>
        <w:rPr>
          <w:rFonts w:ascii="Times New Roman" w:hAnsi="Times New Roman" w:cs="Times New Roman" w:eastAsia="Times New Roman" w:hint="default"/>
        </w:rPr>
        <w:t>2</w:t>
      </w:r>
      <w:r>
        <w:rPr/>
        <w:t>、本公司子公司南京丰东在溧水县开发南区的土地，面积为</w:t>
      </w:r>
      <w:r>
        <w:rPr>
          <w:rFonts w:ascii="Times New Roman" w:hAnsi="Times New Roman" w:cs="Times New Roman" w:eastAsia="Times New Roman" w:hint="default"/>
        </w:rPr>
        <w:t>13,862.50</w:t>
      </w:r>
      <w:r>
        <w:rPr/>
        <w:t>平方米。土地使用权证期限为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日至</w:t>
      </w:r>
    </w:p>
    <w:p>
      <w:pPr>
        <w:pStyle w:val="BodyText"/>
        <w:spacing w:line="240" w:lineRule="auto" w:before="52"/>
        <w:ind w:left="153" w:right="0"/>
        <w:jc w:val="left"/>
      </w:pPr>
      <w:r>
        <w:rPr>
          <w:rFonts w:ascii="Times New Roman" w:hAnsi="Times New Roman" w:cs="Times New Roman" w:eastAsia="Times New Roman" w:hint="default"/>
        </w:rPr>
        <w:t>2056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p>
    <w:p>
      <w:pPr>
        <w:pStyle w:val="BodyText"/>
        <w:spacing w:line="240" w:lineRule="auto" w:before="112"/>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、本公司子公司特种炉业在大丰开发区昌平路</w:t>
      </w:r>
      <w:r>
        <w:rPr>
          <w:rFonts w:ascii="Times New Roman" w:hAnsi="Times New Roman" w:cs="Times New Roman" w:eastAsia="Times New Roman" w:hint="default"/>
        </w:rPr>
        <w:t>7</w:t>
      </w:r>
      <w:r>
        <w:rPr/>
        <w:t>号土地，面积为</w:t>
      </w:r>
      <w:r>
        <w:rPr>
          <w:rFonts w:ascii="Times New Roman" w:hAnsi="Times New Roman" w:cs="Times New Roman" w:eastAsia="Times New Roman" w:hint="default"/>
        </w:rPr>
        <w:t>17,321.00</w:t>
      </w:r>
      <w:r>
        <w:rPr/>
        <w:t>平方米，土地使用权证期限为</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p>
    <w:p>
      <w:pPr>
        <w:pStyle w:val="BodyText"/>
        <w:spacing w:line="240" w:lineRule="auto" w:before="52"/>
        <w:ind w:left="153" w:right="0"/>
        <w:jc w:val="left"/>
      </w:pPr>
      <w:r>
        <w:rPr/>
        <w:t>日到</w:t>
      </w:r>
      <w:r>
        <w:rPr>
          <w:rFonts w:ascii="Times New Roman" w:hAnsi="Times New Roman" w:cs="Times New Roman" w:eastAsia="Times New Roman" w:hint="default"/>
        </w:rPr>
        <w:t>2053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日，该土地已抵押给江苏大丰农村商业银行，取得期末</w:t>
      </w:r>
      <w:r>
        <w:rPr>
          <w:rFonts w:ascii="Times New Roman" w:hAnsi="Times New Roman" w:cs="Times New Roman" w:eastAsia="Times New Roman" w:hint="default"/>
        </w:rPr>
        <w:t>700</w:t>
      </w:r>
      <w:r>
        <w:rPr/>
        <w:t>万元流动资金的抵押借款；</w:t>
      </w:r>
    </w:p>
    <w:p>
      <w:pPr>
        <w:pStyle w:val="BodyText"/>
        <w:spacing w:line="288" w:lineRule="auto" w:before="112"/>
        <w:ind w:left="154" w:right="1122" w:firstLine="360"/>
        <w:jc w:val="left"/>
      </w:pPr>
      <w:r>
        <w:rPr>
          <w:rFonts w:ascii="Times New Roman" w:hAnsi="Times New Roman" w:cs="Times New Roman" w:eastAsia="Times New Roman" w:hint="default"/>
        </w:rPr>
        <w:t>4</w:t>
      </w:r>
      <w:r>
        <w:rPr/>
        <w:t>、本公司子公司天津丰东在天津北辰区科技园区的土地，面积为</w:t>
      </w:r>
      <w:r>
        <w:rPr>
          <w:rFonts w:ascii="Times New Roman" w:hAnsi="Times New Roman" w:cs="Times New Roman" w:eastAsia="Times New Roman" w:hint="default"/>
        </w:rPr>
        <w:t>10,000.00</w:t>
      </w:r>
      <w:r>
        <w:rPr/>
        <w:t>平方米。土地使用权证期限为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 到</w:t>
      </w:r>
      <w:r>
        <w:rPr>
          <w:rFonts w:ascii="Times New Roman" w:hAnsi="Times New Roman" w:cs="Times New Roman" w:eastAsia="Times New Roman" w:hint="default"/>
        </w:rPr>
        <w:t>2057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p>
    <w:p>
      <w:pPr>
        <w:pStyle w:val="BodyText"/>
        <w:spacing w:line="240" w:lineRule="auto" w:before="72"/>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5</w:t>
      </w:r>
      <w:r>
        <w:rPr>
          <w:spacing w:val="-3"/>
        </w:rPr>
        <w:t>、本公司子公司上海丰东在上海市奉贤区西渡镇十街坊</w:t>
      </w:r>
      <w:r>
        <w:rPr>
          <w:rFonts w:ascii="Times New Roman" w:hAnsi="Times New Roman" w:cs="Times New Roman" w:eastAsia="Times New Roman" w:hint="default"/>
          <w:spacing w:val="-3"/>
        </w:rPr>
        <w:t>1/11</w:t>
      </w:r>
      <w:r>
        <w:rPr>
          <w:spacing w:val="-3"/>
        </w:rPr>
        <w:t>丘土地，面积为</w:t>
      </w:r>
      <w:r>
        <w:rPr>
          <w:rFonts w:ascii="Times New Roman" w:hAnsi="Times New Roman" w:cs="Times New Roman" w:eastAsia="Times New Roman" w:hint="default"/>
          <w:spacing w:val="-3"/>
        </w:rPr>
        <w:t>12,154.80</w:t>
      </w:r>
      <w:r>
        <w:rPr>
          <w:spacing w:val="-3"/>
        </w:rPr>
        <w:t>平方米，土地使用权证期限为</w:t>
      </w:r>
      <w:r>
        <w:rPr>
          <w:rFonts w:ascii="Times New Roman" w:hAnsi="Times New Roman" w:cs="Times New Roman" w:eastAsia="Times New Roman" w:hint="default"/>
          <w:spacing w:val="-3"/>
        </w:rPr>
        <w:t>2005</w:t>
      </w:r>
    </w:p>
    <w:p>
      <w:pPr>
        <w:pStyle w:val="BodyText"/>
        <w:spacing w:line="240" w:lineRule="auto" w:before="52"/>
        <w:ind w:left="153" w:right="0"/>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日到</w:t>
      </w:r>
      <w:r>
        <w:rPr>
          <w:rFonts w:ascii="Times New Roman" w:hAnsi="Times New Roman" w:cs="Times New Roman" w:eastAsia="Times New Roman" w:hint="default"/>
        </w:rPr>
        <w:t>2055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w:t>
      </w:r>
    </w:p>
    <w:p>
      <w:pPr>
        <w:pStyle w:val="BodyText"/>
        <w:spacing w:line="240" w:lineRule="auto" w:before="112"/>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、本公司子公司天津丰东在天津市北辰区天津风电产业园的土地，面积为</w:t>
      </w:r>
      <w:r>
        <w:rPr>
          <w:rFonts w:ascii="Times New Roman" w:hAnsi="Times New Roman" w:cs="Times New Roman" w:eastAsia="Times New Roman" w:hint="default"/>
        </w:rPr>
        <w:t>33,333.40</w:t>
      </w:r>
      <w:r>
        <w:rPr/>
        <w:t>平方米，土地使用权证期限为</w:t>
      </w:r>
      <w:r>
        <w:rPr>
          <w:rFonts w:ascii="Times New Roman" w:hAnsi="Times New Roman" w:cs="Times New Roman" w:eastAsia="Times New Roman" w:hint="default"/>
        </w:rPr>
        <w:t>2014</w:t>
      </w:r>
    </w:p>
    <w:p>
      <w:pPr>
        <w:pStyle w:val="BodyText"/>
        <w:spacing w:line="348" w:lineRule="auto" w:before="52"/>
        <w:ind w:left="514" w:right="2192" w:hanging="360"/>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日到</w:t>
      </w:r>
      <w:r>
        <w:rPr>
          <w:rFonts w:ascii="Times New Roman" w:hAnsi="Times New Roman" w:cs="Times New Roman" w:eastAsia="Times New Roman" w:hint="default"/>
        </w:rPr>
        <w:t>2064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 非专利技术为本公司取得的日本东方</w:t>
      </w:r>
      <w:r>
        <w:rPr>
          <w:rFonts w:ascii="Times New Roman" w:hAnsi="Times New Roman" w:cs="Times New Roman" w:eastAsia="Times New Roman" w:hint="default"/>
        </w:rPr>
        <w:t>VCQ1000</w:t>
      </w:r>
      <w:r>
        <w:rPr/>
        <w:t>真空渗碳炉技术使用权、日本东方</w:t>
      </w:r>
      <w:r>
        <w:rPr>
          <w:rFonts w:ascii="Times New Roman" w:hAnsi="Times New Roman" w:cs="Times New Roman" w:eastAsia="Times New Roman" w:hint="default"/>
        </w:rPr>
        <w:t>SPERIA</w:t>
      </w:r>
      <w:r>
        <w:rPr/>
        <w:t>箱式光辉浸炭炉</w:t>
      </w:r>
    </w:p>
    <w:p>
      <w:pPr>
        <w:pStyle w:val="BodyText"/>
        <w:spacing w:line="210" w:lineRule="exact"/>
        <w:ind w:left="153" w:right="0"/>
        <w:jc w:val="left"/>
      </w:pPr>
      <w:r>
        <w:rPr>
          <w:rFonts w:ascii="Times New Roman" w:hAnsi="Times New Roman" w:cs="Times New Roman" w:eastAsia="Times New Roman" w:hint="default"/>
        </w:rPr>
        <w:t>BBH-5000G-2R</w:t>
      </w:r>
      <w:r>
        <w:rPr/>
        <w:t>技术使用权、单双排推盘式连续渗碳炉及大型井式有马弗渗碳炉技术使用权等。</w:t>
      </w:r>
    </w:p>
    <w:p>
      <w:pPr>
        <w:spacing w:after="0" w:line="210" w:lineRule="exact"/>
        <w:jc w:val="left"/>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3、开发支出" w:id="267"/>
      <w:bookmarkEnd w:id="267"/>
      <w:r>
        <w:rPr>
          <w:b w:val="0"/>
          <w:bCs w:val="0"/>
        </w:rPr>
      </w:r>
      <w:r>
        <w:rPr>
          <w:rFonts w:ascii="Times New Roman" w:hAnsi="Times New Roman" w:cs="Times New Roman" w:eastAsia="Times New Roman" w:hint="default"/>
        </w:rPr>
        <w:t>23</w:t>
      </w:r>
      <w:r>
        <w:rPr/>
        <w:t>、开发支出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268"/>
      <w:bookmarkEnd w:id="268"/>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4、商誉" w:id="269"/>
      <w:bookmarkEnd w:id="269"/>
      <w:r>
        <w:rPr>
          <w:b w:val="0"/>
          <w:bCs w:val="0"/>
        </w:rPr>
      </w:r>
      <w:r>
        <w:rPr>
          <w:rFonts w:ascii="Times New Roman" w:hAnsi="Times New Roman" w:cs="Times New Roman" w:eastAsia="Times New Roman" w:hint="default"/>
        </w:rPr>
        <w:t>24</w:t>
      </w:r>
      <w:r>
        <w:rPr/>
        <w:t>、商誉</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70"/>
      <w:bookmarkEnd w:id="27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370"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98"/>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4,833,418.62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4,833,418.62</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15,475.33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15,475.33</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216,477.98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216,477.98</w:t>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853,922.04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853,922.04</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5,919,293.97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5,919,293.97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71"/>
      <w:bookmarkEnd w:id="27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宋体" w:hAnsi="宋体" w:cs="宋体" w:eastAsia="宋体" w:hint="default"/>
          <w:sz w:val="4"/>
          <w:szCs w:val="4"/>
        </w:rPr>
      </w:pPr>
    </w:p>
    <w:p>
      <w:pPr>
        <w:pStyle w:val="BodyText"/>
        <w:spacing w:line="391" w:lineRule="auto" w:before="44"/>
        <w:ind w:left="514" w:right="5712"/>
        <w:jc w:val="left"/>
      </w:pPr>
      <w:r>
        <w:rPr/>
        <w:t>说明商誉减值测试过程、参数及商誉减值损失的确认方法： 其他说明</w:t>
      </w:r>
    </w:p>
    <w:p>
      <w:pPr>
        <w:pStyle w:val="BodyText"/>
        <w:spacing w:line="240" w:lineRule="auto" w:before="64"/>
        <w:ind w:left="514" w:right="0"/>
        <w:jc w:val="left"/>
      </w:pPr>
      <w:r>
        <w:rPr/>
        <w:t>商誉形成的原因：</w:t>
      </w:r>
    </w:p>
    <w:p>
      <w:pPr>
        <w:spacing w:line="240" w:lineRule="auto" w:before="4"/>
        <w:rPr>
          <w:rFonts w:ascii="宋体" w:hAnsi="宋体" w:cs="宋体" w:eastAsia="宋体" w:hint="default"/>
          <w:sz w:val="14"/>
          <w:szCs w:val="14"/>
        </w:rPr>
      </w:pPr>
    </w:p>
    <w:p>
      <w:pPr>
        <w:pStyle w:val="BodyText"/>
        <w:spacing w:line="240" w:lineRule="auto"/>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月，公司出资</w:t>
      </w:r>
      <w:r>
        <w:rPr>
          <w:rFonts w:ascii="Times New Roman" w:hAnsi="Times New Roman" w:cs="Times New Roman" w:eastAsia="Times New Roman" w:hint="default"/>
        </w:rPr>
        <w:t>10,800,000.00</w:t>
      </w:r>
      <w:r>
        <w:rPr/>
        <w:t>元收购南京顺捷热处理加工有限公司（后更名南京丰东热处理工程有限公司）</w:t>
      </w:r>
    </w:p>
    <w:p>
      <w:pPr>
        <w:pStyle w:val="BodyText"/>
        <w:spacing w:line="240" w:lineRule="auto" w:before="111"/>
        <w:ind w:left="153" w:right="0"/>
        <w:jc w:val="left"/>
      </w:pPr>
      <w:r>
        <w:rPr>
          <w:rFonts w:ascii="Times New Roman" w:hAnsi="Times New Roman" w:cs="Times New Roman" w:eastAsia="Times New Roman" w:hint="default"/>
        </w:rPr>
        <w:t>80%</w:t>
      </w:r>
      <w:r>
        <w:rPr/>
        <w:t>的股权，按持股比例享有的可辨认净资产公允价值为</w:t>
      </w:r>
      <w:r>
        <w:rPr>
          <w:rFonts w:ascii="Times New Roman" w:hAnsi="Times New Roman" w:cs="Times New Roman" w:eastAsia="Times New Roman" w:hint="default"/>
        </w:rPr>
        <w:t>5,966,581.38</w:t>
      </w:r>
      <w:r>
        <w:rPr/>
        <w:t>元，由此形成溢价差额</w:t>
      </w:r>
      <w:r>
        <w:rPr>
          <w:rFonts w:ascii="Times New Roman" w:hAnsi="Times New Roman" w:cs="Times New Roman" w:eastAsia="Times New Roman" w:hint="default"/>
        </w:rPr>
        <w:t>4,833,418.62</w:t>
      </w:r>
      <w:r>
        <w:rPr/>
        <w:t>元。</w:t>
      </w:r>
    </w:p>
    <w:p>
      <w:pPr>
        <w:spacing w:line="240" w:lineRule="auto" w:before="2"/>
        <w:rPr>
          <w:rFonts w:ascii="宋体" w:hAnsi="宋体" w:cs="宋体" w:eastAsia="宋体" w:hint="default"/>
          <w:sz w:val="13"/>
          <w:szCs w:val="13"/>
        </w:rPr>
      </w:pPr>
    </w:p>
    <w:p>
      <w:pPr>
        <w:pStyle w:val="BodyText"/>
        <w:spacing w:line="348" w:lineRule="auto"/>
        <w:ind w:left="154" w:right="113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月及</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月，公司分期出资</w:t>
      </w:r>
      <w:r>
        <w:rPr>
          <w:rFonts w:ascii="Times New Roman" w:hAnsi="Times New Roman" w:cs="Times New Roman" w:eastAsia="Times New Roman" w:hint="default"/>
        </w:rPr>
        <w:t>4,856,800.00</w:t>
      </w:r>
      <w:r>
        <w:rPr/>
        <w:t>元、</w:t>
      </w:r>
      <w:r>
        <w:rPr>
          <w:rFonts w:ascii="Times New Roman" w:hAnsi="Times New Roman" w:cs="Times New Roman" w:eastAsia="Times New Roman" w:hint="default"/>
        </w:rPr>
        <w:t>7,200,000.00</w:t>
      </w:r>
      <w:r>
        <w:rPr/>
        <w:t>元与</w:t>
      </w:r>
      <w:r>
        <w:rPr>
          <w:rFonts w:ascii="Times New Roman" w:hAnsi="Times New Roman" w:cs="Times New Roman" w:eastAsia="Times New Roman" w:hint="default"/>
        </w:rPr>
        <w:t>6,216,000.00</w:t>
      </w:r>
      <w:r>
        <w:rPr/>
        <w:t>元，设立天津丰 </w:t>
      </w:r>
      <w:r>
        <w:rPr>
          <w:spacing w:val="-1"/>
        </w:rPr>
        <w:t>东晨旭金属科技有限公司（后更名为天津丰东热处理有限公司），持股比例</w:t>
      </w:r>
      <w:r>
        <w:rPr>
          <w:rFonts w:ascii="Times New Roman" w:hAnsi="Times New Roman" w:cs="Times New Roman" w:eastAsia="Times New Roman" w:hint="default"/>
          <w:spacing w:val="-1"/>
        </w:rPr>
        <w:t>65%</w:t>
      </w:r>
      <w:r>
        <w:rPr>
          <w:spacing w:val="-1"/>
        </w:rPr>
        <w:t>，按持股比例享有的可辨认净资产公允价值</w:t>
      </w:r>
      <w:r>
        <w:rPr/>
        <w:t> 为</w:t>
      </w:r>
      <w:r>
        <w:rPr>
          <w:rFonts w:ascii="Times New Roman" w:hAnsi="Times New Roman" w:cs="Times New Roman" w:eastAsia="Times New Roman" w:hint="default"/>
        </w:rPr>
        <w:t>18,257,324.67</w:t>
      </w:r>
      <w:r>
        <w:rPr/>
        <w:t>元，因汇率因素形成溢价差额</w:t>
      </w:r>
      <w:r>
        <w:rPr>
          <w:rFonts w:ascii="Times New Roman" w:hAnsi="Times New Roman" w:cs="Times New Roman" w:eastAsia="Times New Roman" w:hint="default"/>
        </w:rPr>
        <w:t>15,475.33</w:t>
      </w:r>
      <w:r>
        <w:rPr/>
        <w:t>元。</w:t>
      </w:r>
    </w:p>
    <w:p>
      <w:pPr>
        <w:pStyle w:val="BodyText"/>
        <w:spacing w:line="348" w:lineRule="auto" w:before="82"/>
        <w:ind w:left="153" w:right="115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月，公司出资</w:t>
      </w:r>
      <w:r>
        <w:rPr>
          <w:rFonts w:ascii="Times New Roman" w:hAnsi="Times New Roman" w:cs="Times New Roman" w:eastAsia="Times New Roman" w:hint="default"/>
        </w:rPr>
        <w:t>990,000.00</w:t>
      </w:r>
      <w:r>
        <w:rPr/>
        <w:t>元，增持盐城丰东特种炉业有限公司</w:t>
      </w:r>
      <w:r>
        <w:rPr>
          <w:rFonts w:ascii="Times New Roman" w:hAnsi="Times New Roman" w:cs="Times New Roman" w:eastAsia="Times New Roman" w:hint="default"/>
        </w:rPr>
        <w:t>11%</w:t>
      </w:r>
      <w:r>
        <w:rPr/>
        <w:t>的股份，按持股比例享有的可辨认净资产 公允价值为</w:t>
      </w:r>
      <w:r>
        <w:rPr>
          <w:rFonts w:ascii="Times New Roman" w:hAnsi="Times New Roman" w:cs="Times New Roman" w:eastAsia="Times New Roman" w:hint="default"/>
        </w:rPr>
        <w:t>773,522.02</w:t>
      </w:r>
      <w:r>
        <w:rPr/>
        <w:t>元，由此形成溢价差额</w:t>
      </w:r>
      <w:r>
        <w:rPr>
          <w:rFonts w:ascii="Times New Roman" w:hAnsi="Times New Roman" w:cs="Times New Roman" w:eastAsia="Times New Roman" w:hint="default"/>
        </w:rPr>
        <w:t>216,477.98</w:t>
      </w:r>
      <w:r>
        <w:rPr/>
        <w:t>元。</w:t>
      </w:r>
    </w:p>
    <w:p>
      <w:pPr>
        <w:pStyle w:val="BodyText"/>
        <w:spacing w:line="348" w:lineRule="auto" w:before="82"/>
        <w:ind w:left="153" w:right="1033"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月，公司出资</w:t>
      </w:r>
      <w:r>
        <w:rPr>
          <w:rFonts w:ascii="Times New Roman" w:hAnsi="Times New Roman" w:cs="Times New Roman" w:eastAsia="Times New Roman" w:hint="default"/>
        </w:rPr>
        <w:t>7,272,000.00</w:t>
      </w:r>
      <w:r>
        <w:rPr/>
        <w:t>元收购上海丰东热处理工程有限公司</w:t>
      </w:r>
      <w:r>
        <w:rPr>
          <w:rFonts w:ascii="Times New Roman" w:hAnsi="Times New Roman" w:cs="Times New Roman" w:eastAsia="Times New Roman" w:hint="default"/>
        </w:rPr>
        <w:t>90%</w:t>
      </w:r>
      <w:r>
        <w:rPr/>
        <w:t>的股权，根据上海银信汇业资产评估有 限公司沪银信汇业评报字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1124</w:t>
      </w:r>
      <w:r>
        <w:rPr/>
        <w:t>号评估报告，上海丰东热处理工程有限公司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日为评估基准日的净资产为 </w:t>
      </w:r>
      <w:r>
        <w:rPr>
          <w:rFonts w:ascii="Times New Roman" w:hAnsi="Times New Roman" w:cs="Times New Roman" w:eastAsia="Times New Roman" w:hint="default"/>
        </w:rPr>
        <w:t>8,027,741.77</w:t>
      </w:r>
      <w:r>
        <w:rPr/>
        <w:t>元，其中无形资产</w:t>
      </w:r>
      <w:r>
        <w:rPr>
          <w:rFonts w:ascii="Times New Roman" w:hAnsi="Times New Roman" w:cs="Times New Roman" w:eastAsia="Times New Roman" w:hint="default"/>
        </w:rPr>
        <w:t>—</w:t>
      </w:r>
      <w:r>
        <w:rPr/>
        <w:t>土地使用权增值</w:t>
      </w:r>
      <w:r>
        <w:rPr>
          <w:rFonts w:ascii="Times New Roman" w:hAnsi="Times New Roman" w:cs="Times New Roman" w:eastAsia="Times New Roman" w:hint="default"/>
        </w:rPr>
        <w:t>3,586,176.15</w:t>
      </w:r>
      <w:r>
        <w:rPr/>
        <w:t>元。本公司以该评估净资产扣除按无形资产增值额计提的递延 所得税负债</w:t>
      </w:r>
      <w:r>
        <w:rPr>
          <w:rFonts w:ascii="Times New Roman" w:hAnsi="Times New Roman" w:cs="Times New Roman" w:eastAsia="Times New Roman" w:hint="default"/>
        </w:rPr>
        <w:t>896,544.04</w:t>
      </w:r>
      <w:r>
        <w:rPr/>
        <w:t>元后的金额</w:t>
      </w:r>
      <w:r>
        <w:rPr>
          <w:rFonts w:ascii="Times New Roman" w:hAnsi="Times New Roman" w:cs="Times New Roman" w:eastAsia="Times New Roman" w:hint="default"/>
        </w:rPr>
        <w:t>7,131,197.73</w:t>
      </w:r>
      <w:r>
        <w:rPr/>
        <w:t>为公允价值收购，按持股比例享有的可辨认净资产公允价值为</w:t>
      </w:r>
      <w:r>
        <w:rPr>
          <w:rFonts w:ascii="Times New Roman" w:hAnsi="Times New Roman" w:cs="Times New Roman" w:eastAsia="Times New Roman" w:hint="default"/>
        </w:rPr>
        <w:t>6,418,077.96</w:t>
      </w:r>
      <w:r>
        <w:rPr/>
        <w:t>元，</w:t>
      </w:r>
      <w:r>
        <w:rPr>
          <w:spacing w:val="1"/>
        </w:rPr>
        <w:t> </w:t>
      </w:r>
      <w:r>
        <w:rPr/>
        <w:t>由此形成溢价差额</w:t>
      </w:r>
      <w:r>
        <w:rPr>
          <w:rFonts w:ascii="Times New Roman" w:hAnsi="Times New Roman" w:cs="Times New Roman" w:eastAsia="Times New Roman" w:hint="default"/>
        </w:rPr>
        <w:t>853,922.04</w:t>
      </w:r>
      <w:r>
        <w:rPr/>
        <w:t>元。</w:t>
      </w:r>
    </w:p>
    <w:p>
      <w:pPr>
        <w:spacing w:after="0" w:line="348" w:lineRule="auto"/>
        <w:jc w:val="left"/>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5、长期待摊费用" w:id="272"/>
      <w:bookmarkEnd w:id="272"/>
      <w:r>
        <w:rPr>
          <w:b w:val="0"/>
          <w:bCs w:val="0"/>
        </w:rPr>
      </w:r>
      <w:r>
        <w:rPr>
          <w:rFonts w:ascii="Times New Roman" w:hAnsi="Times New Roman" w:cs="Times New Roman" w:eastAsia="Times New Roman" w:hint="default"/>
        </w:rPr>
        <w:t>25</w:t>
      </w:r>
      <w:r>
        <w:rPr/>
        <w:t>、长期待摊费用</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189,090.96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14,545.44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174,545.52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875,442.15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1,154,291.71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352,485.23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1,677,248.63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34,951.78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327,591.49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58,753.79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303,789.48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1,099,484.89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1,481,883.20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425,784.46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2,155,583.63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递延所得税资产/递延所得税负债" w:id="273"/>
      <w:bookmarkEnd w:id="273"/>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4"/>
      <w:bookmarkEnd w:id="27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12,109,500.86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1,923,965.77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9,557,065.41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1,499,273.18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23,146,781.41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4,019,433.69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15,697,140.31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2,354,571.04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2,949,604.42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655,711.35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3,876,178.09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774,051.10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10,165,637.37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1,524,845.61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840,062.54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141,555.64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48,371,524.06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8,123,956.42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29,970,446.35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4,769,450.96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5"/>
      <w:bookmarkEnd w:id="27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3,115,649.39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778,912.20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3,191,951.03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797,987.64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3,115,649.39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778,912.20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3,191,951.03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797,987.64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76"/>
      <w:bookmarkEnd w:id="27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8,123,956.42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4,769,450.96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778,912.20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797,987.64</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7、其他非流动资产" w:id="277"/>
      <w:bookmarkEnd w:id="277"/>
      <w:r>
        <w:rPr>
          <w:b w:val="0"/>
          <w:bCs w:val="0"/>
        </w:rPr>
      </w:r>
      <w:r>
        <w:rPr>
          <w:rFonts w:ascii="Times New Roman" w:hAnsi="Times New Roman" w:cs="Times New Roman" w:eastAsia="Times New Roman" w:hint="default"/>
        </w:rPr>
        <w:t>27</w:t>
      </w:r>
      <w:r>
        <w:rPr/>
        <w:t>、其他非流动资产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278"/>
      <w:bookmarkEnd w:id="278"/>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短期借款" w:id="279"/>
      <w:bookmarkEnd w:id="279"/>
      <w:r>
        <w:rPr>
          <w:b w:val="0"/>
          <w:bCs w:val="0"/>
        </w:rPr>
      </w:r>
      <w:r>
        <w:rPr>
          <w:rFonts w:ascii="Times New Roman" w:hAnsi="Times New Roman" w:cs="Times New Roman" w:eastAsia="Times New Roman" w:hint="default"/>
        </w:rPr>
        <w:t>28</w:t>
      </w:r>
      <w:r>
        <w:rPr/>
        <w:t>、短期借款</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0"/>
      <w:bookmarkEnd w:id="28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bl>
    <w:p>
      <w:pPr>
        <w:pStyle w:val="BodyText"/>
        <w:spacing w:line="357" w:lineRule="auto" w:before="51"/>
        <w:ind w:left="514" w:right="0"/>
        <w:jc w:val="left"/>
      </w:pPr>
      <w:r>
        <w:rPr/>
        <w:t>短期借款分类的说明： </w:t>
      </w:r>
      <w:r>
        <w:rPr>
          <w:spacing w:val="-1"/>
        </w:rPr>
        <w:t>上述期末保证借款中</w:t>
      </w:r>
      <w:r>
        <w:rPr>
          <w:rFonts w:ascii="Times New Roman" w:hAnsi="Times New Roman" w:cs="Times New Roman" w:eastAsia="Times New Roman" w:hint="default"/>
          <w:spacing w:val="-1"/>
        </w:rPr>
        <w:t>1,000</w:t>
      </w:r>
      <w:r>
        <w:rPr>
          <w:spacing w:val="-1"/>
        </w:rPr>
        <w:t>万元系本公司借款，由大丰市东润投资管理有限公司提供保证；</w:t>
      </w:r>
      <w:r>
        <w:rPr>
          <w:rFonts w:ascii="Times New Roman" w:hAnsi="Times New Roman" w:cs="Times New Roman" w:eastAsia="Times New Roman" w:hint="default"/>
          <w:spacing w:val="-1"/>
        </w:rPr>
        <w:t>300</w:t>
      </w:r>
      <w:r>
        <w:rPr>
          <w:spacing w:val="-1"/>
        </w:rPr>
        <w:t>万元系子公司特种炉业借</w:t>
      </w:r>
    </w:p>
    <w:p>
      <w:pPr>
        <w:pStyle w:val="BodyText"/>
        <w:spacing w:line="201" w:lineRule="exact"/>
        <w:ind w:left="153" w:right="0"/>
        <w:jc w:val="left"/>
      </w:pPr>
      <w:r>
        <w:rPr/>
        <w:t>款，该借款由大丰市长江机械制造有限公司、韩志春提供保证；期末抵押借款系子公司特种炉业借款，该借款由特种炉业以</w:t>
      </w:r>
    </w:p>
    <w:p>
      <w:pPr>
        <w:pStyle w:val="BodyText"/>
        <w:spacing w:line="240" w:lineRule="auto" w:before="76"/>
        <w:ind w:left="153" w:right="0"/>
        <w:jc w:val="left"/>
      </w:pPr>
      <w:r>
        <w:rPr/>
        <w:t>自有房产及土地使用权作抵押。</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9、以公允价值计量且其变动计入当期损益的金融负债" w:id="281"/>
      <w:bookmarkEnd w:id="281"/>
      <w:r>
        <w:rPr>
          <w:b w:val="0"/>
          <w:bCs w:val="0"/>
        </w:rPr>
      </w:r>
      <w:r>
        <w:rPr>
          <w:rFonts w:ascii="Times New Roman" w:hAnsi="Times New Roman" w:cs="Times New Roman" w:eastAsia="Times New Roman" w:hint="default"/>
        </w:rPr>
        <w:t>29</w:t>
      </w:r>
      <w:r>
        <w:rPr/>
        <w:t>、以公允价值计量且其变动计入当期损益的金融负债</w:t>
      </w:r>
      <w:r>
        <w:rPr>
          <w:b w:val="0"/>
          <w:bCs w:val="0"/>
        </w:rPr>
      </w:r>
    </w:p>
    <w:p>
      <w:pPr>
        <w:pStyle w:val="BodyText"/>
        <w:spacing w:line="240" w:lineRule="auto" w:before="146"/>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0、衍生金融负债" w:id="282"/>
      <w:bookmarkEnd w:id="282"/>
      <w:r>
        <w:rPr>
          <w:b w:val="0"/>
          <w:bCs w:val="0"/>
        </w:rPr>
      </w:r>
      <w:r>
        <w:rPr>
          <w:rFonts w:ascii="Times New Roman" w:hAnsi="Times New Roman" w:cs="Times New Roman" w:eastAsia="Times New Roman" w:hint="default"/>
        </w:rPr>
        <w:t>30</w:t>
      </w:r>
      <w:r>
        <w:rPr/>
        <w:t>、衍生金融负债</w:t>
      </w:r>
      <w:r>
        <w:rPr>
          <w:b w:val="0"/>
          <w:bCs w:val="0"/>
        </w:rPr>
      </w:r>
    </w:p>
    <w:p>
      <w:pPr>
        <w:spacing w:line="544" w:lineRule="auto" w:before="147"/>
        <w:ind w:left="513" w:right="90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1、应付票据" w:id="283"/>
      <w:bookmarkEnd w:id="283"/>
      <w:r>
        <w:rPr>
          <w:rFonts w:ascii="宋体" w:hAnsi="宋体" w:cs="宋体" w:eastAsia="宋体" w:hint="default"/>
          <w:sz w:val="18"/>
          <w:szCs w:val="18"/>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、应付票据</w:t>
      </w:r>
      <w:r>
        <w:rPr>
          <w:rFonts w:ascii="宋体" w:hAnsi="宋体" w:cs="宋体" w:eastAsia="宋体" w:hint="default"/>
          <w:b/>
          <w:bCs/>
          <w:w w:val="99"/>
          <w:sz w:val="21"/>
          <w:szCs w:val="21"/>
        </w:rPr>
        <w:t> </w:t>
      </w:r>
      <w:bookmarkStart w:name="上适用" w:id="284"/>
      <w:bookmarkEnd w:id="284"/>
      <w:r>
        <w:rPr>
          <w:rFonts w:ascii="宋体" w:hAnsi="宋体" w:cs="宋体" w:eastAsia="宋体" w:hint="default"/>
          <w:b/>
          <w:bCs/>
          <w:w w:val="99"/>
          <w:sz w:val="21"/>
          <w:szCs w:val="21"/>
        </w:rPr>
      </w:r>
      <w:r>
        <w:rPr>
          <w:rFonts w:ascii="宋体" w:hAnsi="宋体" w:cs="宋体" w:eastAsia="宋体" w:hint="default"/>
          <w:sz w:val="18"/>
          <w:szCs w:val="18"/>
        </w:rPr>
        <w:t>不适用</w:t>
      </w:r>
    </w:p>
    <w:p>
      <w:pPr>
        <w:pStyle w:val="Heading3"/>
        <w:spacing w:line="240" w:lineRule="auto" w:before="122"/>
        <w:ind w:right="0"/>
        <w:jc w:val="both"/>
        <w:rPr>
          <w:b w:val="0"/>
          <w:bCs w:val="0"/>
        </w:rPr>
      </w:pPr>
      <w:bookmarkStart w:name="32、应付账款" w:id="285"/>
      <w:bookmarkEnd w:id="285"/>
      <w:r>
        <w:rPr>
          <w:b w:val="0"/>
          <w:bCs w:val="0"/>
        </w:rPr>
      </w:r>
      <w:r>
        <w:rPr>
          <w:rFonts w:ascii="Times New Roman" w:hAnsi="Times New Roman" w:cs="Times New Roman" w:eastAsia="Times New Roman" w:hint="default"/>
        </w:rPr>
        <w:t>32</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应付账款列示" w:id="286"/>
      <w:bookmarkEnd w:id="286"/>
      <w:r>
        <w:rPr>
          <w:b w:val="0"/>
          <w:bCs w:val="0"/>
        </w:rPr>
      </w:r>
      <w:r>
        <w:rPr/>
        <w:t>（</w:t>
      </w:r>
      <w:r>
        <w:rPr>
          <w:rFonts w:ascii="Times New Roman" w:hAnsi="Times New Roman" w:cs="Times New Roman" w:eastAsia="Times New Roman" w:hint="default"/>
        </w:rPr>
        <w:t>1</w:t>
      </w:r>
      <w:r>
        <w:rPr/>
        <w:t>）应付账款列示</w:t>
      </w:r>
      <w:r>
        <w:rPr>
          <w:b w:val="0"/>
          <w:bCs w:val="0"/>
        </w:rPr>
      </w:r>
    </w:p>
    <w:p>
      <w:pPr>
        <w:pStyle w:val="BodyText"/>
        <w:spacing w:line="240" w:lineRule="auto" w:before="14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52,043,772.68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43,606,494.79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3,772,835.15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3,551,086.62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646,612.73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2,545,536.67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683,535.42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876,600.47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57,146,755.98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50,579,718.55</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3、预收款项" w:id="287"/>
      <w:bookmarkEnd w:id="287"/>
      <w:r>
        <w:rPr>
          <w:b w:val="0"/>
          <w:bCs w:val="0"/>
        </w:rPr>
      </w:r>
      <w:r>
        <w:rPr>
          <w:rFonts w:ascii="Times New Roman" w:hAnsi="Times New Roman" w:cs="Times New Roman" w:eastAsia="Times New Roman" w:hint="default"/>
        </w:rPr>
        <w:t>33</w:t>
      </w:r>
      <w:r>
        <w:rPr/>
        <w:t>、预收款项</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8"/>
      <w:bookmarkEnd w:id="28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116,773,944.92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64,519,224.08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6,876,593.68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7,253,977.66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846,470.00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5,421,346.60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4,454,486.24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1,333,020.00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128,951,494.84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78,527,568.34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2,241,462.00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项目暂停</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1,390,341.89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项目进行中，部分已发货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1,049,162.45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已发货，调试中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714,871.80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已发货，调试中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5,395,838.14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应付职工薪酬" w:id="290"/>
      <w:bookmarkEnd w:id="290"/>
      <w:r>
        <w:rPr>
          <w:b w:val="0"/>
          <w:bCs w:val="0"/>
        </w:rPr>
      </w:r>
      <w:r>
        <w:rPr>
          <w:rFonts w:ascii="Times New Roman" w:hAnsi="Times New Roman" w:cs="Times New Roman" w:eastAsia="Times New Roman" w:hint="default"/>
        </w:rPr>
        <w:t>34</w:t>
      </w:r>
      <w:r>
        <w:rPr/>
        <w:t>、应付职工薪酬</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1"/>
      <w:bookmarkEnd w:id="29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856"/>
        <w:gridCol w:w="1842"/>
        <w:gridCol w:w="1701"/>
        <w:gridCol w:w="163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5,553,572.53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73,825,421.48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72,369,841.03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7,009,152.98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6,209,215.16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6,209,215.16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56" w:type="dxa"/>
            <w:tcBorders>
              <w:top w:val="single" w:sz="4" w:space="0" w:color="000000"/>
              <w:left w:val="single" w:sz="10" w:space="0" w:color="D2D2D2"/>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5,553,572.53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80,044,236.64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78,588,656.19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7,009,152.98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2"/>
      <w:bookmarkEnd w:id="29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1766"/>
        <w:gridCol w:w="1756"/>
        <w:gridCol w:w="1755"/>
        <w:gridCol w:w="1754"/>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5,250,818.53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64,894,393.81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63,266,795.12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6,878,417.22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215,372.00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3,183,725.48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3,399,097.48</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66" w:type="dxa"/>
            <w:tcBorders>
              <w:top w:val="single" w:sz="4" w:space="0" w:color="000000"/>
              <w:left w:val="single" w:sz="10" w:space="0" w:color="D2D2D2"/>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3,271,568.73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3,271,568.73</w:t>
            </w:r>
          </w:p>
        </w:tc>
        <w:tc>
          <w:tcPr>
            <w:tcW w:w="17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41"/>
        <w:gridCol w:w="1766"/>
        <w:gridCol w:w="1756"/>
        <w:gridCol w:w="1755"/>
        <w:gridCol w:w="1754"/>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66" w:type="dxa"/>
            <w:tcBorders>
              <w:top w:val="single" w:sz="4" w:space="0" w:color="000000"/>
              <w:left w:val="single" w:sz="10" w:space="0" w:color="D2D2D2"/>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2,539,572.70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2,539,572.70</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66" w:type="dxa"/>
            <w:tcBorders>
              <w:top w:val="single" w:sz="4" w:space="0" w:color="000000"/>
              <w:left w:val="single" w:sz="10" w:space="0" w:color="D2D2D2"/>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412,369.67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412,369.67</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66" w:type="dxa"/>
            <w:tcBorders>
              <w:top w:val="single" w:sz="4" w:space="0" w:color="000000"/>
              <w:left w:val="single" w:sz="10" w:space="0" w:color="D2D2D2"/>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193,204.50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193,204.50</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322"/>
              <w:jc w:val="center"/>
              <w:rPr>
                <w:rFonts w:ascii="宋体" w:hAnsi="宋体" w:cs="宋体" w:eastAsia="宋体" w:hint="default"/>
                <w:sz w:val="18"/>
                <w:szCs w:val="18"/>
              </w:rPr>
            </w:pPr>
            <w:r>
              <w:rPr>
                <w:rFonts w:ascii="宋体" w:hAnsi="宋体" w:cs="宋体" w:eastAsia="宋体" w:hint="default"/>
                <w:sz w:val="18"/>
                <w:szCs w:val="18"/>
              </w:rPr>
              <w:t>其他</w:t>
            </w:r>
          </w:p>
        </w:tc>
        <w:tc>
          <w:tcPr>
            <w:tcW w:w="1766" w:type="dxa"/>
            <w:tcBorders>
              <w:top w:val="single" w:sz="4" w:space="0" w:color="000000"/>
              <w:left w:val="single" w:sz="10" w:space="0" w:color="D9D9D9"/>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126,421.86</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14,180.00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1,693,422.50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1,691,258.50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16,344.00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73,202.00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782,310.96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741,121.20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114,391.76</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5,553,572.53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73,825,421.48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72,369,841.03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7,009,152.98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3"/>
      <w:bookmarkEnd w:id="29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5,862,408.27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5,862,408.27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346,806.89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346,806.89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6,209,215.16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6,209,215.16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应交税费" w:id="294"/>
      <w:bookmarkEnd w:id="294"/>
      <w:r>
        <w:rPr>
          <w:b w:val="0"/>
          <w:bCs w:val="0"/>
        </w:rPr>
      </w:r>
      <w:r>
        <w:rPr>
          <w:rFonts w:ascii="Times New Roman" w:hAnsi="Times New Roman" w:cs="Times New Roman" w:eastAsia="Times New Roman" w:hint="default"/>
        </w:rPr>
        <w:t>35</w:t>
      </w:r>
      <w:r>
        <w:rPr/>
        <w:t>、应交税费</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2,459,885.84</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958,216.14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3,462,200.42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1,293,687.69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93,597.56</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78,109.63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180,649.84</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116,314.02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160,960.07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164,417.17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208,553.29</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202,003.78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152,517.81</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86,509.48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1,956.22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77,514.39</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20,718.90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6,797,835.44</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2,927,580.37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应付利息" w:id="295"/>
      <w:bookmarkEnd w:id="295"/>
      <w:r>
        <w:rPr>
          <w:b w:val="0"/>
          <w:bCs w:val="0"/>
        </w:rPr>
      </w:r>
      <w:r>
        <w:rPr>
          <w:rFonts w:ascii="Times New Roman" w:hAnsi="Times New Roman" w:cs="Times New Roman" w:eastAsia="Times New Roman" w:hint="default"/>
        </w:rPr>
        <w:t>36</w:t>
      </w:r>
      <w:r>
        <w:rPr/>
        <w:t>、应付利息</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46,979.17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16,666.67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63,645.84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7、应付股利" w:id="296"/>
      <w:bookmarkEnd w:id="296"/>
      <w:r>
        <w:rPr>
          <w:b w:val="0"/>
          <w:bCs w:val="0"/>
        </w:rPr>
      </w:r>
      <w:r>
        <w:rPr>
          <w:rFonts w:ascii="Times New Roman" w:hAnsi="Times New Roman" w:cs="Times New Roman" w:eastAsia="Times New Roman" w:hint="default"/>
        </w:rPr>
        <w:t>37</w:t>
      </w:r>
      <w:r>
        <w:rPr/>
        <w:t>、应付股利</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其他应付款" w:id="297"/>
      <w:bookmarkEnd w:id="297"/>
      <w:r>
        <w:rPr>
          <w:b w:val="0"/>
          <w:bCs w:val="0"/>
        </w:rPr>
      </w:r>
      <w:r>
        <w:rPr>
          <w:rFonts w:ascii="Times New Roman" w:hAnsi="Times New Roman" w:cs="Times New Roman" w:eastAsia="Times New Roman" w:hint="default"/>
        </w:rPr>
        <w:t>38</w:t>
      </w:r>
      <w:r>
        <w:rPr/>
        <w:t>、其他应付款</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8"/>
      <w:bookmarkEnd w:id="29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777,719.48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1,050,794.43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31,634.99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913,751.46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900,330.05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1,581,518.31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1,951,406.30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3,291,202.83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3,915,952.20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9"/>
      <w:bookmarkEnd w:id="29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服务佣金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1,534,600.00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划分为持有待售的负债" w:id="300"/>
      <w:bookmarkEnd w:id="300"/>
      <w:r>
        <w:rPr>
          <w:b w:val="0"/>
          <w:bCs w:val="0"/>
        </w:rPr>
      </w:r>
      <w:r>
        <w:rPr>
          <w:rFonts w:ascii="Times New Roman" w:hAnsi="Times New Roman" w:cs="Times New Roman" w:eastAsia="Times New Roman" w:hint="default"/>
        </w:rPr>
        <w:t>39</w:t>
      </w:r>
      <w:r>
        <w:rPr/>
        <w:t>、划分为持有待售的负债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301"/>
      <w:bookmarkEnd w:id="301"/>
      <w:r>
        <w:rPr/>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0、一年内到期的非流动负债" w:id="302"/>
      <w:bookmarkEnd w:id="302"/>
      <w:r>
        <w:rPr>
          <w:b w:val="0"/>
          <w:bCs w:val="0"/>
        </w:rPr>
      </w: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1、其他流动负债" w:id="303"/>
      <w:bookmarkEnd w:id="303"/>
      <w:r>
        <w:rPr>
          <w:b w:val="0"/>
          <w:bCs w:val="0"/>
        </w:rPr>
      </w:r>
      <w:r>
        <w:rPr>
          <w:rFonts w:ascii="Times New Roman" w:hAnsi="Times New Roman" w:cs="Times New Roman" w:eastAsia="Times New Roman" w:hint="default"/>
        </w:rPr>
        <w:t>41</w:t>
      </w:r>
      <w:r>
        <w:rPr/>
        <w:t>、其他流动负债</w:t>
      </w:r>
      <w:r>
        <w:rPr>
          <w:b w:val="0"/>
          <w:bCs w:val="0"/>
        </w:rPr>
      </w:r>
    </w:p>
    <w:p>
      <w:pPr>
        <w:pStyle w:val="BodyText"/>
        <w:spacing w:line="240" w:lineRule="auto" w:before="146"/>
        <w:ind w:right="0"/>
        <w:jc w:val="left"/>
      </w:pPr>
      <w:r>
        <w:rPr/>
        <w:t>不适用</w:t>
      </w:r>
    </w:p>
    <w:p>
      <w:pPr>
        <w:spacing w:after="0" w:line="240" w:lineRule="auto"/>
        <w:jc w:val="left"/>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2、长期借款" w:id="304"/>
      <w:bookmarkEnd w:id="304"/>
      <w:r>
        <w:rPr>
          <w:b w:val="0"/>
          <w:bCs w:val="0"/>
        </w:rPr>
      </w:r>
      <w:r>
        <w:rPr>
          <w:rFonts w:ascii="Times New Roman" w:hAnsi="Times New Roman" w:cs="Times New Roman" w:eastAsia="Times New Roman" w:hint="default"/>
        </w:rPr>
        <w:t>42</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05"/>
      <w:bookmarkEnd w:id="30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3189" w:type="dxa"/>
            <w:tcBorders>
              <w:top w:val="single" w:sz="12" w:space="0" w:color="D2D2D2"/>
              <w:left w:val="single" w:sz="4" w:space="0" w:color="000000"/>
              <w:bottom w:val="single" w:sz="4" w:space="0" w:color="000000"/>
              <w:right w:val="single" w:sz="4" w:space="0" w:color="000000"/>
            </w:tcBorders>
          </w:tcPr>
          <w:p>
            <w:pPr/>
          </w:p>
        </w:tc>
      </w:tr>
      <w:tr>
        <w:trPr>
          <w:trHeight w:val="45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专项贷款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357" w:lineRule="auto" w:before="51"/>
        <w:ind w:left="514" w:right="1132"/>
        <w:jc w:val="left"/>
      </w:pPr>
      <w:r>
        <w:rPr/>
        <w:t>长期借款分类的说明： 上述年末专项贷款系江苏省科学技术厅委托江苏省国际信托有限责任公司拨付本公司指定用于</w:t>
      </w:r>
      <w:r>
        <w:rPr>
          <w:rFonts w:ascii="Times New Roman" w:hAnsi="Times New Roman" w:cs="Times New Roman" w:eastAsia="Times New Roman" w:hint="default"/>
        </w:rPr>
        <w:t>“</w:t>
      </w:r>
      <w:r>
        <w:rPr/>
        <w:t>全新一代等离子渗氮设</w:t>
      </w:r>
    </w:p>
    <w:p>
      <w:pPr>
        <w:pStyle w:val="BodyText"/>
        <w:spacing w:line="214" w:lineRule="exact"/>
        <w:ind w:left="153" w:right="0"/>
        <w:jc w:val="left"/>
      </w:pPr>
      <w:r>
        <w:rPr/>
        <w:t>备的研发及产业化</w:t>
      </w:r>
      <w:r>
        <w:rPr>
          <w:rFonts w:ascii="Times New Roman" w:hAnsi="Times New Roman" w:cs="Times New Roman" w:eastAsia="Times New Roman" w:hint="default"/>
        </w:rPr>
        <w:t>”</w:t>
      </w:r>
      <w:r>
        <w:rPr/>
        <w:t>项目的专项借款。保证借款系由江苏德航工程机械装备有限公司提供担保。</w:t>
      </w:r>
    </w:p>
    <w:p>
      <w:pPr>
        <w:pStyle w:val="BodyText"/>
        <w:spacing w:line="240" w:lineRule="auto" w:before="103"/>
        <w:ind w:right="0"/>
        <w:jc w:val="left"/>
      </w:pPr>
      <w:r>
        <w:rPr/>
        <w:t>其他说明，包括利率区间：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应付债券" w:id="306"/>
      <w:bookmarkEnd w:id="306"/>
      <w:r>
        <w:rPr>
          <w:b w:val="0"/>
          <w:bCs w:val="0"/>
        </w:rPr>
      </w:r>
      <w:r>
        <w:rPr>
          <w:rFonts w:ascii="Times New Roman" w:hAnsi="Times New Roman" w:cs="Times New Roman" w:eastAsia="Times New Roman" w:hint="default"/>
        </w:rPr>
        <w:t>43</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上适用" w:id="307"/>
      <w:bookmarkEnd w:id="307"/>
      <w:r>
        <w:rPr/>
      </w: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长期应付款" w:id="308"/>
      <w:bookmarkEnd w:id="308"/>
      <w:r>
        <w:rPr>
          <w:b w:val="0"/>
          <w:bCs w:val="0"/>
        </w:rPr>
      </w:r>
      <w:r>
        <w:rPr>
          <w:rFonts w:ascii="Times New Roman" w:hAnsi="Times New Roman" w:cs="Times New Roman" w:eastAsia="Times New Roman" w:hint="default"/>
        </w:rPr>
        <w:t>44</w:t>
      </w:r>
      <w:r>
        <w:rPr/>
        <w:t>、长期应付款</w:t>
      </w:r>
      <w:r>
        <w:rPr>
          <w:b w:val="0"/>
          <w:bCs w:val="0"/>
        </w:rPr>
      </w:r>
    </w:p>
    <w:p>
      <w:pPr>
        <w:spacing w:line="240" w:lineRule="auto" w:before="13"/>
        <w:rPr>
          <w:rFonts w:ascii="宋体" w:hAnsi="宋体" w:cs="宋体" w:eastAsia="宋体" w:hint="default"/>
          <w:b/>
          <w:bCs/>
          <w:sz w:val="18"/>
          <w:szCs w:val="18"/>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应付职工薪酬" w:id="309"/>
      <w:bookmarkEnd w:id="309"/>
      <w:r>
        <w:rPr>
          <w:b w:val="0"/>
          <w:bCs w:val="0"/>
        </w:rPr>
      </w:r>
      <w:r>
        <w:rPr>
          <w:rFonts w:ascii="Times New Roman" w:hAnsi="Times New Roman" w:cs="Times New Roman" w:eastAsia="Times New Roman" w:hint="default"/>
        </w:rPr>
        <w:t>45</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bookmarkStart w:name="上适用" w:id="310"/>
      <w:bookmarkEnd w:id="310"/>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6、专项应付款" w:id="311"/>
      <w:bookmarkEnd w:id="311"/>
      <w:r>
        <w:rPr>
          <w:b w:val="0"/>
          <w:bCs w:val="0"/>
        </w:rPr>
      </w:r>
      <w:r>
        <w:rPr>
          <w:rFonts w:ascii="Times New Roman" w:hAnsi="Times New Roman" w:cs="Times New Roman" w:eastAsia="Times New Roman" w:hint="default"/>
        </w:rPr>
        <w:t>46</w:t>
      </w:r>
      <w:r>
        <w:rPr/>
        <w:t>、专项应付款</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7、预计负债" w:id="312"/>
      <w:bookmarkEnd w:id="312"/>
      <w:r>
        <w:rPr>
          <w:b w:val="0"/>
          <w:bCs w:val="0"/>
        </w:rPr>
      </w:r>
      <w:r>
        <w:rPr>
          <w:rFonts w:ascii="Times New Roman" w:hAnsi="Times New Roman" w:cs="Times New Roman" w:eastAsia="Times New Roman" w:hint="default"/>
        </w:rPr>
        <w:t>47</w:t>
      </w:r>
      <w:r>
        <w:rPr/>
        <w:t>、预计负债</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递延收益" w:id="313"/>
      <w:bookmarkEnd w:id="313"/>
      <w:r>
        <w:rPr>
          <w:b w:val="0"/>
          <w:bCs w:val="0"/>
        </w:rPr>
      </w:r>
      <w:r>
        <w:rPr>
          <w:rFonts w:ascii="Times New Roman" w:hAnsi="Times New Roman" w:cs="Times New Roman" w:eastAsia="Times New Roman" w:hint="default"/>
        </w:rPr>
        <w:t>48</w:t>
      </w:r>
      <w:r>
        <w:rPr/>
        <w:t>、递延收益</w:t>
      </w:r>
      <w:r>
        <w:rPr>
          <w:b w:val="0"/>
          <w:bCs w:val="0"/>
        </w:rPr>
      </w:r>
    </w:p>
    <w:p>
      <w:pPr>
        <w:spacing w:line="240" w:lineRule="auto" w:before="13"/>
        <w:rPr>
          <w:rFonts w:ascii="宋体" w:hAnsi="宋体" w:cs="宋体" w:eastAsia="宋体" w:hint="default"/>
          <w:b/>
          <w:bCs/>
          <w:sz w:val="18"/>
          <w:szCs w:val="1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50"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50"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14,695,758.24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2,370,524.00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12,625,234.24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14,695,758.24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2,370,524.00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12,625,234.24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134"/>
        <w:gridCol w:w="1134"/>
        <w:gridCol w:w="1274"/>
        <w:gridCol w:w="568"/>
        <w:gridCol w:w="1134"/>
        <w:gridCol w:w="1066"/>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9"/>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7"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7"/>
              <w:jc w:val="left"/>
              <w:rPr>
                <w:rFonts w:ascii="宋体" w:hAnsi="宋体" w:cs="宋体" w:eastAsia="宋体" w:hint="default"/>
                <w:sz w:val="18"/>
                <w:szCs w:val="18"/>
              </w:rPr>
            </w:pPr>
            <w:r>
              <w:rPr>
                <w:rFonts w:ascii="宋体" w:hAnsi="宋体" w:cs="宋体" w:eastAsia="宋体" w:hint="default"/>
                <w:sz w:val="18"/>
                <w:szCs w:val="18"/>
              </w:rPr>
              <w:t>智能化真空热处理设备的开发及产业化 项目省级拨款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7,023,030.97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460,524.00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6,562,506.97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7"/>
              <w:jc w:val="left"/>
              <w:rPr>
                <w:rFonts w:ascii="宋体" w:hAnsi="宋体" w:cs="宋体" w:eastAsia="宋体" w:hint="default"/>
                <w:sz w:val="18"/>
                <w:szCs w:val="18"/>
              </w:rPr>
            </w:pPr>
            <w:r>
              <w:rPr>
                <w:rFonts w:ascii="宋体" w:hAnsi="宋体" w:cs="宋体" w:eastAsia="宋体" w:hint="default"/>
                <w:sz w:val="18"/>
                <w:szCs w:val="18"/>
              </w:rPr>
              <w:t>真空热处理设备智能化研发和远程服务 系统信息平台建设专项资金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7"/>
              <w:jc w:val="left"/>
              <w:rPr>
                <w:rFonts w:ascii="宋体" w:hAnsi="宋体" w:cs="宋体" w:eastAsia="宋体" w:hint="default"/>
                <w:sz w:val="18"/>
                <w:szCs w:val="18"/>
              </w:rPr>
            </w:pPr>
            <w:r>
              <w:rPr>
                <w:rFonts w:ascii="宋体" w:hAnsi="宋体" w:cs="宋体" w:eastAsia="宋体" w:hint="default"/>
                <w:sz w:val="18"/>
                <w:szCs w:val="18"/>
              </w:rPr>
              <w:t>热处理设备智能化和远程服务系统提升 创新专项资金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等离子渗氮项目专项资金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4,363,636.36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1,636,363.68</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2,727,272.68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企业知识产权战略推进计划专项资金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259,090.91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163,636.32</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95,454.59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年科技型中小企业技术创新基金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560,000.00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青岛发生技术创新平台建设计划</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青岛丰东科技型中小企业技术创新基金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990,000.00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880,000.00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14,695,758.24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2,370,524.00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63"/>
              <w:ind w:right="14"/>
              <w:jc w:val="right"/>
              <w:rPr>
                <w:rFonts w:ascii="Times New Roman" w:hAnsi="Times New Roman" w:cs="Times New Roman" w:eastAsia="Times New Roman" w:hint="default"/>
                <w:sz w:val="18"/>
                <w:szCs w:val="18"/>
              </w:rPr>
            </w:pPr>
            <w:r>
              <w:rPr>
                <w:rFonts w:ascii="Times New Roman"/>
                <w:spacing w:val="-1"/>
                <w:sz w:val="18"/>
              </w:rPr>
              <w:t>12,625,234.24</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9、其他非流动负债" w:id="314"/>
      <w:bookmarkEnd w:id="314"/>
      <w:r>
        <w:rPr>
          <w:b w:val="0"/>
          <w:bCs w:val="0"/>
        </w:rPr>
      </w:r>
      <w:r>
        <w:rPr>
          <w:rFonts w:ascii="Times New Roman" w:hAnsi="Times New Roman" w:cs="Times New Roman" w:eastAsia="Times New Roman" w:hint="default"/>
        </w:rPr>
        <w:t>49</w:t>
      </w:r>
      <w:r>
        <w:rPr/>
        <w:t>、其他非流动负债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上适用" w:id="315"/>
      <w:bookmarkEnd w:id="315"/>
      <w:r>
        <w:rPr/>
      </w: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0、股本" w:id="316"/>
      <w:bookmarkEnd w:id="316"/>
      <w:r>
        <w:rPr>
          <w:b w:val="0"/>
          <w:bCs w:val="0"/>
        </w:rPr>
      </w:r>
      <w:r>
        <w:rPr>
          <w:rFonts w:ascii="Times New Roman" w:hAnsi="Times New Roman" w:cs="Times New Roman" w:eastAsia="Times New Roman" w:hint="default"/>
        </w:rPr>
        <w:t>50</w:t>
      </w:r>
      <w:r>
        <w:rPr/>
        <w:t>、股本</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268,000,000.00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268,000,000.00</w:t>
            </w:r>
          </w:p>
        </w:tc>
      </w:tr>
    </w:tbl>
    <w:p>
      <w:pPr>
        <w:pStyle w:val="BodyText"/>
        <w:spacing w:line="357" w:lineRule="auto" w:before="51"/>
        <w:ind w:right="1633"/>
        <w:jc w:val="left"/>
      </w:pPr>
      <w:r>
        <w:rPr/>
        <w:t>其他说明： 上述股本经上海众华沪银会计师事务所沪众会字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6609</w:t>
      </w:r>
      <w:r>
        <w:rPr/>
        <w:t>号《验资报告》验证。年末股本与实收资本一致。</w:t>
      </w:r>
    </w:p>
    <w:p>
      <w:pPr>
        <w:pStyle w:val="Heading3"/>
        <w:spacing w:line="240" w:lineRule="auto" w:before="140"/>
        <w:ind w:right="0"/>
        <w:jc w:val="left"/>
        <w:rPr>
          <w:b w:val="0"/>
          <w:bCs w:val="0"/>
        </w:rPr>
      </w:pPr>
      <w:bookmarkStart w:name="51、其他权益工具" w:id="317"/>
      <w:bookmarkEnd w:id="317"/>
      <w:r>
        <w:rPr>
          <w:b w:val="0"/>
          <w:bCs w:val="0"/>
        </w:rPr>
      </w:r>
      <w:r>
        <w:rPr>
          <w:rFonts w:ascii="Times New Roman" w:hAnsi="Times New Roman" w:cs="Times New Roman" w:eastAsia="Times New Roman" w:hint="default"/>
        </w:rPr>
        <w:t>51</w:t>
      </w:r>
      <w:r>
        <w:rPr/>
        <w:t>、其他权益工具</w:t>
      </w:r>
      <w:r>
        <w:rPr>
          <w:b w:val="0"/>
          <w:bCs w:val="0"/>
        </w:rPr>
      </w:r>
    </w:p>
    <w:p>
      <w:pPr>
        <w:pStyle w:val="BodyText"/>
        <w:spacing w:line="240" w:lineRule="auto" w:before="147"/>
        <w:ind w:right="0"/>
        <w:jc w:val="left"/>
      </w:pPr>
      <w:r>
        <w:rPr/>
        <w:t>不适用</w:t>
      </w:r>
    </w:p>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bookmarkStart w:name="52、资本公积" w:id="318"/>
      <w:bookmarkEnd w:id="318"/>
      <w:r>
        <w:rPr>
          <w:b w:val="0"/>
          <w:bCs w:val="0"/>
        </w:rPr>
      </w:r>
      <w:r>
        <w:rPr>
          <w:rFonts w:ascii="Times New Roman" w:hAnsi="Times New Roman" w:cs="Times New Roman" w:eastAsia="Times New Roman" w:hint="default"/>
        </w:rPr>
        <w:t>52</w:t>
      </w:r>
      <w:r>
        <w:rPr/>
        <w:t>、资本公积</w:t>
      </w:r>
      <w:r>
        <w:rPr>
          <w:b w:val="0"/>
          <w:bCs w:val="0"/>
        </w:rPr>
      </w:r>
    </w:p>
    <w:p>
      <w:pPr>
        <w:pStyle w:val="BodyText"/>
        <w:spacing w:line="240" w:lineRule="auto" w:before="14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209,482,266.23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967,521.25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72,677.16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210,377,110.32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209,482,266.23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967,521.25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72,677.16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210,377,110.32</w:t>
            </w:r>
          </w:p>
        </w:tc>
      </w:tr>
    </w:tbl>
    <w:p>
      <w:pPr>
        <w:pStyle w:val="BodyText"/>
        <w:spacing w:line="367" w:lineRule="auto" w:before="86"/>
        <w:ind w:left="514" w:right="1031"/>
        <w:jc w:val="left"/>
      </w:pPr>
      <w:r>
        <w:rPr/>
        <w:t>其他说明，包括本期增减变动情况、变动原因说明： </w:t>
      </w:r>
      <w:r>
        <w:rPr>
          <w:spacing w:val="-1"/>
        </w:rPr>
        <w:t>资本公积本年度增加</w:t>
      </w:r>
      <w:r>
        <w:rPr>
          <w:rFonts w:ascii="Times New Roman" w:hAnsi="Times New Roman" w:cs="Times New Roman" w:eastAsia="Times New Roman" w:hint="default"/>
          <w:spacing w:val="-1"/>
        </w:rPr>
        <w:t>967,521.25</w:t>
      </w:r>
      <w:r>
        <w:rPr>
          <w:spacing w:val="-1"/>
        </w:rPr>
        <w:t>元，系收购江苏丰东热处理及表面改性工程技术研究有限公司少数股东持有的</w:t>
      </w:r>
      <w:r>
        <w:rPr>
          <w:rFonts w:ascii="Times New Roman" w:hAnsi="Times New Roman" w:cs="Times New Roman" w:eastAsia="Times New Roman" w:hint="default"/>
          <w:spacing w:val="-1"/>
        </w:rPr>
        <w:t>30%</w:t>
      </w:r>
      <w:r>
        <w:rPr>
          <w:spacing w:val="-1"/>
        </w:rPr>
        <w:t>股份，</w:t>
      </w:r>
    </w:p>
    <w:p>
      <w:pPr>
        <w:pStyle w:val="BodyText"/>
        <w:spacing w:line="214" w:lineRule="exact"/>
        <w:ind w:left="153" w:right="0"/>
        <w:jc w:val="left"/>
      </w:pPr>
      <w:r>
        <w:rPr/>
        <w:t>收购价与按净资产比例计算价值之间的差额；本年度减少中</w:t>
      </w:r>
      <w:r>
        <w:rPr>
          <w:rFonts w:ascii="Times New Roman" w:hAnsi="Times New Roman" w:cs="Times New Roman" w:eastAsia="Times New Roman" w:hint="default"/>
        </w:rPr>
        <w:t>27,632.16</w:t>
      </w:r>
      <w:r>
        <w:rPr/>
        <w:t>元系转让天津丰东热处理有限公司</w:t>
      </w:r>
      <w:r>
        <w:rPr>
          <w:rFonts w:ascii="Times New Roman" w:hAnsi="Times New Roman" w:cs="Times New Roman" w:eastAsia="Times New Roman" w:hint="default"/>
        </w:rPr>
        <w:t>15%</w:t>
      </w:r>
      <w:r>
        <w:rPr/>
        <w:t>股权，收回投资</w:t>
      </w:r>
    </w:p>
    <w:p>
      <w:pPr>
        <w:pStyle w:val="BodyText"/>
        <w:spacing w:line="240" w:lineRule="auto" w:before="71"/>
        <w:ind w:left="153" w:right="0"/>
        <w:jc w:val="left"/>
      </w:pPr>
      <w:r>
        <w:rPr/>
        <w:t>款与按净资产比例计算价值之间的差额；</w:t>
      </w:r>
      <w:r>
        <w:rPr>
          <w:rFonts w:ascii="Times New Roman" w:hAnsi="Times New Roman" w:cs="Times New Roman" w:eastAsia="Times New Roman" w:hint="default"/>
        </w:rPr>
        <w:t>45,045</w:t>
      </w:r>
      <w:r>
        <w:rPr/>
        <w:t>元系因天津丰东增资过程中的汇率差形成。</w:t>
      </w:r>
    </w:p>
    <w:p>
      <w:pPr>
        <w:spacing w:after="0" w:line="240" w:lineRule="auto"/>
        <w:jc w:val="left"/>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3、库存股" w:id="319"/>
      <w:bookmarkEnd w:id="319"/>
      <w:r>
        <w:rPr>
          <w:b w:val="0"/>
          <w:bCs w:val="0"/>
        </w:rPr>
      </w:r>
      <w:r>
        <w:rPr>
          <w:rFonts w:ascii="Times New Roman" w:hAnsi="Times New Roman" w:cs="Times New Roman" w:eastAsia="Times New Roman" w:hint="default"/>
        </w:rPr>
        <w:t>53</w:t>
      </w:r>
      <w:r>
        <w:rPr/>
        <w:t>、库存股</w:t>
      </w:r>
      <w:r>
        <w:rPr>
          <w:b w:val="0"/>
          <w:bCs w:val="0"/>
        </w:rPr>
      </w:r>
    </w:p>
    <w:p>
      <w:pPr>
        <w:pStyle w:val="BodyText"/>
        <w:spacing w:line="240" w:lineRule="auto" w:before="146"/>
        <w:ind w:right="0"/>
        <w:jc w:val="left"/>
      </w:pPr>
      <w:r>
        <w:rPr/>
        <w:t>不适用</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4、其他综合收益" w:id="320"/>
      <w:bookmarkEnd w:id="320"/>
      <w:r>
        <w:rPr>
          <w:b w:val="0"/>
          <w:bCs w:val="0"/>
        </w:rPr>
      </w:r>
      <w:r>
        <w:rPr>
          <w:rFonts w:ascii="Times New Roman" w:hAnsi="Times New Roman" w:cs="Times New Roman" w:eastAsia="Times New Roman" w:hint="default"/>
        </w:rPr>
        <w:t>54</w:t>
      </w:r>
      <w:r>
        <w:rPr/>
        <w:t>、其他综合收益</w:t>
      </w:r>
      <w:r>
        <w:rPr>
          <w:b w:val="0"/>
          <w:bCs w:val="0"/>
        </w:rPr>
      </w:r>
    </w:p>
    <w:p>
      <w:pPr>
        <w:pStyle w:val="BodyText"/>
        <w:spacing w:line="240" w:lineRule="auto" w:before="146"/>
        <w:ind w:right="0"/>
        <w:jc w:val="left"/>
      </w:pPr>
      <w:r>
        <w:rPr/>
        <w:t>不适用</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5、专项储备" w:id="321"/>
      <w:bookmarkEnd w:id="321"/>
      <w:r>
        <w:rPr>
          <w:b w:val="0"/>
          <w:bCs w:val="0"/>
        </w:rPr>
      </w:r>
      <w:r>
        <w:rPr>
          <w:rFonts w:ascii="Times New Roman" w:hAnsi="Times New Roman" w:cs="Times New Roman" w:eastAsia="Times New Roman" w:hint="default"/>
        </w:rPr>
        <w:t>55</w:t>
      </w:r>
      <w:r>
        <w:rPr/>
        <w:t>、专项储备</w:t>
      </w:r>
      <w:r>
        <w:rPr>
          <w:b w:val="0"/>
          <w:bCs w:val="0"/>
        </w:rPr>
      </w:r>
    </w:p>
    <w:p>
      <w:pPr>
        <w:pStyle w:val="BodyText"/>
        <w:spacing w:line="240" w:lineRule="auto" w:before="146"/>
        <w:ind w:right="0"/>
        <w:jc w:val="left"/>
      </w:pPr>
      <w:r>
        <w:rPr/>
        <w:t>不适用</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6、盈余公积" w:id="322"/>
      <w:bookmarkEnd w:id="322"/>
      <w:r>
        <w:rPr>
          <w:b w:val="0"/>
          <w:bCs w:val="0"/>
        </w:rPr>
      </w:r>
      <w:r>
        <w:rPr>
          <w:rFonts w:ascii="Times New Roman" w:hAnsi="Times New Roman" w:cs="Times New Roman" w:eastAsia="Times New Roman" w:hint="default"/>
        </w:rPr>
        <w:t>56</w:t>
      </w:r>
      <w:r>
        <w:rPr/>
        <w:t>、盈余公积</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1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22,152,958.50</w:t>
            </w:r>
          </w:p>
        </w:tc>
        <w:tc>
          <w:tcPr>
            <w:tcW w:w="191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2,795,864.81</w:t>
            </w:r>
          </w:p>
        </w:tc>
        <w:tc>
          <w:tcPr>
            <w:tcW w:w="1914" w:type="dxa"/>
            <w:tcBorders>
              <w:top w:val="single" w:sz="5" w:space="0" w:color="000000"/>
              <w:left w:val="single" w:sz="4" w:space="0" w:color="000000"/>
              <w:bottom w:val="single" w:sz="4" w:space="0" w:color="000000"/>
              <w:right w:val="single" w:sz="4" w:space="0" w:color="000000"/>
            </w:tcBorders>
          </w:tcPr>
          <w:p>
            <w:pPr/>
          </w:p>
        </w:tc>
        <w:tc>
          <w:tcPr>
            <w:tcW w:w="191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24,948,823.31</w:t>
            </w:r>
          </w:p>
        </w:tc>
      </w:tr>
      <w:tr>
        <w:trPr>
          <w:trHeight w:val="41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22,152,958.50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2,795,864.81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24,948,823.31</w:t>
            </w:r>
          </w:p>
        </w:tc>
      </w:tr>
    </w:tbl>
    <w:p>
      <w:pPr>
        <w:pStyle w:val="BodyText"/>
        <w:spacing w:line="240" w:lineRule="auto" w:before="51"/>
        <w:ind w:left="514" w:right="0"/>
        <w:jc w:val="left"/>
      </w:pPr>
      <w:r>
        <w:rPr/>
        <w:t>盈余公积说明，包括本期增减变动情况、变动原因说明：</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7、未分配利润" w:id="323"/>
      <w:bookmarkEnd w:id="323"/>
      <w:r>
        <w:rPr>
          <w:b w:val="0"/>
          <w:bCs w:val="0"/>
        </w:rPr>
      </w:r>
      <w:r>
        <w:rPr>
          <w:rFonts w:ascii="Times New Roman" w:hAnsi="Times New Roman" w:cs="Times New Roman" w:eastAsia="Times New Roman" w:hint="default"/>
        </w:rPr>
        <w:t>57</w:t>
      </w:r>
      <w:r>
        <w:rPr/>
        <w:t>、未分配利润</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1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150,884,764.29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128,214,434.82</w:t>
            </w:r>
          </w:p>
        </w:tc>
      </w:tr>
      <w:tr>
        <w:trPr>
          <w:trHeight w:val="41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150,884,764.29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128,214,434.82</w:t>
            </w:r>
          </w:p>
        </w:tc>
      </w:tr>
      <w:tr>
        <w:trPr>
          <w:trHeight w:val="41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32,733,440.80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43,053,161.40</w:t>
            </w:r>
          </w:p>
        </w:tc>
      </w:tr>
      <w:tr>
        <w:trPr>
          <w:trHeight w:val="41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2,795,864.81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4,302,831.93</w:t>
            </w:r>
          </w:p>
        </w:tc>
      </w:tr>
      <w:tr>
        <w:trPr>
          <w:trHeight w:val="41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13,400,000.00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16,080,000.00</w:t>
            </w:r>
          </w:p>
        </w:tc>
      </w:tr>
      <w:tr>
        <w:trPr>
          <w:trHeight w:val="41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167,422,340.28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150,884,764.29</w:t>
            </w:r>
          </w:p>
        </w:tc>
      </w:tr>
    </w:tbl>
    <w:p>
      <w:pPr>
        <w:pStyle w:val="BodyText"/>
        <w:spacing w:line="240" w:lineRule="auto" w:before="86"/>
        <w:ind w:left="514" w:right="0"/>
        <w:jc w:val="left"/>
      </w:pPr>
      <w:r>
        <w:rPr/>
        <w:t>调整期初未分配利润明细：</w:t>
      </w:r>
    </w:p>
    <w:p>
      <w:pPr>
        <w:pStyle w:val="BodyText"/>
        <w:spacing w:line="240" w:lineRule="auto" w:before="92"/>
        <w:ind w:left="514" w:right="0"/>
        <w:jc w:val="left"/>
      </w:pPr>
      <w:r>
        <w:rPr/>
        <w:t>（</w:t>
      </w: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71"/>
        <w:ind w:left="514" w:right="0"/>
        <w:jc w:val="left"/>
      </w:pPr>
      <w:r>
        <w:rPr/>
        <w:t>（</w:t>
      </w: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70"/>
        <w:ind w:right="0"/>
        <w:jc w:val="left"/>
      </w:pPr>
      <w:r>
        <w:rPr/>
        <w:t>（</w:t>
      </w: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71"/>
        <w:ind w:right="0"/>
        <w:jc w:val="left"/>
      </w:pPr>
      <w:r>
        <w:rPr/>
        <w:t>（</w:t>
      </w: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71"/>
        <w:ind w:right="0"/>
        <w:jc w:val="left"/>
      </w:pPr>
      <w:r>
        <w:rPr/>
        <w:t>（</w:t>
      </w: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bookmarkStart w:name="58、营业收入和营业成本" w:id="324"/>
      <w:bookmarkEnd w:id="324"/>
      <w:r>
        <w:rPr>
          <w:b w:val="0"/>
          <w:bCs w:val="0"/>
        </w:rPr>
      </w:r>
      <w:r>
        <w:rPr>
          <w:rFonts w:ascii="Times New Roman" w:hAnsi="Times New Roman" w:cs="Times New Roman" w:eastAsia="Times New Roman" w:hint="default"/>
        </w:rPr>
        <w:t>58</w:t>
      </w:r>
      <w:r>
        <w:rPr/>
        <w:t>、营业收入和营业成本</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322,745,296.22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225,750,444.15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353,183,751.68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256,771,875.08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44,430,085.82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26,378,979.70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30,259,288.67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15,077,834.12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367,175,382.04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252,129,423.85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383,443,040.35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271,849,709.20</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9、营业税金及附加" w:id="325"/>
      <w:bookmarkEnd w:id="325"/>
      <w:r>
        <w:rPr>
          <w:b w:val="0"/>
          <w:bCs w:val="0"/>
        </w:rPr>
      </w:r>
      <w:r>
        <w:rPr>
          <w:rFonts w:ascii="Times New Roman" w:hAnsi="Times New Roman" w:cs="Times New Roman" w:eastAsia="Times New Roman" w:hint="default"/>
        </w:rPr>
        <w:t>59</w:t>
      </w:r>
      <w:r>
        <w:rPr/>
        <w:t>、营业税金及附加</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68,092.33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2,129,757.31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1,313,493.19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1,626,875.67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979,831.61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3,824,725.31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2,299,159.80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销售费用" w:id="326"/>
      <w:bookmarkEnd w:id="326"/>
      <w:r>
        <w:rPr>
          <w:b w:val="0"/>
          <w:bCs w:val="0"/>
        </w:rPr>
      </w:r>
      <w:r>
        <w:rPr>
          <w:rFonts w:ascii="Times New Roman" w:hAnsi="Times New Roman" w:cs="Times New Roman" w:eastAsia="Times New Roman" w:hint="default"/>
        </w:rPr>
        <w:t>60</w:t>
      </w:r>
      <w:r>
        <w:rPr/>
        <w:t>、销售费用</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1,264,014.76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1,328,155.43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4,401,665.67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3,371,064.32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1,051,705.84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579,442.96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621,291.01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988,301.34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3,906,511.63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3,803,315.48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706,851.59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697,965.52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产品维修及服务费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2,813,814.91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3,072,673.16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1,551,236.70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1,576,310.51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539,753.94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1,387,722.63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16,856,846.05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16,804,951.35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1、管理费用" w:id="327"/>
      <w:bookmarkEnd w:id="327"/>
      <w:r>
        <w:rPr>
          <w:b w:val="0"/>
          <w:bCs w:val="0"/>
        </w:rPr>
      </w:r>
      <w:r>
        <w:rPr>
          <w:rFonts w:ascii="Times New Roman" w:hAnsi="Times New Roman" w:cs="Times New Roman" w:eastAsia="Times New Roman" w:hint="default"/>
        </w:rPr>
        <w:t>61</w:t>
      </w:r>
      <w:r>
        <w:rPr/>
        <w:t>、管理费用</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员工工资和福利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25,956,613.99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18,432,543.56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15,239,870.54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10,479,543.35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3,258,350.59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2,685,434.82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4,076,787.88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2,634,536.32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3,245,352.69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2,879,925.04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各项税费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2,748,595.30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2,092,404.72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3,526,662.95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3,077,414.14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1,327,890.61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1,059,075.29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919,528.64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157,370.40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718,608.92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703,416.35</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2,596,964.96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2,023,805.53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2,022,353.97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2,214,565.76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65,637,581.04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48,440,035.28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2、财务费用" w:id="328"/>
      <w:bookmarkEnd w:id="328"/>
      <w:r>
        <w:rPr>
          <w:b w:val="0"/>
          <w:bCs w:val="0"/>
        </w:rPr>
      </w:r>
      <w:r>
        <w:rPr>
          <w:rFonts w:ascii="Times New Roman" w:hAnsi="Times New Roman" w:cs="Times New Roman" w:eastAsia="Times New Roman" w:hint="default"/>
        </w:rPr>
        <w:t>62</w:t>
      </w:r>
      <w:r>
        <w:rPr/>
        <w:t>、财务费用</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3,587,692.79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2,119,424.73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2,864,368.65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3,388,029.64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723,324.14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-1,268,604.91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加：汇兑净损失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-221,589.93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-313,962.03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103,177.53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83,347.97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604,911.74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-1,499,218.97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资产减值损失" w:id="329"/>
      <w:bookmarkEnd w:id="329"/>
      <w:r>
        <w:rPr>
          <w:b w:val="0"/>
          <w:bCs w:val="0"/>
        </w:rPr>
      </w:r>
      <w:r>
        <w:rPr>
          <w:rFonts w:ascii="Times New Roman" w:hAnsi="Times New Roman" w:cs="Times New Roman" w:eastAsia="Times New Roman" w:hint="default"/>
        </w:rPr>
        <w:t>63</w:t>
      </w:r>
      <w:r>
        <w:rPr/>
        <w:t>、资产减值损失</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2,311,343.97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1,839,378.10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196,530.39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1,164,690.56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2,507,874.36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3,004,068.66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公允价值变动收益" w:id="330"/>
      <w:bookmarkEnd w:id="330"/>
      <w:r>
        <w:rPr>
          <w:b w:val="0"/>
          <w:bCs w:val="0"/>
        </w:rPr>
      </w:r>
      <w:r>
        <w:rPr>
          <w:rFonts w:ascii="Times New Roman" w:hAnsi="Times New Roman" w:cs="Times New Roman" w:eastAsia="Times New Roman" w:hint="default"/>
        </w:rPr>
        <w:t>64</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bookmarkStart w:name="上适用" w:id="331"/>
      <w:bookmarkEnd w:id="331"/>
      <w:r>
        <w:rPr/>
      </w: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投资收益" w:id="332"/>
      <w:bookmarkEnd w:id="332"/>
      <w:r>
        <w:rPr>
          <w:b w:val="0"/>
          <w:bCs w:val="0"/>
        </w:rPr>
      </w:r>
      <w:r>
        <w:rPr>
          <w:rFonts w:ascii="Times New Roman" w:hAnsi="Times New Roman" w:cs="Times New Roman" w:eastAsia="Times New Roman" w:hint="default"/>
        </w:rPr>
        <w:t>65</w:t>
      </w:r>
      <w:r>
        <w:rPr/>
        <w:t>、投资收益</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7,517,141.43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6,791,267.62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84,476.20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63,516.40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7,601,617.63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6,854,784.02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营业外收入" w:id="333"/>
      <w:bookmarkEnd w:id="333"/>
      <w:r>
        <w:rPr>
          <w:b w:val="0"/>
          <w:bCs w:val="0"/>
        </w:rPr>
      </w:r>
      <w:r>
        <w:rPr>
          <w:rFonts w:ascii="Times New Roman" w:hAnsi="Times New Roman" w:cs="Times New Roman" w:eastAsia="Times New Roman" w:hint="default"/>
        </w:rPr>
        <w:t>66</w:t>
      </w:r>
      <w:r>
        <w:rPr/>
        <w:t>、营业外收入</w:t>
      </w:r>
      <w:r>
        <w:rPr>
          <w:b w:val="0"/>
          <w:bCs w:val="0"/>
        </w:rPr>
      </w:r>
    </w:p>
    <w:p>
      <w:pPr>
        <w:spacing w:line="240" w:lineRule="auto" w:before="12"/>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80"/>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0"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05" w:right="0"/>
              <w:jc w:val="left"/>
              <w:rPr>
                <w:rFonts w:ascii="Times New Roman" w:hAnsi="Times New Roman" w:cs="Times New Roman" w:eastAsia="Times New Roman" w:hint="default"/>
                <w:sz w:val="18"/>
                <w:szCs w:val="18"/>
              </w:rPr>
            </w:pPr>
            <w:r>
              <w:rPr>
                <w:rFonts w:ascii="Times New Roman"/>
                <w:sz w:val="18"/>
              </w:rPr>
              <w:t>1,857,421.75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49,443.47</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1,857,421.75</w:t>
            </w:r>
          </w:p>
        </w:tc>
      </w:tr>
    </w:tbl>
    <w:p>
      <w:pPr>
        <w:spacing w:after="0" w:line="240" w:lineRule="auto"/>
        <w:jc w:val="lef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1,856,193.57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49,443.47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1,856,193.57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8,396,107.10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4,308,908.56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8,396,107.10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285,902.43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219,485.81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285,902.43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10,539,431.28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4,577,837.84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10,539,431.28</w:t>
            </w:r>
          </w:p>
        </w:tc>
      </w:tr>
    </w:tbl>
    <w:p>
      <w:pPr>
        <w:pStyle w:val="BodyText"/>
        <w:spacing w:line="240" w:lineRule="auto" w:before="51"/>
        <w:ind w:left="51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58"/>
        <w:gridCol w:w="1854"/>
        <w:gridCol w:w="1702"/>
        <w:gridCol w:w="2054"/>
      </w:tblGrid>
      <w:tr>
        <w:trPr>
          <w:trHeight w:val="397"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7"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智能化真空热处理设备的开发及产业化项目</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460,524.00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460,524.00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全新一代等离子渗氮设备研发及产业化项目</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1,636,363.68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136,363.64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重庆丰东收到的福利企业增值税返还</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1,147,715.50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714,311.83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江苏省企业知识产权战略推进计划项目</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163,636.32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40,909.09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重庆丰东多样化工装齿架热处理研究项目</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上海丰东财政扶持资金</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496,300.00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青岛丰东财政扶持资金</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359,900.00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青岛丰东科技型中小企业技术创新基金</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园林式工厂考核奖励</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国家重点新产品计划战略性创新产品资金</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双创</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年省工业和信息产业转型升级专项引导资金</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453,867.60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770,500.00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8,396,107.10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4,308,908.56</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67、营业外支出" w:id="334"/>
      <w:bookmarkEnd w:id="334"/>
      <w:r>
        <w:rPr>
          <w:b w:val="0"/>
          <w:bCs w:val="0"/>
        </w:rPr>
      </w:r>
      <w:r>
        <w:rPr>
          <w:rFonts w:ascii="Times New Roman" w:hAnsi="Times New Roman" w:cs="Times New Roman" w:eastAsia="Times New Roman" w:hint="default"/>
        </w:rPr>
        <w:t>67</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161"/>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96,222.22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92,601.41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96,222.22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96,222.22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92,601.41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96,222.22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55,441.51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71,237.23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55,441.51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91,632.52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277,236.83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91,632.52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559,788.40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187,939.51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559,788.40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1,189,284.65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1,327,914.98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1,189,284.65</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68、所得税费用" w:id="335"/>
      <w:bookmarkEnd w:id="335"/>
      <w:r>
        <w:rPr>
          <w:b w:val="0"/>
          <w:bCs w:val="0"/>
        </w:rPr>
      </w:r>
      <w:r>
        <w:rPr>
          <w:rFonts w:ascii="Times New Roman" w:hAnsi="Times New Roman" w:cs="Times New Roman" w:eastAsia="Times New Roman" w:hint="default"/>
        </w:rPr>
        <w:t>68</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6"/>
      <w:bookmarkEnd w:id="33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9,079,319.99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9,367,240.79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-1,626,717.16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-917,956.32</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所得税汇算清缴差异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215,582.41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-25,197.76</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7,668,185.24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8,424,086.71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37"/>
      <w:bookmarkEnd w:id="33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42,565,783.95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6,384,867.59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2,318,000.88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215,582.41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-3,305,423.14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2,055,157.50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7,668,185.24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9、其他综合收益" w:id="338"/>
      <w:bookmarkEnd w:id="338"/>
      <w:r>
        <w:rPr>
          <w:b w:val="0"/>
          <w:bCs w:val="0"/>
        </w:rPr>
      </w:r>
      <w:r>
        <w:rPr>
          <w:rFonts w:ascii="Times New Roman" w:hAnsi="Times New Roman" w:cs="Times New Roman" w:eastAsia="Times New Roman" w:hint="default"/>
        </w:rPr>
        <w:t>69</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bookmarkStart w:name="无" w:id="339"/>
      <w:bookmarkEnd w:id="339"/>
      <w:r>
        <w:rPr/>
      </w: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0、现金流量表项目" w:id="340"/>
      <w:bookmarkEnd w:id="340"/>
      <w:r>
        <w:rPr>
          <w:b w:val="0"/>
          <w:bCs w:val="0"/>
        </w:rPr>
      </w:r>
      <w:r>
        <w:rPr>
          <w:rFonts w:ascii="Times New Roman" w:hAnsi="Times New Roman" w:cs="Times New Roman" w:eastAsia="Times New Roman" w:hint="default"/>
        </w:rPr>
        <w:t>70</w:t>
      </w:r>
      <w:r>
        <w:rPr/>
        <w:t>、现金流量表项目</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41"/>
      <w:bookmarkEnd w:id="34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2,864,368.65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3,388,029.64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5,177,867.60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7,146,800.41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285,902.43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2,754,732.38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8,328,138.68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13,289,562.43</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9"/>
        <w:rPr>
          <w:rFonts w:ascii="宋体" w:hAnsi="宋体" w:cs="宋体" w:eastAsia="宋体" w:hint="default"/>
          <w:sz w:val="20"/>
          <w:szCs w:val="20"/>
        </w:rPr>
      </w:pPr>
      <w:r>
        <w:rPr/>
        <w:pict>
          <v:group style="position:absolute;margin-left:326.320007pt;margin-top:445.689972pt;width:104.7pt;height:20.7pt;mso-position-horizontal-relative:page;mso-position-vertical-relative:page;z-index:-820912" coordorigin="6526,8914" coordsize="2094,414">
            <v:group style="position:absolute;left:6538;top:8925;width:2;height:392" coordorigin="6538,8925" coordsize="2,392">
              <v:shape style="position:absolute;left:6538;top:8925;width:2;height:392" coordorigin="6538,8925" coordsize="0,392" path="m6538,8925l6538,9316e" filled="false" stroked="true" strokeweight="1.140pt" strokecolor="#ffffff">
                <v:path arrowok="t"/>
              </v:shape>
            </v:group>
            <v:group style="position:absolute;left:6549;top:8925;width:2071;height:392" coordorigin="6549,8925" coordsize="2071,392">
              <v:shape style="position:absolute;left:6549;top:8925;width:2071;height:392" coordorigin="6549,8925" coordsize="2071,392" path="m6549,9316l8620,9316,8620,8925,6549,8925,6549,9316xe" filled="true" fillcolor="#ffffff" stroked="false">
                <v:path arrowok="t"/>
                <v:fill type="solid"/>
              </v:shape>
            </v:group>
            <w10:wrap type="none"/>
          </v:group>
        </w:pict>
      </w:r>
    </w:p>
    <w:p>
      <w:pPr>
        <w:pStyle w:val="Heading3"/>
        <w:spacing w:line="240" w:lineRule="auto" w:before="35"/>
        <w:ind w:right="0"/>
        <w:jc w:val="left"/>
        <w:rPr>
          <w:b w:val="0"/>
          <w:bCs w:val="0"/>
        </w:rPr>
      </w:pPr>
      <w:bookmarkStart w:name="（2）支付的其他与经营活动有关的现金" w:id="342"/>
      <w:bookmarkEnd w:id="34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27,918,488.20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25,956,086.67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12,950,334.42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13,001,635.87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2,285,175.53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3,512,759.24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43,153,998.15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42,470,481.78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现金流量表补充资料" w:id="343"/>
      <w:bookmarkEnd w:id="343"/>
      <w:r>
        <w:rPr>
          <w:b w:val="0"/>
          <w:bCs w:val="0"/>
        </w:rPr>
      </w:r>
      <w:r>
        <w:rPr>
          <w:rFonts w:ascii="Times New Roman" w:hAnsi="Times New Roman" w:cs="Times New Roman" w:eastAsia="Times New Roman" w:hint="default"/>
        </w:rPr>
        <w:t>71</w:t>
      </w:r>
      <w:r>
        <w:rPr/>
        <w:t>、现金流量表补充资料</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4"/>
      <w:bookmarkEnd w:id="34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34,897,598.71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44,224,955.20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2,507,874.36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3,004,068.66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21,366,136.22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18,440,406.24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1,429,542.21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1,101,753.71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425,784.46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371,125.94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tabs>
                <w:tab w:pos="1088" w:val="left" w:leader="none"/>
              </w:tabs>
              <w:spacing w:line="240" w:lineRule="auto" w:before="52"/>
              <w:ind w:left="-123"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-1,761,199.53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43,157.94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3,366,102.86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1,935,103.69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-7,601,617.63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-6,854,784.02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-3,354,505.46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-898,880.88</w:t>
            </w:r>
            <w:r>
              <w:rPr>
                <w:rFonts w:ascii="Times New Roman"/>
                <w:sz w:val="18"/>
              </w:rPr>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-19,075.44</w:t>
            </w:r>
            <w:r>
              <w:rPr>
                <w:rFonts w:ascii="Times New Roman"/>
                <w:sz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-19,075.44</w:t>
            </w:r>
            <w:r>
              <w:rPr>
                <w:rFonts w:ascii="Times New Roman"/>
                <w:sz w:val="18"/>
              </w:rPr>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-42,135,724.01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11,388,432.68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-31,044,052.36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-50,458,705.54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55,585,162.75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-21,196,606.95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33,662,027.14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1,080,951.23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222,060,206.93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206,510,363.84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206,510,363.84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238,025,169.23</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15,549,843.09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-31,514,805.39</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现金和现金等价物的构成" w:id="345"/>
      <w:bookmarkEnd w:id="345"/>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222,060,206.93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206,510,363.84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222,060,206.93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206,510,363.84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2、所有者权益变动表项目注释" w:id="346"/>
      <w:bookmarkEnd w:id="346"/>
      <w:r>
        <w:rPr>
          <w:b w:val="0"/>
          <w:bCs w:val="0"/>
        </w:rPr>
      </w:r>
      <w:r>
        <w:rPr>
          <w:rFonts w:ascii="Times New Roman" w:hAnsi="Times New Roman" w:cs="Times New Roman" w:eastAsia="Times New Roman" w:hint="default"/>
        </w:rPr>
        <w:t>72</w:t>
      </w:r>
      <w:r>
        <w:rPr/>
        <w:t>、所有者权益变动表项目注释</w:t>
      </w:r>
      <w:r>
        <w:rPr>
          <w:b w:val="0"/>
          <w:bCs w:val="0"/>
        </w:rPr>
      </w:r>
    </w:p>
    <w:p>
      <w:pPr>
        <w:pStyle w:val="BodyText"/>
        <w:spacing w:line="240" w:lineRule="auto" w:before="146"/>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3、所有权或使用权受到限制的资产" w:id="347"/>
      <w:bookmarkEnd w:id="347"/>
      <w:r>
        <w:rPr>
          <w:b w:val="0"/>
          <w:bCs w:val="0"/>
        </w:rPr>
      </w:r>
      <w:r>
        <w:rPr>
          <w:rFonts w:ascii="Times New Roman" w:hAnsi="Times New Roman" w:cs="Times New Roman" w:eastAsia="Times New Roman" w:hint="default"/>
        </w:rPr>
        <w:t>73</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3,870,252.06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子公司丰东特种炉业</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1,317,452.84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5,187,704.90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4、外币货币性项目" w:id="348"/>
      <w:bookmarkEnd w:id="348"/>
      <w:r>
        <w:rPr>
          <w:b w:val="0"/>
          <w:bCs w:val="0"/>
        </w:rPr>
      </w:r>
      <w:r>
        <w:rPr>
          <w:rFonts w:ascii="Times New Roman" w:hAnsi="Times New Roman" w:cs="Times New Roman" w:eastAsia="Times New Roman" w:hint="default"/>
        </w:rPr>
        <w:t>74</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49"/>
      <w:bookmarkEnd w:id="34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1,633,218.86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4"/>
              <w:jc w:val="right"/>
              <w:rPr>
                <w:rFonts w:ascii="Times New Roman" w:hAnsi="Times New Roman" w:cs="Times New Roman" w:eastAsia="Times New Roman" w:hint="default"/>
                <w:sz w:val="18"/>
                <w:szCs w:val="18"/>
              </w:rPr>
            </w:pPr>
            <w:r>
              <w:rPr>
                <w:rFonts w:ascii="Times New Roman"/>
                <w:spacing w:val="-2"/>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9,993,666.21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2"/>
        <w:rPr>
          <w:rFonts w:ascii="宋体" w:hAnsi="宋体" w:cs="宋体" w:eastAsia="宋体" w:hint="default"/>
          <w:sz w:val="19"/>
          <w:szCs w:val="19"/>
        </w:rPr>
      </w:pPr>
    </w:p>
    <w:p>
      <w:pPr>
        <w:pStyle w:val="Heading3"/>
        <w:spacing w:line="259" w:lineRule="auto" w:before="35"/>
        <w:ind w:left="153" w:right="0" w:firstLine="422"/>
        <w:jc w:val="left"/>
        <w:rPr>
          <w:b w:val="0"/>
          <w:bCs w:val="0"/>
        </w:rPr>
      </w:pPr>
      <w:bookmarkStart w:name="（2）境外经营实体说明，包括对于重要的境外经营实体，应披露其境外主要经营地、记账" w:id="350"/>
      <w:bookmarkEnd w:id="35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w:t>
      </w:r>
      <w:r>
        <w:rPr>
          <w:w w:val="99"/>
        </w:rPr>
        <w:t> </w:t>
      </w:r>
      <w:r>
        <w:rPr/>
        <w:t>选择依据，记账本位币发生变化的还应披露原因。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5、套期" w:id="351"/>
      <w:bookmarkEnd w:id="351"/>
      <w:r>
        <w:rPr>
          <w:b w:val="0"/>
          <w:bCs w:val="0"/>
        </w:rPr>
      </w:r>
      <w:r>
        <w:rPr>
          <w:rFonts w:ascii="Times New Roman" w:hAnsi="Times New Roman" w:cs="Times New Roman" w:eastAsia="Times New Roman" w:hint="default"/>
        </w:rPr>
        <w:t>75</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6、其他" w:id="352"/>
      <w:bookmarkEnd w:id="352"/>
      <w:r>
        <w:rPr>
          <w:b w:val="0"/>
          <w:bCs w:val="0"/>
        </w:rPr>
      </w:r>
      <w:r>
        <w:rPr>
          <w:rFonts w:ascii="Times New Roman" w:hAnsi="Times New Roman" w:cs="Times New Roman" w:eastAsia="Times New Roman" w:hint="default"/>
        </w:rPr>
        <w:t>76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691"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left="154" w:right="0"/>
        <w:jc w:val="left"/>
        <w:rPr>
          <w:b w:val="0"/>
          <w:bCs w:val="0"/>
        </w:rPr>
      </w:pPr>
      <w:bookmarkStart w:name="八、合并范围的变更" w:id="353"/>
      <w:bookmarkEnd w:id="35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54"/>
      <w:bookmarkEnd w:id="354"/>
      <w:r>
        <w:rPr>
          <w:b w:val="0"/>
          <w:bCs w:val="0"/>
        </w:rPr>
      </w:r>
      <w:r>
        <w:rPr>
          <w:rFonts w:ascii="Times New Roman" w:hAnsi="Times New Roman" w:cs="Times New Roman" w:eastAsia="Times New Roman" w:hint="default"/>
        </w:rPr>
        <w:t>1</w:t>
      </w:r>
      <w:r>
        <w:rPr/>
        <w:t>、非同一控制下企业合并</w:t>
      </w:r>
      <w:r>
        <w:rPr>
          <w:b w:val="0"/>
          <w:bCs w:val="0"/>
        </w:rPr>
      </w:r>
    </w:p>
    <w:p>
      <w:pPr>
        <w:pStyle w:val="BodyText"/>
        <w:spacing w:line="240" w:lineRule="auto" w:before="147"/>
        <w:ind w:left="514" w:right="0"/>
        <w:jc w:val="left"/>
      </w:pPr>
      <w:r>
        <w:rPr/>
        <w:t>无</w:t>
      </w:r>
    </w:p>
    <w:p>
      <w:pPr>
        <w:spacing w:line="240" w:lineRule="auto" w:before="11"/>
        <w:rPr>
          <w:rFonts w:ascii="宋体" w:hAnsi="宋体" w:cs="宋体" w:eastAsia="宋体" w:hint="default"/>
          <w:sz w:val="26"/>
          <w:szCs w:val="26"/>
        </w:rPr>
      </w:pPr>
    </w:p>
    <w:p>
      <w:pPr>
        <w:pStyle w:val="Heading3"/>
        <w:spacing w:line="506" w:lineRule="auto"/>
        <w:ind w:left="573" w:right="8118" w:firstLine="2"/>
        <w:jc w:val="left"/>
        <w:rPr>
          <w:rFonts w:ascii="宋体" w:hAnsi="宋体" w:cs="宋体" w:eastAsia="宋体" w:hint="default"/>
          <w:b w:val="0"/>
          <w:bCs w:val="0"/>
        </w:rPr>
      </w:pPr>
      <w:bookmarkStart w:name="2、同一控制下企业合并" w:id="355"/>
      <w:bookmarkEnd w:id="355"/>
      <w:r>
        <w:rPr>
          <w:b w:val="0"/>
          <w:bCs w:val="0"/>
        </w:rPr>
      </w:r>
      <w:r>
        <w:rPr>
          <w:rFonts w:ascii="Times New Roman" w:hAnsi="Times New Roman" w:cs="Times New Roman" w:eastAsia="Times New Roman" w:hint="default"/>
        </w:rPr>
        <w:t>2</w:t>
      </w:r>
      <w:r>
        <w:rPr/>
        <w:t>、同一控制下企业合并</w:t>
      </w:r>
      <w:r>
        <w:rPr>
          <w:w w:val="99"/>
        </w:rPr>
        <w:t> </w:t>
      </w:r>
      <w:bookmarkStart w:name="无" w:id="356"/>
      <w:bookmarkEnd w:id="356"/>
      <w:r>
        <w:rPr>
          <w:w w:val="99"/>
        </w:rPr>
      </w:r>
      <w:r>
        <w:rPr>
          <w:rFonts w:ascii="宋体" w:hAnsi="宋体" w:cs="宋体" w:eastAsia="宋体" w:hint="default"/>
          <w:b w:val="0"/>
          <w:bCs w:val="0"/>
        </w:rPr>
        <w:t>无</w:t>
      </w:r>
    </w:p>
    <w:p>
      <w:pPr>
        <w:pStyle w:val="Heading3"/>
        <w:spacing w:line="240" w:lineRule="auto" w:before="105"/>
        <w:ind w:right="0"/>
        <w:jc w:val="left"/>
        <w:rPr>
          <w:b w:val="0"/>
          <w:bCs w:val="0"/>
        </w:rPr>
      </w:pPr>
      <w:bookmarkStart w:name="3、反向购买" w:id="357"/>
      <w:bookmarkEnd w:id="357"/>
      <w:r>
        <w:rPr>
          <w:b w:val="0"/>
          <w:bCs w:val="0"/>
        </w:rPr>
      </w:r>
      <w:r>
        <w:rPr>
          <w:rFonts w:ascii="Times New Roman" w:hAnsi="Times New Roman" w:cs="Times New Roman" w:eastAsia="Times New Roman" w:hint="default"/>
        </w:rPr>
        <w:t>3</w:t>
      </w:r>
      <w:r>
        <w:rPr/>
        <w:t>、反向购买</w:t>
      </w:r>
      <w:r>
        <w:rPr>
          <w:b w:val="0"/>
          <w:bCs w:val="0"/>
        </w:rPr>
      </w:r>
    </w:p>
    <w:p>
      <w:pPr>
        <w:pStyle w:val="BodyText"/>
        <w:spacing w:line="240" w:lineRule="auto" w:before="147"/>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处置子公司" w:id="358"/>
      <w:bookmarkEnd w:id="358"/>
      <w:r>
        <w:rPr>
          <w:b w:val="0"/>
          <w:bCs w:val="0"/>
        </w:rPr>
      </w:r>
      <w:r>
        <w:rPr>
          <w:rFonts w:ascii="Times New Roman" w:hAnsi="Times New Roman" w:cs="Times New Roman" w:eastAsia="Times New Roman" w:hint="default"/>
        </w:rPr>
        <w:t>4</w:t>
      </w:r>
      <w:r>
        <w:rPr/>
        <w:t>、处置子公司</w:t>
      </w:r>
      <w:r>
        <w:rPr>
          <w:b w:val="0"/>
          <w:bCs w:val="0"/>
        </w:rPr>
      </w:r>
    </w:p>
    <w:p>
      <w:pPr>
        <w:pStyle w:val="BodyText"/>
        <w:spacing w:line="240" w:lineRule="auto" w:before="147"/>
        <w:ind w:right="0"/>
        <w:jc w:val="left"/>
      </w:pPr>
      <w:r>
        <w:rPr/>
        <w:t>是否存在单次处置对子公司投资即丧失控制权的情形</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BodyText"/>
        <w:spacing w:line="388" w:lineRule="auto"/>
        <w:ind w:right="1120" w:firstLine="62"/>
        <w:jc w:val="left"/>
      </w:pPr>
      <w:bookmarkStart w:name="5、其他原因的合并范围变动" w:id="359"/>
      <w:bookmarkEnd w:id="35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t>说明其他原因导致的合并范围变动（如，新设子公司、清算子公司等）及其相关情况：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月，本公司出资人民币</w:t>
      </w:r>
      <w:r>
        <w:rPr>
          <w:rFonts w:ascii="Times New Roman" w:hAnsi="Times New Roman" w:cs="Times New Roman" w:eastAsia="Times New Roman" w:hint="default"/>
          <w:spacing w:val="-1"/>
        </w:rPr>
        <w:t>375</w:t>
      </w:r>
      <w:r>
        <w:rPr>
          <w:spacing w:val="-1"/>
        </w:rPr>
        <w:t>万元，新设成立潍坊丰东热处理有限公司，占注册资本的比例为</w:t>
      </w:r>
      <w:r>
        <w:rPr>
          <w:rFonts w:ascii="Times New Roman" w:hAnsi="Times New Roman" w:cs="Times New Roman" w:eastAsia="Times New Roman" w:hint="default"/>
          <w:spacing w:val="-1"/>
        </w:rPr>
        <w:t>75%</w:t>
      </w:r>
      <w:r>
        <w:rPr>
          <w:spacing w:val="-1"/>
        </w:rPr>
        <w:t>，子公司成立之</w:t>
      </w:r>
    </w:p>
    <w:p>
      <w:pPr>
        <w:pStyle w:val="BodyText"/>
        <w:spacing w:line="182" w:lineRule="exact"/>
        <w:ind w:left="153" w:right="0"/>
        <w:jc w:val="left"/>
      </w:pPr>
      <w:r>
        <w:rPr/>
        <w:t>日起纳入合并报表范围。</w:t>
      </w:r>
    </w:p>
    <w:p>
      <w:pPr>
        <w:pStyle w:val="BodyText"/>
        <w:spacing w:line="307" w:lineRule="auto" w:before="147"/>
        <w:ind w:left="153" w:right="1031"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月，本公司首期出资人民币</w:t>
      </w:r>
      <w:r>
        <w:rPr>
          <w:rFonts w:ascii="Times New Roman" w:hAnsi="Times New Roman" w:cs="Times New Roman" w:eastAsia="Times New Roman" w:hint="default"/>
        </w:rPr>
        <w:t>120</w:t>
      </w:r>
      <w:r>
        <w:rPr/>
        <w:t>万元，新设成立盐城丰东祺耀工业炉有限公司，占注册资本的比例为</w:t>
      </w:r>
      <w:r>
        <w:rPr>
          <w:rFonts w:ascii="Times New Roman" w:hAnsi="Times New Roman" w:cs="Times New Roman" w:eastAsia="Times New Roman" w:hint="default"/>
        </w:rPr>
        <w:t>60%</w:t>
      </w:r>
      <w:r>
        <w:rPr/>
        <w:t>，自 </w:t>
      </w:r>
      <w:r>
        <w:rPr>
          <w:spacing w:val="-1"/>
        </w:rPr>
        <w:t>公司成立之日起纳入合并报表范围。（因少数股东未按时完成出资义务，</w:t>
      </w:r>
      <w:r>
        <w:rPr>
          <w:rFonts w:ascii="Times New Roman" w:hAnsi="Times New Roman" w:cs="Times New Roman" w:eastAsia="Times New Roman" w:hint="default"/>
          <w:spacing w:val="-1"/>
        </w:rPr>
        <w:t>2014</w:t>
      </w:r>
      <w:r>
        <w:rPr>
          <w:spacing w:val="-1"/>
        </w:rPr>
        <w:t>年度本公司对该子公司的表决权比例为</w:t>
      </w:r>
      <w:r>
        <w:rPr>
          <w:rFonts w:ascii="Times New Roman" w:hAnsi="Times New Roman" w:cs="Times New Roman" w:eastAsia="Times New Roman" w:hint="default"/>
          <w:spacing w:val="-1"/>
        </w:rPr>
        <w:t>100%</w:t>
      </w:r>
      <w:r>
        <w:rPr>
          <w:spacing w:val="-1"/>
        </w:rPr>
        <w:t>）</w:t>
      </w:r>
    </w:p>
    <w:p>
      <w:pPr>
        <w:pStyle w:val="BodyText"/>
        <w:spacing w:line="307" w:lineRule="auto" w:before="78"/>
        <w:ind w:left="153" w:right="115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月，本公司出资人民币</w:t>
      </w:r>
      <w:r>
        <w:rPr>
          <w:rFonts w:ascii="Times New Roman" w:hAnsi="Times New Roman" w:cs="Times New Roman" w:eastAsia="Times New Roman" w:hint="default"/>
        </w:rPr>
        <w:t>450</w:t>
      </w:r>
      <w:r>
        <w:rPr/>
        <w:t>万元，新设成立广州鑫润丰东热处理有限公司，占注册资本的比例为</w:t>
      </w:r>
      <w:r>
        <w:rPr>
          <w:rFonts w:ascii="Times New Roman" w:hAnsi="Times New Roman" w:cs="Times New Roman" w:eastAsia="Times New Roman" w:hint="default"/>
        </w:rPr>
        <w:t>75%</w:t>
      </w:r>
      <w:r>
        <w:rPr/>
        <w:t>，自公司 成立之日起纳入合并报表范围。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6、其他" w:id="360"/>
      <w:bookmarkEnd w:id="360"/>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bookmarkStart w:name="九、在其他主体中的权益" w:id="361"/>
      <w:bookmarkEnd w:id="36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62"/>
      <w:bookmarkEnd w:id="36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63"/>
      <w:bookmarkEnd w:id="36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6"/>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3108"/>
        <w:gridCol w:w="1146"/>
        <w:gridCol w:w="1134"/>
        <w:gridCol w:w="1134"/>
        <w:gridCol w:w="851"/>
        <w:gridCol w:w="851"/>
        <w:gridCol w:w="1349"/>
      </w:tblGrid>
      <w:tr>
        <w:trPr>
          <w:trHeight w:val="402" w:hRule="exact"/>
        </w:trPr>
        <w:tc>
          <w:tcPr>
            <w:tcW w:w="31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108" w:type="dxa"/>
            <w:vMerge/>
            <w:tcBorders>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14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22"/>
              <w:ind w:left="27"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0"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14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23"/>
              <w:ind w:left="27" w:right="0"/>
              <w:jc w:val="left"/>
              <w:rPr>
                <w:rFonts w:ascii="宋体" w:hAnsi="宋体" w:cs="宋体" w:eastAsia="宋体" w:hint="default"/>
                <w:sz w:val="18"/>
                <w:szCs w:val="18"/>
              </w:rPr>
            </w:pPr>
            <w:r>
              <w:rPr>
                <w:rFonts w:ascii="宋体" w:hAnsi="宋体" w:cs="宋体" w:eastAsia="宋体" w:hint="default"/>
                <w:sz w:val="18"/>
                <w:szCs w:val="18"/>
              </w:rPr>
              <w:t>山东青岛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山东青岛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z w:val="18"/>
              </w:rPr>
              <w:t>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70"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2"/>
              <w:ind w:left="22" w:right="13"/>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114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42"/>
              <w:ind w:left="27"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14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22"/>
              <w:ind w:left="27"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134"/>
        <w:gridCol w:w="1134"/>
        <w:gridCol w:w="851"/>
        <w:gridCol w:w="851"/>
        <w:gridCol w:w="1349"/>
      </w:tblGrid>
      <w:tr>
        <w:trPr>
          <w:trHeight w:val="5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91.15%</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5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96.37%</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75.00%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left="514" w:right="0"/>
        <w:jc w:val="left"/>
      </w:pPr>
      <w:r>
        <w:rPr/>
        <w:t>在子公司的持股比例不同于表决权比例的说明：</w:t>
      </w:r>
    </w:p>
    <w:p>
      <w:pPr>
        <w:pStyle w:val="BodyText"/>
        <w:spacing w:line="240" w:lineRule="auto" w:before="117"/>
        <w:ind w:left="514" w:right="0"/>
        <w:jc w:val="left"/>
      </w:pPr>
      <w:r>
        <w:rPr/>
        <w:t>因少数股东未按时完成出资义务，</w:t>
      </w:r>
      <w:r>
        <w:rPr>
          <w:rFonts w:ascii="Times New Roman" w:hAnsi="Times New Roman" w:cs="Times New Roman" w:eastAsia="Times New Roman" w:hint="default"/>
        </w:rPr>
        <w:t>2014 </w:t>
      </w:r>
      <w:r>
        <w:rPr/>
        <w:t>年度本公司对子公司盐城丰东祺耀工业炉有限公司的表决权比例为</w:t>
      </w:r>
      <w:r>
        <w:rPr>
          <w:spacing w:val="-54"/>
        </w:rPr>
        <w:t> </w:t>
      </w:r>
      <w:r>
        <w:rPr>
          <w:rFonts w:ascii="Times New Roman" w:hAnsi="Times New Roman" w:cs="Times New Roman" w:eastAsia="Times New Roman" w:hint="default"/>
        </w:rPr>
        <w:t>100%</w:t>
      </w:r>
      <w:r>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的非全资子公司" w:id="364"/>
      <w:bookmarkEnd w:id="364"/>
      <w:r>
        <w:rPr>
          <w:b w:val="0"/>
          <w:bCs w:val="0"/>
        </w:rPr>
      </w:r>
      <w:r>
        <w:rPr/>
        <w:t>（</w:t>
      </w:r>
      <w:r>
        <w:rPr>
          <w:rFonts w:ascii="Times New Roman" w:hAnsi="Times New Roman" w:cs="Times New Roman" w:eastAsia="Times New Roman" w:hint="default"/>
        </w:rPr>
        <w:t>2</w:t>
      </w:r>
      <w:r>
        <w:rPr/>
        <w:t>）重要的非全资子公司</w:t>
      </w:r>
      <w:r>
        <w:rPr>
          <w:b w:val="0"/>
          <w:bCs w:val="0"/>
        </w:rPr>
      </w:r>
    </w:p>
    <w:p>
      <w:pPr>
        <w:pStyle w:val="BodyText"/>
        <w:spacing w:line="240" w:lineRule="auto" w:before="14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563"/>
        <w:gridCol w:w="1981"/>
        <w:gridCol w:w="1846"/>
        <w:gridCol w:w="1913"/>
      </w:tblGrid>
      <w:tr>
        <w:trPr>
          <w:trHeight w:val="7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05" w:right="84"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467" w:right="106"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207,796.69</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43,023,833.26</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998,908.16</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4,781,807.24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65"/>
      <w:bookmarkEnd w:id="36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both"/>
              <w:rPr>
                <w:rFonts w:ascii="宋体" w:hAnsi="宋体" w:cs="宋体" w:eastAsia="宋体" w:hint="default"/>
                <w:sz w:val="18"/>
                <w:szCs w:val="18"/>
              </w:rPr>
            </w:pPr>
            <w:r>
              <w:rPr>
                <w:rFonts w:ascii="宋体" w:hAnsi="宋体" w:cs="宋体" w:eastAsia="宋体" w:hint="default"/>
                <w:sz w:val="18"/>
                <w:szCs w:val="18"/>
              </w:rPr>
              <w:t>天津丰 东热处 理有限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45,101,3</w:t>
            </w:r>
          </w:p>
          <w:p>
            <w:pPr>
              <w:pStyle w:val="TableParagraph"/>
              <w:spacing w:line="240" w:lineRule="auto" w:before="33"/>
              <w:ind w:left="299" w:right="0"/>
              <w:jc w:val="left"/>
              <w:rPr>
                <w:rFonts w:ascii="Times New Roman" w:hAnsi="Times New Roman" w:cs="Times New Roman" w:eastAsia="Times New Roman" w:hint="default"/>
                <w:sz w:val="18"/>
                <w:szCs w:val="18"/>
              </w:rPr>
            </w:pPr>
            <w:r>
              <w:rPr>
                <w:rFonts w:ascii="Times New Roman"/>
                <w:sz w:val="18"/>
              </w:rPr>
              <w:t>54.58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54,371,4</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18.56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99,472,7</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73.14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3,864,25</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4.78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3,864,25</w:t>
            </w:r>
          </w:p>
          <w:p>
            <w:pPr>
              <w:pStyle w:val="TableParagraph"/>
              <w:spacing w:line="240" w:lineRule="auto" w:before="33"/>
              <w:ind w:left="387" w:right="0"/>
              <w:jc w:val="left"/>
              <w:rPr>
                <w:rFonts w:ascii="Times New Roman" w:hAnsi="Times New Roman" w:cs="Times New Roman" w:eastAsia="Times New Roman" w:hint="default"/>
                <w:sz w:val="18"/>
                <w:szCs w:val="18"/>
              </w:rPr>
            </w:pPr>
            <w:r>
              <w:rPr>
                <w:rFonts w:ascii="Times New Roman"/>
                <w:sz w:val="18"/>
              </w:rPr>
              <w:t>4.78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24,152,6</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92.85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22,219,9</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08.54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46,372,6</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01.39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8,369,99</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9.27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8,369,99</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9.27</w:t>
            </w:r>
          </w:p>
        </w:tc>
      </w:tr>
      <w:tr>
        <w:trPr>
          <w:trHeight w:val="10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both"/>
              <w:rPr>
                <w:rFonts w:ascii="宋体" w:hAnsi="宋体" w:cs="宋体" w:eastAsia="宋体" w:hint="default"/>
                <w:sz w:val="18"/>
                <w:szCs w:val="18"/>
              </w:rPr>
            </w:pPr>
            <w:r>
              <w:rPr>
                <w:rFonts w:ascii="宋体" w:hAnsi="宋体" w:cs="宋体" w:eastAsia="宋体" w:hint="default"/>
                <w:sz w:val="18"/>
                <w:szCs w:val="18"/>
              </w:rPr>
              <w:t>青岛丰 东热处 理有限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14,698,0</w:t>
            </w:r>
          </w:p>
          <w:p>
            <w:pPr>
              <w:pStyle w:val="TableParagraph"/>
              <w:spacing w:line="240" w:lineRule="auto" w:before="33"/>
              <w:ind w:left="299" w:right="0"/>
              <w:jc w:val="left"/>
              <w:rPr>
                <w:rFonts w:ascii="Times New Roman" w:hAnsi="Times New Roman" w:cs="Times New Roman" w:eastAsia="Times New Roman" w:hint="default"/>
                <w:sz w:val="18"/>
                <w:szCs w:val="18"/>
              </w:rPr>
            </w:pPr>
            <w:r>
              <w:rPr>
                <w:rFonts w:ascii="Times New Roman"/>
                <w:sz w:val="18"/>
              </w:rPr>
              <w:t>25.44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17,392,6</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34.47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32,090,6</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59.91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9,775,10</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5.48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1,740,00</w:t>
            </w:r>
          </w:p>
          <w:p>
            <w:pPr>
              <w:pStyle w:val="TableParagraph"/>
              <w:spacing w:line="240" w:lineRule="auto" w:before="33"/>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11,515,1</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05.48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12,625,3</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09.98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16,846,3</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49.43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29,471,6</w:t>
            </w:r>
          </w:p>
          <w:p>
            <w:pPr>
              <w:pStyle w:val="TableParagraph"/>
              <w:spacing w:line="240" w:lineRule="auto" w:before="33"/>
              <w:ind w:left="297" w:right="0"/>
              <w:jc w:val="left"/>
              <w:rPr>
                <w:rFonts w:ascii="Times New Roman" w:hAnsi="Times New Roman" w:cs="Times New Roman" w:eastAsia="Times New Roman" w:hint="default"/>
                <w:sz w:val="18"/>
                <w:szCs w:val="18"/>
              </w:rPr>
            </w:pPr>
            <w:r>
              <w:rPr>
                <w:rFonts w:ascii="Times New Roman"/>
                <w:sz w:val="18"/>
              </w:rPr>
              <w:t>59.41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11,417,5</w:t>
            </w:r>
          </w:p>
          <w:p>
            <w:pPr>
              <w:pStyle w:val="TableParagraph"/>
              <w:spacing w:line="240" w:lineRule="auto" w:before="33"/>
              <w:ind w:left="300" w:right="0"/>
              <w:jc w:val="left"/>
              <w:rPr>
                <w:rFonts w:ascii="Times New Roman" w:hAnsi="Times New Roman" w:cs="Times New Roman" w:eastAsia="Times New Roman" w:hint="default"/>
                <w:sz w:val="18"/>
                <w:szCs w:val="18"/>
              </w:rPr>
            </w:pPr>
            <w:r>
              <w:rPr>
                <w:rFonts w:ascii="Times New Roman"/>
                <w:sz w:val="18"/>
              </w:rPr>
              <w:t>03.18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1,550,00</w:t>
            </w:r>
          </w:p>
          <w:p>
            <w:pPr>
              <w:pStyle w:val="TableParagraph"/>
              <w:spacing w:line="240" w:lineRule="auto" w:before="33"/>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12,967,5</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03.18</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916"/>
        <w:gridCol w:w="1066"/>
        <w:gridCol w:w="1138"/>
        <w:gridCol w:w="990"/>
        <w:gridCol w:w="1064"/>
        <w:gridCol w:w="1063"/>
        <w:gridCol w:w="1066"/>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3" w:right="23"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left"/>
              <w:rPr>
                <w:rFonts w:ascii="宋体" w:hAnsi="宋体" w:cs="宋体" w:eastAsia="宋体" w:hint="default"/>
                <w:sz w:val="18"/>
                <w:szCs w:val="18"/>
              </w:rPr>
            </w:pPr>
            <w:r>
              <w:rPr>
                <w:rFonts w:ascii="宋体" w:hAnsi="宋体" w:cs="宋体" w:eastAsia="宋体" w:hint="default"/>
                <w:sz w:val="18"/>
                <w:szCs w:val="18"/>
              </w:rPr>
              <w:t>天津丰东热处 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34,193,510.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16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2"/>
                <w:sz w:val="18"/>
              </w:rPr>
              <w:t>2,110,116.2</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2,110,116.24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-2,565,141.48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23,789,692.</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540,606.30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540,606.30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100,818.22</w:t>
            </w:r>
          </w:p>
        </w:tc>
      </w:tr>
      <w:tr>
        <w:trPr>
          <w:trHeight w:val="5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left"/>
              <w:rPr>
                <w:rFonts w:ascii="宋体" w:hAnsi="宋体" w:cs="宋体" w:eastAsia="宋体" w:hint="default"/>
                <w:sz w:val="18"/>
                <w:szCs w:val="18"/>
              </w:rPr>
            </w:pPr>
            <w:r>
              <w:rPr>
                <w:rFonts w:ascii="宋体" w:hAnsi="宋体" w:cs="宋体" w:eastAsia="宋体" w:hint="default"/>
                <w:sz w:val="18"/>
                <w:szCs w:val="18"/>
              </w:rPr>
              <w:t>青岛丰东热处 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37,204,666.</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41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4,071,398.2</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4,071,398.20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2,640,556.67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24,122,145.</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2,896,621.37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2,896,621.37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3,545,234.67</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在子公司的所有者权益份额发生变化且仍控制子公司的交易" w:id="366"/>
      <w:bookmarkEnd w:id="36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67"/>
      <w:bookmarkEnd w:id="36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16"/>
          <w:szCs w:val="16"/>
        </w:rPr>
      </w:pPr>
    </w:p>
    <w:p>
      <w:pPr>
        <w:pStyle w:val="BodyText"/>
        <w:spacing w:line="348" w:lineRule="auto"/>
        <w:ind w:left="153" w:right="115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月，本公司将所持有的子公司天津丰东热处理有限公司</w:t>
      </w:r>
      <w:r>
        <w:rPr>
          <w:rFonts w:ascii="Times New Roman" w:hAnsi="Times New Roman" w:cs="Times New Roman" w:eastAsia="Times New Roman" w:hint="default"/>
        </w:rPr>
        <w:t>15%</w:t>
      </w:r>
      <w:r>
        <w:rPr/>
        <w:t>的股权转让给日本高周波高周波热炼株式会社，转 让后持股比例由</w:t>
      </w:r>
      <w:r>
        <w:rPr>
          <w:rFonts w:ascii="Times New Roman" w:hAnsi="Times New Roman" w:cs="Times New Roman" w:eastAsia="Times New Roman" w:hint="default"/>
        </w:rPr>
        <w:t>70%</w:t>
      </w:r>
      <w:r>
        <w:rPr/>
        <w:t>下降为</w:t>
      </w:r>
      <w:r>
        <w:rPr>
          <w:rFonts w:ascii="Times New Roman" w:hAnsi="Times New Roman" w:cs="Times New Roman" w:eastAsia="Times New Roman" w:hint="default"/>
        </w:rPr>
        <w:t>55%</w:t>
      </w:r>
      <w:r>
        <w:rPr/>
        <w:t>。</w:t>
      </w:r>
    </w:p>
    <w:p>
      <w:pPr>
        <w:pStyle w:val="BodyText"/>
        <w:spacing w:line="348" w:lineRule="auto" w:before="82"/>
        <w:ind w:left="153" w:right="115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月，本公司收购江苏丰东热处理及表面改性工程技术研究有限公司少数股东所持有的</w:t>
      </w:r>
      <w:r>
        <w:rPr>
          <w:rFonts w:ascii="Times New Roman" w:hAnsi="Times New Roman" w:cs="Times New Roman" w:eastAsia="Times New Roman" w:hint="default"/>
        </w:rPr>
        <w:t>30%</w:t>
      </w:r>
      <w:r>
        <w:rPr/>
        <w:t>的股权，收购后股权 比例由</w:t>
      </w:r>
      <w:r>
        <w:rPr>
          <w:rFonts w:ascii="Times New Roman" w:hAnsi="Times New Roman" w:cs="Times New Roman" w:eastAsia="Times New Roman" w:hint="default"/>
        </w:rPr>
        <w:t>70%</w:t>
      </w:r>
      <w:r>
        <w:rPr/>
        <w:t>变更为</w:t>
      </w:r>
      <w:r>
        <w:rPr>
          <w:rFonts w:ascii="Times New Roman" w:hAnsi="Times New Roman" w:cs="Times New Roman" w:eastAsia="Times New Roman" w:hint="default"/>
        </w:rPr>
        <w:t>100%</w:t>
      </w:r>
      <w:r>
        <w:rPr/>
        <w:t>。</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bookmarkStart w:name="（2）交易对于少数股东权益及归属于母公司所有者权益的影响" w:id="368"/>
      <w:bookmarkEnd w:id="36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pStyle w:val="BodyText"/>
        <w:spacing w:line="240" w:lineRule="auto" w:before="146"/>
        <w:ind w:left="0" w:right="1310"/>
        <w:jc w:val="right"/>
      </w:pPr>
      <w:r>
        <w:rPr/>
        <w:t>单位：元</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5104"/>
        <w:gridCol w:w="2269"/>
        <w:gridCol w:w="2126"/>
      </w:tblGrid>
      <w:tr>
        <w:trPr>
          <w:trHeight w:val="341" w:hRule="exact"/>
        </w:trPr>
        <w:tc>
          <w:tcPr>
            <w:tcW w:w="51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天津丰东</w:t>
            </w:r>
          </w:p>
        </w:tc>
        <w:tc>
          <w:tcPr>
            <w:tcW w:w="2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695" w:right="0"/>
              <w:jc w:val="left"/>
              <w:rPr>
                <w:rFonts w:ascii="宋体" w:hAnsi="宋体" w:cs="宋体" w:eastAsia="宋体" w:hint="default"/>
                <w:sz w:val="18"/>
                <w:szCs w:val="18"/>
              </w:rPr>
            </w:pPr>
            <w:r>
              <w:rPr>
                <w:rFonts w:ascii="宋体" w:hAnsi="宋体" w:cs="宋体" w:eastAsia="宋体" w:hint="default"/>
                <w:sz w:val="18"/>
                <w:szCs w:val="18"/>
              </w:rPr>
              <w:t>工程技术</w:t>
            </w:r>
          </w:p>
        </w:tc>
      </w:tr>
      <w:tr>
        <w:trPr>
          <w:trHeight w:val="347" w:hRule="exact"/>
        </w:trPr>
        <w:tc>
          <w:tcPr>
            <w:tcW w:w="51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26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5,672,758.16</w:t>
            </w:r>
          </w:p>
        </w:tc>
        <w:tc>
          <w:tcPr>
            <w:tcW w:w="212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600,000.00</w:t>
            </w:r>
          </w:p>
        </w:tc>
      </w:tr>
      <w:tr>
        <w:trPr>
          <w:trHeight w:val="347" w:hRule="exact"/>
        </w:trPr>
        <w:tc>
          <w:tcPr>
            <w:tcW w:w="51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5,672,758.16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600,000.00</w:t>
            </w:r>
          </w:p>
        </w:tc>
      </w:tr>
      <w:tr>
        <w:trPr>
          <w:trHeight w:val="347" w:hRule="exact"/>
        </w:trPr>
        <w:tc>
          <w:tcPr>
            <w:tcW w:w="51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5,700,390.32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1,567,521.25</w:t>
            </w:r>
          </w:p>
        </w:tc>
      </w:tr>
      <w:tr>
        <w:trPr>
          <w:trHeight w:val="347" w:hRule="exact"/>
        </w:trPr>
        <w:tc>
          <w:tcPr>
            <w:tcW w:w="51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-27,632.16</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-967,521.25</w:t>
            </w:r>
            <w:r>
              <w:rPr>
                <w:rFonts w:ascii="Times New Roman"/>
                <w:sz w:val="18"/>
              </w:rPr>
            </w:r>
          </w:p>
        </w:tc>
      </w:tr>
      <w:tr>
        <w:trPr>
          <w:trHeight w:val="348" w:hRule="exact"/>
        </w:trPr>
        <w:tc>
          <w:tcPr>
            <w:tcW w:w="51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-27,632.16</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-967,521.25</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69"/>
      <w:bookmarkEnd w:id="36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70"/>
      <w:bookmarkEnd w:id="37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6"/>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134"/>
        <w:gridCol w:w="992"/>
        <w:gridCol w:w="993"/>
        <w:gridCol w:w="834"/>
        <w:gridCol w:w="1366"/>
      </w:tblGrid>
      <w:tr>
        <w:trPr>
          <w:trHeight w:val="329" w:hRule="exact"/>
        </w:trPr>
        <w:tc>
          <w:tcPr>
            <w:tcW w:w="2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80" w:hRule="exact"/>
        </w:trPr>
        <w:tc>
          <w:tcPr>
            <w:tcW w:w="297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3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合营企业的主要财务信息" w:id="371"/>
      <w:bookmarkEnd w:id="37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单位：元</w:t>
      </w:r>
    </w:p>
    <w:p>
      <w:pPr>
        <w:spacing w:line="240" w:lineRule="auto" w:before="1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62"/>
        <w:gridCol w:w="1701"/>
        <w:gridCol w:w="1417"/>
        <w:gridCol w:w="1559"/>
        <w:gridCol w:w="1560"/>
      </w:tblGrid>
      <w:tr>
        <w:trPr>
          <w:trHeight w:val="335" w:hRule="exact"/>
        </w:trPr>
        <w:tc>
          <w:tcPr>
            <w:tcW w:w="326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3262" w:type="dxa"/>
            <w:vMerge/>
            <w:tcBorders>
              <w:left w:val="single" w:sz="6" w:space="0" w:color="000000"/>
              <w:bottom w:val="single" w:sz="6" w:space="0" w:color="000000"/>
              <w:right w:val="single" w:sz="6" w:space="0" w:color="000000"/>
            </w:tcBorders>
            <w:shd w:val="clear" w:color="auto" w:fill="BEBEBE"/>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392"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50"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15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石川岛丰东</w:t>
            </w:r>
          </w:p>
        </w:tc>
      </w:tr>
      <w:tr>
        <w:trPr>
          <w:trHeight w:val="342"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3" w:lineRule="exact"/>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1"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24"/>
              <w:ind w:right="1"/>
              <w:jc w:val="right"/>
              <w:rPr>
                <w:rFonts w:ascii="Times New Roman" w:hAnsi="Times New Roman" w:cs="Times New Roman" w:eastAsia="Times New Roman" w:hint="default"/>
                <w:sz w:val="18"/>
                <w:szCs w:val="18"/>
              </w:rPr>
            </w:pPr>
            <w:r>
              <w:rPr>
                <w:rFonts w:ascii="Times New Roman"/>
                <w:spacing w:val="-1"/>
                <w:sz w:val="18"/>
              </w:rPr>
              <w:t>86,741,208.80</w:t>
            </w:r>
          </w:p>
        </w:tc>
        <w:tc>
          <w:tcPr>
            <w:tcW w:w="14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4"/>
              <w:ind w:right="1"/>
              <w:jc w:val="right"/>
              <w:rPr>
                <w:rFonts w:ascii="Times New Roman" w:hAnsi="Times New Roman" w:cs="Times New Roman" w:eastAsia="Times New Roman" w:hint="default"/>
                <w:sz w:val="18"/>
                <w:szCs w:val="18"/>
              </w:rPr>
            </w:pPr>
            <w:r>
              <w:rPr>
                <w:rFonts w:ascii="Times New Roman"/>
                <w:spacing w:val="-1"/>
                <w:sz w:val="18"/>
              </w:rPr>
              <w:t>18,966,449.41</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4"/>
              <w:ind w:right="1"/>
              <w:jc w:val="right"/>
              <w:rPr>
                <w:rFonts w:ascii="Times New Roman" w:hAnsi="Times New Roman" w:cs="Times New Roman" w:eastAsia="Times New Roman" w:hint="default"/>
                <w:sz w:val="18"/>
                <w:szCs w:val="18"/>
              </w:rPr>
            </w:pPr>
            <w:r>
              <w:rPr>
                <w:rFonts w:ascii="Times New Roman"/>
                <w:spacing w:val="-1"/>
                <w:sz w:val="18"/>
              </w:rPr>
              <w:t>84,928,457.26</w:t>
            </w:r>
          </w:p>
        </w:tc>
        <w:tc>
          <w:tcPr>
            <w:tcW w:w="1560"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70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13,882,669.09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10,503,969.97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10,850,608.81</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92,539,656.41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16,510,581.13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93,583,866.69</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0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179,280,865.21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35,477,030.54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178,512,323.95</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01" w:type="dxa"/>
            <w:tcBorders>
              <w:top w:val="single" w:sz="6" w:space="0" w:color="000000"/>
              <w:left w:val="single" w:sz="7"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7" w:lineRule="exact"/>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49,779,284.27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6,235,677.62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54,904,334.52</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1" w:type="dxa"/>
            <w:tcBorders>
              <w:top w:val="single" w:sz="6" w:space="0" w:color="000000"/>
              <w:left w:val="single" w:sz="7"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49,779,284.27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6,235,677.62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54,904,334.52</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01" w:type="dxa"/>
            <w:tcBorders>
              <w:top w:val="single" w:sz="6" w:space="0" w:color="000000"/>
              <w:left w:val="single" w:sz="7"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262"/>
        <w:gridCol w:w="1701"/>
        <w:gridCol w:w="1417"/>
        <w:gridCol w:w="1559"/>
        <w:gridCol w:w="1560"/>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129,501,580.94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29,241,352.92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123,607,989.43</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7" w:lineRule="exact"/>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64,750,790.47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14,620,676.46</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70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-1,761,936.80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64,750,790.47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12,858,739.66</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77,480,474.08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1,105,829.16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86,366,830.54</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-2,318,614.57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w w:val="95"/>
                <w:sz w:val="18"/>
              </w:rPr>
              <w:t>-6,008.52</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-2,986,993.97</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7" w:lineRule="exact"/>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1,114,660.41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w w:val="95"/>
                <w:sz w:val="18"/>
              </w:rPr>
              <w:t>-240,223.18</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3,483,298.30</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10,893,591.51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w w:val="95"/>
                <w:sz w:val="18"/>
              </w:rPr>
              <w:t>-758,647.08</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10,508,983.08</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10,893,591.51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w w:val="95"/>
                <w:sz w:val="18"/>
              </w:rPr>
              <w:t>-758,647.08</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10,508,983.08</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18"/>
                <w:szCs w:val="18"/>
              </w:rPr>
            </w:pPr>
            <w:r>
              <w:rPr>
                <w:rFonts w:ascii="Times New Roman"/>
                <w:spacing w:val="-1"/>
                <w:sz w:val="18"/>
              </w:rPr>
              <w:t>2,500,000.00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pacing w:val="-1"/>
                <w:sz w:val="18"/>
              </w:rPr>
              <w:t>2,500,000.00</w:t>
            </w: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联营企业的主要财务信息" w:id="372"/>
      <w:bookmarkEnd w:id="37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310"/>
        <w:jc w:val="right"/>
      </w:pPr>
      <w:r>
        <w:rPr/>
        <w:t>单位：元</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963"/>
        <w:gridCol w:w="2268"/>
        <w:gridCol w:w="2268"/>
      </w:tblGrid>
      <w:tr>
        <w:trPr>
          <w:trHeight w:val="341" w:hRule="exact"/>
        </w:trPr>
        <w:tc>
          <w:tcPr>
            <w:tcW w:w="4963"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90"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9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347" w:hRule="exact"/>
        </w:trPr>
        <w:tc>
          <w:tcPr>
            <w:tcW w:w="4963" w:type="dxa"/>
            <w:vMerge/>
            <w:tcBorders>
              <w:left w:val="single" w:sz="6" w:space="0" w:color="000000"/>
              <w:bottom w:val="single" w:sz="6" w:space="0" w:color="000000"/>
              <w:right w:val="single" w:sz="6" w:space="0" w:color="000000"/>
            </w:tcBorders>
            <w:shd w:val="clear" w:color="auto" w:fill="BEBEBE"/>
          </w:tcPr>
          <w:p>
            <w:pPr/>
          </w:p>
        </w:tc>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广州丰东</w:t>
            </w:r>
          </w:p>
        </w:tc>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广州丰东</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6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16,678,654.25</w:t>
            </w:r>
          </w:p>
        </w:tc>
        <w:tc>
          <w:tcPr>
            <w:tcW w:w="22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17,978,769.50</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12,516,563.08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9,490,848.95</w:t>
            </w:r>
          </w:p>
        </w:tc>
      </w:tr>
      <w:tr>
        <w:trPr>
          <w:trHeight w:val="348"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28,880,236.75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22,222,924.88</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45,558,891.00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40,201,694.38</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268" w:type="dxa"/>
            <w:tcBorders>
              <w:top w:val="single" w:sz="6" w:space="0" w:color="000000"/>
              <w:left w:val="single" w:sz="7"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5,877,359.36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4,196,335.79</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3,595,970.00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4,043,970.00</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9,473,329.36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8,240,305.79</w:t>
            </w:r>
          </w:p>
        </w:tc>
      </w:tr>
      <w:tr>
        <w:trPr>
          <w:trHeight w:val="348"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268" w:type="dxa"/>
            <w:tcBorders>
              <w:top w:val="single" w:sz="6" w:space="0" w:color="000000"/>
              <w:left w:val="single" w:sz="7"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68" w:type="dxa"/>
            <w:tcBorders>
              <w:top w:val="single" w:sz="6" w:space="0" w:color="000000"/>
              <w:left w:val="single" w:sz="7"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36,085,561.64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31,961,388.59</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268" w:type="dxa"/>
            <w:tcBorders>
              <w:top w:val="single" w:sz="6" w:space="0" w:color="000000"/>
              <w:left w:val="single" w:sz="7"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14,434,224.65</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426,043.95</w:t>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14,008,180.70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12,784,555.43</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268" w:type="dxa"/>
            <w:tcBorders>
              <w:top w:val="single" w:sz="6" w:space="0" w:color="000000"/>
              <w:left w:val="single" w:sz="7"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43,671,724.37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23,120,576.97</w:t>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-337,939.35</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-934,426.48</w:t>
            </w:r>
            <w:r>
              <w:rPr>
                <w:rFonts w:ascii="Times New Roman"/>
                <w:sz w:val="18"/>
              </w:rPr>
            </w: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2,072,217.91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1,301,039.55</w:t>
            </w:r>
          </w:p>
        </w:tc>
      </w:tr>
      <w:tr>
        <w:trPr>
          <w:trHeight w:val="348"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6,124,173.05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3,841,940.21</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12"/>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963"/>
        <w:gridCol w:w="2268"/>
        <w:gridCol w:w="2268"/>
      </w:tblGrid>
      <w:tr>
        <w:trPr>
          <w:trHeight w:val="341"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6,124,173.05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5" w:right="0"/>
              <w:jc w:val="left"/>
              <w:rPr>
                <w:rFonts w:ascii="Times New Roman" w:hAnsi="Times New Roman" w:cs="Times New Roman" w:eastAsia="Times New Roman" w:hint="default"/>
                <w:sz w:val="18"/>
                <w:szCs w:val="18"/>
              </w:rPr>
            </w:pPr>
            <w:r>
              <w:rPr>
                <w:rFonts w:ascii="Times New Roman"/>
                <w:sz w:val="18"/>
              </w:rPr>
              <w:t>3,841,940.21</w:t>
            </w:r>
          </w:p>
        </w:tc>
      </w:tr>
      <w:tr>
        <w:trPr>
          <w:trHeight w:val="348"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800,000.00</w:t>
            </w: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上重要的合营企业和联营企业的汇总财务信息" w:id="373"/>
      <w:bookmarkEnd w:id="37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pStyle w:val="BodyText"/>
        <w:spacing w:line="240" w:lineRule="auto" w:before="147"/>
        <w:ind w:left="51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374"/>
      <w:bookmarkEnd w:id="374"/>
      <w:r>
        <w:rPr>
          <w:b w:val="0"/>
          <w:bCs w:val="0"/>
        </w:rPr>
      </w:r>
      <w:r>
        <w:rPr>
          <w:rFonts w:ascii="Times New Roman" w:hAnsi="Times New Roman" w:cs="Times New Roman" w:eastAsia="Times New Roman" w:hint="default"/>
        </w:rPr>
        <w:t>4</w:t>
      </w:r>
      <w:r>
        <w:rPr/>
        <w:t>、重要的共同经营</w:t>
      </w:r>
      <w:r>
        <w:rPr>
          <w:b w:val="0"/>
          <w:bCs w:val="0"/>
        </w:rPr>
      </w:r>
    </w:p>
    <w:p>
      <w:pPr>
        <w:pStyle w:val="BodyText"/>
        <w:spacing w:line="240" w:lineRule="auto" w:before="147"/>
        <w:ind w:left="51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375"/>
      <w:bookmarkEnd w:id="37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其他" w:id="376"/>
      <w:bookmarkEnd w:id="376"/>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377"/>
      <w:bookmarkEnd w:id="377"/>
      <w:r>
        <w:rPr>
          <w:b w:val="0"/>
          <w:bCs w:val="0"/>
        </w:rPr>
      </w:r>
      <w:r>
        <w:rPr/>
        <w:t>十、与金融工具相关的风险</w:t>
      </w:r>
      <w:r>
        <w:rPr>
          <w:b w:val="0"/>
          <w:bCs w:val="0"/>
        </w:rPr>
      </w:r>
    </w:p>
    <w:p>
      <w:pPr>
        <w:pStyle w:val="BodyText"/>
        <w:spacing w:line="326" w:lineRule="auto" w:before="182"/>
        <w:ind w:left="154" w:right="1131" w:firstLine="360"/>
        <w:jc w:val="both"/>
      </w:pPr>
      <w:r>
        <w:rPr>
          <w:spacing w:val="-2"/>
        </w:rPr>
        <w:t>本公司风险管理的目标是在风险与收益间取得平衡，采取有效措施将风险对公司经营业绩的影响降至最低水平，使股东</w:t>
      </w:r>
      <w:r>
        <w:rPr/>
        <w:t> </w:t>
      </w:r>
      <w:r>
        <w:rPr>
          <w:spacing w:val="-2"/>
        </w:rPr>
        <w:t>及其他利益相关者的利益最大化。基于这样的目的，本公司的风险管理策略是通过对各种不确定因素进行分析与确认，建立</w:t>
      </w:r>
      <w:r>
        <w:rPr>
          <w:spacing w:val="-66"/>
        </w:rPr>
        <w:t> </w:t>
      </w:r>
      <w:r>
        <w:rPr>
          <w:spacing w:val="-66"/>
        </w:rPr>
      </w:r>
      <w:r>
        <w:rPr/>
        <w:t>健全全面风险管理体系，培育良好的风险管理文化，及进对各种风险进行跟踪监督，将风险控制在限定的范围内。</w:t>
      </w:r>
    </w:p>
    <w:p>
      <w:pPr>
        <w:pStyle w:val="BodyText"/>
        <w:spacing w:line="326" w:lineRule="auto" w:before="81"/>
        <w:ind w:left="153" w:right="1050" w:firstLine="360"/>
        <w:jc w:val="both"/>
      </w:pPr>
      <w:r>
        <w:rPr/>
        <w:t>本公司金融工具产生的风险主要包括信用风险、流动风险及市场风险。本公司董事会已审议并批准《风险管理办法》， 确保及时有效地进行风险管理。</w:t>
      </w:r>
    </w:p>
    <w:p>
      <w:pPr>
        <w:pStyle w:val="BodyText"/>
        <w:spacing w:line="388" w:lineRule="auto" w:before="81"/>
        <w:ind w:left="514" w:right="4092"/>
        <w:jc w:val="left"/>
      </w:pPr>
      <w:r>
        <w:rPr/>
        <w:t>本公司的金融工具包括：应收款项、应付款项、可供出售金融资产等。 </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 本公司对信用风险的管理目标、政策和程序、计量风险的方法：</w:t>
      </w:r>
    </w:p>
    <w:p>
      <w:pPr>
        <w:pStyle w:val="BodyText"/>
        <w:spacing w:line="319" w:lineRule="auto" w:before="34"/>
        <w:ind w:left="153" w:right="1133" w:firstLine="360"/>
        <w:jc w:val="both"/>
      </w:pPr>
      <w:r>
        <w:rPr>
          <w:spacing w:val="-2"/>
        </w:rPr>
        <w:t>本公司的信用风险主要来源于银行存款、应收账款。本公司的银行存款基本存放于信用评级较高的银行，不存在重大风</w:t>
      </w:r>
      <w:r>
        <w:rPr/>
        <w:t> </w:t>
      </w:r>
      <w:r>
        <w:rPr>
          <w:spacing w:val="-2"/>
        </w:rPr>
        <w:t>险。本公司的应收账款主要是设备销售款。本公司在签订合同前，对新增客户进行信用调查与评定，签订合同时，合同条款</w:t>
      </w:r>
      <w:r>
        <w:rPr>
          <w:spacing w:val="-66"/>
        </w:rPr>
        <w:t> </w:t>
      </w:r>
      <w:r>
        <w:rPr>
          <w:spacing w:val="-66"/>
        </w:rPr>
      </w:r>
      <w:r>
        <w:rPr/>
        <w:t>中基本按</w:t>
      </w:r>
      <w:r>
        <w:rPr>
          <w:rFonts w:ascii="Times New Roman" w:hAnsi="Times New Roman" w:cs="Times New Roman" w:eastAsia="Times New Roman" w:hint="default"/>
        </w:rPr>
        <w:t>30%</w:t>
      </w:r>
      <w:r>
        <w:rPr/>
        <w:t>预收设备定金，设备完成发送前，收</w:t>
      </w:r>
      <w:r>
        <w:rPr>
          <w:rFonts w:ascii="Times New Roman" w:hAnsi="Times New Roman" w:cs="Times New Roman" w:eastAsia="Times New Roman" w:hint="default"/>
        </w:rPr>
        <w:t>30%</w:t>
      </w:r>
      <w:r>
        <w:rPr/>
        <w:t>提货款，设备交付时收取</w:t>
      </w:r>
      <w:r>
        <w:rPr>
          <w:rFonts w:ascii="Times New Roman" w:hAnsi="Times New Roman" w:cs="Times New Roman" w:eastAsia="Times New Roman" w:hint="default"/>
        </w:rPr>
        <w:t>30%</w:t>
      </w:r>
      <w:r>
        <w:rPr/>
        <w:t>货款，留</w:t>
      </w:r>
      <w:r>
        <w:rPr>
          <w:rFonts w:ascii="Times New Roman" w:hAnsi="Times New Roman" w:cs="Times New Roman" w:eastAsia="Times New Roman" w:hint="default"/>
        </w:rPr>
        <w:t>10%</w:t>
      </w:r>
      <w:r>
        <w:rPr/>
        <w:t>作为设备后期质保金。销 售与财务部门定期与不定期对应收款余额进行监控，以确保本公司不面临重大坏账风险。</w:t>
      </w:r>
    </w:p>
    <w:p>
      <w:pPr>
        <w:pStyle w:val="BodyText"/>
        <w:spacing w:line="379" w:lineRule="auto" w:before="88"/>
        <w:ind w:right="2833" w:firstLine="1"/>
        <w:jc w:val="left"/>
      </w:pP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99"/>
        </w:rPr>
        <w:t> </w:t>
      </w:r>
      <w:r>
        <w:rPr/>
        <w:t>流动性风险，是指在履行以交付现金或其他金融资产的方式结算的义务时发生资金短缺的风险。 本公司对流动性风险的管理目标、政策和程序、计量风险的方法：</w:t>
      </w:r>
    </w:p>
    <w:p>
      <w:pPr>
        <w:pStyle w:val="BodyText"/>
        <w:spacing w:line="326" w:lineRule="auto" w:before="43"/>
        <w:ind w:left="153" w:right="1132" w:firstLine="360"/>
        <w:jc w:val="both"/>
      </w:pPr>
      <w:r>
        <w:rPr>
          <w:spacing w:val="-2"/>
        </w:rPr>
        <w:t>为控制该项风险，本公司优化融资结构，采用长、短期借款，保持融资持续性与灵活性间的平衡。本公司总部财务部持</w:t>
      </w:r>
      <w:r>
        <w:rPr/>
        <w:t> </w:t>
      </w:r>
      <w:r>
        <w:rPr>
          <w:spacing w:val="-2"/>
        </w:rPr>
        <w:t>续监控各子公司的现金流，协调集团内各子公司的资金储备，同时本公司与多家银行取得授信客户以满足各期资金需求和资</w:t>
      </w:r>
      <w:r>
        <w:rPr>
          <w:spacing w:val="-64"/>
        </w:rPr>
        <w:t> </w:t>
      </w:r>
      <w:r>
        <w:rPr>
          <w:spacing w:val="-64"/>
        </w:rPr>
      </w:r>
      <w:r>
        <w:rPr/>
        <w:t>本开支。</w:t>
      </w:r>
    </w:p>
    <w:p>
      <w:pPr>
        <w:pStyle w:val="BodyText"/>
        <w:spacing w:line="369" w:lineRule="auto" w:before="81"/>
        <w:ind w:left="514" w:right="1118" w:firstLine="1"/>
        <w:jc w:val="left"/>
      </w:pPr>
      <w:r>
        <w:rPr>
          <w:rFonts w:ascii="Times New Roman" w:hAnsi="Times New Roman" w:cs="Times New Roman" w:eastAsia="Times New Roman" w:hint="default"/>
          <w:b/>
          <w:bCs/>
        </w:rPr>
        <w:t>3</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22" w:lineRule="exact"/>
        <w:ind w:left="154" w:right="0"/>
        <w:jc w:val="left"/>
      </w:pPr>
      <w:r>
        <w:rPr/>
        <w:t>率风险和其他价格风险。</w:t>
      </w:r>
    </w:p>
    <w:p>
      <w:pPr>
        <w:pStyle w:val="BodyText"/>
        <w:spacing w:line="388" w:lineRule="auto" w:before="147"/>
        <w:ind w:left="514" w:right="0"/>
        <w:jc w:val="left"/>
      </w:pPr>
      <w:r>
        <w:rPr/>
        <w:t>本公司对市场风险的管理目标、政策和程序、计量风险的方法： </w:t>
      </w:r>
      <w:r>
        <w:rPr>
          <w:spacing w:val="-1"/>
        </w:rPr>
        <w:t>本公司对市场风险的管理目标为通过将市场风险控制在企业可以</w:t>
      </w:r>
      <w:r>
        <w:rPr>
          <w:rFonts w:ascii="Times New Roman" w:hAnsi="Times New Roman" w:cs="Times New Roman" w:eastAsia="Times New Roman" w:hint="default"/>
          <w:spacing w:val="-1"/>
        </w:rPr>
        <w:t>(</w:t>
      </w:r>
      <w:r>
        <w:rPr>
          <w:spacing w:val="-1"/>
        </w:rPr>
        <w:t>或愿意</w:t>
      </w:r>
      <w:r>
        <w:rPr>
          <w:rFonts w:ascii="Times New Roman" w:hAnsi="Times New Roman" w:cs="Times New Roman" w:eastAsia="Times New Roman" w:hint="default"/>
          <w:spacing w:val="-1"/>
        </w:rPr>
        <w:t>)</w:t>
      </w:r>
      <w:r>
        <w:rPr>
          <w:spacing w:val="-1"/>
        </w:rPr>
        <w:t>承受的合理范围内，实现经风险调整的</w:t>
      </w:r>
      <w:r>
        <w:rPr>
          <w:color w:val="0000FF"/>
          <w:spacing w:val="-1"/>
        </w:rPr>
      </w:r>
      <w:hyperlink r:id="rId21">
        <w:r>
          <w:rPr>
            <w:color w:val="0000FF"/>
            <w:spacing w:val="-1"/>
            <w:u w:val="single" w:color="0000FF"/>
          </w:rPr>
          <w:t>收益率</w:t>
        </w:r>
        <w:r>
          <w:rPr>
            <w:color w:val="0000FF"/>
            <w:spacing w:val="-1"/>
          </w:rPr>
        </w:r>
        <w:r>
          <w:rPr>
            <w:spacing w:val="-1"/>
          </w:rPr>
        </w:r>
      </w:hyperlink>
    </w:p>
    <w:p>
      <w:pPr>
        <w:spacing w:after="0" w:line="388" w:lineRule="auto"/>
        <w:jc w:val="left"/>
        <w:sectPr>
          <w:pgSz w:w="11910" w:h="16840"/>
          <w:pgMar w:header="691" w:footer="979" w:top="1100" w:bottom="1160" w:left="980" w:right="0"/>
        </w:sectPr>
      </w:pPr>
    </w:p>
    <w:p>
      <w:pPr>
        <w:spacing w:line="240" w:lineRule="auto" w:before="7"/>
        <w:rPr>
          <w:rFonts w:ascii="宋体" w:hAnsi="宋体" w:cs="宋体" w:eastAsia="宋体" w:hint="default"/>
          <w:sz w:val="24"/>
          <w:szCs w:val="24"/>
        </w:rPr>
      </w:pPr>
    </w:p>
    <w:p>
      <w:pPr>
        <w:pStyle w:val="BodyText"/>
        <w:spacing w:line="326" w:lineRule="auto" w:before="44"/>
        <w:ind w:left="154" w:right="0"/>
        <w:jc w:val="left"/>
      </w:pPr>
      <w:r>
        <w:rPr>
          <w:spacing w:val="-2"/>
        </w:rPr>
        <w:t>的最大化。在确认对公司有显著影响的市场风险因素以后，对各种风险因素进行度量，并运用多种手段和工具对各种市场风</w:t>
      </w:r>
      <w:r>
        <w:rPr>
          <w:spacing w:val="-66"/>
        </w:rPr>
        <w:t> </w:t>
      </w:r>
      <w:r>
        <w:rPr>
          <w:spacing w:val="-66"/>
        </w:rPr>
      </w:r>
      <w:r>
        <w:rPr/>
        <w:t>险加以定量管理。</w:t>
      </w:r>
    </w:p>
    <w:p>
      <w:pPr>
        <w:pStyle w:val="BodyText"/>
        <w:spacing w:line="369" w:lineRule="auto" w:before="81"/>
        <w:ind w:right="1118"/>
        <w:jc w:val="left"/>
      </w:pPr>
      <w:r>
        <w:rPr/>
        <w:t>（</w:t>
      </w: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汇率风险，是指金融工具的公允价值或未来现金流量因外汇汇率变动而发生波动的风险。汇率风险可源于以记账本位币</w:t>
      </w:r>
    </w:p>
    <w:p>
      <w:pPr>
        <w:pStyle w:val="BodyText"/>
        <w:spacing w:line="222" w:lineRule="exact"/>
        <w:ind w:left="153" w:right="0"/>
        <w:jc w:val="left"/>
      </w:pPr>
      <w:r>
        <w:rPr/>
        <w:t>之外的外币进行计价的金融工具。</w:t>
      </w:r>
    </w:p>
    <w:p>
      <w:pPr>
        <w:pStyle w:val="BodyText"/>
        <w:spacing w:line="240" w:lineRule="auto" w:before="147"/>
        <w:ind w:left="514" w:right="0"/>
        <w:jc w:val="left"/>
      </w:pPr>
      <w:r>
        <w:rPr/>
        <w:t>假设在其他条件不变的情况下，美元对人民币汇率上升或下降</w:t>
      </w:r>
      <w:r>
        <w:rPr>
          <w:rFonts w:ascii="Times New Roman" w:hAnsi="Times New Roman" w:cs="Times New Roman" w:eastAsia="Times New Roman" w:hint="default"/>
        </w:rPr>
        <w:t>10%</w:t>
      </w:r>
      <w:r>
        <w:rPr/>
        <w:t>，则可能影响本公司本期的净利润</w:t>
      </w:r>
      <w:r>
        <w:rPr>
          <w:rFonts w:ascii="Times New Roman" w:hAnsi="Times New Roman" w:cs="Times New Roman" w:eastAsia="Times New Roman" w:hint="default"/>
        </w:rPr>
        <w:t>16.33</w:t>
      </w:r>
      <w:r>
        <w:rPr/>
        <w:t>万元。</w:t>
      </w:r>
    </w:p>
    <w:p>
      <w:pPr>
        <w:pStyle w:val="BodyText"/>
        <w:spacing w:line="367" w:lineRule="auto" w:before="132"/>
        <w:ind w:right="1118"/>
        <w:jc w:val="left"/>
      </w:pPr>
      <w:r>
        <w:rPr/>
        <w:t>（</w:t>
      </w:r>
      <w:r>
        <w:rPr>
          <w:rFonts w:ascii="Times New Roman" w:hAnsi="Times New Roman" w:cs="Times New Roman" w:eastAsia="Times New Roman" w:hint="default"/>
        </w:rPr>
        <w:t>2</w:t>
      </w:r>
      <w:r>
        <w:rPr/>
        <w:t>）利率风险 </w:t>
      </w:r>
      <w:r>
        <w:rPr>
          <w:spacing w:val="-2"/>
        </w:rPr>
        <w:t>利率风险，是指金融工具的公允价值或未来现金流量因市场利率变动而发生波动的风险。利率风险可源于已确认的计息</w:t>
      </w:r>
    </w:p>
    <w:p>
      <w:pPr>
        <w:pStyle w:val="BodyText"/>
        <w:spacing w:line="367" w:lineRule="auto"/>
        <w:ind w:left="514" w:right="6870" w:hanging="360"/>
        <w:jc w:val="left"/>
      </w:pPr>
      <w:r>
        <w:rPr/>
        <w:t>金融工具和未确认的金融工具</w:t>
      </w:r>
      <w:r>
        <w:rPr>
          <w:rFonts w:ascii="Times New Roman" w:hAnsi="Times New Roman" w:cs="Times New Roman" w:eastAsia="Times New Roman" w:hint="default"/>
        </w:rPr>
        <w:t>(</w:t>
      </w:r>
      <w:r>
        <w:rPr/>
        <w:t>如某些贷款承诺</w:t>
      </w:r>
      <w:r>
        <w:rPr>
          <w:rFonts w:ascii="Times New Roman" w:hAnsi="Times New Roman" w:cs="Times New Roman" w:eastAsia="Times New Roman" w:hint="default"/>
        </w:rPr>
        <w:t>)</w:t>
      </w:r>
      <w:r>
        <w:rPr/>
        <w:t>。 本公司的借款利率情况：年利率</w:t>
      </w:r>
      <w:r>
        <w:rPr>
          <w:rFonts w:ascii="Times New Roman" w:hAnsi="Times New Roman" w:cs="Times New Roman" w:eastAsia="Times New Roman" w:hint="default"/>
        </w:rPr>
        <w:t>6%-6.15%</w:t>
      </w:r>
      <w:r>
        <w:rPr/>
        <w:t>。</w:t>
      </w:r>
    </w:p>
    <w:p>
      <w:pPr>
        <w:pStyle w:val="BodyText"/>
        <w:spacing w:line="240" w:lineRule="auto" w:before="28"/>
        <w:ind w:left="514" w:right="0"/>
        <w:jc w:val="left"/>
      </w:pPr>
      <w:r>
        <w:rPr/>
        <w:t>假设在其他条件不变的情况下，借款利率上升或下降</w:t>
      </w:r>
      <w:r>
        <w:rPr>
          <w:rFonts w:ascii="Times New Roman" w:hAnsi="Times New Roman" w:cs="Times New Roman" w:eastAsia="Times New Roman" w:hint="default"/>
        </w:rPr>
        <w:t>10%</w:t>
      </w:r>
      <w:r>
        <w:rPr/>
        <w:t>，则可能影响本公司本期的净利润</w:t>
      </w:r>
      <w:r>
        <w:rPr>
          <w:rFonts w:ascii="Times New Roman" w:hAnsi="Times New Roman" w:cs="Times New Roman" w:eastAsia="Times New Roman" w:hint="default"/>
        </w:rPr>
        <w:t>26.20</w:t>
      </w:r>
      <w:r>
        <w:rPr/>
        <w:t>万元。</w:t>
      </w:r>
    </w:p>
    <w:p>
      <w:pPr>
        <w:pStyle w:val="BodyText"/>
        <w:spacing w:line="367" w:lineRule="auto" w:before="132"/>
        <w:ind w:right="0"/>
        <w:jc w:val="left"/>
      </w:pPr>
      <w:r>
        <w:rPr/>
        <w:t>（</w:t>
      </w:r>
      <w:r>
        <w:rPr>
          <w:rFonts w:ascii="Times New Roman" w:hAnsi="Times New Roman" w:cs="Times New Roman" w:eastAsia="Times New Roman" w:hint="default"/>
        </w:rPr>
        <w:t>3</w:t>
      </w:r>
      <w:r>
        <w:rPr/>
        <w:t>）</w:t>
      </w:r>
      <w:r>
        <w:rPr>
          <w:spacing w:val="-17"/>
        </w:rPr>
        <w:t> </w:t>
      </w:r>
      <w:r>
        <w:rPr/>
        <w:t>其他价格风险</w:t>
      </w:r>
      <w:r>
        <w:rPr/>
        <w:t> </w:t>
      </w:r>
      <w:r>
        <w:rPr>
          <w:spacing w:val="-2"/>
        </w:rPr>
        <w:t>其他价格风险，是指汇率风险和利率风险以外的市场价格变动而发生波动的风险，无论这些变动是由于与单项金融工具</w:t>
      </w:r>
    </w:p>
    <w:p>
      <w:pPr>
        <w:pStyle w:val="BodyText"/>
        <w:spacing w:line="326" w:lineRule="auto"/>
        <w:ind w:left="153" w:right="0"/>
        <w:jc w:val="left"/>
      </w:pPr>
      <w:r>
        <w:rPr>
          <w:spacing w:val="-2"/>
        </w:rPr>
        <w:t>或其发行方有关的因素而引起的，还是由于与市场内交易的所有类似金融工具有关的因素而引起的。其他价格风险可源于商</w:t>
      </w:r>
      <w:r>
        <w:rPr>
          <w:spacing w:val="-64"/>
        </w:rPr>
        <w:t> </w:t>
      </w:r>
      <w:r>
        <w:rPr>
          <w:spacing w:val="-64"/>
        </w:rPr>
      </w:r>
      <w:r>
        <w:rPr/>
        <w:t>品价格或权益工具价格等的变化。</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一、公允价值的披露" w:id="378"/>
      <w:bookmarkEnd w:id="378"/>
      <w:r>
        <w:rPr>
          <w:b w:val="0"/>
          <w:bCs w:val="0"/>
        </w:rPr>
      </w: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上适用" w:id="379"/>
      <w:bookmarkEnd w:id="379"/>
      <w:r>
        <w:rPr/>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二、关联方及关联交易" w:id="380"/>
      <w:bookmarkEnd w:id="380"/>
      <w:r>
        <w:rPr>
          <w:b w:val="0"/>
          <w:bCs w:val="0"/>
        </w:rPr>
      </w:r>
      <w:r>
        <w:rPr/>
        <w:t>十二、关联方及关联交易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66" w:right="0"/>
        <w:jc w:val="left"/>
        <w:rPr>
          <w:b w:val="0"/>
          <w:bCs w:val="0"/>
        </w:rPr>
      </w:pPr>
      <w:bookmarkStart w:name="1、本企业的母公司情况" w:id="381"/>
      <w:bookmarkEnd w:id="38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6"/>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1276"/>
        <w:gridCol w:w="1273"/>
        <w:gridCol w:w="1595"/>
        <w:gridCol w:w="1595"/>
      </w:tblGrid>
      <w:tr>
        <w:trPr>
          <w:trHeight w:val="71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36.16%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36.16%</w:t>
            </w:r>
          </w:p>
        </w:tc>
      </w:tr>
    </w:tbl>
    <w:p>
      <w:pPr>
        <w:pStyle w:val="BodyText"/>
        <w:spacing w:line="240" w:lineRule="auto" w:before="51"/>
        <w:ind w:left="576" w:right="0" w:hanging="63"/>
        <w:jc w:val="left"/>
      </w:pPr>
      <w:r>
        <w:rPr/>
        <w:t>本企业最终控制方是朱文明。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82"/>
      <w:bookmarkEnd w:id="382"/>
      <w:r>
        <w:rPr>
          <w:b w:val="0"/>
          <w:bCs w:val="0"/>
        </w:rPr>
      </w:r>
      <w:r>
        <w:rPr>
          <w:rFonts w:ascii="Times New Roman" w:hAnsi="Times New Roman" w:cs="Times New Roman" w:eastAsia="Times New Roman" w:hint="default"/>
        </w:rPr>
        <w:t>2</w:t>
      </w:r>
      <w:r>
        <w:rPr/>
        <w:t>、本企业的子公司情况</w:t>
      </w:r>
      <w:r>
        <w:rPr>
          <w:b w:val="0"/>
          <w:bCs w:val="0"/>
        </w:rPr>
      </w:r>
    </w:p>
    <w:p>
      <w:pPr>
        <w:pStyle w:val="BodyText"/>
        <w:spacing w:line="240" w:lineRule="auto" w:before="147"/>
        <w:ind w:left="576" w:right="0" w:hanging="63"/>
        <w:jc w:val="left"/>
      </w:pPr>
      <w:r>
        <w:rPr/>
        <w:t>本企业子公司的情况详见附注九</w:t>
      </w:r>
      <w:r>
        <w:rPr>
          <w:rFonts w:ascii="Times New Roman" w:hAnsi="Times New Roman" w:cs="Times New Roman" w:eastAsia="Times New Roman" w:hint="default"/>
        </w:rPr>
        <w:t>.1</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本企业合营和联营企业情况" w:id="383"/>
      <w:bookmarkEnd w:id="383"/>
      <w:r>
        <w:rPr>
          <w:b w:val="0"/>
          <w:bCs w:val="0"/>
        </w:rPr>
      </w:r>
      <w:r>
        <w:rPr>
          <w:rFonts w:ascii="Times New Roman" w:hAnsi="Times New Roman" w:cs="Times New Roman" w:eastAsia="Times New Roman" w:hint="default"/>
        </w:rPr>
        <w:t>3</w:t>
      </w:r>
      <w:r>
        <w:rPr/>
        <w:t>、本企业合营和联营企业情况</w:t>
      </w:r>
      <w:r>
        <w:rPr>
          <w:b w:val="0"/>
          <w:bCs w:val="0"/>
        </w:rPr>
      </w:r>
    </w:p>
    <w:p>
      <w:pPr>
        <w:pStyle w:val="BodyText"/>
        <w:spacing w:line="240" w:lineRule="auto" w:before="147"/>
        <w:ind w:right="0"/>
        <w:jc w:val="left"/>
      </w:pPr>
      <w:r>
        <w:rPr/>
        <w:t>本企业重要的合营或联营企业详见附注九</w:t>
      </w:r>
      <w:r>
        <w:rPr>
          <w:rFonts w:ascii="Times New Roman" w:hAnsi="Times New Roman" w:cs="Times New Roman" w:eastAsia="Times New Roman" w:hint="default"/>
        </w:rPr>
        <w:t>.3</w:t>
      </w:r>
      <w:r>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关联方情况" w:id="384"/>
      <w:bookmarkEnd w:id="38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5"/>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第二大股东，持股本公司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22.84%</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第三大股东，持股本公司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w:t>
            </w:r>
            <w:r>
              <w:rPr>
                <w:rFonts w:ascii="宋体" w:hAnsi="宋体" w:cs="宋体" w:eastAsia="宋体" w:hint="default"/>
                <w:sz w:val="18"/>
                <w:szCs w:val="18"/>
              </w:rPr>
              <w:t>股份</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5、关联交易情况" w:id="385"/>
      <w:bookmarkEnd w:id="38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86"/>
      <w:bookmarkEnd w:id="38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51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13,089,940.68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11,909,463.02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技术受让</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153,753.00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635,472.00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272,547.30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412,109.59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59,316.24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2,606,837.60</w:t>
            </w:r>
          </w:p>
        </w:tc>
      </w:tr>
    </w:tbl>
    <w:p>
      <w:pPr>
        <w:pStyle w:val="BodyText"/>
        <w:spacing w:line="240" w:lineRule="auto" w:before="51"/>
        <w:ind w:left="51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2127"/>
        <w:gridCol w:w="1954"/>
        <w:gridCol w:w="2652"/>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593,679.63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978,984.62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348,869.50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2,833,760.69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854,700.85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1,313,017.47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1,044,558.10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331,939.23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2,611,764.72</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受托管理/承包及委托管理/出包情况" w:id="387"/>
      <w:bookmarkEnd w:id="38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pStyle w:val="BodyText"/>
        <w:spacing w:line="240" w:lineRule="auto" w:before="146"/>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388"/>
      <w:bookmarkEnd w:id="388"/>
      <w:r>
        <w:rPr>
          <w:b w:val="0"/>
          <w:bCs w:val="0"/>
        </w:rPr>
      </w:r>
      <w:r>
        <w:rPr/>
        <w:t>（</w:t>
      </w:r>
      <w:r>
        <w:rPr>
          <w:rFonts w:ascii="Times New Roman" w:hAnsi="Times New Roman" w:cs="Times New Roman" w:eastAsia="Times New Roman" w:hint="default"/>
        </w:rPr>
        <w:t>3</w:t>
      </w:r>
      <w:r>
        <w:rPr/>
        <w:t>）关联租赁情况</w:t>
      </w:r>
      <w:r>
        <w:rPr>
          <w:b w:val="0"/>
          <w:bCs w:val="0"/>
        </w:rPr>
      </w:r>
    </w:p>
    <w:p>
      <w:pPr>
        <w:pStyle w:val="BodyText"/>
        <w:spacing w:line="240" w:lineRule="auto" w:before="147"/>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389"/>
      <w:bookmarkEnd w:id="389"/>
      <w:r>
        <w:rPr>
          <w:b w:val="0"/>
          <w:bCs w:val="0"/>
        </w:rPr>
      </w:r>
      <w:r>
        <w:rPr/>
        <w:t>（</w:t>
      </w:r>
      <w:r>
        <w:rPr>
          <w:rFonts w:ascii="Times New Roman" w:hAnsi="Times New Roman" w:cs="Times New Roman" w:eastAsia="Times New Roman" w:hint="default"/>
        </w:rPr>
        <w:t>4</w:t>
      </w:r>
      <w:r>
        <w:rPr/>
        <w:t>）关联担保情况</w:t>
      </w:r>
      <w:r>
        <w:rPr>
          <w:b w:val="0"/>
          <w:bCs w:val="0"/>
        </w:rPr>
      </w:r>
    </w:p>
    <w:p>
      <w:pPr>
        <w:pStyle w:val="BodyText"/>
        <w:spacing w:line="240" w:lineRule="auto" w:before="147"/>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390"/>
      <w:bookmarkEnd w:id="390"/>
      <w:r>
        <w:rPr>
          <w:b w:val="0"/>
          <w:bCs w:val="0"/>
        </w:rPr>
      </w:r>
      <w:r>
        <w:rPr/>
        <w:t>（</w:t>
      </w:r>
      <w:r>
        <w:rPr>
          <w:rFonts w:ascii="Times New Roman" w:hAnsi="Times New Roman" w:cs="Times New Roman" w:eastAsia="Times New Roman" w:hint="default"/>
        </w:rPr>
        <w:t>5</w:t>
      </w:r>
      <w:r>
        <w:rPr/>
        <w:t>）关联方资金拆借</w:t>
      </w:r>
      <w:r>
        <w:rPr>
          <w:b w:val="0"/>
          <w:bCs w:val="0"/>
        </w:rPr>
      </w:r>
    </w:p>
    <w:p>
      <w:pPr>
        <w:pStyle w:val="BodyText"/>
        <w:spacing w:line="240" w:lineRule="auto" w:before="147"/>
        <w:ind w:right="0"/>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391"/>
      <w:bookmarkEnd w:id="39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pStyle w:val="BodyText"/>
        <w:spacing w:line="240" w:lineRule="auto" w:before="147"/>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392"/>
      <w:bookmarkEnd w:id="392"/>
      <w:r>
        <w:rPr>
          <w:b w:val="0"/>
          <w:bCs w:val="0"/>
        </w:rPr>
      </w:r>
      <w:r>
        <w:rPr/>
        <w:t>（</w:t>
      </w:r>
      <w:r>
        <w:rPr>
          <w:rFonts w:ascii="Times New Roman" w:hAnsi="Times New Roman" w:cs="Times New Roman" w:eastAsia="Times New Roman" w:hint="default"/>
        </w:rPr>
        <w:t>7</w:t>
      </w:r>
      <w:r>
        <w:rPr/>
        <w:t>）关键管理人员报酬</w:t>
      </w:r>
      <w:r>
        <w:rPr>
          <w:b w:val="0"/>
          <w:bCs w:val="0"/>
        </w:rPr>
      </w:r>
    </w:p>
    <w:p>
      <w:pPr>
        <w:pStyle w:val="BodyText"/>
        <w:spacing w:line="240" w:lineRule="auto" w:before="147"/>
        <w:ind w:right="0"/>
        <w:jc w:val="left"/>
      </w:pPr>
      <w:r>
        <w:rPr/>
        <w:t>不适用</w:t>
      </w:r>
    </w:p>
    <w:p>
      <w:pPr>
        <w:spacing w:after="0" w:line="240" w:lineRule="auto"/>
        <w:jc w:val="left"/>
        <w:sectPr>
          <w:pgSz w:w="11910" w:h="16840"/>
          <w:pgMar w:header="69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8）其他关联交易" w:id="393"/>
      <w:bookmarkEnd w:id="393"/>
      <w:r>
        <w:rPr>
          <w:b w:val="0"/>
          <w:bCs w:val="0"/>
        </w:rPr>
      </w:r>
      <w:r>
        <w:rPr/>
        <w:t>（</w:t>
      </w:r>
      <w:r>
        <w:rPr>
          <w:rFonts w:ascii="Times New Roman" w:hAnsi="Times New Roman" w:cs="Times New Roman" w:eastAsia="Times New Roman" w:hint="default"/>
        </w:rPr>
        <w:t>8</w:t>
      </w:r>
      <w:r>
        <w:rPr/>
        <w:t>）其他关联交易</w:t>
      </w:r>
      <w:r>
        <w:rPr>
          <w:b w:val="0"/>
          <w:bCs w:val="0"/>
        </w:rPr>
      </w:r>
    </w:p>
    <w:p>
      <w:pPr>
        <w:pStyle w:val="BodyText"/>
        <w:spacing w:line="240" w:lineRule="auto" w:before="147"/>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394"/>
      <w:bookmarkEnd w:id="39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95"/>
      <w:bookmarkEnd w:id="39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2836"/>
        <w:gridCol w:w="1276"/>
        <w:gridCol w:w="1417"/>
        <w:gridCol w:w="1419"/>
        <w:gridCol w:w="1344"/>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283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441,750.00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71,628.00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1,967,004.65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2,478,363.08</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日本国和华株式会社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129,481.30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2,606,856.03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96"/>
      <w:bookmarkEnd w:id="39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2,132,937.48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2,609,063.59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297,982.24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953,440.80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397"/>
      <w:bookmarkEnd w:id="39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其他" w:id="398"/>
      <w:bookmarkEnd w:id="398"/>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0" w:right="8931"/>
        <w:jc w:val="center"/>
        <w:rPr>
          <w:b w:val="0"/>
          <w:bCs w:val="0"/>
        </w:rPr>
      </w:pPr>
      <w:bookmarkStart w:name="十三、股份支付" w:id="399"/>
      <w:bookmarkEnd w:id="399"/>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400"/>
      <w:bookmarkEnd w:id="400"/>
      <w:r>
        <w:rPr>
          <w:b w:val="0"/>
          <w:bCs w:val="0"/>
        </w:rPr>
      </w: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14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01"/>
      <w:bookmarkEnd w:id="401"/>
      <w:r>
        <w:rPr>
          <w:b w:val="0"/>
          <w:bCs w:val="0"/>
        </w:rPr>
      </w: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before="14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02"/>
      <w:bookmarkEnd w:id="402"/>
      <w:r>
        <w:rPr>
          <w:b w:val="0"/>
          <w:bCs w:val="0"/>
        </w:rPr>
      </w:r>
      <w:r>
        <w:rPr>
          <w:rFonts w:ascii="Times New Roman" w:hAnsi="Times New Roman" w:cs="Times New Roman" w:eastAsia="Times New Roman" w:hint="default"/>
        </w:rPr>
        <w:t>3</w:t>
      </w:r>
      <w:r>
        <w:rPr/>
        <w:t>、以现金结算的股份支付情况</w:t>
      </w:r>
      <w:r>
        <w:rPr>
          <w:b w:val="0"/>
          <w:bCs w:val="0"/>
        </w:rPr>
      </w:r>
    </w:p>
    <w:p>
      <w:pPr>
        <w:pStyle w:val="BodyText"/>
        <w:spacing w:line="240" w:lineRule="auto" w:before="18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691" w:footer="979" w:top="1100" w:bottom="1160" w:left="980" w:right="0"/>
        </w:sectPr>
      </w:pPr>
    </w:p>
    <w:p>
      <w:pPr>
        <w:spacing w:line="240" w:lineRule="auto" w:before="7"/>
        <w:rPr>
          <w:rFonts w:ascii="宋体" w:hAnsi="宋体" w:cs="宋体" w:eastAsia="宋体" w:hint="default"/>
          <w:b/>
          <w:bCs/>
          <w:sz w:val="19"/>
          <w:szCs w:val="19"/>
        </w:rPr>
      </w:pPr>
    </w:p>
    <w:p>
      <w:pPr>
        <w:pStyle w:val="Heading2"/>
        <w:spacing w:line="240" w:lineRule="auto" w:before="26"/>
        <w:ind w:left="576" w:right="0" w:hanging="423"/>
        <w:jc w:val="left"/>
        <w:rPr>
          <w:b w:val="0"/>
          <w:bCs w:val="0"/>
        </w:rPr>
      </w:pPr>
      <w:bookmarkStart w:name="十四、承诺及或有事项" w:id="403"/>
      <w:bookmarkEnd w:id="403"/>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404"/>
      <w:bookmarkEnd w:id="404"/>
      <w:r>
        <w:rPr>
          <w:b w:val="0"/>
          <w:bCs w:val="0"/>
        </w:rPr>
      </w:r>
      <w:r>
        <w:rPr>
          <w:rFonts w:ascii="Times New Roman" w:hAnsi="Times New Roman" w:cs="Times New Roman" w:eastAsia="Times New Roman" w:hint="default"/>
        </w:rPr>
        <w:t>1</w:t>
      </w:r>
      <w:r>
        <w:rPr/>
        <w:t>、重要承诺事项</w:t>
      </w:r>
      <w:r>
        <w:rPr>
          <w:b w:val="0"/>
          <w:bCs w:val="0"/>
        </w:rPr>
      </w:r>
    </w:p>
    <w:p>
      <w:pPr>
        <w:pStyle w:val="BodyText"/>
        <w:spacing w:line="240" w:lineRule="auto" w:before="182"/>
        <w:ind w:right="0"/>
        <w:jc w:val="left"/>
      </w:pPr>
      <w:r>
        <w:rPr/>
        <w:t>资产负债表日存在的重要承诺</w:t>
      </w:r>
    </w:p>
    <w:p>
      <w:pPr>
        <w:pStyle w:val="BodyText"/>
        <w:spacing w:line="307" w:lineRule="auto" w:before="146"/>
        <w:ind w:left="154" w:right="1167" w:firstLine="36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日，公司下属子公司青岛丰东与青岛方源盛机械工程有限公司签订《租赁合同》，向其租赁厂房</w:t>
      </w:r>
      <w:r>
        <w:rPr>
          <w:rFonts w:ascii="Times New Roman" w:hAnsi="Times New Roman" w:cs="Times New Roman" w:eastAsia="Times New Roman" w:hint="default"/>
        </w:rPr>
        <w:t>1,600</w:t>
      </w:r>
      <w:r>
        <w:rPr/>
        <w:t>平方 米，办公用房及生活用地</w:t>
      </w:r>
      <w:r>
        <w:rPr>
          <w:rFonts w:ascii="Times New Roman" w:hAnsi="Times New Roman" w:cs="Times New Roman" w:eastAsia="Times New Roman" w:hint="default"/>
        </w:rPr>
        <w:t>1,400</w:t>
      </w:r>
      <w:r>
        <w:rPr/>
        <w:t>平方米，租赁期限</w:t>
      </w:r>
      <w:r>
        <w:rPr>
          <w:rFonts w:ascii="Times New Roman" w:hAnsi="Times New Roman" w:cs="Times New Roman" w:eastAsia="Times New Roman" w:hint="default"/>
        </w:rPr>
        <w:t>10</w:t>
      </w:r>
      <w:r>
        <w:rPr/>
        <w:t>年，每年租金</w:t>
      </w:r>
      <w:r>
        <w:rPr>
          <w:rFonts w:ascii="Times New Roman" w:hAnsi="Times New Roman" w:cs="Times New Roman" w:eastAsia="Times New Roman" w:hint="default"/>
        </w:rPr>
        <w:t>20</w:t>
      </w:r>
      <w:r>
        <w:rPr/>
        <w:t>万元。</w:t>
      </w:r>
    </w:p>
    <w:p>
      <w:pPr>
        <w:pStyle w:val="BodyText"/>
        <w:spacing w:line="240" w:lineRule="auto" w:before="78"/>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日，重庆丰东与重庆市超祥商贸有限公司签订《房屋租赁合同》，向其租用厂房及办公楼房屋的建筑面积为</w:t>
      </w:r>
    </w:p>
    <w:p>
      <w:pPr>
        <w:pStyle w:val="BodyText"/>
        <w:spacing w:line="309" w:lineRule="auto" w:before="70"/>
        <w:ind w:left="153" w:right="1023"/>
        <w:jc w:val="left"/>
      </w:pPr>
      <w:r>
        <w:rPr>
          <w:rFonts w:ascii="Times New Roman" w:hAnsi="Times New Roman" w:cs="Times New Roman" w:eastAsia="Times New Roman" w:hint="default"/>
        </w:rPr>
        <w:t>5636</w:t>
      </w:r>
      <w:r>
        <w:rPr/>
        <w:t>平方米，租金标准为每平方米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12</w:t>
      </w:r>
      <w:r>
        <w:rPr/>
        <w:t>元；租用辅助房屋的面积为</w:t>
      </w:r>
      <w:r>
        <w:rPr>
          <w:rFonts w:ascii="Times New Roman" w:hAnsi="Times New Roman" w:cs="Times New Roman" w:eastAsia="Times New Roman" w:hint="default"/>
        </w:rPr>
        <w:t>562</w:t>
      </w:r>
      <w:r>
        <w:rPr/>
        <w:t>平方米，租金标准为每平方米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6</w:t>
      </w:r>
      <w:r>
        <w:rPr/>
        <w:t>元。自起租日 起至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日租金不变。</w:t>
      </w:r>
      <w:r>
        <w:rPr>
          <w:rFonts w:ascii="Times New Roman" w:hAnsi="Times New Roman" w:cs="Times New Roman" w:eastAsia="Times New Roman" w:hint="default"/>
        </w:rPr>
        <w:t>2016</w:t>
      </w:r>
      <w:r>
        <w:rPr/>
        <w:t>年起至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日，上述租金标准分别为每平方米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13</w:t>
      </w:r>
      <w:r>
        <w:rPr/>
        <w:t>元、每平方米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7</w:t>
      </w:r>
      <w:r>
        <w:rPr/>
        <w:t>元。</w:t>
      </w:r>
    </w:p>
    <w:p>
      <w:pPr>
        <w:pStyle w:val="BodyText"/>
        <w:spacing w:line="240" w:lineRule="auto" w:before="76"/>
        <w:ind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日止，除上述承诺事项外公司未发生其他影响本财务报表阅读和理解的重大承诺事项。</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或有事项" w:id="405"/>
      <w:bookmarkEnd w:id="40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06"/>
      <w:bookmarkEnd w:id="40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240" w:lineRule="auto" w:before="146"/>
        <w:ind w:left="51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日，公司未发生影响本财务报表阅读和理解的或有事项。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407"/>
      <w:bookmarkEnd w:id="40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pStyle w:val="BodyText"/>
        <w:spacing w:line="240" w:lineRule="auto" w:before="147"/>
        <w:ind w:left="514"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 w:id="408"/>
      <w:bookmarkEnd w:id="408"/>
      <w:r>
        <w:rPr>
          <w:b w:val="0"/>
          <w:bCs w:val="0"/>
        </w:rPr>
      </w:r>
      <w:r>
        <w:rPr>
          <w:rFonts w:ascii="Times New Roman" w:hAnsi="Times New Roman" w:cs="Times New Roman" w:eastAsia="Times New Roman" w:hint="default"/>
        </w:rPr>
        <w:t>3</w:t>
      </w:r>
      <w:r>
        <w:rPr/>
        <w:t>、其他</w:t>
      </w:r>
      <w:r>
        <w:rPr>
          <w:b w:val="0"/>
          <w:bCs w:val="0"/>
        </w:rPr>
      </w:r>
    </w:p>
    <w:p>
      <w:pPr>
        <w:pStyle w:val="BodyText"/>
        <w:spacing w:line="309" w:lineRule="auto" w:before="181"/>
        <w:ind w:left="153" w:right="1123"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日，公司下属子公司盐城丰东特种炉业有限公司将位于大丰市开发区昌平路</w:t>
      </w:r>
      <w:r>
        <w:rPr>
          <w:rFonts w:ascii="Times New Roman" w:hAnsi="Times New Roman" w:cs="Times New Roman" w:eastAsia="Times New Roman" w:hint="default"/>
        </w:rPr>
        <w:t>7</w:t>
      </w:r>
      <w:r>
        <w:rPr/>
        <w:t>号的自有房产及土地使 用权，抵押给江苏大丰农村商业银行，取得期末</w:t>
      </w:r>
      <w:r>
        <w:rPr>
          <w:rFonts w:ascii="Times New Roman" w:hAnsi="Times New Roman" w:cs="Times New Roman" w:eastAsia="Times New Roman" w:hint="default"/>
        </w:rPr>
        <w:t>700</w:t>
      </w:r>
      <w:r>
        <w:rPr/>
        <w:t>万元流动资金抵押借款，抵押期限为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w:t>
      </w:r>
    </w:p>
    <w:p>
      <w:pPr>
        <w:pStyle w:val="BodyText"/>
        <w:spacing w:line="240" w:lineRule="auto" w:before="74"/>
        <w:ind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日，除上述重要事项外公司未发生其他影响本财务报表阅读和理解的其他重要事项。</w:t>
      </w:r>
    </w:p>
    <w:p>
      <w:pPr>
        <w:spacing w:line="240" w:lineRule="auto" w:before="0"/>
        <w:rPr>
          <w:rFonts w:ascii="宋体" w:hAnsi="宋体" w:cs="宋体" w:eastAsia="宋体" w:hint="default"/>
          <w:sz w:val="22"/>
          <w:szCs w:val="22"/>
        </w:rPr>
      </w:pPr>
    </w:p>
    <w:p>
      <w:pPr>
        <w:pStyle w:val="Heading2"/>
        <w:spacing w:line="240" w:lineRule="auto"/>
        <w:ind w:right="0"/>
        <w:jc w:val="left"/>
        <w:rPr>
          <w:b w:val="0"/>
          <w:bCs w:val="0"/>
        </w:rPr>
      </w:pPr>
      <w:bookmarkStart w:name="十五、资产负债表日后事项" w:id="409"/>
      <w:bookmarkEnd w:id="409"/>
      <w:r>
        <w:rPr>
          <w:b w:val="0"/>
          <w:bCs w:val="0"/>
        </w:rPr>
      </w:r>
      <w:r>
        <w:rPr/>
        <w:t>十五、资产负债表日后事项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10"/>
      <w:bookmarkEnd w:id="410"/>
      <w:r>
        <w:rPr>
          <w:b w:val="0"/>
          <w:bCs w:val="0"/>
        </w:rPr>
      </w:r>
      <w:r>
        <w:rPr>
          <w:rFonts w:ascii="Times New Roman" w:hAnsi="Times New Roman" w:cs="Times New Roman" w:eastAsia="Times New Roman" w:hint="default"/>
        </w:rPr>
        <w:t>1</w:t>
      </w:r>
      <w:r>
        <w:rPr/>
        <w:t>、重要的非调整事项</w:t>
      </w:r>
      <w:r>
        <w:rPr>
          <w:b w:val="0"/>
          <w:bCs w:val="0"/>
        </w:rPr>
      </w:r>
    </w:p>
    <w:p>
      <w:pPr>
        <w:pStyle w:val="BodyText"/>
        <w:spacing w:line="240" w:lineRule="auto" w:before="147"/>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利润分配情况" w:id="411"/>
      <w:bookmarkEnd w:id="411"/>
      <w:r>
        <w:rPr>
          <w:b w:val="0"/>
          <w:bCs w:val="0"/>
        </w:rPr>
      </w:r>
      <w:r>
        <w:rPr>
          <w:rFonts w:ascii="Times New Roman" w:hAnsi="Times New Roman" w:cs="Times New Roman" w:eastAsia="Times New Roman" w:hint="default"/>
        </w:rPr>
        <w:t>2</w:t>
      </w:r>
      <w:r>
        <w:rPr/>
        <w:t>、利润分配情况</w:t>
      </w:r>
      <w:r>
        <w:rPr>
          <w:b w:val="0"/>
          <w:bCs w:val="0"/>
        </w:rPr>
      </w:r>
    </w:p>
    <w:p>
      <w:pPr>
        <w:pStyle w:val="BodyText"/>
        <w:spacing w:line="240" w:lineRule="auto" w:before="14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12"/>
      <w:bookmarkEnd w:id="41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13"/>
      <w:bookmarkEnd w:id="413"/>
      <w:r>
        <w:rPr>
          <w:b w:val="0"/>
          <w:bCs w:val="0"/>
        </w:rPr>
      </w:r>
      <w:r>
        <w:rPr>
          <w:rFonts w:ascii="Times New Roman" w:hAnsi="Times New Roman" w:cs="Times New Roman" w:eastAsia="Times New Roman" w:hint="default"/>
        </w:rPr>
        <w:t>4</w:t>
      </w:r>
      <w:r>
        <w:rPr/>
        <w:t>、其他资产负债表日后事项说明</w:t>
      </w:r>
      <w:r>
        <w:rPr>
          <w:b w:val="0"/>
          <w:bCs w:val="0"/>
        </w:rPr>
      </w:r>
    </w:p>
    <w:p>
      <w:pPr>
        <w:pStyle w:val="BodyText"/>
        <w:spacing w:line="288" w:lineRule="auto" w:before="166"/>
        <w:ind w:left="153" w:right="1119" w:firstLine="36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7</w:t>
      </w:r>
      <w:r>
        <w:rPr>
          <w:spacing w:val="-1"/>
        </w:rPr>
        <w:t>日，经子公司长春丰东董事会决议，同意本公司将持有的长春丰东</w:t>
      </w:r>
      <w:r>
        <w:rPr>
          <w:rFonts w:ascii="Times New Roman" w:hAnsi="Times New Roman" w:cs="Times New Roman" w:eastAsia="Times New Roman" w:hint="default"/>
          <w:spacing w:val="-1"/>
        </w:rPr>
        <w:t>65%</w:t>
      </w:r>
      <w:r>
        <w:rPr>
          <w:spacing w:val="-1"/>
        </w:rPr>
        <w:t>的股权转让给自然人闫立群。转让完</w:t>
      </w:r>
      <w:r>
        <w:rPr/>
        <w:t> 成后，本公司将不再持有长春丰东股权。</w:t>
      </w:r>
    </w:p>
    <w:p>
      <w:pPr>
        <w:pStyle w:val="BodyText"/>
        <w:spacing w:line="290" w:lineRule="auto" w:before="89"/>
        <w:ind w:left="154" w:right="1116" w:firstLine="360"/>
        <w:jc w:val="left"/>
      </w:pPr>
      <w:r>
        <w:rPr/>
        <w:t>除上述事项外，截至本财务报表签发日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，本公司未发生其他影响本财务报表阅读和理解的重大资产负 债表日后事项。</w:t>
      </w:r>
    </w:p>
    <w:p>
      <w:pPr>
        <w:spacing w:after="0" w:line="290" w:lineRule="auto"/>
        <w:jc w:val="left"/>
        <w:sectPr>
          <w:pgSz w:w="11910" w:h="16840"/>
          <w:pgMar w:header="691"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0" w:right="8449"/>
        <w:jc w:val="center"/>
        <w:rPr>
          <w:b w:val="0"/>
          <w:bCs w:val="0"/>
        </w:rPr>
      </w:pPr>
      <w:bookmarkStart w:name="十六、其他重要事项" w:id="414"/>
      <w:bookmarkEnd w:id="414"/>
      <w:r>
        <w:rPr>
          <w:b w:val="0"/>
          <w:bCs w:val="0"/>
        </w:rPr>
      </w:r>
      <w:r>
        <w:rPr/>
        <w:t>十六、其他重要事项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15"/>
      <w:bookmarkEnd w:id="41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16"/>
      <w:bookmarkEnd w:id="41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未来适用法" w:id="417"/>
      <w:bookmarkEnd w:id="41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债务重组" w:id="418"/>
      <w:bookmarkEnd w:id="41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19"/>
      <w:bookmarkEnd w:id="41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20"/>
      <w:bookmarkEnd w:id="42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21"/>
      <w:bookmarkEnd w:id="42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22"/>
      <w:bookmarkEnd w:id="42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23"/>
      <w:bookmarkEnd w:id="42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24"/>
      <w:bookmarkEnd w:id="42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25"/>
      <w:bookmarkEnd w:id="42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18"/>
          <w:szCs w:val="18"/>
        </w:rPr>
      </w:pPr>
    </w:p>
    <w:p>
      <w:pPr>
        <w:pStyle w:val="BodyText"/>
        <w:spacing w:line="326" w:lineRule="auto"/>
        <w:ind w:left="154" w:right="0" w:firstLine="360"/>
        <w:jc w:val="left"/>
      </w:pPr>
      <w:r>
        <w:rPr>
          <w:spacing w:val="-2"/>
        </w:rPr>
        <w:t>本公司根据产品所属的细分行业，以内部组织结构、管理要求、内部报告制度为依据确定经营分部，以经营分部为基础</w:t>
      </w:r>
      <w:r>
        <w:rPr/>
        <w:t> 确定报告分部。经营分部，是指公司内同时满足下列条件的组成部分：</w:t>
      </w:r>
    </w:p>
    <w:p>
      <w:pPr>
        <w:pStyle w:val="BodyText"/>
        <w:spacing w:line="374" w:lineRule="auto" w:before="81"/>
        <w:ind w:right="2293"/>
        <w:jc w:val="left"/>
      </w:pPr>
      <w:r>
        <w:rPr>
          <w:rFonts w:ascii="Times New Roman" w:hAnsi="Times New Roman" w:cs="Times New Roman" w:eastAsia="Times New Roman" w:hint="default"/>
        </w:rPr>
        <w:t>a.</w:t>
      </w:r>
      <w:r>
        <w:rPr/>
        <w:t>该组成部分能够在日常活动中产生收入、发生费用 </w:t>
      </w:r>
      <w:r>
        <w:rPr>
          <w:rFonts w:ascii="Times New Roman" w:hAnsi="Times New Roman" w:cs="Times New Roman" w:eastAsia="Times New Roman" w:hint="default"/>
        </w:rPr>
        <w:t>b.</w:t>
      </w:r>
      <w:r>
        <w:rPr/>
        <w:t>公司管理层能够定期评价该组成部分的经营成果，以决定向其配置资源、评价其业绩 </w:t>
      </w:r>
      <w:r>
        <w:rPr>
          <w:rFonts w:ascii="Times New Roman" w:hAnsi="Times New Roman" w:cs="Times New Roman" w:eastAsia="Times New Roman" w:hint="default"/>
        </w:rPr>
        <w:t>c.</w:t>
      </w:r>
      <w:r>
        <w:rPr/>
        <w:t>公司能够取得该组成部分的财务状况、经营成果和现金流量等有关会计信息。 如果两个或多个分部存在相似经济特征且同时在以下方面具有相同或相似性的，可以合并为一个分部： </w:t>
      </w:r>
      <w:r>
        <w:rPr>
          <w:rFonts w:ascii="Times New Roman" w:hAnsi="Times New Roman" w:cs="Times New Roman" w:eastAsia="Times New Roman" w:hint="default"/>
        </w:rPr>
        <w:t>a.</w:t>
      </w:r>
      <w:r>
        <w:rPr/>
        <w:t>各单项产品或劳务的性质</w:t>
      </w:r>
    </w:p>
    <w:p>
      <w:pPr>
        <w:pStyle w:val="BodyText"/>
        <w:spacing w:line="367" w:lineRule="auto" w:before="21"/>
        <w:ind w:right="8098"/>
        <w:jc w:val="left"/>
      </w:pPr>
      <w:r>
        <w:rPr>
          <w:rFonts w:ascii="Times New Roman" w:hAnsi="Times New Roman" w:cs="Times New Roman" w:eastAsia="Times New Roman" w:hint="default"/>
        </w:rPr>
        <w:t>b.</w:t>
      </w:r>
      <w:r>
        <w:rPr/>
        <w:t>生产过程的性质 </w:t>
      </w:r>
      <w:r>
        <w:rPr>
          <w:rFonts w:ascii="Times New Roman" w:hAnsi="Times New Roman" w:cs="Times New Roman" w:eastAsia="Times New Roman" w:hint="default"/>
        </w:rPr>
        <w:t>c.</w:t>
      </w:r>
      <w:r>
        <w:rPr/>
        <w:t>产品或劳务的客户类型 </w:t>
      </w:r>
      <w:r>
        <w:rPr>
          <w:rFonts w:ascii="Times New Roman" w:hAnsi="Times New Roman" w:cs="Times New Roman" w:eastAsia="Times New Roman" w:hint="default"/>
        </w:rPr>
        <w:t>d.</w:t>
      </w:r>
      <w:r>
        <w:rPr/>
        <w:t>销售产品或提供劳务的方式</w:t>
      </w:r>
    </w:p>
    <w:p>
      <w:pPr>
        <w:pStyle w:val="BodyText"/>
        <w:spacing w:line="240" w:lineRule="auto" w:before="26"/>
        <w:ind w:right="0"/>
        <w:jc w:val="left"/>
      </w:pPr>
      <w:r>
        <w:rPr>
          <w:rFonts w:ascii="Times New Roman" w:hAnsi="Times New Roman" w:cs="Times New Roman" w:eastAsia="Times New Roman" w:hint="default"/>
        </w:rPr>
        <w:t>e.</w:t>
      </w:r>
      <w:r>
        <w:rPr/>
        <w:t>生产产品及提供劳务受法律、行政法规的影响</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2）报告分部的财务信息" w:id="426"/>
      <w:bookmarkEnd w:id="42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40"/>
        <w:gridCol w:w="1756"/>
        <w:gridCol w:w="1700"/>
        <w:gridCol w:w="1702"/>
        <w:gridCol w:w="1700"/>
      </w:tblGrid>
      <w:tr>
        <w:trPr>
          <w:trHeight w:val="347" w:hRule="exact"/>
        </w:trPr>
        <w:tc>
          <w:tcPr>
            <w:tcW w:w="264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5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329" w:right="0"/>
              <w:jc w:val="left"/>
              <w:rPr>
                <w:rFonts w:ascii="宋体" w:hAnsi="宋体" w:cs="宋体" w:eastAsia="宋体" w:hint="default"/>
                <w:sz w:val="18"/>
                <w:szCs w:val="18"/>
              </w:rPr>
            </w:pPr>
            <w:r>
              <w:rPr>
                <w:rFonts w:ascii="宋体" w:hAnsi="宋体" w:cs="宋体" w:eastAsia="宋体" w:hint="default"/>
                <w:sz w:val="18"/>
                <w:szCs w:val="18"/>
              </w:rPr>
              <w:t>设备业务分部</w:t>
            </w:r>
          </w:p>
        </w:tc>
        <w:tc>
          <w:tcPr>
            <w:tcW w:w="170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加工业务分部</w:t>
            </w:r>
          </w:p>
        </w:tc>
        <w:tc>
          <w:tcPr>
            <w:tcW w:w="170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left="392" w:right="0"/>
              <w:jc w:val="left"/>
              <w:rPr>
                <w:rFonts w:ascii="宋体" w:hAnsi="宋体" w:cs="宋体" w:eastAsia="宋体" w:hint="default"/>
                <w:sz w:val="18"/>
                <w:szCs w:val="18"/>
              </w:rPr>
            </w:pPr>
            <w:r>
              <w:rPr>
                <w:rFonts w:ascii="宋体" w:hAnsi="宋体" w:cs="宋体" w:eastAsia="宋体" w:hint="default"/>
                <w:sz w:val="18"/>
                <w:szCs w:val="18"/>
              </w:rPr>
              <w:t>分部间抵消</w:t>
            </w:r>
          </w:p>
        </w:tc>
        <w:tc>
          <w:tcPr>
            <w:tcW w:w="170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343,304,899.47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119,091,442.61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-95,220,960.04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367,175,382.04</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258,603,646.62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83,059,555.00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-89,533,777.77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252,129,423.85</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67,978,465.07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15,120,873.76</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83,099,338.83</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640"/>
        <w:gridCol w:w="1756"/>
        <w:gridCol w:w="1700"/>
        <w:gridCol w:w="1702"/>
        <w:gridCol w:w="1700"/>
      </w:tblGrid>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归属于母公司净利润</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36,525,053.51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16,279,316.14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-20,070,928.85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32,733,440.80</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1,051,859,833.16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224,547,207.38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-275,161,186.97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1,001,245,853.57</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274,012,109.89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41,288,046.20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-48,116,421.74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267,183,734.35</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归属于母公司权益</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777,847,723.27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183,259,161.18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-290,358,610.54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670,748,273.91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上能披露各报告分部的资产总额和负债总额的，应说明原因" w:id="427"/>
      <w:bookmarkEnd w:id="42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28"/>
      <w:bookmarkEnd w:id="42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29"/>
      <w:bookmarkEnd w:id="42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其他" w:id="430"/>
      <w:bookmarkEnd w:id="430"/>
      <w:r>
        <w:rPr>
          <w:b w:val="0"/>
          <w:bCs w:val="0"/>
        </w:rPr>
      </w:r>
      <w:r>
        <w:rPr>
          <w:rFonts w:ascii="Times New Roman" w:hAnsi="Times New Roman" w:cs="Times New Roman" w:eastAsia="Times New Roman" w:hint="default"/>
        </w:rPr>
        <w:t>8</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七、母公司财务报表主要项目注释" w:id="431"/>
      <w:bookmarkEnd w:id="431"/>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432"/>
      <w:bookmarkEnd w:id="43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33"/>
      <w:bookmarkEnd w:id="433"/>
      <w:r>
        <w:rPr>
          <w:b w:val="0"/>
          <w:bCs w:val="0"/>
        </w:rPr>
      </w:r>
      <w:r>
        <w:rPr/>
        <w:t>（</w:t>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4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92,386,6</w:t>
            </w:r>
          </w:p>
          <w:p>
            <w:pPr>
              <w:pStyle w:val="TableParagraph"/>
              <w:spacing w:line="240" w:lineRule="auto" w:before="34"/>
              <w:ind w:left="313" w:right="0"/>
              <w:jc w:val="left"/>
              <w:rPr>
                <w:rFonts w:ascii="Times New Roman" w:hAnsi="Times New Roman" w:cs="Times New Roman" w:eastAsia="Times New Roman" w:hint="default"/>
                <w:sz w:val="18"/>
                <w:szCs w:val="18"/>
              </w:rPr>
            </w:pPr>
            <w:r>
              <w:rPr>
                <w:rFonts w:ascii="Times New Roman"/>
                <w:sz w:val="18"/>
              </w:rPr>
              <w:t>59.17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6,148,49</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2.07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86,238,16</w:t>
            </w:r>
          </w:p>
          <w:p>
            <w:pPr>
              <w:pStyle w:val="TableParagraph"/>
              <w:spacing w:line="240" w:lineRule="auto" w:before="34"/>
              <w:ind w:left="442" w:right="0"/>
              <w:jc w:val="left"/>
              <w:rPr>
                <w:rFonts w:ascii="Times New Roman" w:hAnsi="Times New Roman" w:cs="Times New Roman" w:eastAsia="Times New Roman" w:hint="default"/>
                <w:sz w:val="18"/>
                <w:szCs w:val="18"/>
              </w:rPr>
            </w:pPr>
            <w:r>
              <w:rPr>
                <w:rFonts w:ascii="Times New Roman"/>
                <w:sz w:val="18"/>
              </w:rPr>
              <w:t>7.10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83,227,</w:t>
            </w:r>
          </w:p>
          <w:p>
            <w:pPr>
              <w:pStyle w:val="TableParagraph"/>
              <w:spacing w:line="240" w:lineRule="auto" w:before="34"/>
              <w:ind w:left="125" w:right="0"/>
              <w:jc w:val="left"/>
              <w:rPr>
                <w:rFonts w:ascii="Times New Roman" w:hAnsi="Times New Roman" w:cs="Times New Roman" w:eastAsia="Times New Roman" w:hint="default"/>
                <w:sz w:val="18"/>
                <w:szCs w:val="18"/>
              </w:rPr>
            </w:pPr>
            <w:r>
              <w:rPr>
                <w:rFonts w:ascii="Times New Roman"/>
                <w:sz w:val="18"/>
              </w:rPr>
              <w:t>957.65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3,696,170</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79,531,787.</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45</w:t>
            </w: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1,464,98</w:t>
            </w:r>
          </w:p>
          <w:p>
            <w:pPr>
              <w:pStyle w:val="TableParagraph"/>
              <w:spacing w:line="240" w:lineRule="auto" w:before="34"/>
              <w:ind w:left="403"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1,464,98</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2,202,5</w:t>
            </w:r>
          </w:p>
          <w:p>
            <w:pPr>
              <w:pStyle w:val="TableParagraph"/>
              <w:spacing w:line="240" w:lineRule="auto" w:before="34"/>
              <w:ind w:left="192" w:right="0"/>
              <w:jc w:val="center"/>
              <w:rPr>
                <w:rFonts w:ascii="Times New Roman" w:hAnsi="Times New Roman" w:cs="Times New Roman" w:eastAsia="Times New Roman" w:hint="default"/>
                <w:sz w:val="18"/>
                <w:szCs w:val="18"/>
              </w:rPr>
            </w:pPr>
            <w:r>
              <w:rPr>
                <w:rFonts w:ascii="Times New Roman"/>
                <w:sz w:val="18"/>
              </w:rPr>
              <w:t>06.87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2,202,506</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3" w:space="0" w:color="D2D2D2"/>
              <w:right w:val="single" w:sz="4" w:space="0" w:color="000000"/>
            </w:tcBorders>
          </w:tcPr>
          <w:p>
            <w:pPr>
              <w:pStyle w:val="TableParagraph"/>
              <w:spacing w:line="240" w:lineRule="auto" w:before="63"/>
              <w:ind w:left="87" w:right="0"/>
              <w:jc w:val="left"/>
              <w:rPr>
                <w:rFonts w:ascii="Times New Roman" w:hAnsi="Times New Roman" w:cs="Times New Roman" w:eastAsia="Times New Roman" w:hint="default"/>
                <w:sz w:val="18"/>
                <w:szCs w:val="18"/>
              </w:rPr>
            </w:pPr>
            <w:r>
              <w:rPr>
                <w:rFonts w:ascii="Times New Roman"/>
                <w:sz w:val="18"/>
              </w:rPr>
              <w:t>93,851,6</w:t>
            </w:r>
          </w:p>
          <w:p>
            <w:pPr>
              <w:pStyle w:val="TableParagraph"/>
              <w:spacing w:line="240" w:lineRule="auto" w:before="34"/>
              <w:ind w:left="313" w:right="0"/>
              <w:jc w:val="left"/>
              <w:rPr>
                <w:rFonts w:ascii="Times New Roman" w:hAnsi="Times New Roman" w:cs="Times New Roman" w:eastAsia="Times New Roman" w:hint="default"/>
                <w:sz w:val="18"/>
                <w:szCs w:val="18"/>
              </w:rPr>
            </w:pPr>
            <w:r>
              <w:rPr>
                <w:rFonts w:ascii="Times New Roman"/>
                <w:sz w:val="18"/>
              </w:rPr>
              <w:t>48.92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7,613,48</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1.82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8.11%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3"/>
              <w:ind w:left="37" w:right="0"/>
              <w:jc w:val="left"/>
              <w:rPr>
                <w:rFonts w:ascii="Times New Roman" w:hAnsi="Times New Roman" w:cs="Times New Roman" w:eastAsia="Times New Roman" w:hint="default"/>
                <w:sz w:val="18"/>
                <w:szCs w:val="18"/>
              </w:rPr>
            </w:pPr>
            <w:r>
              <w:rPr>
                <w:rFonts w:ascii="Times New Roman"/>
                <w:sz w:val="18"/>
              </w:rPr>
              <w:t>86,238,16</w:t>
            </w:r>
          </w:p>
          <w:p>
            <w:pPr>
              <w:pStyle w:val="TableParagraph"/>
              <w:spacing w:line="240" w:lineRule="auto" w:before="34"/>
              <w:ind w:left="442" w:right="0"/>
              <w:jc w:val="left"/>
              <w:rPr>
                <w:rFonts w:ascii="Times New Roman" w:hAnsi="Times New Roman" w:cs="Times New Roman" w:eastAsia="Times New Roman" w:hint="default"/>
                <w:sz w:val="18"/>
                <w:szCs w:val="18"/>
              </w:rPr>
            </w:pPr>
            <w:r>
              <w:rPr>
                <w:rFonts w:ascii="Times New Roman"/>
                <w:sz w:val="18"/>
              </w:rPr>
              <w:t>7.10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80" w:right="0"/>
              <w:jc w:val="left"/>
              <w:rPr>
                <w:rFonts w:ascii="Times New Roman" w:hAnsi="Times New Roman" w:cs="Times New Roman" w:eastAsia="Times New Roman" w:hint="default"/>
                <w:sz w:val="18"/>
                <w:szCs w:val="18"/>
              </w:rPr>
            </w:pPr>
            <w:r>
              <w:rPr>
                <w:rFonts w:ascii="Times New Roman"/>
                <w:sz w:val="18"/>
              </w:rPr>
              <w:t>85,430,</w:t>
            </w:r>
          </w:p>
          <w:p>
            <w:pPr>
              <w:pStyle w:val="TableParagraph"/>
              <w:spacing w:line="240" w:lineRule="auto" w:before="34"/>
              <w:ind w:left="125" w:right="0"/>
              <w:jc w:val="left"/>
              <w:rPr>
                <w:rFonts w:ascii="Times New Roman" w:hAnsi="Times New Roman" w:cs="Times New Roman" w:eastAsia="Times New Roman" w:hint="default"/>
                <w:sz w:val="18"/>
                <w:szCs w:val="18"/>
              </w:rPr>
            </w:pPr>
            <w:r>
              <w:rPr>
                <w:rFonts w:ascii="Times New Roman"/>
                <w:sz w:val="18"/>
              </w:rPr>
              <w:t>464.52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5,898,677</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79,531,787.</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45</w:t>
            </w:r>
          </w:p>
        </w:tc>
      </w:tr>
      <w:tr>
        <w:trPr>
          <w:trHeight w:val="44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pStyle w:val="BodyText"/>
        <w:spacing w:line="240" w:lineRule="auto" w:before="51"/>
        <w:ind w:left="51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440" w:bottom="0" w:left="980" w:right="0"/>
          <w:cols w:num="2" w:equalWidth="0">
            <w:col w:w="4655" w:space="3815"/>
            <w:col w:w="246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39,485,589.19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197,427.95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18,023,373.32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901,168.67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40" w:bottom="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8,028,970.76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802,897.08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7,991,629.09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2,397,488.73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1,866,731.24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933,365.62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916,144.02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916,144.02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76,312,437.62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6,148,492.07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pStyle w:val="BodyText"/>
        <w:spacing w:line="360" w:lineRule="auto" w:before="51"/>
        <w:ind w:left="514" w:right="-20"/>
        <w:jc w:val="left"/>
      </w:pPr>
      <w:r>
        <w:rPr/>
        <w:t>确定该组合依据的说明： 组合中，采用余额百分比法计提坏账准备的应收账款：</w:t>
      </w:r>
    </w:p>
    <w:p>
      <w:pPr>
        <w:pStyle w:val="BodyText"/>
        <w:spacing w:line="348" w:lineRule="auto" w:before="26"/>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关联方、押金备用金的组合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right="0"/>
        <w:jc w:val="left"/>
      </w:pPr>
      <w:r>
        <w:rPr/>
        <w:t>单位：元</w:t>
      </w:r>
    </w:p>
    <w:p>
      <w:pPr>
        <w:spacing w:after="0" w:line="240" w:lineRule="auto"/>
        <w:jc w:val="left"/>
        <w:sectPr>
          <w:type w:val="continuous"/>
          <w:pgSz w:w="11910" w:h="16840"/>
          <w:pgMar w:top="1440" w:bottom="0" w:left="980" w:right="0"/>
          <w:cols w:num="2" w:equalWidth="0">
            <w:col w:w="4835" w:space="3725"/>
            <w:col w:w="2370"/>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678"/>
        <w:gridCol w:w="1702"/>
        <w:gridCol w:w="1134"/>
        <w:gridCol w:w="992"/>
        <w:gridCol w:w="1134"/>
      </w:tblGrid>
      <w:tr>
        <w:trPr>
          <w:trHeight w:val="347" w:hRule="exact"/>
        </w:trPr>
        <w:tc>
          <w:tcPr>
            <w:tcW w:w="467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3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229,862.46</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江苏丰东热处理及表面改性工程技术研究有限公司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434,526.25</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8"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2,790,000.00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5,485,442.26</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857,822.00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4,400,000.00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1,844,568.58</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8"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16,074,221.55</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434"/>
      <w:bookmarkEnd w:id="4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340" w:lineRule="auto" w:before="146"/>
        <w:ind w:right="4101"/>
        <w:jc w:val="left"/>
      </w:pPr>
      <w:r>
        <w:rPr/>
        <w:t>本期计提坏账准备金额</w:t>
      </w:r>
      <w:r>
        <w:rPr>
          <w:spacing w:val="-47"/>
        </w:rPr>
        <w:t> </w:t>
      </w:r>
      <w:r>
        <w:rPr>
          <w:rFonts w:ascii="Times New Roman" w:hAnsi="Times New Roman" w:cs="Times New Roman" w:eastAsia="Times New Roman" w:hint="default"/>
        </w:rPr>
        <w:t>1,802,858.05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本期实际核销的应收账款情况" w:id="435"/>
      <w:bookmarkEnd w:id="43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88,053.30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应收账款情况" w:id="436"/>
      <w:bookmarkEnd w:id="43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640"/>
        <w:gridCol w:w="1881"/>
        <w:gridCol w:w="1879"/>
        <w:gridCol w:w="1398"/>
        <w:gridCol w:w="1984"/>
      </w:tblGrid>
      <w:tr>
        <w:trPr>
          <w:trHeight w:val="316" w:hRule="exact"/>
        </w:trPr>
        <w:tc>
          <w:tcPr>
            <w:tcW w:w="264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8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7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8"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8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5"/>
              <w:ind w:left="173"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14"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8,331,649.80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8.88%</w:t>
            </w:r>
          </w:p>
        </w:tc>
      </w:tr>
      <w:tr>
        <w:trPr>
          <w:trHeight w:val="316"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5,485,442.26</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5.84%</w:t>
            </w:r>
          </w:p>
        </w:tc>
      </w:tr>
      <w:tr>
        <w:trPr>
          <w:trHeight w:val="314"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4,552,000.00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4.85%</w:t>
            </w:r>
          </w:p>
        </w:tc>
      </w:tr>
      <w:tr>
        <w:trPr>
          <w:trHeight w:val="316"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4,400,000.00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4.69%</w:t>
            </w:r>
          </w:p>
        </w:tc>
      </w:tr>
      <w:tr>
        <w:trPr>
          <w:trHeight w:val="316"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4,386,495.62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z w:val="18"/>
              </w:rPr>
              <w:t>4.67%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40" w:bottom="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其他应收款" w:id="437"/>
      <w:bookmarkEnd w:id="43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38"/>
      <w:bookmarkEnd w:id="43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4"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5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2"/>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8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5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6"/>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9,752,07</w:t>
            </w:r>
          </w:p>
          <w:p>
            <w:pPr>
              <w:pStyle w:val="TableParagraph"/>
              <w:spacing w:line="240" w:lineRule="auto" w:before="113"/>
              <w:ind w:left="415" w:right="0"/>
              <w:jc w:val="left"/>
              <w:rPr>
                <w:rFonts w:ascii="Times New Roman" w:hAnsi="Times New Roman" w:cs="Times New Roman" w:eastAsia="Times New Roman" w:hint="default"/>
                <w:sz w:val="18"/>
                <w:szCs w:val="18"/>
              </w:rPr>
            </w:pPr>
            <w:r>
              <w:rPr>
                <w:rFonts w:ascii="Times New Roman"/>
                <w:sz w:val="18"/>
              </w:rPr>
              <w:t>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12,982.3</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9,739,094</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3,292,2</w:t>
            </w:r>
          </w:p>
          <w:p>
            <w:pPr>
              <w:pStyle w:val="TableParagraph"/>
              <w:spacing w:line="240" w:lineRule="auto" w:before="34"/>
              <w:ind w:left="192" w:right="0"/>
              <w:jc w:val="center"/>
              <w:rPr>
                <w:rFonts w:ascii="Times New Roman" w:hAnsi="Times New Roman" w:cs="Times New Roman" w:eastAsia="Times New Roman" w:hint="default"/>
                <w:sz w:val="18"/>
                <w:szCs w:val="18"/>
              </w:rPr>
            </w:pPr>
            <w:r>
              <w:rPr>
                <w:rFonts w:ascii="Times New Roman"/>
                <w:sz w:val="18"/>
              </w:rPr>
              <w:t>27.99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21,904.46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3,270,323.5</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3</w:t>
            </w:r>
          </w:p>
        </w:tc>
      </w:tr>
      <w:tr>
        <w:trPr>
          <w:trHeight w:val="105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6"/>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60,794.1</w:t>
            </w:r>
          </w:p>
          <w:p>
            <w:pPr>
              <w:pStyle w:val="TableParagraph"/>
              <w:spacing w:line="240" w:lineRule="auto" w:before="113"/>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60,794.1</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61,174.</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61,174.10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6"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8"/>
              <w:ind w:left="105" w:right="0"/>
              <w:jc w:val="left"/>
              <w:rPr>
                <w:rFonts w:ascii="Times New Roman" w:hAnsi="Times New Roman" w:cs="Times New Roman" w:eastAsia="Times New Roman" w:hint="default"/>
                <w:sz w:val="18"/>
                <w:szCs w:val="18"/>
              </w:rPr>
            </w:pPr>
            <w:r>
              <w:rPr>
                <w:rFonts w:ascii="Times New Roman"/>
                <w:sz w:val="18"/>
              </w:rPr>
              <w:t>9,812,87</w:t>
            </w:r>
          </w:p>
          <w:p>
            <w:pPr>
              <w:pStyle w:val="TableParagraph"/>
              <w:spacing w:line="240" w:lineRule="auto" w:before="113"/>
              <w:ind w:left="420" w:right="0"/>
              <w:jc w:val="left"/>
              <w:rPr>
                <w:rFonts w:ascii="Times New Roman" w:hAnsi="Times New Roman" w:cs="Times New Roman" w:eastAsia="Times New Roman" w:hint="default"/>
                <w:sz w:val="18"/>
                <w:szCs w:val="18"/>
              </w:rPr>
            </w:pPr>
            <w:r>
              <w:rPr>
                <w:rFonts w:ascii="Times New Roman"/>
                <w:sz w:val="18"/>
              </w:rPr>
              <w:t>0.81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73,776.4</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0.75%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9,739,094</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.33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44"/>
              <w:ind w:left="57" w:right="0"/>
              <w:jc w:val="center"/>
              <w:rPr>
                <w:rFonts w:ascii="Times New Roman" w:hAnsi="Times New Roman" w:cs="Times New Roman" w:eastAsia="Times New Roman" w:hint="default"/>
                <w:sz w:val="18"/>
                <w:szCs w:val="18"/>
              </w:rPr>
            </w:pPr>
            <w:r>
              <w:rPr>
                <w:rFonts w:ascii="Times New Roman"/>
                <w:sz w:val="18"/>
              </w:rPr>
              <w:t>3,353,4</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02.09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83,078.56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3,270,323.5</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3</w:t>
            </w:r>
          </w:p>
        </w:tc>
      </w:tr>
      <w:tr>
        <w:trPr>
          <w:trHeight w:val="400"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6"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pStyle w:val="BodyText"/>
        <w:spacing w:line="240" w:lineRule="auto" w:before="51"/>
        <w:ind w:left="51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1"/>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440" w:bottom="0" w:left="980" w:right="0"/>
          <w:cols w:num="2" w:equalWidth="0">
            <w:col w:w="4835" w:space="3635"/>
            <w:col w:w="246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10"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5"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9"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0.50%</w:t>
            </w:r>
          </w:p>
        </w:tc>
      </w:tr>
      <w:tr>
        <w:trPr>
          <w:trHeight w:val="41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5.00%</w:t>
            </w:r>
          </w:p>
        </w:tc>
      </w:tr>
      <w:tr>
        <w:trPr>
          <w:trHeight w:val="41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129,823.78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12,982.38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9"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30.00%</w:t>
            </w:r>
          </w:p>
        </w:tc>
      </w:tr>
      <w:tr>
        <w:trPr>
          <w:trHeight w:val="41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50.00%</w:t>
            </w:r>
          </w:p>
        </w:tc>
      </w:tr>
      <w:tr>
        <w:trPr>
          <w:trHeight w:val="41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1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129,823.78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12,982.38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5.06%</w:t>
            </w:r>
          </w:p>
        </w:tc>
      </w:tr>
    </w:tbl>
    <w:p>
      <w:pPr>
        <w:pStyle w:val="BodyText"/>
        <w:spacing w:line="367" w:lineRule="auto" w:before="86"/>
        <w:ind w:left="514" w:right="5892"/>
        <w:jc w:val="left"/>
      </w:pPr>
      <w:r>
        <w:rPr/>
        <w:t>确定该组合依据的说明： 组合中，采用余额百分比法计提坏账准备的其他应收款：</w:t>
      </w:r>
    </w:p>
    <w:p>
      <w:pPr>
        <w:pStyle w:val="BodyText"/>
        <w:spacing w:line="345" w:lineRule="auto" w:before="29"/>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5"/>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440" w:bottom="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关联方、押金备用金的组合</w:t>
      </w:r>
    </w:p>
    <w:p>
      <w:pPr>
        <w:pStyle w:val="BodyText"/>
        <w:spacing w:line="240" w:lineRule="auto" w:before="76"/>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62"/>
        <w:gridCol w:w="1559"/>
        <w:gridCol w:w="1559"/>
        <w:gridCol w:w="1559"/>
        <w:gridCol w:w="1560"/>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99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5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6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1,492,994.15</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员工</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2,812,478.78</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5,291,780.00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25,000.00</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9,622,252.93</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6"/>
          <w:szCs w:val="16"/>
        </w:rPr>
      </w:pPr>
    </w:p>
    <w:p>
      <w:pPr>
        <w:pStyle w:val="Heading3"/>
        <w:spacing w:line="240" w:lineRule="auto" w:before="35"/>
        <w:ind w:right="0"/>
        <w:jc w:val="left"/>
        <w:rPr>
          <w:b w:val="0"/>
          <w:bCs w:val="0"/>
        </w:rPr>
      </w:pPr>
      <w:bookmarkStart w:name="（2）本期计提、收回或转回的坏账准备情况" w:id="439"/>
      <w:bookmarkEnd w:id="4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15"/>
        <w:ind w:left="514" w:right="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9,302.08</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收款按款项性质分类情况" w:id="440"/>
      <w:bookmarkEnd w:id="44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1,492,994.15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923,726.35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2,812,478.78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2,149,457.00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5,316,780.00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190,617.88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280,218.74</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9,812,870.81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3,353,402.09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441"/>
      <w:bookmarkEnd w:id="44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418"/>
        <w:gridCol w:w="1417"/>
        <w:gridCol w:w="1276"/>
        <w:gridCol w:w="1560"/>
        <w:gridCol w:w="1063"/>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5,291,780.00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53.93%</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340,353.00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263,381.74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6,546,614.74</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66.72%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442"/>
      <w:bookmarkEnd w:id="44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 w:right="0"/>
              <w:jc w:val="left"/>
              <w:rPr>
                <w:rFonts w:ascii="Times New Roman" w:hAnsi="Times New Roman" w:cs="Times New Roman" w:eastAsia="Times New Roman" w:hint="default"/>
                <w:sz w:val="18"/>
                <w:szCs w:val="18"/>
              </w:rPr>
            </w:pPr>
            <w:r>
              <w:rPr>
                <w:rFonts w:ascii="Times New Roman"/>
                <w:sz w:val="18"/>
              </w:rPr>
              <w:t>214,737,317.16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214,737,317.16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178,440,182.16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178,440,182.16</w:t>
            </w:r>
          </w:p>
        </w:tc>
      </w:tr>
    </w:tbl>
    <w:p>
      <w:pPr>
        <w:spacing w:after="0" w:line="240" w:lineRule="auto"/>
        <w:jc w:val="lef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91,617,710.83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91,617,710.83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74,588,550.15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74,588,550.15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306,355,027.99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306,355,027.99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253,028,732.31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253,028,732.31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43"/>
      <w:bookmarkEnd w:id="44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134"/>
        <w:gridCol w:w="1134"/>
        <w:gridCol w:w="1276"/>
        <w:gridCol w:w="992"/>
        <w:gridCol w:w="919"/>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5,923,730.63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5,923,730.63</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6,106,214.82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6,106,214.82</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1"/>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 术研究有限公司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1,899,353.40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2,499,353.40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2,805,505.10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2,805,505.10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22,362,578.21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22,362,578.21</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50,800,000.00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20,162,800.00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30,567,735.00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6" w:right="0"/>
              <w:jc w:val="left"/>
              <w:rPr>
                <w:rFonts w:ascii="Times New Roman" w:hAnsi="Times New Roman" w:cs="Times New Roman" w:eastAsia="Times New Roman" w:hint="default"/>
                <w:sz w:val="18"/>
                <w:szCs w:val="18"/>
              </w:rPr>
            </w:pPr>
            <w:r>
              <w:rPr>
                <w:rFonts w:ascii="Times New Roman"/>
                <w:sz w:val="18"/>
              </w:rPr>
              <w:t>4,320,600.00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46,409,935.00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61,880,000.00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61,880,000.00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178,440,182.16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40,617,735.00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6" w:right="0"/>
              <w:jc w:val="left"/>
              <w:rPr>
                <w:rFonts w:ascii="Times New Roman" w:hAnsi="Times New Roman" w:cs="Times New Roman" w:eastAsia="Times New Roman" w:hint="default"/>
                <w:sz w:val="18"/>
                <w:szCs w:val="18"/>
              </w:rPr>
            </w:pPr>
            <w:r>
              <w:rPr>
                <w:rFonts w:ascii="Times New Roman"/>
                <w:sz w:val="18"/>
              </w:rPr>
              <w:t>4,320,600.00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214,737,317.16</w:t>
            </w: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44"/>
      <w:bookmarkEnd w:id="44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1189"/>
        <w:gridCol w:w="1134"/>
        <w:gridCol w:w="425"/>
        <w:gridCol w:w="1134"/>
        <w:gridCol w:w="709"/>
        <w:gridCol w:w="568"/>
        <w:gridCol w:w="1134"/>
        <w:gridCol w:w="566"/>
        <w:gridCol w:w="322"/>
        <w:gridCol w:w="1096"/>
        <w:gridCol w:w="500"/>
      </w:tblGrid>
      <w:tr>
        <w:trPr>
          <w:trHeight w:val="330"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9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67"/>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81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6"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2" w:right="11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80"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8" w:right="97"/>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1" w:right="111"/>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4" w:right="65"/>
              <w:jc w:val="left"/>
              <w:rPr>
                <w:rFonts w:ascii="宋体" w:hAnsi="宋体" w:cs="宋体" w:eastAsia="宋体" w:hint="default"/>
                <w:sz w:val="18"/>
                <w:szCs w:val="18"/>
              </w:rPr>
            </w:pPr>
            <w:r>
              <w:rPr>
                <w:rFonts w:ascii="宋体" w:hAnsi="宋体" w:cs="宋体" w:eastAsia="宋体" w:hint="default"/>
                <w:sz w:val="18"/>
                <w:szCs w:val="18"/>
              </w:rPr>
              <w:t>其 他</w:t>
            </w:r>
          </w:p>
        </w:tc>
        <w:tc>
          <w:tcPr>
            <w:tcW w:w="1096"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61,803,994.72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5,446,795.75</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64,750,790.47</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-2,141,260.34</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12,858,739.66</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61,803,994.72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2" w:right="0"/>
              <w:jc w:val="center"/>
              <w:rPr>
                <w:rFonts w:ascii="Times New Roman" w:hAnsi="Times New Roman" w:cs="Times New Roman" w:eastAsia="Times New Roman" w:hint="default"/>
                <w:sz w:val="18"/>
                <w:szCs w:val="18"/>
              </w:rPr>
            </w:pPr>
            <w:r>
              <w:rPr>
                <w:rFonts w:ascii="Times New Roman"/>
                <w:sz w:val="18"/>
              </w:rPr>
              <w:t>15,000,000.00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3,305,535.41</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sz w:val="18"/>
              </w:rPr>
              <w:t>77,609,530.13</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12,784,555.43</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2,023,625.27</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14,008,180.70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12,784,555.43</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2,023,625.27</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sz w:val="18"/>
              </w:rPr>
              <w:t>14,008,180.70</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1189"/>
        <w:gridCol w:w="1134"/>
        <w:gridCol w:w="425"/>
        <w:gridCol w:w="1134"/>
        <w:gridCol w:w="709"/>
        <w:gridCol w:w="568"/>
        <w:gridCol w:w="1134"/>
        <w:gridCol w:w="566"/>
        <w:gridCol w:w="322"/>
        <w:gridCol w:w="1096"/>
        <w:gridCol w:w="500"/>
      </w:tblGrid>
      <w:tr>
        <w:trPr>
          <w:trHeight w:val="33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2" w:right="0"/>
              <w:jc w:val="left"/>
              <w:rPr>
                <w:rFonts w:ascii="Times New Roman" w:hAnsi="Times New Roman" w:cs="Times New Roman" w:eastAsia="Times New Roman" w:hint="default"/>
                <w:sz w:val="18"/>
                <w:szCs w:val="18"/>
              </w:rPr>
            </w:pPr>
            <w:r>
              <w:rPr>
                <w:rFonts w:ascii="Times New Roman"/>
                <w:sz w:val="18"/>
              </w:rPr>
              <w:t>74,588,550.15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6" w:right="0"/>
              <w:jc w:val="left"/>
              <w:rPr>
                <w:rFonts w:ascii="Times New Roman" w:hAnsi="Times New Roman" w:cs="Times New Roman" w:eastAsia="Times New Roman" w:hint="default"/>
                <w:sz w:val="18"/>
                <w:szCs w:val="18"/>
              </w:rPr>
            </w:pPr>
            <w:r>
              <w:rPr>
                <w:rFonts w:ascii="Times New Roman"/>
                <w:sz w:val="18"/>
              </w:rPr>
              <w:t>15,000,000.00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7" w:right="0"/>
              <w:jc w:val="left"/>
              <w:rPr>
                <w:rFonts w:ascii="Times New Roman" w:hAnsi="Times New Roman" w:cs="Times New Roman" w:eastAsia="Times New Roman" w:hint="default"/>
                <w:sz w:val="18"/>
                <w:szCs w:val="18"/>
              </w:rPr>
            </w:pPr>
            <w:r>
              <w:rPr>
                <w:rFonts w:ascii="Times New Roman"/>
                <w:sz w:val="18"/>
              </w:rPr>
              <w:t>5,329,160.68</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5" w:right="0"/>
              <w:jc w:val="left"/>
              <w:rPr>
                <w:rFonts w:ascii="Times New Roman" w:hAnsi="Times New Roman" w:cs="Times New Roman" w:eastAsia="Times New Roman" w:hint="default"/>
                <w:sz w:val="18"/>
                <w:szCs w:val="18"/>
              </w:rPr>
            </w:pPr>
            <w:r>
              <w:rPr>
                <w:rFonts w:ascii="Times New Roman"/>
                <w:sz w:val="18"/>
              </w:rPr>
              <w:t>3,300,000.00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sz w:val="18"/>
              </w:rPr>
              <w:t>91,617,710.83</w:t>
            </w:r>
          </w:p>
        </w:tc>
        <w:tc>
          <w:tcPr>
            <w:tcW w:w="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45"/>
      <w:bookmarkEnd w:id="44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46"/>
      <w:bookmarkEnd w:id="44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153,443,863.40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117,170,587.51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213,705,794.08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158,192,618.88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35,476,248.07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24,376,858.04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26,140,991.47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17,630,947.07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188,920,111.47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141,547,445.55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239,846,785.55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175,823,565.95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47"/>
      <w:bookmarkEnd w:id="44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12,630,140.00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5,329,160.68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7,263,465.40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1,352,158.16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1,751,709.58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19,311,458.84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21,150,174.98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48"/>
      <w:bookmarkEnd w:id="448"/>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0" w:right="8931"/>
        <w:jc w:val="center"/>
        <w:rPr>
          <w:b w:val="0"/>
          <w:bCs w:val="0"/>
        </w:rPr>
      </w:pPr>
      <w:bookmarkStart w:name="十八、补充资料" w:id="449"/>
      <w:bookmarkEnd w:id="44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50"/>
      <w:bookmarkEnd w:id="45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宋体" w:hAnsi="宋体" w:cs="宋体" w:eastAsia="宋体" w:hint="default"/>
          <w:b/>
          <w:bCs/>
          <w:sz w:val="7"/>
          <w:szCs w:val="7"/>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1559"/>
        <w:gridCol w:w="4182"/>
      </w:tblGrid>
      <w:tr>
        <w:trPr>
          <w:trHeight w:val="33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30"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1,761,199.53</w:t>
            </w:r>
          </w:p>
        </w:tc>
        <w:tc>
          <w:tcPr>
            <w:tcW w:w="41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1,147,715.50</w:t>
            </w:r>
          </w:p>
        </w:tc>
        <w:tc>
          <w:tcPr>
            <w:tcW w:w="418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7,248,391.60</w:t>
            </w:r>
          </w:p>
        </w:tc>
        <w:tc>
          <w:tcPr>
            <w:tcW w:w="4182" w:type="dxa"/>
            <w:vMerge w:val="restart"/>
            <w:tcBorders>
              <w:top w:val="single" w:sz="4" w:space="0" w:color="000000"/>
              <w:left w:val="single" w:sz="4" w:space="0" w:color="000000"/>
              <w:right w:val="single" w:sz="4" w:space="0" w:color="000000"/>
            </w:tcBorders>
          </w:tcPr>
          <w:p>
            <w:pPr>
              <w:pStyle w:val="TableParagraph"/>
              <w:spacing w:line="240" w:lineRule="exact" w:before="40"/>
              <w:ind w:left="22" w:right="97"/>
              <w:jc w:val="left"/>
              <w:rPr>
                <w:rFonts w:ascii="宋体" w:hAnsi="宋体" w:cs="宋体" w:eastAsia="宋体" w:hint="default"/>
                <w:sz w:val="18"/>
                <w:szCs w:val="18"/>
              </w:rPr>
            </w:pPr>
            <w:r>
              <w:rPr>
                <w:rFonts w:ascii="宋体" w:hAnsi="宋体" w:cs="宋体" w:eastAsia="宋体" w:hint="default"/>
                <w:sz w:val="18"/>
                <w:szCs w:val="18"/>
              </w:rPr>
              <w:t>本报告期内计入当期损益的政府补助中，其中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元为国家重点新产品计划战略性创新产 品资金；</w:t>
            </w:r>
            <w:r>
              <w:rPr>
                <w:rFonts w:ascii="Times New Roman" w:hAnsi="Times New Roman" w:cs="Times New Roman" w:eastAsia="Times New Roman" w:hint="default"/>
                <w:sz w:val="18"/>
                <w:szCs w:val="18"/>
              </w:rPr>
              <w:t>1,636,363.68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元为全新一代等离子渗氮设备 研发及产业化项目收益</w:t>
            </w:r>
          </w:p>
        </w:tc>
      </w:tr>
      <w:tr>
        <w:trPr>
          <w:trHeight w:val="865" w:hRule="exact"/>
        </w:trPr>
        <w:tc>
          <w:tcPr>
            <w:tcW w:w="382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关，按照国家统一标准定额或定量享受的政府补 助除外）</w:t>
            </w:r>
          </w:p>
        </w:tc>
        <w:tc>
          <w:tcPr>
            <w:tcW w:w="1559" w:type="dxa"/>
            <w:vMerge/>
            <w:tcBorders>
              <w:left w:val="single" w:sz="13" w:space="0" w:color="D2D2D2"/>
              <w:bottom w:val="single" w:sz="4" w:space="0" w:color="000000"/>
              <w:right w:val="single" w:sz="4" w:space="0" w:color="000000"/>
            </w:tcBorders>
          </w:tcPr>
          <w:p>
            <w:pPr/>
          </w:p>
        </w:tc>
        <w:tc>
          <w:tcPr>
            <w:tcW w:w="4182" w:type="dxa"/>
            <w:vMerge/>
            <w:tcBorders>
              <w:left w:val="single" w:sz="4" w:space="0" w:color="000000"/>
              <w:bottom w:val="single" w:sz="4" w:space="0" w:color="000000"/>
              <w:right w:val="single" w:sz="4" w:space="0" w:color="000000"/>
            </w:tcBorders>
          </w:tcPr>
          <w:p>
            <w:pPr/>
          </w:p>
        </w:tc>
      </w:tr>
      <w:tr>
        <w:trPr>
          <w:trHeight w:val="390"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-807,160.00</w:t>
            </w:r>
            <w:r>
              <w:rPr>
                <w:rFonts w:ascii="Times New Roman"/>
                <w:sz w:val="18"/>
              </w:rPr>
            </w:r>
          </w:p>
        </w:tc>
        <w:tc>
          <w:tcPr>
            <w:tcW w:w="41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1,511,421.37</w:t>
            </w:r>
          </w:p>
        </w:tc>
        <w:tc>
          <w:tcPr>
            <w:tcW w:w="41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168,717.12</w:t>
            </w:r>
          </w:p>
        </w:tc>
        <w:tc>
          <w:tcPr>
            <w:tcW w:w="418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4"/>
              <w:ind w:right="10"/>
              <w:jc w:val="right"/>
              <w:rPr>
                <w:rFonts w:ascii="Times New Roman" w:hAnsi="Times New Roman" w:cs="Times New Roman" w:eastAsia="Times New Roman" w:hint="default"/>
                <w:sz w:val="18"/>
                <w:szCs w:val="18"/>
              </w:rPr>
            </w:pPr>
            <w:r>
              <w:rPr>
                <w:rFonts w:ascii="Times New Roman"/>
                <w:spacing w:val="-1"/>
                <w:sz w:val="18"/>
              </w:rPr>
              <w:t>7,670,008.14</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1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240" w:lineRule="auto" w:before="61"/>
        <w:ind w:left="153" w:right="0"/>
        <w:jc w:val="left"/>
      </w:pP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p>
    <w:p>
      <w:pPr>
        <w:spacing w:after="0" w:line="240" w:lineRule="auto"/>
        <w:jc w:val="left"/>
        <w:sectPr>
          <w:pgSz w:w="11910" w:h="16840"/>
          <w:pgMar w:header="691"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154" w:right="0"/>
        <w:jc w:val="left"/>
      </w:pPr>
      <w:r>
        <w:rPr/>
        <w:t>目，应说明原因。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51"/>
      <w:bookmarkEnd w:id="45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5"/>
        <w:rPr>
          <w:rFonts w:ascii="宋体" w:hAnsi="宋体" w:cs="宋体" w:eastAsia="宋体"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5"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52"/>
      <w:bookmarkEnd w:id="45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53"/>
      <w:bookmarkEnd w:id="45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pStyle w:val="BodyText"/>
        <w:spacing w:line="240" w:lineRule="auto" w:before="14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54"/>
      <w:bookmarkEnd w:id="45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pStyle w:val="BodyText"/>
        <w:spacing w:line="240" w:lineRule="auto" w:before="147"/>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53" w:right="0" w:firstLine="422"/>
        <w:jc w:val="left"/>
        <w:rPr>
          <w:b w:val="0"/>
          <w:bCs w:val="0"/>
        </w:rPr>
      </w:pPr>
      <w:bookmarkStart w:name="（3）境内外会计准则下会计数据差异原因说明，对已经境外审计机构审计的数据进行差异" w:id="455"/>
      <w:bookmarkEnd w:id="45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w:t>
      </w:r>
      <w:r>
        <w:rPr>
          <w:w w:val="99"/>
        </w:rPr>
        <w:t> </w:t>
      </w:r>
      <w:r>
        <w:rPr/>
        <w:t>应注明该境外机构的名称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456"/>
      <w:bookmarkEnd w:id="456"/>
      <w:r>
        <w:rPr>
          <w:b w:val="0"/>
          <w:bCs w:val="0"/>
        </w:rPr>
      </w:r>
      <w:r>
        <w:rPr>
          <w:rFonts w:ascii="Times New Roman" w:hAnsi="Times New Roman" w:cs="Times New Roman" w:eastAsia="Times New Roman" w:hint="default"/>
        </w:rPr>
        <w:t>4</w:t>
      </w:r>
      <w:r>
        <w:rPr/>
        <w:t>、会计政策变更相关补充资料</w:t>
      </w:r>
      <w:r>
        <w:rPr>
          <w:b w:val="0"/>
          <w:bCs w:val="0"/>
        </w:rPr>
      </w:r>
    </w:p>
    <w:p>
      <w:pPr>
        <w:pStyle w:val="BodyText"/>
        <w:spacing w:line="240" w:lineRule="auto" w:before="14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w:t>
      </w:r>
    </w:p>
    <w:p>
      <w:pPr>
        <w:pStyle w:val="BodyText"/>
        <w:spacing w:line="240" w:lineRule="auto" w:before="64"/>
        <w:ind w:left="154" w:right="0"/>
        <w:jc w:val="left"/>
      </w:pPr>
      <w:r>
        <w:rPr/>
        <w:t>较财务报表进行了追溯重述，重述后的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39"/>
        <w:gridCol w:w="2280"/>
        <w:gridCol w:w="2126"/>
        <w:gridCol w:w="1913"/>
      </w:tblGrid>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238,025,169.23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206,510,363.84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222,060,206.93</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17,626,333.73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25,667,076.35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20,323,143.49</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85,370,885.07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112,354,794.08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141,110,483.83</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11,392,288.63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10,613,791.14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15,127,102.85</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3,584,629.70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6,463,655.66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6,167,122.06</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163,764,185.54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151,211,062.30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193,150,255.92</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834,830.78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2,138,655.22</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519,763,491.90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513,655,574.15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600,076,970.30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415"/>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3,010,000.00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5,064,131.00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69,825,084.75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74,588,550.15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91,617,710.83</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178,807,649.18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210,699,056.15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216,606,512.84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27,064,598.70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3,788,554.87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23,573,670.14</w:t>
            </w:r>
          </w:p>
        </w:tc>
      </w:tr>
    </w:tbl>
    <w:p>
      <w:pPr>
        <w:spacing w:after="0" w:line="240" w:lineRule="auto"/>
        <w:jc w:val="right"/>
        <w:rPr>
          <w:rFonts w:ascii="Times New Roman" w:hAnsi="Times New Roman" w:cs="Times New Roman" w:eastAsia="Times New Roman"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239"/>
        <w:gridCol w:w="2280"/>
        <w:gridCol w:w="2126"/>
        <w:gridCol w:w="1913"/>
      </w:tblGrid>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32,132,658.13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35,871,230.08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48,108,024.44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5,919,293.97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5,919,293.97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5,919,293.97</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1,448,810.83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1,099,484.89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2,155,583.63</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3,870,570.08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4,769,450.96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8,123,956.42</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322,078,665.64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339,745,621.07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401,168,883.27</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841,842,157.54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853,401,195.22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1,001,245,853.57</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48,448,962.08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50,579,718.55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57,146,755.98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102,881,895.78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78,527,568.34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128,951,494.84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5,444,318.40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5,553,572.53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7,009,152.98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8,344,638.88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2,927,580.37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6,797,835.44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63,645.84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977,500.00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1,019,500.00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4,322,502.20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3,915,952.20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3,291,202.83</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181,919,817.34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155,523,891.99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224,779,587.91</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10,513,554.97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14,695,758.24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12,625,234.24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817,063.08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797,987.64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778,912.20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11,330,618.05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17,493,745.88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42,404,146.44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193,250,435.39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173,017,637.87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267,183,734.35</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268,000,000.00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268,000,000.00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209,468,822.85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209,482,266.23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210,377,110.32</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17,850,126.57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22,152,958.50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24,948,823.31</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128,214,434.82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150,884,764.29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167,422,340.28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623,533,384.24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650,519,989.02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670,748,273.91</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25,058,337.91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29,863,568.33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63,313,845.31</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648,591,722.15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680,383,557.35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734,062,119.22</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841,842,157.54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853,401,195.22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1,001,245,853.57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 w:id="457"/>
      <w:bookmarkEnd w:id="457"/>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公司主要会计报表项目的异常情况及原因说明</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1</w:t>
      </w:r>
      <w:r>
        <w:rPr/>
        <w:t>）资产负债变动简要分析（万元）</w:t>
      </w:r>
    </w:p>
    <w:p>
      <w:pPr>
        <w:spacing w:line="240" w:lineRule="auto" w:before="13"/>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1780"/>
        <w:gridCol w:w="1061"/>
        <w:gridCol w:w="1060"/>
        <w:gridCol w:w="1060"/>
        <w:gridCol w:w="1061"/>
        <w:gridCol w:w="3620"/>
      </w:tblGrid>
      <w:tr>
        <w:trPr>
          <w:trHeight w:val="537" w:hRule="exact"/>
        </w:trPr>
        <w:tc>
          <w:tcPr>
            <w:tcW w:w="178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16"/>
              <w:ind w:left="52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06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16"/>
              <w:ind w:left="253"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06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16"/>
              <w:ind w:left="251"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06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16"/>
              <w:ind w:left="16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6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16"/>
              <w:ind w:left="163"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62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14,111.05</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11,235.48</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2,875.57</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25.59%</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市场竞争压力下采用较宽松的销售政策所致</w:t>
            </w:r>
          </w:p>
        </w:tc>
      </w:tr>
      <w:tr>
        <w:trPr>
          <w:trHeight w:val="348"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1,512.71</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1,061.38</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451.33</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42.52%</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期末客户订单增加引起采购增加所致</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780"/>
        <w:gridCol w:w="1061"/>
        <w:gridCol w:w="1060"/>
        <w:gridCol w:w="1060"/>
        <w:gridCol w:w="1061"/>
        <w:gridCol w:w="3620"/>
      </w:tblGrid>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19,315.03</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15,121.11</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4,193.92</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27.74%</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期末客户订单增加引起生产增加所致</w:t>
            </w:r>
          </w:p>
        </w:tc>
      </w:tr>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213.87</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83.48</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130.39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156.19%</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期末购进进项税大于销售销项税所致</w:t>
            </w:r>
          </w:p>
        </w:tc>
      </w:tr>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506.41</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301</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205.41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68.24%</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配股</w:t>
            </w:r>
          </w:p>
        </w:tc>
      </w:tr>
      <w:tr>
        <w:trPr>
          <w:trHeight w:val="348"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9,161.77</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7,458.86</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1,702.91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22.83%</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新设合营企业</w:t>
            </w:r>
          </w:p>
        </w:tc>
      </w:tr>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2,357.37</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378.86</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1,978.51</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522.23%</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子公司天津丰东建设新厂房</w:t>
            </w:r>
          </w:p>
        </w:tc>
      </w:tr>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4,810.80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3,587.12</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1,223.68</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34.11%</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子公司天津丰东新购土地</w:t>
            </w:r>
          </w:p>
        </w:tc>
      </w:tr>
      <w:tr>
        <w:trPr>
          <w:trHeight w:val="659"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812.4</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476.95</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335.45</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70.33%</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8"/>
                <w:sz w:val="18"/>
                <w:szCs w:val="18"/>
              </w:rPr>
              <w:t>集团内部交易利润未实现及本公司收到政府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补助形成可抵扣暂时性差异所致</w:t>
            </w:r>
          </w:p>
        </w:tc>
      </w:tr>
      <w:tr>
        <w:trPr>
          <w:trHeight w:val="659"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1,300.00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53.85%</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8"/>
                <w:sz w:val="18"/>
                <w:szCs w:val="18"/>
              </w:rPr>
              <w:t>本公司为对拟设立的小贷公司进行投资而增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加的借款</w:t>
            </w:r>
          </w:p>
        </w:tc>
      </w:tr>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12,895.15</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7,852.76</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5,042.39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64.21%</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年末在产订单较上年末增加</w:t>
            </w:r>
          </w:p>
        </w:tc>
      </w:tr>
      <w:tr>
        <w:trPr>
          <w:trHeight w:val="660"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679.78</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292.76</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387.02</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132.20%</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8"/>
                <w:sz w:val="18"/>
                <w:szCs w:val="18"/>
              </w:rPr>
              <w:t>期末应交企业所得税增加及子公司北京丰东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期末应交增值税增加</w:t>
            </w:r>
          </w:p>
        </w:tc>
      </w:tr>
      <w:tr>
        <w:trPr>
          <w:trHeight w:val="347" w:hRule="exact"/>
        </w:trPr>
        <w:tc>
          <w:tcPr>
            <w:tcW w:w="17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2,900.00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2,700.00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1350.00%</w:t>
            </w:r>
          </w:p>
        </w:tc>
        <w:tc>
          <w:tcPr>
            <w:tcW w:w="3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本公司为实施科技成果转化项目向银行借款</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w:t>
      </w:r>
      <w:r>
        <w:rPr>
          <w:rFonts w:ascii="Times New Roman" w:hAnsi="Times New Roman" w:cs="Times New Roman" w:eastAsia="Times New Roman" w:hint="default"/>
        </w:rPr>
        <w:t>2</w:t>
      </w:r>
      <w:r>
        <w:rPr/>
        <w:t>）所有者权益变动简要分析（万元）</w:t>
      </w:r>
    </w:p>
    <w:p>
      <w:pPr>
        <w:spacing w:line="240" w:lineRule="auto" w:before="12"/>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1844"/>
        <w:gridCol w:w="1276"/>
        <w:gridCol w:w="1277"/>
        <w:gridCol w:w="1274"/>
        <w:gridCol w:w="1419"/>
        <w:gridCol w:w="2551"/>
      </w:tblGrid>
      <w:tr>
        <w:trPr>
          <w:trHeight w:val="347" w:hRule="exact"/>
        </w:trPr>
        <w:tc>
          <w:tcPr>
            <w:tcW w:w="184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276"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277"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74"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9"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2551"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907"/>
              <w:jc w:val="right"/>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8" w:right="0"/>
              <w:jc w:val="left"/>
              <w:rPr>
                <w:rFonts w:ascii="Times New Roman" w:hAnsi="Times New Roman" w:cs="Times New Roman" w:eastAsia="Times New Roman" w:hint="default"/>
                <w:sz w:val="18"/>
                <w:szCs w:val="18"/>
              </w:rPr>
            </w:pPr>
            <w:r>
              <w:rPr>
                <w:rFonts w:ascii="Times New Roman"/>
                <w:sz w:val="18"/>
              </w:rPr>
              <w:t>6,331.38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9" w:right="0"/>
              <w:jc w:val="left"/>
              <w:rPr>
                <w:rFonts w:ascii="Times New Roman" w:hAnsi="Times New Roman" w:cs="Times New Roman" w:eastAsia="Times New Roman" w:hint="default"/>
                <w:sz w:val="18"/>
                <w:szCs w:val="18"/>
              </w:rPr>
            </w:pPr>
            <w:r>
              <w:rPr>
                <w:rFonts w:ascii="Times New Roman"/>
                <w:sz w:val="18"/>
              </w:rPr>
              <w:t>2,986.36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7" w:right="0"/>
              <w:jc w:val="left"/>
              <w:rPr>
                <w:rFonts w:ascii="Times New Roman" w:hAnsi="Times New Roman" w:cs="Times New Roman" w:eastAsia="Times New Roman" w:hint="default"/>
                <w:sz w:val="18"/>
                <w:szCs w:val="18"/>
              </w:rPr>
            </w:pPr>
            <w:r>
              <w:rPr>
                <w:rFonts w:ascii="Times New Roman"/>
                <w:sz w:val="18"/>
              </w:rPr>
              <w:t>3,345.02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55" w:right="0"/>
              <w:jc w:val="left"/>
              <w:rPr>
                <w:rFonts w:ascii="Times New Roman" w:hAnsi="Times New Roman" w:cs="Times New Roman" w:eastAsia="Times New Roman" w:hint="default"/>
                <w:sz w:val="18"/>
                <w:szCs w:val="18"/>
              </w:rPr>
            </w:pPr>
            <w:r>
              <w:rPr>
                <w:rFonts w:ascii="Times New Roman"/>
                <w:sz w:val="18"/>
              </w:rPr>
              <w:t>112.01%</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12"/>
              <w:jc w:val="right"/>
              <w:rPr>
                <w:rFonts w:ascii="宋体" w:hAnsi="宋体" w:cs="宋体" w:eastAsia="宋体" w:hint="default"/>
                <w:sz w:val="18"/>
                <w:szCs w:val="18"/>
              </w:rPr>
            </w:pPr>
            <w:r>
              <w:rPr>
                <w:rFonts w:ascii="宋体" w:hAnsi="宋体" w:cs="宋体" w:eastAsia="宋体" w:hint="default"/>
                <w:sz w:val="18"/>
                <w:szCs w:val="18"/>
              </w:rPr>
              <w:t>子公司天津丰东增资</w:t>
            </w:r>
          </w:p>
        </w:tc>
      </w:tr>
    </w:tbl>
    <w:p>
      <w:pPr>
        <w:spacing w:line="240" w:lineRule="auto" w:before="4"/>
        <w:rPr>
          <w:rFonts w:ascii="宋体" w:hAnsi="宋体" w:cs="宋体" w:eastAsia="宋体" w:hint="default"/>
          <w:sz w:val="9"/>
          <w:szCs w:val="9"/>
        </w:rPr>
      </w:pPr>
    </w:p>
    <w:p>
      <w:pPr>
        <w:pStyle w:val="BodyText"/>
        <w:spacing w:line="240" w:lineRule="auto" w:before="44"/>
        <w:ind w:left="514" w:right="0"/>
        <w:jc w:val="left"/>
      </w:pPr>
      <w:r>
        <w:rPr/>
        <w:t>（</w:t>
      </w:r>
      <w:r>
        <w:rPr>
          <w:rFonts w:ascii="Times New Roman" w:hAnsi="Times New Roman" w:cs="Times New Roman" w:eastAsia="Times New Roman" w:hint="default"/>
        </w:rPr>
        <w:t>3</w:t>
      </w:r>
      <w:r>
        <w:rPr/>
        <w:t>）利润变动简要分析（万元）</w:t>
      </w:r>
    </w:p>
    <w:p>
      <w:pPr>
        <w:spacing w:line="240" w:lineRule="auto" w:before="12"/>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1720"/>
        <w:gridCol w:w="1080"/>
        <w:gridCol w:w="1080"/>
        <w:gridCol w:w="1080"/>
        <w:gridCol w:w="1080"/>
        <w:gridCol w:w="3600"/>
      </w:tblGrid>
      <w:tr>
        <w:trPr>
          <w:trHeight w:val="347" w:hRule="exact"/>
        </w:trPr>
        <w:tc>
          <w:tcPr>
            <w:tcW w:w="172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49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08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262"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08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262"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08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7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8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left="172"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600" w:type="dxa"/>
            <w:tcBorders>
              <w:top w:val="single" w:sz="6" w:space="0" w:color="000000"/>
              <w:left w:val="single" w:sz="6" w:space="0" w:color="000000"/>
              <w:bottom w:val="single" w:sz="6" w:space="0" w:color="000000"/>
              <w:right w:val="single" w:sz="6" w:space="0" w:color="000000"/>
            </w:tcBorders>
            <w:shd w:val="clear" w:color="auto" w:fill="D7D7D7"/>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382.47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229.92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152.55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66.35%</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本期应交增值税增加导致税金及附加增加</w:t>
            </w:r>
          </w:p>
        </w:tc>
      </w:tr>
      <w:tr>
        <w:trPr>
          <w:trHeight w:val="348" w:hRule="exact"/>
        </w:trPr>
        <w:tc>
          <w:tcPr>
            <w:tcW w:w="1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6,563.76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4,844.00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1,719.76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35.50%</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人工成本及研发费增加</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60.49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-149.92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210.41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140.35%</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本期利息收入减少且贷款利息支出增加</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1,053.94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457.78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596.16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130.23%</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政府补助项目增加</w:t>
            </w:r>
          </w:p>
        </w:tc>
      </w:tr>
    </w:tbl>
    <w:p>
      <w:pPr>
        <w:spacing w:after="0" w:line="240" w:lineRule="auto"/>
        <w:jc w:val="left"/>
        <w:rPr>
          <w:rFonts w:ascii="宋体" w:hAnsi="宋体" w:cs="宋体" w:eastAsia="宋体" w:hint="default"/>
          <w:sz w:val="18"/>
          <w:szCs w:val="18"/>
        </w:rPr>
        <w:sectPr>
          <w:pgSz w:w="11910" w:h="16840"/>
          <w:pgMar w:header="69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0"/>
        <w:jc w:val="left"/>
        <w:rPr>
          <w:b w:val="0"/>
          <w:bCs w:val="0"/>
        </w:rPr>
      </w:pPr>
      <w:bookmarkStart w:name="第十二节 备查文件目录" w:id="458"/>
      <w:bookmarkEnd w:id="458"/>
      <w:r>
        <w:rPr>
          <w:b w:val="0"/>
          <w:bCs w:val="0"/>
        </w:rPr>
      </w:r>
      <w:bookmarkStart w:name="_bookmark11" w:id="459"/>
      <w:bookmarkEnd w:id="459"/>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27"/>
          <w:szCs w:val="27"/>
        </w:rPr>
      </w:pPr>
    </w:p>
    <w:p>
      <w:pPr>
        <w:pStyle w:val="Heading2"/>
        <w:spacing w:line="463" w:lineRule="auto"/>
        <w:ind w:left="636" w:right="0"/>
        <w:jc w:val="left"/>
        <w:rPr>
          <w:b w:val="0"/>
          <w:bCs w:val="0"/>
        </w:rPr>
      </w:pPr>
      <w:r>
        <w:rPr/>
        <w:t>一、载有公司董事长朱文明先生签名的</w:t>
      </w:r>
      <w:r>
        <w:rPr>
          <w:rFonts w:ascii="Times New Roman" w:hAnsi="Times New Roman" w:cs="Times New Roman" w:eastAsia="Times New Roman" w:hint="default"/>
        </w:rPr>
        <w:t>2014</w:t>
      </w:r>
      <w:r>
        <w:rPr/>
        <w:t>年年度报告。</w:t>
      </w:r>
      <w:r>
        <w:rPr>
          <w:w w:val="99"/>
        </w:rPr>
        <w:t> </w:t>
      </w:r>
      <w:r>
        <w:rPr>
          <w:w w:val="95"/>
        </w:rPr>
        <w:t>二、载有公司法定代表人朱文明先生、主管会计工作负责人及会计机构负责人徐仕俊先</w:t>
      </w:r>
      <w:r>
        <w:rPr>
          <w:b w:val="0"/>
          <w:bCs w:val="0"/>
        </w:rPr>
      </w:r>
    </w:p>
    <w:p>
      <w:pPr>
        <w:pStyle w:val="Heading2"/>
        <w:spacing w:line="489" w:lineRule="auto" w:before="102"/>
        <w:ind w:left="636" w:right="0" w:hanging="483"/>
        <w:jc w:val="left"/>
        <w:rPr>
          <w:b w:val="0"/>
          <w:bCs w:val="0"/>
        </w:rPr>
      </w:pPr>
      <w:r>
        <w:rPr/>
        <w:t>生签名并盖章的财务报表。</w:t>
      </w:r>
      <w:r>
        <w:rPr>
          <w:w w:val="99"/>
        </w:rPr>
        <w:t> </w:t>
      </w:r>
      <w:r>
        <w:rPr>
          <w:w w:val="95"/>
        </w:rPr>
        <w:t>三、载有众华会计师事务所（特殊普通合伙）盖章、注册会计师冯家俊先生、郑珮女士</w:t>
      </w:r>
      <w:r>
        <w:rPr>
          <w:b w:val="0"/>
          <w:bCs w:val="0"/>
        </w:rPr>
      </w:r>
    </w:p>
    <w:p>
      <w:pPr>
        <w:pStyle w:val="Heading2"/>
        <w:spacing w:line="463" w:lineRule="auto" w:before="77"/>
        <w:ind w:left="636" w:right="0" w:hanging="483"/>
        <w:jc w:val="left"/>
        <w:rPr>
          <w:b w:val="0"/>
          <w:bCs w:val="0"/>
        </w:rPr>
      </w:pPr>
      <w:r>
        <w:rPr/>
        <w:t>签名并盖章的公司</w:t>
      </w:r>
      <w:r>
        <w:rPr>
          <w:rFonts w:ascii="Times New Roman" w:hAnsi="Times New Roman" w:cs="Times New Roman" w:eastAsia="Times New Roman" w:hint="default"/>
        </w:rPr>
        <w:t>2014</w:t>
      </w:r>
      <w:r>
        <w:rPr/>
        <w:t>年度审计报告原件。</w:t>
      </w:r>
      <w:r>
        <w:rPr>
          <w:w w:val="99"/>
        </w:rPr>
        <w:t> </w:t>
      </w:r>
      <w:r>
        <w:rPr>
          <w:w w:val="95"/>
        </w:rPr>
        <w:t>四、报告期内在中国证券监督管理委员会指定报纸上公开披露过的所有公司文件的正本</w:t>
      </w:r>
      <w:r>
        <w:rPr>
          <w:b w:val="0"/>
          <w:bCs w:val="0"/>
        </w:rPr>
      </w:r>
    </w:p>
    <w:p>
      <w:pPr>
        <w:pStyle w:val="Heading2"/>
        <w:spacing w:line="240" w:lineRule="auto" w:before="102"/>
        <w:ind w:right="0"/>
        <w:jc w:val="left"/>
        <w:rPr>
          <w:b w:val="0"/>
          <w:bCs w:val="0"/>
        </w:rPr>
      </w:pPr>
      <w:r>
        <w:rPr/>
        <w:t>及公告的原稿。</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8"/>
          <w:szCs w:val="28"/>
        </w:rPr>
      </w:pPr>
    </w:p>
    <w:p>
      <w:pPr>
        <w:spacing w:before="0"/>
        <w:ind w:left="633" w:right="0" w:firstLine="0"/>
        <w:jc w:val="left"/>
        <w:rPr>
          <w:rFonts w:ascii="宋体" w:hAnsi="宋体" w:cs="宋体" w:eastAsia="宋体" w:hint="default"/>
          <w:sz w:val="24"/>
          <w:szCs w:val="24"/>
        </w:rPr>
      </w:pPr>
      <w:r>
        <w:rPr>
          <w:rFonts w:ascii="宋体" w:hAnsi="宋体" w:cs="宋体" w:eastAsia="宋体" w:hint="default"/>
          <w:sz w:val="24"/>
          <w:szCs w:val="24"/>
        </w:rPr>
        <w:t>以上文件的原件备置于公司证券部备查。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Heading2"/>
        <w:spacing w:line="489" w:lineRule="auto"/>
        <w:ind w:left="6246" w:right="1528" w:firstLine="500"/>
        <w:jc w:val="left"/>
        <w:rPr>
          <w:b w:val="0"/>
          <w:bCs w:val="0"/>
        </w:rPr>
      </w:pPr>
      <w:r>
        <w:rPr/>
        <w:t>法定代表人：</w:t>
      </w:r>
      <w:r>
        <w:rPr>
          <w:spacing w:val="-19"/>
        </w:rPr>
        <w:t> </w:t>
      </w:r>
      <w:r>
        <w:rPr/>
        <w:t>朱文明</w:t>
      </w:r>
      <w:r>
        <w:rPr>
          <w:w w:val="99"/>
        </w:rPr>
        <w:t> </w:t>
      </w:r>
      <w:r>
        <w:rPr/>
        <w:t>江苏丰东热技术股份有限公司</w:t>
      </w:r>
      <w:r>
        <w:rPr>
          <w:b w:val="0"/>
          <w:bCs w:val="0"/>
        </w:rPr>
      </w:r>
    </w:p>
    <w:p>
      <w:pPr>
        <w:pStyle w:val="Heading2"/>
        <w:spacing w:line="312" w:lineRule="exact"/>
        <w:ind w:left="6709" w:right="0"/>
        <w:jc w:val="left"/>
        <w:rPr>
          <w:b w:val="0"/>
          <w:bCs w:val="0"/>
        </w:rPr>
      </w:pPr>
      <w:r>
        <w:rPr/>
        <w:t>二〇一五年三月十四日</w:t>
      </w:r>
      <w:r>
        <w:rPr>
          <w:b w:val="0"/>
          <w:bCs w:val="0"/>
        </w:rPr>
      </w:r>
    </w:p>
    <w:sectPr>
      <w:pgSz w:w="11910" w:h="16840"/>
      <w:pgMar w:header="691"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21128" type="#_x0000_t75" stroked="false">
          <v:imagedata r:id="rId1" o:title=""/>
        </v:shape>
      </w:pict>
    </w:r>
    <w:r>
      <w:rPr/>
      <w:pict>
        <v:shape style="position:absolute;margin-left:527.679993pt;margin-top:781.957947pt;width:13pt;height:11pt;mso-position-horizontal-relative:page;mso-position-vertical-relative:page;z-index:-821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21080" type="#_x0000_t75" stroked="false">
          <v:imagedata r:id="rId1" o:title=""/>
        </v:shape>
      </w:pict>
    </w:r>
    <w:r>
      <w:rPr/>
      <w:pict>
        <v:shape style="position:absolute;margin-left:524.179993pt;margin-top:781.957947pt;width:15.5pt;height:11pt;mso-position-horizontal-relative:page;mso-position-vertical-relative:page;z-index:-821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21032" type="#_x0000_t75" stroked="false">
          <v:imagedata r:id="rId1" o:title=""/>
        </v:shape>
      </w:pict>
    </w:r>
    <w:r>
      <w:rPr/>
      <w:pict>
        <v:shape style="position:absolute;margin-left:523.179993pt;margin-top:781.957947pt;width:17.5pt;height:11pt;mso-position-horizontal-relative:page;mso-position-vertical-relative:page;z-index:-821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899994pt;margin-top:34.549988pt;width:71.399994pt;height:17.699997pt;mso-position-horizontal-relative:page;mso-position-vertical-relative:page;z-index:-821200" type="#_x0000_t75" stroked="false">
          <v:imagedata r:id="rId1" o:title=""/>
        </v:shape>
      </w:pict>
    </w:r>
    <w:r>
      <w:rPr/>
      <w:pict>
        <v:group style="position:absolute;margin-left:55.200001pt;margin-top:55.619984pt;width:485pt;height:.1pt;mso-position-horizontal-relative:page;mso-position-vertical-relative:page;z-index:-8211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160004pt;margin-top:42.865608pt;width:204.55pt;height:11.5pt;mso-position-horizontal-relative:page;mso-position-vertical-relative:page;z-index:-821152" type="#_x0000_t202" filled="false" stroked="false">
          <v:textbox inset="0,0,0,0">
            <w:txbxContent>
              <w:p>
                <w:pPr>
                  <w:pStyle w:val="BodyText"/>
                  <w:spacing w:line="214" w:lineRule="exact"/>
                  <w:ind w:left="20" w:right="0"/>
                  <w:jc w:val="left"/>
                </w:pPr>
                <w:r>
                  <w:rPr/>
                  <w:t>江苏丰东热技术股份有限公司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8"/>
      <w:ind w:left="153"/>
    </w:pPr>
    <w:rPr>
      <w:rFonts w:ascii="宋体" w:hAnsi="宋体" w:eastAsia="宋体"/>
      <w:b/>
      <w:bCs/>
      <w:sz w:val="24"/>
      <w:szCs w:val="24"/>
    </w:rPr>
  </w:style>
  <w:style w:styleId="BodyText" w:type="paragraph">
    <w:name w:val="Body Text"/>
    <w:basedOn w:val="Normal"/>
    <w:uiPriority w:val="1"/>
    <w:qFormat/>
    <w:pPr>
      <w:ind w:left="51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576"/>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www.fengdong.com/" TargetMode="External"/><Relationship Id="rId12" Type="http://schemas.openxmlformats.org/officeDocument/2006/relationships/hyperlink" Target="mailto:fengdong@fengdong.com" TargetMode="External"/><Relationship Id="rId13" Type="http://schemas.openxmlformats.org/officeDocument/2006/relationships/hyperlink" Target="http://www.cninfo.com.cn/" TargetMode="External"/><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www.cninfo.co/" TargetMode="Externa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hyperlink" Target="http://wiki.mbalib.com/wiki/%E6%94%B6%E7%9B%8A%E7%8E%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2020-05-06T17:43:02Z</dcterms:created>
  <dcterms:modified xsi:type="dcterms:W3CDTF">2020-05-06T17:43:02Z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2015-03-16T00:00:00Z</vt:filetime>
  </property>
  <property fmtid="{D5CDD505-2E9C-101B-9397-08002B2CF9AE}" pid="3" name="Creator">
    <vt:lpwstr>Microsoft® Office Word 2007</vt:lpwstr>
  </property>
  <property fmtid="{D5CDD505-2E9C-101B-9397-08002B2CF9AE}" pid="4" name="LastSaved">
    <vt:filetime>2020-05-06T00:00:00Z</vt:filetime>
  </property>
</Properties>
</file>