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0pt;margin-top:0pt;width:595.1pt;height:353.3pt;mso-position-horizontal-relative:page;mso-position-vertical-relative:page;z-index:1048" coordorigin="0,0" coordsize="11902,7066">
            <v:shape style="position:absolute;left:0;top:0;width:11902;height:7066" type="#_x0000_t75" stroked="false">
              <v:imagedata r:id="rId5" o:title=""/>
            </v:shape>
            <v:shapetype id="_x0000_t202" o:spt="202" coordsize="21600,21600" path="m,l,21600r21600,l21600,xe">
              <v:stroke joinstyle="miter"/>
              <v:path gradientshapeok="t" o:connecttype="rect"/>
            </v:shapetype>
            <v:shape style="position:absolute;left:0;top:0;width:11902;height:7066" type="#_x0000_t202" filled="false" stroked="false">
              <v:textbox inset="0,0,0,0">
                <w:txbxContent>
                  <w:p>
                    <w:pPr>
                      <w:spacing w:line="240" w:lineRule="auto" w:before="0"/>
                      <w:rPr>
                        <w:rFonts w:ascii="Arial" w:hAnsi="Arial" w:cs="Arial" w:eastAsia="Arial" w:hint="default"/>
                        <w:sz w:val="108"/>
                        <w:szCs w:val="108"/>
                      </w:rPr>
                    </w:pPr>
                  </w:p>
                  <w:p>
                    <w:pPr>
                      <w:spacing w:line="240" w:lineRule="auto" w:before="0"/>
                      <w:rPr>
                        <w:rFonts w:ascii="Arial" w:hAnsi="Arial" w:cs="Arial" w:eastAsia="Arial" w:hint="default"/>
                        <w:sz w:val="108"/>
                        <w:szCs w:val="108"/>
                      </w:rPr>
                    </w:pPr>
                  </w:p>
                  <w:p>
                    <w:pPr>
                      <w:spacing w:line="240" w:lineRule="auto" w:before="0"/>
                      <w:rPr>
                        <w:rFonts w:ascii="Arial" w:hAnsi="Arial" w:cs="Arial" w:eastAsia="Arial" w:hint="default"/>
                        <w:sz w:val="108"/>
                        <w:szCs w:val="108"/>
                      </w:rPr>
                    </w:pPr>
                  </w:p>
                  <w:p>
                    <w:pPr>
                      <w:spacing w:line="240" w:lineRule="auto" w:before="2"/>
                      <w:rPr>
                        <w:rFonts w:ascii="Arial" w:hAnsi="Arial" w:cs="Arial" w:eastAsia="Arial" w:hint="default"/>
                        <w:sz w:val="130"/>
                        <w:szCs w:val="130"/>
                      </w:rPr>
                    </w:pPr>
                  </w:p>
                  <w:p>
                    <w:pPr>
                      <w:spacing w:before="0"/>
                      <w:ind w:left="5672" w:right="0" w:firstLine="0"/>
                      <w:jc w:val="left"/>
                      <w:rPr>
                        <w:rFonts w:ascii="Arial" w:hAnsi="Arial" w:cs="Arial" w:eastAsia="Arial" w:hint="default"/>
                        <w:sz w:val="109"/>
                        <w:szCs w:val="109"/>
                      </w:rPr>
                    </w:pPr>
                    <w:r>
                      <w:rPr>
                        <w:rFonts w:ascii="Arial"/>
                        <w:color w:val="C82326"/>
                        <w:sz w:val="109"/>
                      </w:rPr>
                      <w:t>Fengdong</w:t>
                    </w:r>
                    <w:r>
                      <w:rPr>
                        <w:rFonts w:ascii="Arial"/>
                        <w:sz w:val="109"/>
                      </w:rPr>
                    </w:r>
                  </w:p>
                </w:txbxContent>
              </v:textbox>
              <w10:wrap type="none"/>
            </v:shape>
            <w10:wrap type="none"/>
          </v:group>
        </w:pict>
      </w:r>
      <w:r>
        <w:rPr/>
        <w:pict>
          <v:shape style="position:absolute;margin-left:513.976379pt;margin-top:360.47998pt;width:81.3436pt;height:83.04pt;mso-position-horizontal-relative:page;mso-position-vertical-relative:page;z-index:1072" type="#_x0000_t75" stroked="false">
            <v:imagedata r:id="rId6"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4"/>
        <w:tabs>
          <w:tab w:pos="3983" w:val="left" w:leader="none"/>
        </w:tabs>
        <w:spacing w:line="1095" w:lineRule="exact"/>
        <w:ind w:left="0" w:right="0"/>
        <w:jc w:val="left"/>
        <w:rPr>
          <w:rFonts w:ascii="Times New Roman" w:hAnsi="Times New Roman" w:cs="Times New Roman" w:eastAsia="Times New Roman" w:hint="default"/>
        </w:rPr>
      </w:pPr>
      <w:r>
        <w:rPr>
          <w:rFonts w:ascii="Times New Roman"/>
          <w:position w:val="-18"/>
        </w:rPr>
        <w:drawing>
          <wp:inline distT="0" distB="0" distL="0" distR="0">
            <wp:extent cx="1005637" cy="66141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1005637" cy="661415"/>
                    </a:xfrm>
                    <a:prstGeom prst="rect">
                      <a:avLst/>
                    </a:prstGeom>
                  </pic:spPr>
                </pic:pic>
              </a:graphicData>
            </a:graphic>
          </wp:inline>
        </w:drawing>
      </w:r>
      <w:r>
        <w:rPr>
          <w:rFonts w:ascii="Times New Roman"/>
          <w:position w:val="-18"/>
        </w:rPr>
      </w:r>
      <w:r>
        <w:rPr>
          <w:rFonts w:ascii="Times New Roman"/>
          <w:position w:val="-18"/>
        </w:rPr>
        <w:tab/>
      </w:r>
      <w:r>
        <w:rPr>
          <w:rFonts w:ascii="Times New Roman"/>
          <w:position w:val="-21"/>
        </w:rPr>
        <w:drawing>
          <wp:inline distT="0" distB="0" distL="0" distR="0">
            <wp:extent cx="30490" cy="6953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30490" cy="695325"/>
                    </a:xfrm>
                    <a:prstGeom prst="rect">
                      <a:avLst/>
                    </a:prstGeom>
                  </pic:spPr>
                </pic:pic>
              </a:graphicData>
            </a:graphic>
          </wp:inline>
        </w:drawing>
      </w:r>
      <w:r>
        <w:rPr>
          <w:rFonts w:ascii="Times New Roman"/>
          <w:position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pStyle w:val="Heading4"/>
        <w:spacing w:line="1080" w:lineRule="exact"/>
        <w:ind w:left="2658" w:right="0"/>
        <w:jc w:val="left"/>
        <w:rPr>
          <w:rFonts w:ascii="Times New Roman" w:hAnsi="Times New Roman" w:cs="Times New Roman" w:eastAsia="Times New Roman" w:hint="default"/>
        </w:rPr>
      </w:pPr>
      <w:r>
        <w:rPr>
          <w:rFonts w:ascii="Times New Roman"/>
          <w:position w:val="-20"/>
        </w:rPr>
        <w:drawing>
          <wp:inline distT="0" distB="0" distL="0" distR="0">
            <wp:extent cx="356544" cy="682751"/>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9" cstate="print"/>
                    <a:stretch>
                      <a:fillRect/>
                    </a:stretch>
                  </pic:blipFill>
                  <pic:spPr>
                    <a:xfrm>
                      <a:off x="0" y="0"/>
                      <a:ext cx="356544" cy="682751"/>
                    </a:xfrm>
                    <a:prstGeom prst="rect">
                      <a:avLst/>
                    </a:prstGeom>
                  </pic:spPr>
                </pic:pic>
              </a:graphicData>
            </a:graphic>
          </wp:inline>
        </w:drawing>
      </w:r>
      <w:r>
        <w:rPr>
          <w:rFonts w:ascii="Times New Roman"/>
          <w:position w:val="-20"/>
        </w:rPr>
      </w:r>
      <w:r>
        <w:rPr>
          <w:rFonts w:ascii="Times New Roman"/>
          <w:spacing w:val="26"/>
          <w:position w:val="-20"/>
        </w:rPr>
        <w:t> </w:t>
      </w:r>
      <w:r>
        <w:rPr>
          <w:rFonts w:ascii="Times New Roman"/>
          <w:spacing w:val="26"/>
          <w:position w:val="-20"/>
        </w:rPr>
        <w:drawing>
          <wp:inline distT="0" distB="0" distL="0" distR="0">
            <wp:extent cx="316928" cy="573024"/>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316928" cy="573024"/>
                    </a:xfrm>
                    <a:prstGeom prst="rect">
                      <a:avLst/>
                    </a:prstGeom>
                  </pic:spPr>
                </pic:pic>
              </a:graphicData>
            </a:graphic>
          </wp:inline>
        </w:drawing>
      </w:r>
      <w:r>
        <w:rPr>
          <w:rFonts w:ascii="Times New Roman"/>
          <w:spacing w:val="26"/>
          <w:position w:val="-20"/>
        </w:rPr>
      </w:r>
      <w:r>
        <w:rPr>
          <w:rFonts w:ascii="Times New Roman"/>
          <w:spacing w:val="59"/>
          <w:position w:val="-20"/>
        </w:rPr>
        <w:t> </w:t>
      </w:r>
      <w:r>
        <w:rPr>
          <w:rFonts w:ascii="Times New Roman"/>
          <w:spacing w:val="59"/>
          <w:position w:val="-20"/>
        </w:rPr>
        <w:drawing>
          <wp:inline distT="0" distB="0" distL="0" distR="0">
            <wp:extent cx="316928" cy="573024"/>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1" cstate="print"/>
                    <a:stretch>
                      <a:fillRect/>
                    </a:stretch>
                  </pic:blipFill>
                  <pic:spPr>
                    <a:xfrm>
                      <a:off x="0" y="0"/>
                      <a:ext cx="316928" cy="573024"/>
                    </a:xfrm>
                    <a:prstGeom prst="rect">
                      <a:avLst/>
                    </a:prstGeom>
                  </pic:spPr>
                </pic:pic>
              </a:graphicData>
            </a:graphic>
          </wp:inline>
        </w:drawing>
      </w:r>
      <w:r>
        <w:rPr>
          <w:rFonts w:ascii="Times New Roman"/>
          <w:spacing w:val="59"/>
          <w:position w:val="-20"/>
        </w:rPr>
      </w:r>
      <w:r>
        <w:rPr>
          <w:rFonts w:ascii="Times New Roman"/>
          <w:spacing w:val="54"/>
          <w:position w:val="-20"/>
        </w:rPr>
        <w:t> </w:t>
      </w:r>
      <w:r>
        <w:rPr>
          <w:rFonts w:ascii="Times New Roman"/>
          <w:spacing w:val="54"/>
          <w:position w:val="-21"/>
        </w:rPr>
        <w:drawing>
          <wp:inline distT="0" distB="0" distL="0" distR="0">
            <wp:extent cx="316928" cy="563880"/>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2" cstate="print"/>
                    <a:stretch>
                      <a:fillRect/>
                    </a:stretch>
                  </pic:blipFill>
                  <pic:spPr>
                    <a:xfrm>
                      <a:off x="0" y="0"/>
                      <a:ext cx="316928" cy="563880"/>
                    </a:xfrm>
                    <a:prstGeom prst="rect">
                      <a:avLst/>
                    </a:prstGeom>
                  </pic:spPr>
                </pic:pic>
              </a:graphicData>
            </a:graphic>
          </wp:inline>
        </w:drawing>
      </w:r>
      <w:r>
        <w:rPr>
          <w:rFonts w:ascii="Times New Roman"/>
          <w:spacing w:val="54"/>
          <w:position w:val="-21"/>
        </w:rPr>
      </w:r>
      <w:r>
        <w:rPr>
          <w:rFonts w:ascii="Times New Roman"/>
          <w:spacing w:val="49"/>
          <w:position w:val="-21"/>
        </w:rPr>
        <w:t> </w:t>
      </w:r>
      <w:r>
        <w:rPr>
          <w:rFonts w:ascii="Times New Roman"/>
          <w:spacing w:val="49"/>
          <w:position w:val="-21"/>
        </w:rPr>
        <w:drawing>
          <wp:inline distT="0" distB="0" distL="0" distR="0">
            <wp:extent cx="310833" cy="576072"/>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3" cstate="print"/>
                    <a:stretch>
                      <a:fillRect/>
                    </a:stretch>
                  </pic:blipFill>
                  <pic:spPr>
                    <a:xfrm>
                      <a:off x="0" y="0"/>
                      <a:ext cx="310833" cy="576072"/>
                    </a:xfrm>
                    <a:prstGeom prst="rect">
                      <a:avLst/>
                    </a:prstGeom>
                  </pic:spPr>
                </pic:pic>
              </a:graphicData>
            </a:graphic>
          </wp:inline>
        </w:drawing>
      </w:r>
      <w:r>
        <w:rPr>
          <w:rFonts w:ascii="Times New Roman"/>
          <w:spacing w:val="49"/>
          <w:position w:val="-21"/>
        </w:rPr>
      </w:r>
      <w:r>
        <w:rPr>
          <w:rFonts w:ascii="Times New Roman"/>
          <w:spacing w:val="59"/>
          <w:position w:val="-21"/>
        </w:rPr>
        <w:t> </w:t>
      </w:r>
      <w:r>
        <w:rPr>
          <w:rFonts w:ascii="Times New Roman"/>
          <w:spacing w:val="59"/>
          <w:position w:val="-20"/>
        </w:rPr>
        <w:drawing>
          <wp:inline distT="0" distB="0" distL="0" distR="0">
            <wp:extent cx="143227" cy="679704"/>
            <wp:effectExtent l="0" t="0" r="0" b="0"/>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14" cstate="print"/>
                    <a:stretch>
                      <a:fillRect/>
                    </a:stretch>
                  </pic:blipFill>
                  <pic:spPr>
                    <a:xfrm>
                      <a:off x="0" y="0"/>
                      <a:ext cx="143227" cy="679704"/>
                    </a:xfrm>
                    <a:prstGeom prst="rect">
                      <a:avLst/>
                    </a:prstGeom>
                  </pic:spPr>
                </pic:pic>
              </a:graphicData>
            </a:graphic>
          </wp:inline>
        </w:drawing>
      </w:r>
      <w:r>
        <w:rPr>
          <w:rFonts w:ascii="Times New Roman"/>
          <w:spacing w:val="59"/>
          <w:position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4808" w:val="left" w:leader="none"/>
          <w:tab w:pos="8110" w:val="left" w:leader="none"/>
        </w:tabs>
        <w:spacing w:line="315" w:lineRule="exact" w:before="225"/>
        <w:ind w:left="3335" w:right="0" w:firstLine="0"/>
        <w:jc w:val="left"/>
        <w:rPr>
          <w:rFonts w:ascii="Arial" w:hAnsi="Arial" w:cs="Arial" w:eastAsia="Arial" w:hint="default"/>
          <w:sz w:val="28"/>
          <w:szCs w:val="28"/>
        </w:rPr>
      </w:pPr>
      <w:r>
        <w:rPr>
          <w:rFonts w:ascii="Arial" w:hAnsi="Arial" w:cs="Arial" w:eastAsia="Arial" w:hint="default"/>
          <w:color w:val="BA2126"/>
          <w:w w:val="70"/>
          <w:sz w:val="28"/>
          <w:szCs w:val="28"/>
        </w:rPr>
        <w:t>z</w:t>
        <w:tab/>
      </w:r>
      <w:r>
        <w:rPr>
          <w:rFonts w:ascii="Arial" w:hAnsi="Arial" w:cs="Arial" w:eastAsia="Arial" w:hint="default"/>
          <w:color w:val="AC2A2A"/>
          <w:w w:val="175"/>
          <w:sz w:val="28"/>
          <w:szCs w:val="28"/>
        </w:rPr>
        <w:t>•</w:t>
        <w:tab/>
      </w:r>
      <w:r>
        <w:rPr>
          <w:rFonts w:ascii="Arial" w:hAnsi="Arial" w:cs="Arial" w:eastAsia="Arial" w:hint="default"/>
          <w:color w:val="AE2A23"/>
          <w:w w:val="120"/>
          <w:sz w:val="28"/>
          <w:szCs w:val="28"/>
        </w:rPr>
        <w:t>x</w:t>
      </w:r>
      <w:r>
        <w:rPr>
          <w:rFonts w:ascii="Arial" w:hAnsi="Arial" w:cs="Arial" w:eastAsia="Arial" w:hint="default"/>
          <w:color w:val="AE2A23"/>
          <w:spacing w:val="-24"/>
          <w:w w:val="120"/>
          <w:sz w:val="28"/>
          <w:szCs w:val="28"/>
        </w:rPr>
        <w:t> </w:t>
      </w:r>
      <w:r>
        <w:rPr>
          <w:rFonts w:ascii="Arial" w:hAnsi="Arial" w:cs="Arial" w:eastAsia="Arial" w:hint="default"/>
          <w:color w:val="A5262A"/>
          <w:w w:val="345"/>
          <w:sz w:val="28"/>
          <w:szCs w:val="28"/>
        </w:rPr>
        <w:t>"</w:t>
      </w:r>
      <w:r>
        <w:rPr>
          <w:rFonts w:ascii="Arial" w:hAnsi="Arial" w:cs="Arial" w:eastAsia="Arial" w:hint="default"/>
          <w:sz w:val="28"/>
          <w:szCs w:val="28"/>
        </w:rPr>
      </w:r>
    </w:p>
    <w:p>
      <w:pPr>
        <w:spacing w:line="315" w:lineRule="exact" w:before="0"/>
        <w:ind w:left="3311" w:right="0" w:firstLine="0"/>
        <w:jc w:val="left"/>
        <w:rPr>
          <w:rFonts w:ascii="Arial" w:hAnsi="Arial" w:cs="Arial" w:eastAsia="Arial" w:hint="default"/>
          <w:sz w:val="28"/>
          <w:szCs w:val="28"/>
        </w:rPr>
      </w:pPr>
      <w:r>
        <w:rPr>
          <w:rFonts w:ascii="Arial" w:hAnsi="Arial"/>
          <w:color w:val="99382D"/>
          <w:w w:val="95"/>
          <w:sz w:val="28"/>
        </w:rPr>
        <w:t>Jiangsu </w:t>
      </w:r>
      <w:r>
        <w:rPr>
          <w:rFonts w:ascii="Arial" w:hAnsi="Arial"/>
          <w:color w:val="97312F"/>
          <w:w w:val="95"/>
          <w:sz w:val="28"/>
        </w:rPr>
        <w:t>Fengdong </w:t>
      </w:r>
      <w:r>
        <w:rPr>
          <w:rFonts w:ascii="Arial" w:hAnsi="Arial"/>
          <w:color w:val="A31A1A"/>
          <w:w w:val="95"/>
          <w:sz w:val="28"/>
        </w:rPr>
        <w:t>Themal </w:t>
      </w:r>
      <w:r>
        <w:rPr>
          <w:rFonts w:ascii="Arial" w:hAnsi="Arial"/>
          <w:color w:val="A32D2A"/>
          <w:w w:val="95"/>
          <w:sz w:val="28"/>
        </w:rPr>
        <w:t>TeQnology</w:t>
      </w:r>
      <w:r>
        <w:rPr>
          <w:rFonts w:ascii="Arial" w:hAnsi="Arial"/>
          <w:color w:val="A32D2A"/>
          <w:spacing w:val="24"/>
          <w:w w:val="95"/>
          <w:sz w:val="28"/>
        </w:rPr>
        <w:t> </w:t>
      </w:r>
      <w:r>
        <w:rPr>
          <w:rFonts w:ascii="Arial" w:hAnsi="Arial"/>
          <w:color w:val="9E2826"/>
          <w:w w:val="95"/>
          <w:sz w:val="28"/>
        </w:rPr>
        <w:t>Œ.,LØ</w:t>
      </w:r>
      <w:r>
        <w:rPr>
          <w:rFonts w:ascii="Arial" w:hAnsi="Arial"/>
          <w:sz w:val="28"/>
        </w:rPr>
      </w:r>
    </w:p>
    <w:p>
      <w:pPr>
        <w:spacing w:after="0" w:line="315" w:lineRule="exact"/>
        <w:jc w:val="left"/>
        <w:rPr>
          <w:rFonts w:ascii="Arial" w:hAnsi="Arial" w:cs="Arial" w:eastAsia="Arial" w:hint="default"/>
          <w:sz w:val="28"/>
          <w:szCs w:val="28"/>
        </w:rPr>
        <w:sectPr>
          <w:type w:val="continuous"/>
          <w:pgSz w:w="11910" w:h="16840"/>
          <w:pgMar w:top="0" w:bottom="280" w:left="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7"/>
          <w:szCs w:val="27"/>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240" w:lineRule="auto" w:before="1"/>
        <w:rPr>
          <w:rFonts w:ascii="宋体" w:hAnsi="宋体" w:cs="宋体" w:eastAsia="宋体" w:hint="default"/>
          <w:b/>
          <w:bCs/>
          <w:sz w:val="23"/>
          <w:szCs w:val="23"/>
        </w:rPr>
      </w:pPr>
    </w:p>
    <w:p>
      <w:pPr>
        <w:spacing w:line="386" w:lineRule="auto" w:before="0"/>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公司负责人朱文明、主管会计工作负责人徐仕俊及会计机构负责人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徐仕俊声明：保证年度报告中财务报告的真实、准确、完整。</w:t>
      </w:r>
      <w:r>
        <w:rPr>
          <w:rFonts w:ascii="宋体" w:hAnsi="宋体" w:cs="宋体" w:eastAsia="宋体" w:hint="default"/>
          <w:sz w:val="28"/>
          <w:szCs w:val="28"/>
        </w:rPr>
      </w:r>
    </w:p>
    <w:p>
      <w:pPr>
        <w:spacing w:line="240" w:lineRule="auto" w:before="12"/>
        <w:rPr>
          <w:rFonts w:ascii="宋体" w:hAnsi="宋体" w:cs="宋体" w:eastAsia="宋体" w:hint="default"/>
          <w:b/>
          <w:bCs/>
          <w:sz w:val="21"/>
          <w:szCs w:val="21"/>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0"/>
        <w:rPr>
          <w:rFonts w:ascii="宋体" w:hAnsi="宋体" w:cs="宋体" w:eastAsia="宋体" w:hint="default"/>
          <w:b/>
          <w:bCs/>
          <w:sz w:val="38"/>
          <w:szCs w:val="38"/>
        </w:rPr>
      </w:pPr>
    </w:p>
    <w:p>
      <w:pPr>
        <w:spacing w:line="393" w:lineRule="auto" w:before="0"/>
        <w:ind w:left="153" w:right="112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本公司不存在在生产经营状况、财务状况和持续盈利能力方面有严重不利</w:t>
      </w:r>
      <w:r>
        <w:rPr>
          <w:rFonts w:ascii="宋体" w:hAnsi="宋体" w:cs="宋体" w:eastAsia="宋体" w:hint="default"/>
          <w:b/>
          <w:bCs/>
          <w:w w:val="99"/>
          <w:sz w:val="28"/>
          <w:szCs w:val="28"/>
        </w:rPr>
        <w:t> </w:t>
      </w:r>
      <w:r>
        <w:rPr>
          <w:rFonts w:ascii="宋体" w:hAnsi="宋体" w:cs="宋体" w:eastAsia="宋体" w:hint="default"/>
          <w:b/>
          <w:bCs/>
          <w:spacing w:val="3"/>
          <w:sz w:val="28"/>
          <w:szCs w:val="28"/>
        </w:rPr>
        <w:t>影响的风险因素。对于公司经营中的相关风险分析，详见本报告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28"/>
          <w:sz w:val="28"/>
          <w:szCs w:val="28"/>
        </w:rPr>
        <w:t> </w:t>
      </w:r>
      <w:r>
        <w:rPr>
          <w:rFonts w:ascii="宋体" w:hAnsi="宋体" w:cs="宋体" w:eastAsia="宋体" w:hint="default"/>
          <w:b/>
          <w:bCs/>
          <w:spacing w:val="3"/>
          <w:sz w:val="28"/>
          <w:szCs w:val="28"/>
        </w:rPr>
        <w:t>管理</w:t>
      </w:r>
      <w:r>
        <w:rPr>
          <w:rFonts w:ascii="宋体" w:hAnsi="宋体" w:cs="宋体" w:eastAsia="宋体" w:hint="default"/>
          <w:b/>
          <w:bCs/>
          <w:spacing w:val="3"/>
          <w:w w:val="99"/>
          <w:sz w:val="28"/>
          <w:szCs w:val="28"/>
        </w:rPr>
        <w:t> </w:t>
      </w:r>
      <w:r>
        <w:rPr>
          <w:rFonts w:ascii="宋体" w:hAnsi="宋体" w:cs="宋体" w:eastAsia="宋体" w:hint="default"/>
          <w:b/>
          <w:bCs/>
          <w:sz w:val="28"/>
          <w:szCs w:val="28"/>
        </w:rPr>
        <w:t>层讨论与分析 九、公司未来发展的展望</w:t>
      </w:r>
      <w:r>
        <w:rPr>
          <w:rFonts w:ascii="宋体" w:hAnsi="宋体" w:cs="宋体" w:eastAsia="宋体" w:hint="default"/>
          <w:b/>
          <w:bCs/>
          <w:spacing w:val="65"/>
          <w:sz w:val="28"/>
          <w:szCs w:val="28"/>
        </w:rPr>
        <w:t> </w:t>
      </w:r>
      <w:r>
        <w:rPr>
          <w:rFonts w:ascii="宋体" w:hAnsi="宋体" w:cs="宋体" w:eastAsia="宋体" w:hint="default"/>
          <w:b/>
          <w:bCs/>
          <w:sz w:val="28"/>
          <w:szCs w:val="28"/>
        </w:rPr>
        <w:t>（四）可能面临的风险及应对措施</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部分。</w:t>
      </w:r>
      <w:r>
        <w:rPr>
          <w:rFonts w:ascii="宋体" w:hAnsi="宋体" w:cs="宋体" w:eastAsia="宋体" w:hint="default"/>
          <w:sz w:val="28"/>
          <w:szCs w:val="28"/>
        </w:rPr>
      </w:r>
    </w:p>
    <w:p>
      <w:pPr>
        <w:spacing w:line="240" w:lineRule="auto" w:before="4"/>
        <w:rPr>
          <w:rFonts w:ascii="宋体" w:hAnsi="宋体" w:cs="宋体" w:eastAsia="宋体" w:hint="default"/>
          <w:b/>
          <w:bCs/>
          <w:sz w:val="24"/>
          <w:szCs w:val="24"/>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月</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before="235"/>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268,000,000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0.30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398" w:lineRule="auto" w:before="236"/>
        <w:ind w:left="153" w:right="1136" w:firstLine="0"/>
        <w:jc w:val="both"/>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1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2"/>
          <w:w w:val="99"/>
          <w:sz w:val="28"/>
          <w:szCs w:val="28"/>
        </w:rPr>
        <w:t> </w:t>
      </w:r>
      <w:r>
        <w:rPr>
          <w:rFonts w:ascii="宋体" w:hAnsi="宋体" w:cs="宋体" w:eastAsia="宋体" w:hint="default"/>
          <w:b/>
          <w:bCs/>
          <w:spacing w:val="-5"/>
          <w:w w:val="99"/>
          <w:sz w:val="28"/>
          <w:szCs w:val="28"/>
        </w:rPr>
        <w:t>股（含税），不以公积金转增股本。若分配方案实施前公司总股</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pacing w:val="3"/>
          <w:w w:val="95"/>
          <w:sz w:val="28"/>
          <w:szCs w:val="28"/>
        </w:rPr>
        <w:t>本由于再融资新增股份上市等原因而发生变化的，分配比例将按分派总额不变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的原则相应调整。</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headerReference w:type="default" r:id="rId15"/>
          <w:footerReference w:type="default" r:id="rId16"/>
          <w:pgSz w:w="11910" w:h="16840"/>
          <w:pgMar w:header="768" w:footer="979" w:top="110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90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255"/>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2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before="22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before="22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132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68" w:footer="979" w:top="1100" w:bottom="1160" w:left="980" w:right="0"/>
        </w:sectPr>
      </w:pPr>
    </w:p>
    <w:p>
      <w:pPr>
        <w:spacing w:before="893"/>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14"/>
        <w:gridCol w:w="545"/>
        <w:gridCol w:w="5612"/>
      </w:tblGrid>
      <w:tr>
        <w:trPr>
          <w:trHeight w:val="402" w:hRule="exact"/>
        </w:trPr>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公司、本公司、丰东股份</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本公司控股子公司上海丰东热处理工程有限公司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工程技术</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本公司控股子公司江苏丰东热处理及表面改性工程技术研究有限公司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本公司控股子公司南京丰东热处理工程有限公司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本公司控股子公司重庆丰东热处理工程有限公司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本公司控股子公司青岛丰东热处理有限公司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本公司控股子公司潍坊丰东热处理有限公司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本公司控股子公司天津丰东热处理有限公司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本公司控股子公司北京丰东建通工业炉科技有限公司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本公司控股子公司盐城丰东特种炉业有限公司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丰东祺耀</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本公司控股子公司盐城丰东祺耀工业炉有限公司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本公司控股子公司广州鑫润丰东热处理有限公司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本公司控股子公司长春丰东热处理有限公司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本公司合营公司盐城高周波热炼有限公司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本公司合营公司江苏石川岛丰东真空技术有限公司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本公司联营公司广州丰东热炼有限公司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本公司联营公司常州鑫润丰东热处理工程有限公司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丰东股份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002530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丰东股份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Jiangsu Fengdong Thermal Technology</w:t>
            </w:r>
            <w:r>
              <w:rPr>
                <w:rFonts w:ascii="Times New Roman"/>
                <w:spacing w:val="-28"/>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朱文明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江苏省盐城市大丰区经济开发区南翔西路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江苏省盐城市大丰区经济开发区南翔西路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7">
              <w:r>
                <w:rPr>
                  <w:rFonts w:ascii="Times New Roman"/>
                  <w:sz w:val="18"/>
                </w:rPr>
                <w:t>http://www.fengdong.com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8">
              <w:r>
                <w:rPr>
                  <w:rFonts w:ascii="Times New Roman"/>
                  <w:sz w:val="18"/>
                </w:rPr>
                <w:t>fengdong@fengdong.com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0"/>
        <w:gridCol w:w="3839"/>
        <w:gridCol w:w="3899"/>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韦平</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江苏省盐城市大丰区经济开发区南翔西路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江苏省盐城市大丰区经济开发区南翔西路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0515-83282838</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0515-83282838</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0515-83282843</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0515-83282843</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8">
              <w:r>
                <w:rPr>
                  <w:rFonts w:ascii="Times New Roman"/>
                  <w:sz w:val="18"/>
                </w:rPr>
                <w:t>fengdong@fengdong.com</w:t>
              </w:r>
            </w:hyperlink>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8">
              <w:r>
                <w:rPr>
                  <w:rFonts w:ascii="Times New Roman"/>
                  <w:sz w:val="18"/>
                </w:rPr>
                <w:t>fengdong@fengdong.com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9">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91320900608684500T</w:t>
            </w:r>
          </w:p>
        </w:tc>
      </w:tr>
    </w:tbl>
    <w:p>
      <w:pPr>
        <w:spacing w:after="0" w:line="240" w:lineRule="auto"/>
        <w:jc w:val="lef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6.459999pt;margin-top:-47.648285pt;width:479.2pt;height:103.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5599"/>
                  </w:tblGrid>
                  <w:tr>
                    <w:trPr>
                      <w:trHeight w:val="1650"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firstLine="36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年第一次临时股东大会审议，通过了《关于增加公司 </w:t>
                        </w:r>
                        <w:r>
                          <w:rPr>
                            <w:rFonts w:ascii="宋体" w:hAnsi="宋体" w:cs="宋体" w:eastAsia="宋体" w:hint="default"/>
                            <w:spacing w:val="-3"/>
                            <w:w w:val="100"/>
                            <w:sz w:val="18"/>
                            <w:szCs w:val="18"/>
                          </w:rPr>
                          <w:t>经营范围的议案》，同意公司经营范围中增加</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设备租赁</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；增加后公司</w:t>
                        </w:r>
                        <w:r>
                          <w:rPr>
                            <w:rFonts w:ascii="宋体" w:hAnsi="宋体" w:cs="宋体" w:eastAsia="宋体" w:hint="default"/>
                            <w:spacing w:val="-86"/>
                            <w:w w:val="100"/>
                            <w:sz w:val="18"/>
                            <w:szCs w:val="18"/>
                          </w:rPr>
                          <w:t> </w:t>
                        </w:r>
                        <w:r>
                          <w:rPr>
                            <w:rFonts w:ascii="宋体" w:hAnsi="宋体" w:cs="宋体" w:eastAsia="宋体" w:hint="default"/>
                            <w:spacing w:val="-2"/>
                            <w:sz w:val="18"/>
                            <w:szCs w:val="18"/>
                          </w:rPr>
                          <w:t>经营范围为：开发、生产热处理设备及其辅助设备并销售本公司自产产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品；承接金属零件的热处理加工业务；提供热处理设备的保修维修服务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提供专业热处理技术咨询服务；设备租赁。</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冯家俊、郑珮</w:t>
            </w:r>
          </w:p>
        </w:tc>
      </w:tr>
    </w:tbl>
    <w:p>
      <w:pPr>
        <w:pStyle w:val="BodyText"/>
        <w:spacing w:line="240" w:lineRule="auto" w:before="51"/>
        <w:ind w:left="514" w:right="0"/>
        <w:jc w:val="left"/>
      </w:pPr>
      <w:r>
        <w:rPr/>
        <w:t>公司聘请的报告期内履行持续督导职责的保荐机构</w:t>
      </w:r>
    </w:p>
    <w:p>
      <w:pPr>
        <w:pStyle w:val="BodyText"/>
        <w:spacing w:line="240" w:lineRule="auto" w:before="11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985"/>
        <w:gridCol w:w="2268"/>
        <w:gridCol w:w="3330"/>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万联证券有限责任公司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广州市天河区珠江东路</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白树锋、张宣扬</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both"/>
              <w:rPr>
                <w:rFonts w:ascii="宋体" w:hAnsi="宋体" w:cs="宋体" w:eastAsia="宋体" w:hint="default"/>
                <w:sz w:val="18"/>
                <w:szCs w:val="18"/>
              </w:rPr>
            </w:pPr>
            <w:r>
              <w:rPr>
                <w:rFonts w:ascii="宋体" w:hAnsi="宋体" w:cs="宋体" w:eastAsia="宋体" w:hint="default"/>
                <w:sz w:val="18"/>
                <w:szCs w:val="18"/>
              </w:rPr>
              <w:t>持续督导期为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2010.12.31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2012.12.31</w:t>
            </w:r>
            <w:r>
              <w:rPr>
                <w:rFonts w:ascii="宋体" w:hAnsi="宋体" w:cs="宋体" w:eastAsia="宋体" w:hint="default"/>
                <w:sz w:val="18"/>
                <w:szCs w:val="18"/>
              </w:rPr>
              <w:t>，</w:t>
            </w:r>
          </w:p>
          <w:p>
            <w:pPr>
              <w:pStyle w:val="TableParagraph"/>
              <w:spacing w:line="244" w:lineRule="auto"/>
              <w:ind w:left="22" w:right="57"/>
              <w:jc w:val="both"/>
              <w:rPr>
                <w:rFonts w:ascii="宋体" w:hAnsi="宋体" w:cs="宋体" w:eastAsia="宋体" w:hint="default"/>
                <w:sz w:val="18"/>
                <w:szCs w:val="18"/>
              </w:rPr>
            </w:pPr>
            <w:r>
              <w:rPr>
                <w:rFonts w:ascii="宋体" w:hAnsi="宋体" w:cs="宋体" w:eastAsia="宋体" w:hint="default"/>
                <w:sz w:val="18"/>
                <w:szCs w:val="18"/>
              </w:rPr>
              <w:t>但鉴于募集资金尚未全部使用完毕，保荐 机构将继续履行持续督导义务，直至相关 事项全部完成。</w:t>
            </w:r>
          </w:p>
        </w:tc>
      </w:tr>
    </w:tbl>
    <w:p>
      <w:pPr>
        <w:pStyle w:val="BodyText"/>
        <w:spacing w:line="240" w:lineRule="auto" w:before="51"/>
        <w:ind w:left="514" w:right="0"/>
        <w:jc w:val="left"/>
      </w:pPr>
      <w:r>
        <w:rPr/>
        <w:t>公司聘请的报告期内履行持续督导职责的财务顾问</w:t>
      </w:r>
    </w:p>
    <w:p>
      <w:pPr>
        <w:pStyle w:val="BodyText"/>
        <w:spacing w:line="240" w:lineRule="auto" w:before="11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1571"/>
        <w:gridCol w:w="1559"/>
        <w:gridCol w:w="1701"/>
        <w:gridCol w:w="1489"/>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434,809,121.88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367,175,382.04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383,443,040.35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33,841,036.15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32,733,440.80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43,053,161.40</w:t>
            </w:r>
          </w:p>
        </w:tc>
      </w:tr>
      <w:tr>
        <w:trPr>
          <w:trHeight w:val="57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26,793,739.85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25,063,432.66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40,528,514.58</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39,361,618.55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33,662,027.14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1,080,951.23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999,628,027.82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1,001,245,853.57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853,401,195.22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696,374,131.64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670,748,273.91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650,519,989.02</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90,103,062.73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120,239,322.53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106,147,953.16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118,318,783.46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1,849,764.62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13,197,867.61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7,460,999.64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11,332,404.28</w:t>
            </w:r>
          </w:p>
        </w:tc>
      </w:tr>
      <w:tr>
        <w:trPr>
          <w:trHeight w:val="5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-1,308,191.09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11,523,035.56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7,193,956.03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9,384,939.35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-26,159,938.63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8,519,560.74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-715,671.71</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57,717,668.15</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66"/>
        <w:gridCol w:w="1276"/>
        <w:gridCol w:w="1277"/>
        <w:gridCol w:w="1274"/>
        <w:gridCol w:w="2836"/>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 产减值准备的冲销部分）</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101,006.90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1,761,199.53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-43,157.94</w:t>
            </w:r>
            <w:r>
              <w:rPr>
                <w:rFonts w:ascii="Times New Roman"/>
                <w:sz w:val="18"/>
              </w:rPr>
            </w:r>
          </w:p>
        </w:tc>
        <w:tc>
          <w:tcPr>
            <w:tcW w:w="283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6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807,254.53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1,147,715.50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714,311.83</w:t>
            </w:r>
          </w:p>
        </w:tc>
        <w:tc>
          <w:tcPr>
            <w:tcW w:w="2836"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29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8,534,472.27</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7,248,391.60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3,594,596.73</w:t>
            </w:r>
          </w:p>
        </w:tc>
        <w:tc>
          <w:tcPr>
            <w:tcW w:w="2836" w:type="dxa"/>
            <w:vMerge w:val="restart"/>
            <w:tcBorders>
              <w:top w:val="single" w:sz="4" w:space="0" w:color="000000"/>
              <w:left w:val="single" w:sz="4" w:space="0" w:color="000000"/>
              <w:right w:val="single" w:sz="4" w:space="0" w:color="000000"/>
            </w:tcBorders>
          </w:tcPr>
          <w:p>
            <w:pPr>
              <w:pStyle w:val="TableParagraph"/>
              <w:spacing w:line="240" w:lineRule="exact" w:before="39"/>
              <w:ind w:left="22" w:right="23"/>
              <w:jc w:val="left"/>
              <w:rPr>
                <w:rFonts w:ascii="宋体" w:hAnsi="宋体" w:cs="宋体" w:eastAsia="宋体" w:hint="default"/>
                <w:sz w:val="18"/>
                <w:szCs w:val="18"/>
              </w:rPr>
            </w:pPr>
            <w:r>
              <w:rPr>
                <w:rFonts w:ascii="宋体" w:hAnsi="宋体" w:cs="宋体" w:eastAsia="宋体" w:hint="default"/>
                <w:sz w:val="18"/>
                <w:szCs w:val="18"/>
              </w:rPr>
              <w:t>本报告期内计入当期损益的政府补 </w:t>
            </w:r>
            <w:r>
              <w:rPr>
                <w:rFonts w:ascii="宋体" w:hAnsi="宋体" w:cs="宋体" w:eastAsia="宋体" w:hint="default"/>
                <w:spacing w:val="-12"/>
                <w:sz w:val="18"/>
                <w:szCs w:val="18"/>
              </w:rPr>
              <w:t>助中，其中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1,636,363.68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元为全新一 代等离子渗氮设备研发及产品化项 目收益；</w:t>
            </w:r>
            <w:r>
              <w:rPr>
                <w:rFonts w:ascii="Times New Roman" w:hAnsi="Times New Roman" w:cs="Times New Roman" w:eastAsia="Times New Roman" w:hint="default"/>
                <w:sz w:val="18"/>
                <w:szCs w:val="18"/>
              </w:rPr>
              <w:t>2,751,000.00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元为培育科技 型企业补助资金；</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元为 创新创牌奖励</w:t>
            </w:r>
          </w:p>
        </w:tc>
      </w:tr>
      <w:tr>
        <w:trPr>
          <w:trHeight w:val="800" w:hRule="exact"/>
        </w:trPr>
        <w:tc>
          <w:tcPr>
            <w:tcW w:w="29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11" w:right="6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 务密切相关，按照国家统一标准定额 或定量享受的政府补助除外）</w:t>
            </w:r>
          </w:p>
        </w:tc>
        <w:tc>
          <w:tcPr>
            <w:tcW w:w="1276"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2836" w:type="dxa"/>
            <w:vMerge/>
            <w:tcBorders>
              <w:left w:val="single" w:sz="4" w:space="0" w:color="000000"/>
              <w:right w:val="single" w:sz="4" w:space="0" w:color="000000"/>
            </w:tcBorders>
          </w:tcPr>
          <w:p>
            <w:pPr/>
          </w:p>
        </w:tc>
      </w:tr>
      <w:tr>
        <w:trPr>
          <w:trHeight w:val="365" w:hRule="exact"/>
        </w:trPr>
        <w:tc>
          <w:tcPr>
            <w:tcW w:w="29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2836" w:type="dxa"/>
            <w:vMerge/>
            <w:tcBorders>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 支出</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-887,952.14</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-807,160.00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-1,015,827.76</w:t>
            </w:r>
          </w:p>
        </w:tc>
        <w:tc>
          <w:tcPr>
            <w:tcW w:w="28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1,350,190.70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1,511,421.37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576,058.16</w:t>
            </w:r>
          </w:p>
        </w:tc>
        <w:tc>
          <w:tcPr>
            <w:tcW w:w="28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277"/>
        <w:gridCol w:w="1274"/>
        <w:gridCol w:w="2836"/>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157,294.56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168,717.12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149,217.88</w:t>
            </w:r>
          </w:p>
        </w:tc>
        <w:tc>
          <w:tcPr>
            <w:tcW w:w="28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7,047,296.30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7,670,008.14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2,524,646.82</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left="153" w:right="1118"/>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2" w:lineRule="auto"/>
        <w:ind w:left="153" w:right="1116" w:firstLine="360"/>
        <w:jc w:val="left"/>
      </w:pPr>
      <w:r>
        <w:rPr/>
        <w:t>公司报告期不存在将根据《公开发行证券的公司信息披露解释性公告第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2" w:lineRule="auto"/>
        <w:jc w:val="left"/>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、公司主营业务、经营模式及业绩驱动因素</w:t>
      </w:r>
      <w:r>
        <w:rPr>
          <w:b w:val="0"/>
          <w:bCs w:val="0"/>
        </w:rPr>
      </w:r>
    </w:p>
    <w:p>
      <w:pPr>
        <w:spacing w:line="240" w:lineRule="auto" w:before="1"/>
        <w:rPr>
          <w:rFonts w:ascii="宋体" w:hAnsi="宋体" w:cs="宋体" w:eastAsia="宋体" w:hint="default"/>
          <w:b/>
          <w:bCs/>
          <w:sz w:val="14"/>
          <w:szCs w:val="14"/>
        </w:rPr>
      </w:pPr>
    </w:p>
    <w:p>
      <w:pPr>
        <w:spacing w:line="343"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）公司主营业务及应用领域</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报告期内，公司主营业务仍为与热处理相关的三大块：热处理设备制造、专业热处理加工以及热处理售后服务。热处理</w:t>
      </w:r>
    </w:p>
    <w:p>
      <w:pPr>
        <w:pStyle w:val="BodyText"/>
        <w:spacing w:line="202" w:lineRule="exact"/>
        <w:ind w:left="153" w:right="0"/>
        <w:jc w:val="both"/>
      </w:pPr>
      <w:r>
        <w:rPr/>
        <w:t>是指将金属材料放在一定的介质内加热、保温、冷却，通过改变材料表面或内部的金相组织结构，来控制其性能的一种金属</w:t>
      </w:r>
    </w:p>
    <w:p>
      <w:pPr>
        <w:pStyle w:val="BodyText"/>
        <w:spacing w:line="285" w:lineRule="auto" w:before="44"/>
        <w:ind w:left="153" w:right="1131"/>
        <w:jc w:val="both"/>
      </w:pPr>
      <w:r>
        <w:rPr>
          <w:spacing w:val="-2"/>
        </w:rPr>
        <w:t>热加工工艺。热处理行业是装备制造行业中的四大基础工艺行业（包括铸造、锻造、热处理、表面处理）之一，是提升我国</w:t>
      </w:r>
      <w:r>
        <w:rPr>
          <w:spacing w:val="-72"/>
        </w:rPr>
        <w:t> </w:t>
      </w:r>
      <w:r>
        <w:rPr>
          <w:spacing w:val="-72"/>
        </w:rPr>
      </w:r>
      <w:r>
        <w:rPr>
          <w:spacing w:val="-2"/>
        </w:rPr>
        <w:t>机械行业整体水平的关键性行业之一，与其他加工工艺相比，</w:t>
      </w:r>
      <w:hyperlink r:id="rId20">
        <w:r>
          <w:rPr>
            <w:spacing w:val="-2"/>
          </w:rPr>
          <w:t>热处理一般不改变工件</w:t>
        </w:r>
      </w:hyperlink>
      <w:r>
        <w:rPr>
          <w:spacing w:val="-2"/>
        </w:rPr>
        <w:t>的形状和整体的化学成分，而是通过改</w:t>
      </w:r>
      <w:r>
        <w:rPr>
          <w:spacing w:val="-66"/>
        </w:rPr>
        <w:t> </w:t>
      </w:r>
      <w:r>
        <w:rPr>
          <w:spacing w:val="-66"/>
        </w:rPr>
      </w:r>
      <w:r>
        <w:rPr>
          <w:spacing w:val="-2"/>
        </w:rPr>
        <w:t>变工件内部的显微组织，或改变</w:t>
      </w:r>
      <w:hyperlink r:id="rId21">
        <w:r>
          <w:rPr>
            <w:spacing w:val="-2"/>
          </w:rPr>
          <w:t>工件表面</w:t>
        </w:r>
      </w:hyperlink>
      <w:r>
        <w:rPr>
          <w:spacing w:val="-2"/>
        </w:rPr>
        <w:t>的化学成分，赋予或改善工件的使用性能。其特点是改善工件的内在质量，而这一</w:t>
      </w:r>
      <w:r>
        <w:rPr>
          <w:spacing w:val="-66"/>
        </w:rPr>
        <w:t> </w:t>
      </w:r>
      <w:r>
        <w:rPr>
          <w:spacing w:val="-66"/>
        </w:rPr>
      </w:r>
      <w:r>
        <w:rPr>
          <w:spacing w:val="-2"/>
        </w:rPr>
        <w:t>般不是肉眼所能看到的。热处理主要应用于汽车零部件、机械基础件（包括齿轮、轴承、模具、紧固件、链条、弹簧、铸件</w:t>
      </w:r>
      <w:r>
        <w:rPr>
          <w:spacing w:val="-70"/>
        </w:rPr>
        <w:t> </w:t>
      </w:r>
      <w:r>
        <w:rPr>
          <w:spacing w:val="-70"/>
        </w:rPr>
      </w:r>
      <w:r>
        <w:rPr>
          <w:spacing w:val="-4"/>
        </w:rPr>
        <w:t>等）、工程机械零部件、</w:t>
      </w:r>
      <w:hyperlink r:id="rId22">
        <w:r>
          <w:rPr>
            <w:spacing w:val="-4"/>
          </w:rPr>
          <w:t>航空航天</w:t>
        </w:r>
      </w:hyperlink>
      <w:r>
        <w:rPr>
          <w:spacing w:val="-4"/>
        </w:rPr>
        <w:t>设备、新能源设备等众多领域。</w:t>
      </w:r>
    </w:p>
    <w:p>
      <w:pPr>
        <w:spacing w:line="309" w:lineRule="auto" w:before="13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）公司经营模式及业绩驱动因素</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本公司借鉴发达国家热处理行业发展中积累的成功经验，采取热处理设备制造和专业热处理加工业务并举、二者互为补</w:t>
      </w:r>
    </w:p>
    <w:p>
      <w:pPr>
        <w:pStyle w:val="BodyText"/>
        <w:spacing w:line="285" w:lineRule="auto"/>
        <w:ind w:left="153" w:right="1131"/>
        <w:jc w:val="both"/>
      </w:pPr>
      <w:r>
        <w:rPr>
          <w:spacing w:val="-2"/>
        </w:rPr>
        <w:t>充、互相促进的独特经营模式，同时售后服务业务形成有益的补充。公司的业绩驱动因素主要是：客户尤其是重点客户的开</w:t>
      </w:r>
      <w:r>
        <w:rPr>
          <w:spacing w:val="-66"/>
        </w:rPr>
        <w:t> </w:t>
      </w:r>
      <w:r>
        <w:rPr>
          <w:spacing w:val="-66"/>
        </w:rPr>
      </w:r>
      <w:r>
        <w:rPr/>
        <w:t>发与维护；满足客户个性化需求的设计能力、工程能力及工艺研发能力。</w:t>
      </w:r>
    </w:p>
    <w:p>
      <w:pPr>
        <w:spacing w:line="240" w:lineRule="auto" w:before="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w:t>
      </w:r>
      <w:r>
        <w:rPr/>
        <w:t>、热处理行业发展空间、周期性特点及公司的行业地位</w:t>
      </w:r>
      <w:r>
        <w:rPr>
          <w:b w:val="0"/>
          <w:bCs w:val="0"/>
        </w:rPr>
      </w:r>
    </w:p>
    <w:p>
      <w:pPr>
        <w:spacing w:line="309" w:lineRule="auto" w:before="15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）热处理行业发展空间及周期性特点</w:t>
      </w:r>
      <w:r>
        <w:rPr>
          <w:rFonts w:ascii="宋体" w:hAnsi="宋体" w:cs="宋体" w:eastAsia="宋体" w:hint="default"/>
          <w:b/>
          <w:bCs/>
          <w:w w:val="99"/>
          <w:sz w:val="18"/>
          <w:szCs w:val="18"/>
        </w:rPr>
        <w:t> </w:t>
      </w:r>
      <w:r>
        <w:rPr>
          <w:rFonts w:ascii="宋体" w:hAnsi="宋体" w:cs="宋体" w:eastAsia="宋体" w:hint="default"/>
          <w:spacing w:val="-2"/>
          <w:sz w:val="18"/>
          <w:szCs w:val="18"/>
        </w:rPr>
        <w:t>热处理对中国机械制造业的振兴和发展具有重要的支撑作用，而机械制造业的发展也必将带动中国热处理行业的快速发</w:t>
      </w:r>
    </w:p>
    <w:p>
      <w:pPr>
        <w:pStyle w:val="BodyText"/>
        <w:spacing w:line="285" w:lineRule="auto"/>
        <w:ind w:left="153" w:right="1131"/>
        <w:jc w:val="both"/>
      </w:pPr>
      <w:r>
        <w:rPr>
          <w:spacing w:val="-2"/>
        </w:rPr>
        <w:t>展，为中国热处理行业的发展提供广阔的发展空间。与此同时，机械制造业受到固定资产投资增速的影响较大，存在高峰期</w:t>
      </w:r>
      <w:r>
        <w:rPr>
          <w:spacing w:val="-66"/>
        </w:rPr>
        <w:t> </w:t>
      </w:r>
      <w:r>
        <w:rPr>
          <w:spacing w:val="-66"/>
        </w:rPr>
      </w:r>
      <w:r>
        <w:rPr>
          <w:spacing w:val="-2"/>
        </w:rPr>
        <w:t>和低谷期的波动，因此，固定资产增速的周期性波动导致机械制造业成为较为典型的周期性行业，并进而造成热处理设备制</w:t>
      </w:r>
      <w:r>
        <w:rPr>
          <w:spacing w:val="-66"/>
        </w:rPr>
        <w:t> </w:t>
      </w:r>
      <w:r>
        <w:rPr>
          <w:spacing w:val="-66"/>
        </w:rPr>
      </w:r>
      <w:r>
        <w:rPr/>
        <w:t>造行业景气度的周期性变化。</w:t>
      </w:r>
    </w:p>
    <w:p>
      <w:pPr>
        <w:pStyle w:val="BodyText"/>
        <w:spacing w:line="309" w:lineRule="auto" w:before="130"/>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）公司的行业地位</w:t>
      </w:r>
      <w:r>
        <w:rPr>
          <w:rFonts w:ascii="宋体" w:hAnsi="宋体" w:cs="宋体" w:eastAsia="宋体" w:hint="default"/>
          <w:b/>
          <w:bCs/>
          <w:w w:val="99"/>
        </w:rPr>
        <w:t> </w:t>
      </w:r>
      <w:r>
        <w:rPr>
          <w:spacing w:val="-2"/>
        </w:rPr>
        <w:t>公司生产节能环保、高效、优质的中高档热处理设备，市场定位以替代进口为主，公司主要产品属于国家政策明确鼓励</w:t>
      </w:r>
    </w:p>
    <w:p>
      <w:pPr>
        <w:pStyle w:val="BodyText"/>
        <w:spacing w:line="285" w:lineRule="auto"/>
        <w:ind w:left="154" w:right="1131"/>
        <w:jc w:val="both"/>
      </w:pPr>
      <w:r>
        <w:rPr>
          <w:spacing w:val="-2"/>
        </w:rPr>
        <w:t>的范围，与此同时，公司是全国拥有专业热处理加工网点数量最多的企业，从而确立了公司在国内热处理行业中的龙头骨干</w:t>
      </w:r>
      <w:r>
        <w:rPr>
          <w:spacing w:val="-66"/>
        </w:rPr>
        <w:t> </w:t>
      </w:r>
      <w:r>
        <w:rPr>
          <w:spacing w:val="-66"/>
        </w:rPr>
      </w:r>
      <w:r>
        <w:rPr>
          <w:spacing w:val="-2"/>
        </w:rPr>
        <w:t>地位。公司作为中国热处理行业协会副理事长单位、全国热处理标准化技术委员会副主任委员单位以及中国机械工程学会热</w:t>
      </w:r>
      <w:r>
        <w:rPr>
          <w:spacing w:val="-64"/>
        </w:rPr>
        <w:t> </w:t>
      </w:r>
      <w:r>
        <w:rPr>
          <w:spacing w:val="-64"/>
        </w:rPr>
      </w:r>
      <w:r>
        <w:rPr>
          <w:spacing w:val="-2"/>
        </w:rPr>
        <w:t>处理学会副理事长单位，起草制定了多项热处理行业主流设备的技术标准，并主持和参与制定了多项热处理行业节能减排及</w:t>
      </w:r>
      <w:r>
        <w:rPr>
          <w:spacing w:val="-64"/>
        </w:rPr>
        <w:t> </w:t>
      </w:r>
      <w:r>
        <w:rPr>
          <w:spacing w:val="-64"/>
        </w:rPr>
      </w:r>
      <w:r>
        <w:rPr/>
        <w:t>工艺技术的国家标准。公司是国内热处理行业中首家上市公司。</w:t>
      </w:r>
    </w:p>
    <w:p>
      <w:pPr>
        <w:spacing w:line="240" w:lineRule="auto" w:before="10"/>
        <w:rPr>
          <w:rFonts w:ascii="宋体" w:hAnsi="宋体" w:cs="宋体" w:eastAsia="宋体" w:hint="default"/>
          <w:sz w:val="19"/>
          <w:szCs w:val="19"/>
        </w:rPr>
      </w:pPr>
    </w:p>
    <w:p>
      <w:pPr>
        <w:pStyle w:val="Heading2"/>
        <w:spacing w:line="240" w:lineRule="auto"/>
        <w:ind w:left="154"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5"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560"/>
        <w:gridCol w:w="567"/>
        <w:gridCol w:w="1066"/>
        <w:gridCol w:w="919"/>
        <w:gridCol w:w="1276"/>
        <w:gridCol w:w="995"/>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1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8" w:right="96" w:hanging="90"/>
              <w:jc w:val="left"/>
              <w:rPr>
                <w:rFonts w:ascii="宋体" w:hAnsi="宋体" w:cs="宋体" w:eastAsia="宋体" w:hint="default"/>
                <w:sz w:val="18"/>
                <w:szCs w:val="18"/>
              </w:rPr>
            </w:pPr>
            <w:r>
              <w:rPr>
                <w:rFonts w:ascii="宋体" w:hAnsi="宋体" w:cs="宋体" w:eastAsia="宋体" w:hint="default"/>
                <w:sz w:val="18"/>
                <w:szCs w:val="18"/>
              </w:rPr>
              <w:t>所在 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运营模式</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3" w:right="95"/>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1" w:right="41"/>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81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1"/>
              <w:ind w:left="22" w:right="45"/>
              <w:jc w:val="left"/>
              <w:rPr>
                <w:rFonts w:ascii="宋体" w:hAnsi="宋体" w:cs="宋体" w:eastAsia="宋体"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股权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公司增资株 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日该公司总资产</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亿韩元</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热处理加工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年度该公 司实现净利润 </w:t>
            </w:r>
            <w:r>
              <w:rPr>
                <w:rFonts w:ascii="Times New Roman" w:hAnsi="Times New Roman" w:cs="Times New Roman" w:eastAsia="Times New Roman" w:hint="default"/>
                <w:sz w:val="18"/>
                <w:szCs w:val="18"/>
              </w:rPr>
              <w:t>2,272.02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万韩元</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报告期内，公司核心竞争力未发生重大变化。</w:t>
      </w:r>
    </w:p>
    <w:p>
      <w:pPr>
        <w:spacing w:line="240" w:lineRule="auto" w:before="12"/>
        <w:rPr>
          <w:rFonts w:ascii="宋体" w:hAnsi="宋体" w:cs="宋体" w:eastAsia="宋体" w:hint="default"/>
          <w:sz w:val="14"/>
          <w:szCs w:val="14"/>
        </w:rPr>
      </w:pPr>
    </w:p>
    <w:p>
      <w:pPr>
        <w:pStyle w:val="BodyText"/>
        <w:spacing w:line="338" w:lineRule="auto"/>
        <w:ind w:right="1118" w:firstLine="2"/>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99"/>
        </w:rPr>
        <w:t> </w:t>
      </w:r>
      <w:r>
        <w:rPr>
          <w:spacing w:val="-2"/>
        </w:rPr>
        <w:t>公司始终重视技术的研究与创新，近二年获得发明专利授权</w:t>
      </w:r>
      <w:r>
        <w:rPr>
          <w:rFonts w:ascii="Times New Roman" w:hAnsi="Times New Roman" w:cs="Times New Roman" w:eastAsia="Times New Roman" w:hint="default"/>
          <w:spacing w:val="-2"/>
        </w:rPr>
        <w:t>10</w:t>
      </w:r>
      <w:r>
        <w:rPr>
          <w:spacing w:val="-2"/>
        </w:rPr>
        <w:t>项、实用新型专利授权</w:t>
      </w:r>
      <w:r>
        <w:rPr>
          <w:rFonts w:ascii="Times New Roman" w:hAnsi="Times New Roman" w:cs="Times New Roman" w:eastAsia="Times New Roman" w:hint="default"/>
          <w:spacing w:val="-2"/>
        </w:rPr>
        <w:t>15</w:t>
      </w:r>
      <w:r>
        <w:rPr>
          <w:spacing w:val="-2"/>
        </w:rPr>
        <w:t>项；另外申请并获得受理发明专</w:t>
      </w:r>
    </w:p>
    <w:p>
      <w:pPr>
        <w:pStyle w:val="BodyText"/>
        <w:spacing w:line="230" w:lineRule="exact"/>
        <w:ind w:left="153" w:right="0"/>
        <w:jc w:val="both"/>
      </w:pPr>
      <w:r>
        <w:rPr/>
        <w:t>利</w:t>
      </w:r>
      <w:r>
        <w:rPr>
          <w:rFonts w:ascii="Times New Roman" w:hAnsi="Times New Roman" w:cs="Times New Roman" w:eastAsia="Times New Roman" w:hint="default"/>
        </w:rPr>
        <w:t>20</w:t>
      </w:r>
      <w:r>
        <w:rPr/>
        <w:t>项、实用新型专利</w:t>
      </w:r>
      <w:r>
        <w:rPr>
          <w:rFonts w:ascii="Times New Roman" w:hAnsi="Times New Roman" w:cs="Times New Roman" w:eastAsia="Times New Roman" w:hint="default"/>
        </w:rPr>
        <w:t>20</w:t>
      </w:r>
      <w:r>
        <w:rPr/>
        <w:t>项；发表论文</w:t>
      </w:r>
      <w:r>
        <w:rPr>
          <w:rFonts w:ascii="Times New Roman" w:hAnsi="Times New Roman" w:cs="Times New Roman" w:eastAsia="Times New Roman" w:hint="default"/>
        </w:rPr>
        <w:t>9</w:t>
      </w:r>
      <w:r>
        <w:rPr/>
        <w:t>篇。公司主起草的《热处理温度均匀性测量》国家标准获得</w:t>
      </w:r>
      <w:r>
        <w:rPr>
          <w:rFonts w:ascii="Times New Roman" w:hAnsi="Times New Roman" w:cs="Times New Roman" w:eastAsia="Times New Roman" w:hint="default"/>
        </w:rPr>
        <w:t>“2015</w:t>
      </w:r>
      <w:r>
        <w:rPr/>
        <w:t>年度中国机械工业</w:t>
      </w:r>
    </w:p>
    <w:p>
      <w:pPr>
        <w:pStyle w:val="BodyText"/>
        <w:spacing w:line="307" w:lineRule="auto" w:before="63"/>
        <w:ind w:left="153" w:right="1130"/>
        <w:jc w:val="both"/>
      </w:pPr>
      <w:r>
        <w:rPr/>
        <w:t>科学技术进步三等奖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无人化智能热处理工厂</w:t>
      </w:r>
      <w:r>
        <w:rPr>
          <w:rFonts w:ascii="Times New Roman" w:hAnsi="Times New Roman" w:cs="Times New Roman" w:eastAsia="Times New Roman" w:hint="default"/>
        </w:rPr>
        <w:t>”</w:t>
      </w:r>
      <w:r>
        <w:rPr/>
        <w:t>项目获得国家工信部</w:t>
      </w:r>
      <w:r>
        <w:rPr>
          <w:rFonts w:ascii="Times New Roman" w:hAnsi="Times New Roman" w:cs="Times New Roman" w:eastAsia="Times New Roman" w:hint="default"/>
        </w:rPr>
        <w:t>2015</w:t>
      </w:r>
      <w:r>
        <w:rPr/>
        <w:t>年智能制造试点示范专项资助，是首批国家</w:t>
      </w:r>
      <w:r>
        <w:rPr>
          <w:spacing w:val="-56"/>
        </w:rPr>
        <w:t> </w:t>
      </w:r>
      <w:r>
        <w:rPr>
          <w:spacing w:val="-56"/>
        </w:rPr>
      </w:r>
      <w:r>
        <w:rPr>
          <w:spacing w:val="-2"/>
        </w:rPr>
        <w:t>级智能制造专项项目，该项目将建成我国热处理行业智能制造示范工程。</w:t>
      </w:r>
      <w:r>
        <w:rPr>
          <w:rFonts w:ascii="Times New Roman" w:hAnsi="Times New Roman" w:cs="Times New Roman" w:eastAsia="Times New Roman" w:hint="default"/>
          <w:spacing w:val="-2"/>
        </w:rPr>
        <w:t>2015</w:t>
      </w:r>
      <w:r>
        <w:rPr>
          <w:spacing w:val="-2"/>
        </w:rPr>
        <w:t>年，公司及子公司青岛丰东与青岛科技大学通</w:t>
      </w:r>
      <w:r>
        <w:rPr>
          <w:spacing w:val="-61"/>
        </w:rPr>
        <w:t> </w:t>
      </w:r>
      <w:r>
        <w:rPr>
          <w:spacing w:val="-61"/>
        </w:rPr>
      </w:r>
      <w:r>
        <w:rPr>
          <w:spacing w:val="-2"/>
        </w:rPr>
        <w:t>过产学研合作，研发成功核电不锈钢管低温离子硬化处理装置及工艺，打破了法国在这个领域的技术垄断，为发展我国的核</w:t>
      </w:r>
      <w:r>
        <w:rPr>
          <w:spacing w:val="-66"/>
        </w:rPr>
        <w:t> </w:t>
      </w:r>
      <w:r>
        <w:rPr>
          <w:spacing w:val="-66"/>
        </w:rPr>
      </w:r>
      <w:r>
        <w:rPr/>
        <w:t>电技术做出了贡献。</w:t>
      </w:r>
    </w:p>
    <w:p>
      <w:pPr>
        <w:pStyle w:val="Heading5"/>
        <w:spacing w:line="240" w:lineRule="auto" w:before="145"/>
        <w:ind w:left="516" w:right="0"/>
        <w:jc w:val="left"/>
        <w:rPr>
          <w:b w:val="0"/>
          <w:bCs w:val="0"/>
        </w:rPr>
      </w:pPr>
      <w:r>
        <w:rPr>
          <w:rFonts w:ascii="Times New Roman" w:hAnsi="Times New Roman" w:cs="Times New Roman" w:eastAsia="Times New Roman" w:hint="default"/>
        </w:rPr>
        <w:t>2</w:t>
      </w:r>
      <w:r>
        <w:rPr/>
        <w:t>、产品优势</w:t>
      </w:r>
      <w:r>
        <w:rPr>
          <w:b w:val="0"/>
          <w:bCs w:val="0"/>
        </w:rPr>
      </w:r>
    </w:p>
    <w:p>
      <w:pPr>
        <w:pStyle w:val="BodyText"/>
        <w:spacing w:line="300" w:lineRule="auto" w:before="103"/>
        <w:ind w:left="153" w:right="1118" w:firstLine="360"/>
        <w:jc w:val="left"/>
      </w:pPr>
      <w:r>
        <w:rPr>
          <w:rFonts w:ascii="Times New Roman" w:hAnsi="Times New Roman" w:cs="Times New Roman" w:eastAsia="Times New Roman" w:hint="default"/>
          <w:spacing w:val="-3"/>
        </w:rPr>
        <w:t>2015</w:t>
      </w:r>
      <w:r>
        <w:rPr>
          <w:spacing w:val="-3"/>
        </w:rPr>
        <w:t>年，公司成功开发铝合金固溶炉生产线并顺利交付客户；设备类型中，增加了井式炉和离子氮化炉；公司研发的</w:t>
      </w:r>
      <w:r>
        <w:rPr>
          <w:rFonts w:ascii="Times New Roman" w:hAnsi="Times New Roman" w:cs="Times New Roman" w:eastAsia="Times New Roman" w:hint="default"/>
          <w:spacing w:val="-3"/>
        </w:rPr>
        <w:t>“</w:t>
      </w:r>
      <w:r>
        <w:rPr>
          <w:spacing w:val="-3"/>
        </w:rPr>
        <w:t>等</w:t>
      </w:r>
      <w:r>
        <w:rPr/>
        <w:t> 离子渗氮炉产品</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w:t>
      </w:r>
      <w:r>
        <w:rPr/>
        <w:t>江苏省专利新产品金奖</w:t>
      </w:r>
      <w:r>
        <w:rPr>
          <w:rFonts w:ascii="Times New Roman" w:hAnsi="Times New Roman" w:cs="Times New Roman" w:eastAsia="Times New Roman" w:hint="default"/>
        </w:rPr>
        <w:t>”</w:t>
      </w:r>
      <w:r>
        <w:rPr/>
        <w:t>；新增设备订单中，非标产品、新产品订单总额比上年增长近</w:t>
      </w:r>
      <w:r>
        <w:rPr>
          <w:rFonts w:ascii="Times New Roman" w:hAnsi="Times New Roman" w:cs="Times New Roman" w:eastAsia="Times New Roman" w:hint="default"/>
        </w:rPr>
        <w:t>50%</w:t>
      </w:r>
      <w:r>
        <w:rPr/>
        <w:t>，不断增 强的设计能力和工程能力为公司保持在热处理设备市场的竞争优势打下了良好的基础。</w:t>
      </w:r>
    </w:p>
    <w:p>
      <w:pPr>
        <w:pStyle w:val="BodyText"/>
        <w:spacing w:line="338" w:lineRule="auto" w:before="151"/>
        <w:ind w:right="0" w:firstLine="2"/>
        <w:jc w:val="left"/>
      </w:pPr>
      <w:r>
        <w:rPr>
          <w:rFonts w:ascii="Times New Roman" w:hAnsi="Times New Roman" w:cs="Times New Roman" w:eastAsia="Times New Roman" w:hint="default"/>
          <w:b/>
          <w:bCs/>
        </w:rPr>
        <w:t>3</w:t>
      </w:r>
      <w:r>
        <w:rPr>
          <w:rFonts w:ascii="宋体" w:hAnsi="宋体" w:cs="宋体" w:eastAsia="宋体" w:hint="default"/>
          <w:b/>
          <w:bCs/>
        </w:rPr>
        <w:t>、经营模式优势</w:t>
      </w:r>
      <w:r>
        <w:rPr>
          <w:rFonts w:ascii="宋体" w:hAnsi="宋体" w:cs="宋体" w:eastAsia="宋体" w:hint="default"/>
          <w:b/>
          <w:bCs/>
          <w:w w:val="99"/>
        </w:rPr>
        <w:t> </w:t>
      </w:r>
      <w:r>
        <w:rPr>
          <w:spacing w:val="-2"/>
        </w:rPr>
        <w:t>公司采取热处理设备制造与专业热处理加工服务并举的独特经营模式，这两块业务互为补充、互相促进，同时不断强化</w:t>
      </w:r>
    </w:p>
    <w:p>
      <w:pPr>
        <w:pStyle w:val="BodyText"/>
        <w:spacing w:line="240" w:lineRule="auto" w:before="4"/>
        <w:ind w:left="153" w:right="0"/>
        <w:jc w:val="both"/>
      </w:pPr>
      <w:r>
        <w:rPr/>
        <w:t>的售后服务业务，也成为公司新的利润增长点。</w:t>
      </w:r>
    </w:p>
    <w:p>
      <w:pPr>
        <w:spacing w:line="240" w:lineRule="auto" w:before="12"/>
        <w:rPr>
          <w:rFonts w:ascii="宋体" w:hAnsi="宋体" w:cs="宋体" w:eastAsia="宋体" w:hint="default"/>
          <w:sz w:val="14"/>
          <w:szCs w:val="14"/>
        </w:rPr>
      </w:pPr>
    </w:p>
    <w:p>
      <w:pPr>
        <w:pStyle w:val="BodyText"/>
        <w:spacing w:line="338" w:lineRule="auto"/>
        <w:ind w:right="1118" w:firstLine="2"/>
        <w:jc w:val="left"/>
      </w:pPr>
      <w:r>
        <w:rPr>
          <w:rFonts w:ascii="Times New Roman" w:hAnsi="Times New Roman" w:cs="Times New Roman" w:eastAsia="Times New Roman" w:hint="default"/>
          <w:b/>
          <w:bCs/>
        </w:rPr>
        <w:t>4</w:t>
      </w:r>
      <w:r>
        <w:rPr>
          <w:rFonts w:ascii="宋体" w:hAnsi="宋体" w:cs="宋体" w:eastAsia="宋体" w:hint="default"/>
          <w:b/>
          <w:bCs/>
        </w:rPr>
        <w:t>、管理优势</w:t>
      </w:r>
      <w:r>
        <w:rPr>
          <w:rFonts w:ascii="宋体" w:hAnsi="宋体" w:cs="宋体" w:eastAsia="宋体" w:hint="default"/>
          <w:b/>
          <w:bCs/>
          <w:w w:val="99"/>
        </w:rPr>
        <w:t> </w:t>
      </w:r>
      <w:r>
        <w:rPr>
          <w:spacing w:val="-2"/>
        </w:rPr>
        <w:t>在设备制造方面，公司经过</w:t>
      </w:r>
      <w:r>
        <w:rPr>
          <w:rFonts w:ascii="Times New Roman" w:hAnsi="Times New Roman" w:cs="Times New Roman" w:eastAsia="Times New Roman" w:hint="default"/>
          <w:spacing w:val="-2"/>
        </w:rPr>
        <w:t>20</w:t>
      </w:r>
      <w:r>
        <w:rPr>
          <w:spacing w:val="-2"/>
        </w:rPr>
        <w:t>多年的积累，形成了丰富的热处理设备制造、工艺设计、质量控制等经验；在专业热处理</w:t>
      </w:r>
    </w:p>
    <w:p>
      <w:pPr>
        <w:pStyle w:val="BodyText"/>
        <w:spacing w:line="217" w:lineRule="exact"/>
        <w:ind w:left="153" w:right="0"/>
        <w:jc w:val="both"/>
      </w:pPr>
      <w:r>
        <w:rPr/>
        <w:t>加工方面，公司积累了热处理加工工艺开发、热处理加工专用工装设计、各种热处理设备的使用维护和保养、热处理质量检</w:t>
      </w:r>
    </w:p>
    <w:p>
      <w:pPr>
        <w:pStyle w:val="BodyText"/>
        <w:spacing w:line="302" w:lineRule="auto" w:before="76"/>
        <w:ind w:left="153" w:right="1042"/>
        <w:jc w:val="both"/>
      </w:pPr>
      <w:r>
        <w:rPr>
          <w:spacing w:val="-3"/>
        </w:rPr>
        <w:t>验、热处理加工质量管理体系维护等多方面管理经验。设备制造及热处理加工</w:t>
      </w:r>
      <w:r>
        <w:rPr>
          <w:rFonts w:ascii="Times New Roman" w:hAnsi="Times New Roman" w:cs="Times New Roman" w:eastAsia="Times New Roman" w:hint="default"/>
          <w:spacing w:val="-3"/>
        </w:rPr>
        <w:t>ERP</w:t>
      </w:r>
      <w:r>
        <w:rPr>
          <w:spacing w:val="-3"/>
        </w:rPr>
        <w:t>信息化系统的建设、稳定的技术管理团队，</w:t>
      </w:r>
      <w:r>
        <w:rPr>
          <w:spacing w:val="-69"/>
        </w:rPr>
        <w:t> </w:t>
      </w:r>
      <w:r>
        <w:rPr>
          <w:spacing w:val="-69"/>
        </w:rPr>
      </w:r>
      <w:r>
        <w:rPr/>
        <w:t>为公司优化流程、提升效率、控制成本、发展业务等提供了有力的保障。</w:t>
      </w:r>
    </w:p>
    <w:p>
      <w:pPr>
        <w:pStyle w:val="BodyText"/>
        <w:spacing w:line="338" w:lineRule="auto" w:before="148"/>
        <w:ind w:right="0" w:firstLine="2"/>
        <w:jc w:val="left"/>
      </w:pPr>
      <w:r>
        <w:rPr>
          <w:rFonts w:ascii="Times New Roman" w:hAnsi="Times New Roman" w:cs="Times New Roman" w:eastAsia="Times New Roman" w:hint="default"/>
          <w:b/>
          <w:bCs/>
        </w:rPr>
        <w:t>5</w:t>
      </w:r>
      <w:r>
        <w:rPr>
          <w:rFonts w:ascii="宋体" w:hAnsi="宋体" w:cs="宋体" w:eastAsia="宋体" w:hint="default"/>
          <w:b/>
          <w:bCs/>
        </w:rPr>
        <w:t>、质量和品牌优势</w:t>
      </w:r>
      <w:r>
        <w:rPr>
          <w:rFonts w:ascii="宋体" w:hAnsi="宋体" w:cs="宋体" w:eastAsia="宋体" w:hint="default"/>
          <w:b/>
          <w:bCs/>
          <w:w w:val="99"/>
        </w:rPr>
        <w:t> </w:t>
      </w:r>
      <w:r>
        <w:rPr>
          <w:spacing w:val="-2"/>
        </w:rPr>
        <w:t>作为机械制造关键工序，热处理设备质量和热处理加工服务质量对最终产品的性能会产生重大影响，因此公司高度重视</w:t>
      </w:r>
    </w:p>
    <w:p>
      <w:pPr>
        <w:pStyle w:val="BodyText"/>
        <w:spacing w:line="300" w:lineRule="auto" w:before="2"/>
        <w:ind w:left="153" w:right="1069"/>
        <w:jc w:val="both"/>
      </w:pPr>
      <w:r>
        <w:rPr/>
        <w:t>产品制造和加工服务质量管理工作。公司在国内热处理行业率先通过了</w:t>
      </w:r>
      <w:r>
        <w:rPr>
          <w:rFonts w:ascii="Times New Roman" w:hAnsi="Times New Roman" w:cs="Times New Roman" w:eastAsia="Times New Roman" w:hint="default"/>
        </w:rPr>
        <w:t>ISO9001</w:t>
      </w:r>
      <w:r>
        <w:rPr/>
        <w:t>质量体系认证和</w:t>
      </w:r>
      <w:r>
        <w:rPr>
          <w:rFonts w:ascii="Times New Roman" w:hAnsi="Times New Roman" w:cs="Times New Roman" w:eastAsia="Times New Roman" w:hint="default"/>
        </w:rPr>
        <w:t>ISO14001</w:t>
      </w:r>
      <w:r>
        <w:rPr/>
        <w:t>环境体系认证，专 业热处理加工企业均通过了</w:t>
      </w:r>
      <w:r>
        <w:rPr>
          <w:rFonts w:ascii="Times New Roman" w:hAnsi="Times New Roman" w:cs="Times New Roman" w:eastAsia="Times New Roman" w:hint="default"/>
        </w:rPr>
        <w:t>TS16949</w:t>
      </w:r>
      <w:r>
        <w:rPr/>
        <w:t>汽车质量体系认证，公司全面推进</w:t>
      </w:r>
      <w:r>
        <w:rPr>
          <w:rFonts w:ascii="Times New Roman" w:hAnsi="Times New Roman" w:cs="Times New Roman" w:eastAsia="Times New Roman" w:hint="default"/>
        </w:rPr>
        <w:t>5S</w:t>
      </w:r>
      <w:r>
        <w:rPr/>
        <w:t>现场管理和</w:t>
      </w:r>
      <w:r>
        <w:rPr>
          <w:rFonts w:ascii="Times New Roman" w:hAnsi="Times New Roman" w:cs="Times New Roman" w:eastAsia="Times New Roman" w:hint="default"/>
        </w:rPr>
        <w:t>TQC</w:t>
      </w:r>
      <w:r>
        <w:rPr/>
        <w:t>全面质量管理，公司热处理实验室 获得国家认可委</w:t>
      </w:r>
      <w:r>
        <w:rPr>
          <w:rFonts w:ascii="Times New Roman" w:hAnsi="Times New Roman" w:cs="Times New Roman" w:eastAsia="Times New Roman" w:hint="default"/>
        </w:rPr>
        <w:t>CNAS</w:t>
      </w:r>
      <w:r>
        <w:rPr/>
        <w:t>资格认定，出具的热处理设备检测、金属材料及热处理金相检测报告可获得国内外广泛认可。经过</w:t>
      </w:r>
      <w:r>
        <w:rPr>
          <w:rFonts w:ascii="Times New Roman" w:hAnsi="Times New Roman" w:cs="Times New Roman" w:eastAsia="Times New Roman" w:hint="default"/>
        </w:rPr>
        <w:t>20 </w:t>
      </w:r>
      <w:r>
        <w:rPr/>
        <w:t>多年的积累，</w:t>
      </w:r>
      <w:r>
        <w:rPr>
          <w:rFonts w:ascii="Times New Roman" w:hAnsi="Times New Roman" w:cs="Times New Roman" w:eastAsia="Times New Roman" w:hint="default"/>
        </w:rPr>
        <w:t>“</w:t>
      </w:r>
      <w:r>
        <w:rPr/>
        <w:t>丰东</w:t>
      </w:r>
      <w:r>
        <w:rPr>
          <w:rFonts w:ascii="Times New Roman" w:hAnsi="Times New Roman" w:cs="Times New Roman" w:eastAsia="Times New Roman" w:hint="default"/>
        </w:rPr>
        <w:t>”</w:t>
      </w:r>
      <w:r>
        <w:rPr/>
        <w:t>品牌在汽车零部件、机械基础件、工程机械、航空航天、军工、船舶等行业已经具有了较高的知名度。</w:t>
      </w:r>
    </w:p>
    <w:p>
      <w:pPr>
        <w:spacing w:after="0" w:line="300" w:lineRule="auto"/>
        <w:jc w:val="both"/>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10"/>
        <w:rPr>
          <w:rFonts w:ascii="宋体" w:hAnsi="宋体" w:cs="宋体" w:eastAsia="宋体" w:hint="default"/>
          <w:b/>
          <w:bCs/>
          <w:sz w:val="26"/>
          <w:szCs w:val="26"/>
        </w:rPr>
      </w:pPr>
    </w:p>
    <w:p>
      <w:pPr>
        <w:pStyle w:val="BodyText"/>
        <w:spacing w:line="278" w:lineRule="auto"/>
        <w:ind w:left="154" w:right="1131"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hyperlink r:id="rId23">
        <w:r>
          <w:rPr/>
          <w:t>年，在世界经济环境错综复杂、国内经济下行压力加大的背景下，工业领域通缩风险已较为突出，机械</w:t>
        </w:r>
      </w:hyperlink>
      <w:r>
        <w:rPr/>
        <w:t>工业经济</w:t>
      </w:r>
      <w:r>
        <w:rPr/>
        <w:t> </w:t>
      </w:r>
      <w:r>
        <w:rPr>
          <w:spacing w:val="-2"/>
        </w:rPr>
        <w:t>增长速度持续减缓；同时在市场倒逼和政策引导下，机械行业结构调整步伐加快，转型升级力度加大。热处理是机械工业的</w:t>
      </w:r>
      <w:r>
        <w:rPr>
          <w:spacing w:val="-66"/>
        </w:rPr>
        <w:t> </w:t>
      </w:r>
      <w:r>
        <w:rPr>
          <w:spacing w:val="-66"/>
        </w:rPr>
      </w:r>
      <w:r>
        <w:rPr/>
        <w:t>重要组成部分，是现代制造业生产链上不可或缺的极其重要环节，其发展态势与机械工业经济形势紧密关联。</w:t>
      </w:r>
    </w:p>
    <w:p>
      <w:pPr>
        <w:pStyle w:val="BodyText"/>
        <w:spacing w:line="268" w:lineRule="auto" w:before="136"/>
        <w:ind w:left="153" w:right="1130" w:firstLine="360"/>
        <w:jc w:val="both"/>
      </w:pPr>
      <w:r>
        <w:rPr>
          <w:spacing w:val="-3"/>
        </w:rPr>
        <w:t>报告期内，公司主营业务中热处理加工和售后服务业务出现小幅下滑，但热处理设备制造业务实现了稳中有进，较</w:t>
      </w:r>
      <w:r>
        <w:rPr>
          <w:spacing w:val="-25"/>
        </w:rPr>
        <w:t> </w:t>
      </w:r>
      <w:r>
        <w:rPr>
          <w:rFonts w:ascii="Times New Roman" w:hAnsi="Times New Roman" w:cs="Times New Roman" w:eastAsia="Times New Roman" w:hint="default"/>
        </w:rPr>
        <w:t>2014 </w:t>
      </w:r>
      <w:r>
        <w:rPr/>
        <w:t>年度有所增长。报告期内，公司实现营业收入</w:t>
      </w:r>
      <w:r>
        <w:rPr>
          <w:spacing w:val="-63"/>
        </w:rPr>
        <w:t> </w:t>
      </w:r>
      <w:r>
        <w:rPr>
          <w:rFonts w:ascii="Times New Roman" w:hAnsi="Times New Roman" w:cs="Times New Roman" w:eastAsia="Times New Roman" w:hint="default"/>
        </w:rPr>
        <w:t>43,480.91</w:t>
      </w:r>
      <w:r>
        <w:rPr>
          <w:rFonts w:ascii="Times New Roman" w:hAnsi="Times New Roman" w:cs="Times New Roman" w:eastAsia="Times New Roman" w:hint="default"/>
          <w:spacing w:val="-17"/>
        </w:rPr>
        <w:t> </w:t>
      </w:r>
      <w:r>
        <w:rPr/>
        <w:t>万元，较上年增加</w:t>
      </w:r>
      <w:r>
        <w:rPr>
          <w:spacing w:val="-63"/>
        </w:rPr>
        <w:t> </w:t>
      </w:r>
      <w:r>
        <w:rPr>
          <w:rFonts w:ascii="Times New Roman" w:hAnsi="Times New Roman" w:cs="Times New Roman" w:eastAsia="Times New Roman" w:hint="default"/>
        </w:rPr>
        <w:t>18.42%</w:t>
      </w:r>
      <w:r>
        <w:rPr/>
        <w:t>，实现利润总额及归属于上市公司股东的 净利润分别为</w:t>
      </w:r>
      <w:r>
        <w:rPr>
          <w:spacing w:val="-47"/>
        </w:rPr>
        <w:t> </w:t>
      </w:r>
      <w:r>
        <w:rPr>
          <w:rFonts w:ascii="Times New Roman" w:hAnsi="Times New Roman" w:cs="Times New Roman" w:eastAsia="Times New Roman" w:hint="default"/>
        </w:rPr>
        <w:t>4,417.56</w:t>
      </w:r>
      <w:r>
        <w:rPr>
          <w:rFonts w:ascii="Times New Roman" w:hAnsi="Times New Roman" w:cs="Times New Roman" w:eastAsia="Times New Roman" w:hint="default"/>
          <w:spacing w:val="-2"/>
        </w:rPr>
        <w:t> </w:t>
      </w:r>
      <w:r>
        <w:rPr/>
        <w:t>万元和</w:t>
      </w:r>
      <w:r>
        <w:rPr>
          <w:spacing w:val="-47"/>
        </w:rPr>
        <w:t> </w:t>
      </w:r>
      <w:r>
        <w:rPr>
          <w:rFonts w:ascii="Times New Roman" w:hAnsi="Times New Roman" w:cs="Times New Roman" w:eastAsia="Times New Roman" w:hint="default"/>
        </w:rPr>
        <w:t>3,384.10</w:t>
      </w:r>
      <w:r>
        <w:rPr>
          <w:rFonts w:ascii="Times New Roman" w:hAnsi="Times New Roman" w:cs="Times New Roman" w:eastAsia="Times New Roman" w:hint="default"/>
          <w:spacing w:val="-2"/>
        </w:rPr>
        <w:t> </w:t>
      </w:r>
      <w:r>
        <w:rPr/>
        <w:t>万元，较上年分别增长</w:t>
      </w:r>
      <w:r>
        <w:rPr>
          <w:spacing w:val="-47"/>
        </w:rPr>
        <w:t> </w:t>
      </w:r>
      <w:r>
        <w:rPr>
          <w:rFonts w:ascii="Times New Roman" w:hAnsi="Times New Roman" w:cs="Times New Roman" w:eastAsia="Times New Roman" w:hint="default"/>
        </w:rPr>
        <w:t>3.78%</w:t>
      </w:r>
      <w:r>
        <w:rPr/>
        <w:t>和</w:t>
      </w:r>
      <w:r>
        <w:rPr>
          <w:spacing w:val="-47"/>
        </w:rPr>
        <w:t> </w:t>
      </w:r>
      <w:r>
        <w:rPr>
          <w:rFonts w:ascii="Times New Roman" w:hAnsi="Times New Roman" w:cs="Times New Roman" w:eastAsia="Times New Roman" w:hint="default"/>
        </w:rPr>
        <w:t>3.38%</w:t>
      </w:r>
      <w:r>
        <w:rPr/>
        <w:t>。</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pStyle w:val="BodyText"/>
        <w:spacing w:line="285" w:lineRule="auto" w:before="170"/>
        <w:ind w:left="153" w:right="1133" w:firstLine="360"/>
        <w:jc w:val="both"/>
      </w:pPr>
      <w:r>
        <w:rPr>
          <w:spacing w:val="-2"/>
        </w:rPr>
        <w:t>公司主营业务主要分为三大块：热处理设备制造、专业热处理加工以及热处理售后服务。公司利润构成和利润来源未发</w:t>
      </w:r>
      <w:r>
        <w:rPr/>
        <w:t> 生重大变动。</w:t>
      </w:r>
    </w:p>
    <w:p>
      <w:pPr>
        <w:pStyle w:val="BodyText"/>
        <w:spacing w:line="285" w:lineRule="auto" w:before="130"/>
        <w:ind w:left="153" w:right="1132" w:firstLine="360"/>
        <w:jc w:val="both"/>
      </w:pPr>
      <w:r>
        <w:rPr>
          <w:spacing w:val="-2"/>
        </w:rPr>
        <w:t>在经济下行压力持续加大的宏观经济形势下，公司主营业务中热处理加工和售后服务业务出现小幅下滑，但热处理设备</w:t>
      </w:r>
      <w:r>
        <w:rPr/>
        <w:t> 制造业务实现了稳中有进，较</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年度有所增长。</w:t>
      </w:r>
    </w:p>
    <w:p>
      <w:pPr>
        <w:pStyle w:val="BodyText"/>
        <w:spacing w:line="278" w:lineRule="auto" w:before="113"/>
        <w:ind w:left="153" w:right="1033"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年度公司整体毛利率比上年下降</w:t>
      </w:r>
      <w:r>
        <w:rPr>
          <w:spacing w:val="-52"/>
        </w:rPr>
        <w:t> </w:t>
      </w:r>
      <w:r>
        <w:rPr>
          <w:rFonts w:ascii="Times New Roman" w:hAnsi="Times New Roman" w:cs="Times New Roman" w:eastAsia="Times New Roman" w:hint="default"/>
        </w:rPr>
        <w:t>1.69</w:t>
      </w:r>
      <w:r>
        <w:rPr>
          <w:rFonts w:ascii="Times New Roman" w:hAnsi="Times New Roman" w:cs="Times New Roman" w:eastAsia="Times New Roman" w:hint="default"/>
          <w:spacing w:val="-7"/>
        </w:rPr>
        <w:t> </w:t>
      </w:r>
      <w:r>
        <w:rPr/>
        <w:t>个百分点：其中加工业务毛利率下降</w:t>
      </w:r>
      <w:r>
        <w:rPr>
          <w:spacing w:val="-52"/>
        </w:rPr>
        <w:t> </w:t>
      </w:r>
      <w:r>
        <w:rPr>
          <w:rFonts w:ascii="Times New Roman" w:hAnsi="Times New Roman" w:cs="Times New Roman" w:eastAsia="Times New Roman" w:hint="default"/>
        </w:rPr>
        <w:t>3.40</w:t>
      </w:r>
      <w:r>
        <w:rPr>
          <w:rFonts w:ascii="Times New Roman" w:hAnsi="Times New Roman" w:cs="Times New Roman" w:eastAsia="Times New Roman" w:hint="default"/>
          <w:spacing w:val="-7"/>
        </w:rPr>
        <w:t> </w:t>
      </w:r>
      <w:r>
        <w:rPr/>
        <w:t>个百分点，主要由于加工业务量有 所减少，而固定成本分摊保持不变或有所增长，与此同时，为达成与客户的长期合作关系，部分加工业务价格进行了下调， 从而导致整体加工毛利率有所下降；设备业务毛利率下降</w:t>
      </w:r>
      <w:r>
        <w:rPr>
          <w:spacing w:val="-45"/>
        </w:rPr>
        <w:t> </w:t>
      </w:r>
      <w:r>
        <w:rPr>
          <w:rFonts w:ascii="Times New Roman" w:hAnsi="Times New Roman" w:cs="Times New Roman" w:eastAsia="Times New Roman" w:hint="default"/>
        </w:rPr>
        <w:t>1.36</w:t>
      </w:r>
      <w:r>
        <w:rPr>
          <w:rFonts w:ascii="Times New Roman" w:hAnsi="Times New Roman" w:cs="Times New Roman" w:eastAsia="Times New Roman" w:hint="default"/>
          <w:spacing w:val="-1"/>
        </w:rPr>
        <w:t> </w:t>
      </w:r>
      <w:r>
        <w:rPr/>
        <w:t>个百分点，主要原因为随着市场需求的多样化以及公司产品 线的拓宽，新产品、非标产品增多，由于项目在实施过程中对技术设计、制造、安装周期等预估不足，设备制造成本增加， 导致设备业务毛利率亦有所下降。</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434,809,121.88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367,175,382.04</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434,809,121.88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367,175,382.04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269,474,407.03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185,793,204.40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121,997,978.71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136,952,091.82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43,336,736.14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44,430,085.82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263,223,008.83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236,916,106.75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36,782,232.38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24,914,697.01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55,319,999.88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22,462,086.51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11,930,579.22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21,533,182.60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1,934,752.11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10,062,976.09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30,996,846.60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28,255,489.92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6,488,026.55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3,778,486.32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28,133,676.31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19,252,356.84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1418"/>
        <w:gridCol w:w="992"/>
        <w:gridCol w:w="1417"/>
        <w:gridCol w:w="1418"/>
        <w:gridCol w:w="1633"/>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3" w:right="72"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3" w:right="72"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31" w:right="90" w:hanging="540"/>
              <w:jc w:val="left"/>
              <w:rPr>
                <w:rFonts w:ascii="宋体" w:hAnsi="宋体" w:cs="宋体" w:eastAsia="宋体" w:hint="default"/>
                <w:sz w:val="18"/>
                <w:szCs w:val="18"/>
              </w:rPr>
            </w:pPr>
            <w:r>
              <w:rPr>
                <w:rFonts w:ascii="宋体" w:hAnsi="宋体" w:cs="宋体" w:eastAsia="宋体" w:hint="default"/>
                <w:sz w:val="18"/>
                <w:szCs w:val="18"/>
              </w:rPr>
              <w:t>毛利率比上年同期 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434,809,121.88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305,933,166.36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269,474,407.03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195,249,133.24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121,997,978.71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87,567,121.79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43,336,736.14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23,116,911.33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263,223,008.83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181,622,386.43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36,782,232.38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23,510,751.93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55,319,999.88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43,196,854.08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pStyle w:val="BodyText"/>
        <w:spacing w:line="240" w:lineRule="auto" w:before="51"/>
        <w:ind w:left="51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-37.21%</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库存量本年比上年同期下降</w:t>
      </w:r>
      <w:r>
        <w:rPr>
          <w:rFonts w:ascii="Times New Roman" w:hAnsi="Times New Roman" w:cs="Times New Roman" w:eastAsia="Times New Roman" w:hint="default"/>
        </w:rPr>
        <w:t>37.21%</w:t>
      </w:r>
      <w:r>
        <w:rPr/>
        <w:t>，主要系期末客户订单减少引起生产减少所致。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282,816,255.03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225,750,444.15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23,116,911.33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26,378,979.70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-12.37%</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195,249,133.24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132,106,550.81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87,567,121.79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93,643,893.34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23,116,911.33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26,378,979.70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-12.37%</w:t>
            </w:r>
          </w:p>
        </w:tc>
      </w:tr>
    </w:tbl>
    <w:p>
      <w:pPr>
        <w:spacing w:line="240" w:lineRule="auto" w:before="7"/>
        <w:rPr>
          <w:rFonts w:ascii="宋体" w:hAnsi="宋体" w:cs="宋体" w:eastAsia="宋体" w:hint="default"/>
          <w:sz w:val="14"/>
          <w:szCs w:val="14"/>
        </w:rPr>
      </w:pPr>
    </w:p>
    <w:p>
      <w:pPr>
        <w:pStyle w:val="Heading3"/>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4" w:right="0"/>
        <w:jc w:val="left"/>
      </w:pPr>
      <w:r>
        <w:rPr/>
        <w:t>公司主要销售客户情况</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4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64,042,893.89</w:t>
            </w:r>
          </w:p>
        </w:tc>
      </w:tr>
      <w:tr>
        <w:trPr>
          <w:trHeight w:val="44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14.73%</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18,174,969.46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17,966,400.90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9,597,531.20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9,224,207.33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9,079,785.00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64,042,893.89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r>
    </w:tbl>
    <w:p>
      <w:pPr>
        <w:pStyle w:val="BodyText"/>
        <w:spacing w:line="240" w:lineRule="auto" w:before="51"/>
        <w:ind w:left="514" w:right="0"/>
        <w:jc w:val="left"/>
      </w:pPr>
      <w:r>
        <w:rPr/>
        <w:t>主要客户其他情况说明</w:t>
      </w:r>
    </w:p>
    <w:p>
      <w:pPr>
        <w:pStyle w:val="BodyText"/>
        <w:spacing w:line="415" w:lineRule="auto" w:before="117"/>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42,669,688.65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24.16%</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37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7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20,155,112.56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2"/>
                <w:sz w:val="18"/>
              </w:rPr>
              <w:t>11.41%</w:t>
            </w:r>
          </w:p>
        </w:tc>
      </w:tr>
      <w:tr>
        <w:trPr>
          <w:trHeight w:val="37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7,151,889.53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4.05%</w:t>
            </w:r>
          </w:p>
        </w:tc>
      </w:tr>
      <w:tr>
        <w:trPr>
          <w:trHeight w:val="37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5,845,616.97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3.31%</w:t>
            </w:r>
          </w:p>
        </w:tc>
      </w:tr>
      <w:tr>
        <w:trPr>
          <w:trHeight w:val="37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5,630,781.66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3.19%</w:t>
            </w:r>
          </w:p>
        </w:tc>
      </w:tr>
      <w:tr>
        <w:trPr>
          <w:trHeight w:val="37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3,886,287.93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2.20%</w:t>
            </w:r>
          </w:p>
        </w:tc>
      </w:tr>
      <w:tr>
        <w:trPr>
          <w:trHeight w:val="37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42,669,688.65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24.16%</w:t>
            </w:r>
          </w:p>
        </w:tc>
      </w:tr>
    </w:tbl>
    <w:p>
      <w:pPr>
        <w:pStyle w:val="BodyText"/>
        <w:spacing w:line="240" w:lineRule="auto" w:before="51"/>
        <w:ind w:left="514" w:right="0"/>
        <w:jc w:val="left"/>
      </w:pPr>
      <w:r>
        <w:rPr/>
        <w:t>主要供应商其他情况说明</w:t>
      </w:r>
    </w:p>
    <w:p>
      <w:pPr>
        <w:pStyle w:val="BodyText"/>
        <w:spacing w:line="240" w:lineRule="auto" w:before="11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68" w:footer="979" w:top="1100" w:bottom="1160" w:left="980" w:right="0"/>
        </w:sectPr>
      </w:pPr>
    </w:p>
    <w:p>
      <w:pPr>
        <w:pStyle w:val="Heading3"/>
        <w:spacing w:line="240" w:lineRule="auto" w:before="35"/>
        <w:ind w:right="-18"/>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576" w:right="0"/>
        <w:jc w:val="left"/>
      </w:pPr>
      <w:r>
        <w:rPr/>
        <w:t>单位：元</w:t>
      </w:r>
    </w:p>
    <w:p>
      <w:pPr>
        <w:spacing w:after="0" w:line="240" w:lineRule="auto"/>
        <w:jc w:val="left"/>
        <w:sectPr>
          <w:type w:val="continuous"/>
          <w:pgSz w:w="11910" w:h="16840"/>
          <w:pgMar w:top="0" w:bottom="280" w:left="980" w:right="0"/>
          <w:cols w:num="2" w:equalWidth="0">
            <w:col w:w="1317" w:space="7181"/>
            <w:col w:w="2432"/>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38"/>
        <w:gridCol w:w="1287"/>
        <w:gridCol w:w="1276"/>
        <w:gridCol w:w="992"/>
        <w:gridCol w:w="4464"/>
      </w:tblGrid>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23,178,576.70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16,856,846.05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37.50%</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主要系销售产品的售后维护及服务费用增加所致</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68,144,782.56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65,637,581.04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w:t>
            </w:r>
          </w:p>
        </w:tc>
        <w:tc>
          <w:tcPr>
            <w:tcW w:w="44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1,179,596.21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604,911.74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95.00%</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主要系本期外币汇兑损失增加及存款利息收入减少所致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78" w:lineRule="auto" w:before="105"/>
        <w:ind w:left="153" w:right="1033" w:firstLine="360"/>
        <w:jc w:val="left"/>
      </w:pPr>
      <w:r>
        <w:rPr/>
        <w:t>报告期内，公司研发投入金额为</w:t>
      </w:r>
      <w:r>
        <w:rPr>
          <w:spacing w:val="-46"/>
        </w:rPr>
        <w:t> </w:t>
      </w:r>
      <w:r>
        <w:rPr>
          <w:rFonts w:ascii="Times New Roman" w:hAnsi="Times New Roman" w:cs="Times New Roman" w:eastAsia="Times New Roman" w:hint="default"/>
        </w:rPr>
        <w:t>2,035.14</w:t>
      </w:r>
      <w:r>
        <w:rPr>
          <w:rFonts w:ascii="Times New Roman" w:hAnsi="Times New Roman" w:cs="Times New Roman" w:eastAsia="Times New Roman" w:hint="default"/>
          <w:spacing w:val="-1"/>
        </w:rPr>
        <w:t> </w:t>
      </w:r>
      <w:r>
        <w:rPr>
          <w:spacing w:val="-3"/>
        </w:rPr>
        <w:t>万元，主要用于智能可控气氛渗氮、渗碳多用炉、智能真空超高压气淬炉、真</w:t>
      </w:r>
      <w:r>
        <w:rPr>
          <w:spacing w:val="-16"/>
        </w:rPr>
        <w:t> </w:t>
      </w:r>
      <w:r>
        <w:rPr/>
        <w:t>空渗碳油淬炉、等离子热处理炉等试验装置的研发，热处理温度场、流场模拟、淬火工艺数值模拟等热处理工艺技术开发，</w:t>
      </w:r>
      <w:r>
        <w:rPr/>
        <w:t> </w:t>
      </w:r>
      <w:r>
        <w:rPr>
          <w:rFonts w:ascii="Times New Roman" w:hAnsi="Times New Roman" w:cs="Times New Roman" w:eastAsia="Times New Roman" w:hint="default"/>
        </w:rPr>
        <w:t>PDM</w:t>
      </w:r>
      <w:r>
        <w:rPr>
          <w:rFonts w:ascii="Times New Roman" w:hAnsi="Times New Roman" w:cs="Times New Roman" w:eastAsia="Times New Roman" w:hint="default"/>
          <w:spacing w:val="-9"/>
        </w:rPr>
        <w:t> </w:t>
      </w:r>
      <w:r>
        <w:rPr/>
        <w:t>图文档信息系统及</w:t>
      </w:r>
      <w:r>
        <w:rPr>
          <w:spacing w:val="-54"/>
        </w:rPr>
        <w:t> </w:t>
      </w:r>
      <w:r>
        <w:rPr>
          <w:rFonts w:ascii="Times New Roman" w:hAnsi="Times New Roman" w:cs="Times New Roman" w:eastAsia="Times New Roman" w:hint="default"/>
        </w:rPr>
        <w:t>ERP</w:t>
      </w:r>
      <w:r>
        <w:rPr>
          <w:rFonts w:ascii="Times New Roman" w:hAnsi="Times New Roman" w:cs="Times New Roman" w:eastAsia="Times New Roman" w:hint="default"/>
          <w:spacing w:val="-8"/>
        </w:rPr>
        <w:t> </w:t>
      </w:r>
      <w:r>
        <w:rPr/>
        <w:t>企业信息化管理系统等项目。新研发成功并交付客户使用的铝合金固溶炉生产线，是国内第一 </w:t>
      </w:r>
      <w:r>
        <w:rPr>
          <w:spacing w:val="-2"/>
        </w:rPr>
        <w:t>条气冷式固溶生产线，达到了世界同类产品的领先水平，表明丰东在非气氛加热设备领域，又新增了一类产品，延伸了丰东</w:t>
      </w:r>
      <w:r>
        <w:rPr>
          <w:spacing w:val="-66"/>
        </w:rPr>
        <w:t> </w:t>
      </w:r>
      <w:r>
        <w:rPr>
          <w:spacing w:val="-66"/>
        </w:rPr>
      </w:r>
      <w:r>
        <w:rPr/>
        <w:t>设备产品线的带宽。</w:t>
      </w:r>
    </w:p>
    <w:p>
      <w:pPr>
        <w:spacing w:line="240" w:lineRule="auto" w:before="5"/>
        <w:rPr>
          <w:rFonts w:ascii="宋体" w:hAnsi="宋体" w:cs="宋体" w:eastAsia="宋体" w:hint="default"/>
          <w:sz w:val="19"/>
          <w:szCs w:val="19"/>
        </w:rPr>
      </w:pPr>
    </w:p>
    <w:p>
      <w:pPr>
        <w:pStyle w:val="BodyText"/>
        <w:spacing w:line="240" w:lineRule="auto"/>
        <w:ind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3"/>
        <w:gridCol w:w="1998"/>
        <w:gridCol w:w="2126"/>
        <w:gridCol w:w="1913"/>
      </w:tblGrid>
      <w:tr>
        <w:trPr>
          <w:trHeight w:val="3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7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85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7.59%</w:t>
            </w:r>
          </w:p>
        </w:tc>
      </w:tr>
      <w:tr>
        <w:trPr>
          <w:trHeight w:val="3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after="0" w:line="240" w:lineRule="auto"/>
        <w:jc w:val="right"/>
        <w:rPr>
          <w:rFonts w:ascii="宋体" w:hAnsi="宋体" w:cs="宋体" w:eastAsia="宋体" w:hint="default"/>
          <w:sz w:val="18"/>
          <w:szCs w:val="18"/>
        </w:rPr>
        <w:sectPr>
          <w:type w:val="continuous"/>
          <w:pgSz w:w="11910" w:h="16840"/>
          <w:pgMar w:top="0" w:bottom="2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33"/>
        <w:gridCol w:w="1998"/>
        <w:gridCol w:w="2126"/>
        <w:gridCol w:w="1913"/>
      </w:tblGrid>
      <w:tr>
        <w:trPr>
          <w:trHeight w:val="3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20,351,440.06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21,205,519.49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-4.03%</w:t>
            </w:r>
          </w:p>
        </w:tc>
      </w:tr>
      <w:tr>
        <w:trPr>
          <w:trHeight w:val="37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4.68%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研发投入总额占营业收入的比重较上年发生显著变化的原因</w:t>
      </w:r>
    </w:p>
    <w:p>
      <w:pPr>
        <w:pStyle w:val="BodyText"/>
        <w:spacing w:line="338" w:lineRule="auto" w:before="116"/>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3"/>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近两年专利数情况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4089"/>
        <w:gridCol w:w="1855"/>
        <w:gridCol w:w="1701"/>
        <w:gridCol w:w="1914"/>
      </w:tblGrid>
      <w:tr>
        <w:trPr>
          <w:trHeight w:val="37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已获得</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50"/>
              <w:jc w:val="righ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3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22</w:t>
            </w:r>
          </w:p>
        </w:tc>
      </w:tr>
      <w:tr>
        <w:trPr>
          <w:trHeight w:val="3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49</w:t>
            </w:r>
          </w:p>
        </w:tc>
      </w:tr>
      <w:tr>
        <w:trPr>
          <w:trHeight w:val="3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本年度核心技术团队或关键技术人员变动情况</w:t>
            </w:r>
          </w:p>
        </w:tc>
        <w:tc>
          <w:tcPr>
            <w:tcW w:w="547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本年度公司核心技术团队及关键技术人员情况稳定。</w:t>
            </w:r>
          </w:p>
        </w:tc>
      </w:tr>
      <w:tr>
        <w:trPr>
          <w:trHeight w:val="37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547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68" w:footer="979" w:top="1100" w:bottom="1160" w:left="980" w:right="0"/>
        </w:sectPr>
      </w:pPr>
    </w:p>
    <w:p>
      <w:pPr>
        <w:pStyle w:val="Heading3"/>
        <w:spacing w:line="240" w:lineRule="auto" w:before="35"/>
        <w:ind w:right="-2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576" w:right="0"/>
        <w:jc w:val="left"/>
      </w:pPr>
      <w:r>
        <w:rPr/>
        <w:t>单位：元</w:t>
      </w:r>
    </w:p>
    <w:p>
      <w:pPr>
        <w:spacing w:after="0" w:line="240" w:lineRule="auto"/>
        <w:jc w:val="left"/>
        <w:sectPr>
          <w:type w:val="continuous"/>
          <w:pgSz w:w="11910" w:h="16840"/>
          <w:pgMar w:top="0" w:bottom="280" w:left="980" w:right="0"/>
          <w:cols w:num="2" w:equalWidth="0">
            <w:col w:w="1525" w:space="6972"/>
            <w:col w:w="2433"/>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7"/>
        <w:gridCol w:w="1997"/>
        <w:gridCol w:w="1844"/>
        <w:gridCol w:w="1770"/>
      </w:tblGrid>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474,562,107.77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471,075,257.88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435,200,489.22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437,413,230.74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39,361,618.55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33,662,027.14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16.93%</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11,944,172.65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9,164,639.32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30.33%</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66,598,023.53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71,877,614.43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-54,653,850.88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-62,712,975.11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12.85%</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81,178,065.00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-49.12%</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56,372,407.36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36,493,906.95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54.47%</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-15,072,407.36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44,684,158.05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-133.73%</w:t>
            </w:r>
            <w:r>
              <w:rPr>
                <w:rFonts w:ascii="Times New Roman"/>
                <w:sz w:val="18"/>
              </w:rPr>
            </w: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-30,464,149.87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15,549,843.09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-295.91%</w:t>
            </w:r>
            <w:r>
              <w:rPr>
                <w:rFonts w:ascii="Times New Roman"/>
                <w:sz w:val="18"/>
              </w:rPr>
            </w:r>
          </w:p>
        </w:tc>
      </w:tr>
    </w:tbl>
    <w:p>
      <w:pPr>
        <w:pStyle w:val="BodyText"/>
        <w:spacing w:line="240" w:lineRule="auto" w:before="51"/>
        <w:ind w:left="514" w:right="0"/>
        <w:jc w:val="left"/>
      </w:pPr>
      <w:r>
        <w:rPr/>
        <w:t>相关数据同比发生重大变动的主要影响因素说明</w:t>
      </w:r>
    </w:p>
    <w:p>
      <w:pPr>
        <w:pStyle w:val="BodyText"/>
        <w:spacing w:line="326"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筹资活动产生的现金流量净额本年比上年同期减少</w:t>
      </w:r>
      <w:r>
        <w:rPr>
          <w:rFonts w:ascii="Times New Roman" w:hAnsi="Times New Roman" w:cs="Times New Roman" w:eastAsia="Times New Roman" w:hint="default"/>
          <w:spacing w:val="-1"/>
        </w:rPr>
        <w:t>133.73%</w:t>
      </w:r>
      <w:r>
        <w:rPr>
          <w:spacing w:val="-1"/>
        </w:rPr>
        <w:t>，主要系子公司天津丰东股东上年同期以货币资金增资及本</w:t>
      </w:r>
    </w:p>
    <w:p>
      <w:pPr>
        <w:pStyle w:val="BodyText"/>
        <w:spacing w:line="174" w:lineRule="exact"/>
        <w:ind w:left="154" w:right="0"/>
        <w:jc w:val="left"/>
      </w:pPr>
      <w:r>
        <w:rPr/>
        <w:t>公司上年同期科技成果转化项目配套筹集长期借款所致。</w:t>
      </w:r>
    </w:p>
    <w:p>
      <w:pPr>
        <w:pStyle w:val="BodyText"/>
        <w:spacing w:line="240" w:lineRule="auto" w:before="65"/>
        <w:ind w:left="514" w:right="0"/>
        <w:jc w:val="left"/>
      </w:pPr>
      <w:r>
        <w:rPr/>
        <w:t>报告期内公司经营活动产生的现金净流量与本年度净利润存在重大差异的原因说明</w:t>
      </w:r>
    </w:p>
    <w:p>
      <w:pPr>
        <w:pStyle w:val="BodyText"/>
        <w:spacing w:line="240" w:lineRule="auto" w:before="6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0" w:bottom="28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370"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580"/>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70"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5,373,757.85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12.16%</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3,176,008.12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7.19%</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9,783,192.98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22.15%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98"/>
              <w:jc w:val="right"/>
              <w:rPr>
                <w:rFonts w:ascii="宋体" w:hAnsi="宋体" w:cs="宋体" w:eastAsia="宋体" w:hint="default"/>
                <w:sz w:val="18"/>
                <w:szCs w:val="18"/>
              </w:rPr>
            </w:pPr>
            <w:r>
              <w:rPr>
                <w:rFonts w:ascii="宋体" w:hAnsi="宋体" w:cs="宋体" w:eastAsia="宋体" w:hint="default"/>
                <w:sz w:val="18"/>
                <w:szCs w:val="18"/>
              </w:rPr>
              <w:t>主要来源于政府补助</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1,228,411.42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2.78%</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1276"/>
        <w:gridCol w:w="1417"/>
        <w:gridCol w:w="1277"/>
        <w:gridCol w:w="1701"/>
        <w:gridCol w:w="1205"/>
      </w:tblGrid>
      <w:tr>
        <w:trPr>
          <w:trHeight w:val="170"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5"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613" w:type="dxa"/>
            <w:gridSpan w:val="2"/>
            <w:vMerge/>
            <w:tcBorders>
              <w:left w:val="single" w:sz="4" w:space="0" w:color="000000"/>
              <w:bottom w:val="single" w:sz="4" w:space="0" w:color="000000"/>
              <w:right w:val="single" w:sz="4" w:space="0" w:color="000000"/>
            </w:tcBorders>
            <w:shd w:val="clear" w:color="auto" w:fill="D2D2D2"/>
          </w:tcPr>
          <w:p>
            <w:pP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1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5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701"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169"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191,596,057.06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19.17%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222,060,206.93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22.18%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136,157,538.86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13.62%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141,110,483.83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14.09%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168,813,489.54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16.89%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193,150,255.92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19.29%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98,848,428.76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91,617,710.83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233,935,808.92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216,606,512.84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21.63%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27,699,887.37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23,573,670.14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2.90%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0" w:right="8690"/>
        <w:jc w:val="center"/>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7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7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22,760,243.50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55,617,735.00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-59.08%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770"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4"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4"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4"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2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2" w:right="81"/>
              <w:jc w:val="both"/>
              <w:rPr>
                <w:rFonts w:ascii="宋体" w:hAnsi="宋体" w:cs="宋体" w:eastAsia="宋体" w:hint="default"/>
                <w:sz w:val="18"/>
                <w:szCs w:val="18"/>
              </w:rPr>
            </w:pPr>
            <w:r>
              <w:rPr>
                <w:rFonts w:ascii="宋体" w:hAnsi="宋体" w:cs="宋体" w:eastAsia="宋体" w:hint="default"/>
                <w:sz w:val="18"/>
                <w:szCs w:val="18"/>
              </w:rPr>
              <w:t>常州市 鑫润热 处理有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77"/>
              <w:jc w:val="left"/>
              <w:rPr>
                <w:rFonts w:ascii="宋体" w:hAnsi="宋体" w:cs="宋体" w:eastAsia="宋体" w:hint="default"/>
                <w:sz w:val="18"/>
                <w:szCs w:val="18"/>
              </w:rPr>
            </w:pPr>
            <w:r>
              <w:rPr>
                <w:rFonts w:ascii="宋体" w:hAnsi="宋体" w:cs="宋体" w:eastAsia="宋体" w:hint="default"/>
                <w:sz w:val="18"/>
                <w:szCs w:val="18"/>
              </w:rPr>
              <w:t>金属热 处理加 工；机 械零部 件制 造、加 工、销 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5,700,0</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蔡益新</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4.30~2</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025.07.</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18</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热处理 加工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22" w:right="197"/>
              <w:jc w:val="both"/>
              <w:rPr>
                <w:rFonts w:ascii="宋体" w:hAnsi="宋体" w:cs="宋体" w:eastAsia="宋体" w:hint="default"/>
                <w:sz w:val="18"/>
                <w:szCs w:val="18"/>
              </w:rPr>
            </w:pPr>
            <w:r>
              <w:rPr>
                <w:rFonts w:ascii="宋体" w:hAnsi="宋体" w:cs="宋体" w:eastAsia="宋体" w:hint="default"/>
                <w:sz w:val="18"/>
                <w:szCs w:val="18"/>
              </w:rPr>
              <w:t>已完 成股 权转 让</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279,710.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18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4"/>
              <w:ind w:left="22" w:right="30"/>
              <w:jc w:val="left"/>
              <w:rPr>
                <w:rFonts w:ascii="Times New Roman" w:hAnsi="Times New Roman" w:cs="Times New Roman" w:eastAsia="Times New Roman" w:hint="default"/>
                <w:sz w:val="18"/>
                <w:szCs w:val="18"/>
              </w:rPr>
            </w:pPr>
            <w:hyperlink r:id="rId24">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cn/final page/20 15-03-0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4/12006</w:t>
            </w:r>
          </w:p>
          <w:p>
            <w:pPr>
              <w:pStyle w:val="TableParagraph"/>
              <w:spacing w:line="278" w:lineRule="auto" w:before="33"/>
              <w:ind w:left="22" w:right="38"/>
              <w:jc w:val="left"/>
              <w:rPr>
                <w:rFonts w:ascii="Times New Roman" w:hAnsi="Times New Roman" w:cs="Times New Roman" w:eastAsia="Times New Roman" w:hint="default"/>
                <w:sz w:val="18"/>
                <w:szCs w:val="18"/>
              </w:rPr>
            </w:pPr>
            <w:r>
              <w:rPr>
                <w:rFonts w:ascii="Times New Roman"/>
                <w:sz w:val="18"/>
              </w:rPr>
              <w:t>65722.P</w:t>
            </w:r>
            <w:r>
              <w:rPr>
                <w:rFonts w:ascii="Times New Roman"/>
                <w:w w:val="99"/>
                <w:sz w:val="18"/>
              </w:rPr>
              <w:t> </w:t>
            </w:r>
            <w:r>
              <w:rPr>
                <w:rFonts w:ascii="Times New Roman"/>
                <w:sz w:val="18"/>
              </w:rPr>
              <w:t>DF</w:t>
            </w:r>
          </w:p>
        </w:tc>
      </w:tr>
      <w:tr>
        <w:trPr>
          <w:trHeight w:val="22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 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4" w:lineRule="auto"/>
              <w:ind w:left="22" w:right="77"/>
              <w:jc w:val="both"/>
              <w:rPr>
                <w:rFonts w:ascii="宋体" w:hAnsi="宋体" w:cs="宋体" w:eastAsia="宋体" w:hint="default"/>
                <w:sz w:val="18"/>
                <w:szCs w:val="18"/>
              </w:rPr>
            </w:pPr>
            <w:r>
              <w:rPr>
                <w:rFonts w:ascii="宋体" w:hAnsi="宋体" w:cs="宋体" w:eastAsia="宋体" w:hint="default"/>
                <w:sz w:val="18"/>
                <w:szCs w:val="18"/>
              </w:rPr>
              <w:t>金属、 机械、 热处理</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17,060,</w:t>
            </w:r>
          </w:p>
          <w:p>
            <w:pPr>
              <w:pStyle w:val="TableParagraph"/>
              <w:spacing w:line="240" w:lineRule="auto" w:before="33"/>
              <w:ind w:left="94" w:right="0"/>
              <w:jc w:val="left"/>
              <w:rPr>
                <w:rFonts w:ascii="Times New Roman" w:hAnsi="Times New Roman" w:cs="Times New Roman" w:eastAsia="Times New Roman" w:hint="default"/>
                <w:sz w:val="18"/>
                <w:szCs w:val="18"/>
              </w:rPr>
            </w:pPr>
            <w:r>
              <w:rPr>
                <w:rFonts w:ascii="Times New Roman"/>
                <w:sz w:val="18"/>
              </w:rPr>
              <w:t>243.50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18.00%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朴祥圭</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热处理 加工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4" w:lineRule="auto"/>
              <w:ind w:left="22" w:right="197"/>
              <w:jc w:val="both"/>
              <w:rPr>
                <w:rFonts w:ascii="宋体" w:hAnsi="宋体" w:cs="宋体" w:eastAsia="宋体" w:hint="default"/>
                <w:sz w:val="18"/>
                <w:szCs w:val="18"/>
              </w:rPr>
            </w:pPr>
            <w:r>
              <w:rPr>
                <w:rFonts w:ascii="宋体" w:hAnsi="宋体" w:cs="宋体" w:eastAsia="宋体" w:hint="default"/>
                <w:sz w:val="18"/>
                <w:szCs w:val="18"/>
              </w:rPr>
              <w:t>已完 成增 资</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21,675.0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4"/>
              <w:ind w:left="22" w:right="30"/>
              <w:jc w:val="left"/>
              <w:rPr>
                <w:rFonts w:ascii="Times New Roman" w:hAnsi="Times New Roman" w:cs="Times New Roman" w:eastAsia="Times New Roman" w:hint="default"/>
                <w:sz w:val="18"/>
                <w:szCs w:val="18"/>
              </w:rPr>
            </w:pPr>
            <w:hyperlink r:id="rId24">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cn/final page/20 15-05-0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6/12009</w:t>
            </w:r>
          </w:p>
          <w:p>
            <w:pPr>
              <w:pStyle w:val="TableParagraph"/>
              <w:spacing w:line="278" w:lineRule="auto" w:before="33"/>
              <w:ind w:left="22" w:right="38"/>
              <w:jc w:val="left"/>
              <w:rPr>
                <w:rFonts w:ascii="Times New Roman" w:hAnsi="Times New Roman" w:cs="Times New Roman" w:eastAsia="Times New Roman" w:hint="default"/>
                <w:sz w:val="18"/>
                <w:szCs w:val="18"/>
              </w:rPr>
            </w:pPr>
            <w:r>
              <w:rPr>
                <w:rFonts w:ascii="Times New Roman"/>
                <w:sz w:val="18"/>
              </w:rPr>
              <w:t>68070.P</w:t>
            </w:r>
            <w:r>
              <w:rPr>
                <w:rFonts w:ascii="Times New Roman"/>
                <w:w w:val="99"/>
                <w:sz w:val="18"/>
              </w:rPr>
              <w:t> </w:t>
            </w:r>
            <w:r>
              <w:rPr>
                <w:rFonts w:ascii="Times New Roman"/>
                <w:sz w:val="18"/>
              </w:rPr>
              <w:t>DF</w:t>
            </w:r>
          </w:p>
        </w:tc>
      </w:tr>
      <w:tr>
        <w:trPr>
          <w:trHeight w:val="71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22,760,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243.50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pict>
          <v:shape style="position:absolute;margin-left:472.679993pt;margin-top:86.651726pt;width:67.150pt;height:132pt;mso-position-horizontal-relative:page;mso-position-vertical-relative:paragraph;z-index:-8330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0" w:right="0"/>
                    <w:jc w:val="left"/>
                  </w:pPr>
                  <w:r>
                    <w:rPr/>
                    <w:t>万元，</w:t>
                  </w:r>
                </w:p>
              </w:txbxContent>
            </v:textbox>
            <w10:wrap type="none"/>
          </v:shape>
        </w:pict>
      </w: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p>
      <w:pPr>
        <w:spacing w:line="2640" w:lineRule="exact"/>
        <w:ind w:left="8957" w:right="0" w:firstLine="0"/>
        <w:rPr>
          <w:rFonts w:ascii="宋体" w:hAnsi="宋体" w:cs="宋体" w:eastAsia="宋体" w:hint="default"/>
          <w:sz w:val="20"/>
          <w:szCs w:val="20"/>
        </w:rPr>
      </w:pPr>
      <w:r>
        <w:rPr>
          <w:rFonts w:ascii="宋体" w:hAnsi="宋体" w:cs="宋体" w:eastAsia="宋体" w:hint="default"/>
          <w:position w:val="-52"/>
          <w:sz w:val="20"/>
          <w:szCs w:val="20"/>
        </w:rPr>
        <w:pict>
          <v:group style="width:43pt;height:132pt;mso-position-horizontal-relative:char;mso-position-vertical-relative:line" coordorigin="0,0" coordsize="860,2640">
            <v:group style="position:absolute;left:0;top:0;width:860;height:2640" coordorigin="0,0" coordsize="860,2640">
              <v:shape style="position:absolute;left:0;top:0;width:860;height:2640" coordorigin="0,0" coordsize="860,2640" path="m0,2640l859,2640,859,0,0,0,0,2640xe" filled="true" fillcolor="#ffffff" stroked="false">
                <v:path arrowok="t"/>
                <v:fill type="solid"/>
              </v:shape>
            </v:group>
          </v:group>
        </w:pict>
      </w:r>
      <w:r>
        <w:rPr>
          <w:rFonts w:ascii="宋体" w:hAnsi="宋体" w:cs="宋体" w:eastAsia="宋体" w:hint="default"/>
          <w:position w:val="-5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before="44"/>
        <w:ind w:left="0" w:right="1042"/>
        <w:jc w:val="right"/>
      </w:pPr>
      <w:r>
        <w:rPr/>
        <w:pict>
          <v:shape style="position:absolute;margin-left:56.459999pt;margin-top:-399.01828pt;width:484.1pt;height:464.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23"/>
                    <w:gridCol w:w="850"/>
                    <w:gridCol w:w="851"/>
                    <w:gridCol w:w="851"/>
                    <w:gridCol w:w="851"/>
                    <w:gridCol w:w="991"/>
                    <w:gridCol w:w="710"/>
                    <w:gridCol w:w="1142"/>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0" w:right="38"/>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0" w:right="7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5"/>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561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4"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37,120.35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37,808.97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 工艺装备技术 研发中心项 目</w:t>
                        </w:r>
                        <w:r>
                          <w:rPr>
                            <w:rFonts w:ascii="Times New Roman" w:hAnsi="Times New Roman" w:cs="Times New Roman" w:eastAsia="Times New Roman" w:hint="default"/>
                            <w:sz w:val="18"/>
                            <w:szCs w:val="18"/>
                          </w:rPr>
                          <w:t>”</w:t>
                        </w:r>
                        <w:r>
                          <w:rPr>
                            <w:rFonts w:ascii="宋体" w:hAnsi="宋体" w:cs="宋体" w:eastAsia="宋体" w:hint="default"/>
                            <w:sz w:val="18"/>
                            <w:szCs w:val="18"/>
                          </w:rPr>
                          <w:t>计划总投 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2,500</w:t>
                        </w:r>
                      </w:p>
                      <w:p>
                        <w:pPr>
                          <w:pStyle w:val="TableParagraph"/>
                          <w:spacing w:line="240" w:lineRule="exact"/>
                          <w:ind w:left="22" w:right="29"/>
                          <w:jc w:val="both"/>
                          <w:rPr>
                            <w:rFonts w:ascii="宋体" w:hAnsi="宋体" w:cs="宋体" w:eastAsia="宋体" w:hint="default"/>
                            <w:sz w:val="18"/>
                            <w:szCs w:val="18"/>
                          </w:rPr>
                        </w:pPr>
                        <w:r>
                          <w:rPr>
                            <w:rFonts w:ascii="宋体" w:hAnsi="宋体" w:cs="宋体" w:eastAsia="宋体" w:hint="default"/>
                            <w:sz w:val="18"/>
                            <w:szCs w:val="18"/>
                          </w:rPr>
                          <w:t>截至目前，该 项目实际累计 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元，尚余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 </w:t>
                        </w:r>
                        <w:r>
                          <w:rPr>
                            <w:rFonts w:ascii="宋体" w:hAnsi="宋体" w:cs="宋体" w:eastAsia="宋体" w:hint="default"/>
                            <w:sz w:val="18"/>
                            <w:szCs w:val="18"/>
                          </w:rPr>
                          <w:t>万元未使用； 为提高募集资 金使用效率， 促使公司经营 及股东利益最 大化，经审慎 研究，公司拟 终止</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 工艺装备技术 研发中心项 </w:t>
                        </w:r>
                        <w:r>
                          <w:rPr>
                            <w:rFonts w:ascii="宋体" w:hAnsi="宋体" w:cs="宋体" w:eastAsia="宋体" w:hint="default"/>
                            <w:spacing w:val="-11"/>
                            <w:w w:val="100"/>
                            <w:sz w:val="18"/>
                            <w:szCs w:val="18"/>
                          </w:rPr>
                          <w:t>目</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，并将余款</w:t>
                        </w:r>
                        <w:r>
                          <w:rPr>
                            <w:rFonts w:ascii="宋体" w:hAnsi="宋体" w:cs="宋体" w:eastAsia="宋体" w:hint="default"/>
                            <w:sz w:val="18"/>
                            <w:szCs w:val="18"/>
                          </w:rPr>
                          <w:t> </w:t>
                        </w:r>
                        <w:r>
                          <w:rPr>
                            <w:rFonts w:ascii="Times New Roman" w:hAnsi="Times New Roman" w:cs="Times New Roman" w:eastAsia="Times New Roman" w:hint="default"/>
                            <w:sz w:val="18"/>
                            <w:szCs w:val="18"/>
                          </w:rPr>
                          <w:t>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万元及其</w:t>
                        </w:r>
                      </w:p>
                      <w:p>
                        <w:pPr>
                          <w:pStyle w:val="TableParagraph"/>
                          <w:spacing w:line="240" w:lineRule="exact"/>
                          <w:ind w:left="22" w:right="29"/>
                          <w:jc w:val="left"/>
                          <w:rPr>
                            <w:rFonts w:ascii="宋体" w:hAnsi="宋体" w:cs="宋体" w:eastAsia="宋体" w:hint="default"/>
                            <w:sz w:val="18"/>
                            <w:szCs w:val="18"/>
                          </w:rPr>
                        </w:pPr>
                        <w:r>
                          <w:rPr>
                            <w:rFonts w:ascii="宋体" w:hAnsi="宋体" w:cs="宋体" w:eastAsia="宋体" w:hint="default"/>
                            <w:sz w:val="18"/>
                            <w:szCs w:val="18"/>
                          </w:rPr>
                          <w:t>利息永久性补 充流动资金。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37,120.35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4,702.42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37,808.97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2,190.14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w:t>
                        </w:r>
                      </w:p>
                    </w:tc>
                    <w:tc>
                      <w:tcPr>
                        <w:tcW w:w="71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364.00</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531" w:hRule="exact"/>
                    </w:trPr>
                    <w:tc>
                      <w:tcPr>
                        <w:tcW w:w="96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before="41"/>
                          <w:ind w:left="22" w:right="-47"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1757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文核准，并经深圳证券交易所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深证上〔</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429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文同意， </w:t>
                        </w:r>
                        <w:r>
                          <w:rPr>
                            <w:rFonts w:ascii="宋体" w:hAnsi="宋体" w:cs="宋体" w:eastAsia="宋体" w:hint="default"/>
                            <w:spacing w:val="-1"/>
                            <w:w w:val="99"/>
                            <w:sz w:val="18"/>
                            <w:szCs w:val="18"/>
                          </w:rPr>
                          <w:t>本公司向社会公开发行人民币普通股（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3,400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万股，每股面值为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元（人民币，下同），每股发行价格为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 </w:t>
                        </w:r>
                        <w:r>
                          <w:rPr>
                            <w:rFonts w:ascii="宋体" w:hAnsi="宋体" w:cs="宋体" w:eastAsia="宋体" w:hint="default"/>
                            <w:sz w:val="18"/>
                            <w:szCs w:val="18"/>
                          </w:rPr>
                          <w:t>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408,000,000.00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元，扣除保荐及承销费用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30,194,400.00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377,805,600.00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日全部存入本公司在中国银行股份有限公司盐城分行开立的募集资金验资专户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880108538018095001 </w:t>
                        </w:r>
                        <w:r>
                          <w:rPr>
                            <w:rFonts w:ascii="宋体" w:hAnsi="宋体" w:cs="宋体" w:eastAsia="宋体" w:hint="default"/>
                            <w:spacing w:val="-5"/>
                            <w:sz w:val="18"/>
                            <w:szCs w:val="18"/>
                          </w:rPr>
                          <w:t>账号中，扣</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减审计费、验资费、律师费、信息披露费等其他发行费用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6,602,086.76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元后，实际募集资金净额为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371,203,513.24</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元。上述</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募集资金净额已经上海众华沪银会计师事务所有限公司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《验资报告》审验。</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709"/>
        <w:gridCol w:w="850"/>
        <w:gridCol w:w="852"/>
        <w:gridCol w:w="708"/>
        <w:gridCol w:w="851"/>
        <w:gridCol w:w="709"/>
        <w:gridCol w:w="850"/>
        <w:gridCol w:w="709"/>
        <w:gridCol w:w="709"/>
        <w:gridCol w:w="707"/>
      </w:tblGrid>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16" w:right="87" w:hanging="631"/>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9"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6"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3" w:right="6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6"/>
              <w:ind w:left="77" w:right="7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6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81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1"/>
              <w:ind w:left="22" w:right="150"/>
              <w:jc w:val="left"/>
              <w:rPr>
                <w:rFonts w:ascii="宋体" w:hAnsi="宋体" w:cs="宋体" w:eastAsia="宋体" w:hint="default"/>
                <w:sz w:val="18"/>
                <w:szCs w:val="18"/>
              </w:rPr>
            </w:pPr>
            <w:r>
              <w:rPr>
                <w:rFonts w:ascii="宋体" w:hAnsi="宋体" w:cs="宋体" w:eastAsia="宋体" w:hint="default"/>
                <w:sz w:val="18"/>
                <w:szCs w:val="18"/>
              </w:rPr>
              <w:t>上海丰东年加工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8,200 </w:t>
            </w:r>
            <w:r>
              <w:rPr>
                <w:rFonts w:ascii="宋体" w:hAnsi="宋体" w:cs="宋体" w:eastAsia="宋体" w:hint="default"/>
                <w:sz w:val="18"/>
                <w:szCs w:val="18"/>
              </w:rPr>
              <w:t>吨精密热处理专业化配 套项目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4,880.00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4,880.00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13.77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4,861.99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99.63%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473.73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2.8pt;height:693.2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9"/>
                    <w:gridCol w:w="715"/>
                    <w:gridCol w:w="850"/>
                    <w:gridCol w:w="852"/>
                    <w:gridCol w:w="708"/>
                    <w:gridCol w:w="851"/>
                    <w:gridCol w:w="709"/>
                    <w:gridCol w:w="850"/>
                    <w:gridCol w:w="709"/>
                    <w:gridCol w:w="709"/>
                    <w:gridCol w:w="708"/>
                  </w:tblGrid>
                  <w:tr>
                    <w:trPr>
                      <w:trHeight w:val="5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南京丰东年热加工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吨金属材料生产线项目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4,029.84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2" w:right="145"/>
                          <w:jc w:val="left"/>
                          <w:rPr>
                            <w:rFonts w:ascii="宋体" w:hAnsi="宋体" w:cs="宋体" w:eastAsia="宋体" w:hint="default"/>
                            <w:sz w:val="18"/>
                            <w:szCs w:val="18"/>
                          </w:rPr>
                        </w:pPr>
                        <w:r>
                          <w:rPr>
                            <w:rFonts w:ascii="宋体" w:hAnsi="宋体" w:cs="宋体" w:eastAsia="宋体" w:hint="default"/>
                            <w:sz w:val="18"/>
                            <w:szCs w:val="18"/>
                          </w:rPr>
                          <w:t>重庆丰东年加工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吨汽摩等金属件节能热 处理技术改造建设项目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105.62%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
                          <w:jc w:val="left"/>
                          <w:rPr>
                            <w:rFonts w:ascii="宋体" w:hAnsi="宋体" w:cs="宋体" w:eastAsia="宋体" w:hint="default"/>
                            <w:sz w:val="18"/>
                            <w:szCs w:val="18"/>
                          </w:rPr>
                        </w:pPr>
                        <w:r>
                          <w:rPr>
                            <w:rFonts w:ascii="宋体" w:hAnsi="宋体" w:cs="宋体" w:eastAsia="宋体" w:hint="default"/>
                            <w:sz w:val="18"/>
                            <w:szCs w:val="18"/>
                          </w:rPr>
                          <w:t>天津丰东热处理设备的 </w:t>
                        </w:r>
                        <w:r>
                          <w:rPr>
                            <w:rFonts w:ascii="宋体" w:hAnsi="宋体" w:cs="宋体" w:eastAsia="宋体" w:hint="default"/>
                            <w:spacing w:val="-5"/>
                            <w:sz w:val="18"/>
                            <w:szCs w:val="18"/>
                          </w:rPr>
                          <w:t>研发、制造和热处理加工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left"/>
                          <w:rPr>
                            <w:rFonts w:ascii="宋体" w:hAnsi="宋体" w:cs="宋体" w:eastAsia="宋体" w:hint="default"/>
                            <w:sz w:val="18"/>
                            <w:szCs w:val="18"/>
                          </w:rPr>
                        </w:pPr>
                        <w:r>
                          <w:rPr>
                            <w:rFonts w:ascii="宋体" w:hAnsi="宋体" w:cs="宋体" w:eastAsia="宋体" w:hint="default"/>
                            <w:sz w:val="18"/>
                            <w:szCs w:val="18"/>
                          </w:rPr>
                          <w:t>公司本部热处理工艺装 备技术研发中心项目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2,045.08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81.80%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632.42</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14,827.35</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829.23</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6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5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研发中心大厦项目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1,826.10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101.45%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收购重庆丰东股权</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收购青岛丰东股权</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投资设立北京丰东</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
                          <w:jc w:val="left"/>
                          <w:rPr>
                            <w:rFonts w:ascii="宋体" w:hAnsi="宋体" w:cs="宋体" w:eastAsia="宋体" w:hint="default"/>
                            <w:sz w:val="18"/>
                            <w:szCs w:val="18"/>
                          </w:rPr>
                        </w:pPr>
                        <w:r>
                          <w:rPr>
                            <w:rFonts w:ascii="宋体" w:hAnsi="宋体" w:cs="宋体" w:eastAsia="宋体" w:hint="default"/>
                            <w:sz w:val="18"/>
                            <w:szCs w:val="18"/>
                          </w:rPr>
                          <w:t>天津丰东热处理设备的 </w:t>
                        </w:r>
                        <w:r>
                          <w:rPr>
                            <w:rFonts w:ascii="宋体" w:hAnsi="宋体" w:cs="宋体" w:eastAsia="宋体" w:hint="default"/>
                            <w:spacing w:val="-5"/>
                            <w:sz w:val="18"/>
                            <w:szCs w:val="18"/>
                          </w:rPr>
                          <w:t>研发、制造和热处理加工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1"/>
                          <w:ind w:left="22" w:right="145"/>
                          <w:jc w:val="left"/>
                          <w:rPr>
                            <w:rFonts w:ascii="宋体" w:hAnsi="宋体" w:cs="宋体" w:eastAsia="宋体" w:hint="default"/>
                            <w:sz w:val="18"/>
                            <w:szCs w:val="18"/>
                          </w:rPr>
                        </w:pPr>
                        <w:r>
                          <w:rPr>
                            <w:rFonts w:ascii="宋体" w:hAnsi="宋体" w:cs="宋体" w:eastAsia="宋体" w:hint="default"/>
                            <w:sz w:val="18"/>
                            <w:szCs w:val="18"/>
                          </w:rPr>
                          <w:t>潍坊丰东热处理配套加 工服务项目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c>
                      <w:tcPr>
                        <w:tcW w:w="7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9,548.42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9,548.42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4,057.40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10,557.40</w:t>
                        </w:r>
                      </w:p>
                    </w:tc>
                    <w:tc>
                      <w:tcPr>
                        <w:tcW w:w="7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110.57%</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21,940.35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21,940.35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4,070.00</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22,981.62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122.21</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37,120.35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4,702.42</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37,808.97</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951.44</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846" w:hRule="exact"/>
                    </w:trPr>
                    <w:tc>
                      <w:tcPr>
                        <w:tcW w:w="1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61" w:type="dxa"/>
                        <w:gridSpan w:val="10"/>
                        <w:vMerge w:val="restart"/>
                        <w:tcBorders>
                          <w:top w:val="single" w:sz="4" w:space="0" w:color="000000"/>
                          <w:left w:val="single" w:sz="9" w:space="0" w:color="D2D2D2"/>
                          <w:right w:val="single" w:sz="4" w:space="0" w:color="000000"/>
                        </w:tcBorders>
                      </w:tcPr>
                      <w:p>
                        <w:pPr>
                          <w:pStyle w:val="TableParagraph"/>
                          <w:spacing w:line="237" w:lineRule="auto" w:before="3"/>
                          <w:ind w:left="21" w:right="23" w:firstLine="36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、重庆丰东年加工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吨汽摩等金属件节能热处理技术改造建设项目：由于项目用地情况 发生变化以及近年来受下游客户经营形势影响较大，本着谨慎和保障投资效益的综合考虑，经公 司第二届董事会第二十二次会议、</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年第一次临时股东大会审议通过，项目由</w:t>
                        </w:r>
                        <w:r>
                          <w:rPr>
                            <w:rFonts w:ascii="Times New Roman" w:hAnsi="Times New Roman" w:cs="Times New Roman" w:eastAsia="Times New Roman" w:hint="default"/>
                            <w:sz w:val="18"/>
                            <w:szCs w:val="18"/>
                          </w:rPr>
                          <w:t>“</w:t>
                        </w:r>
                        <w:r>
                          <w:rPr>
                            <w:rFonts w:ascii="宋体" w:hAnsi="宋体" w:cs="宋体" w:eastAsia="宋体" w:hint="default"/>
                            <w:sz w:val="18"/>
                            <w:szCs w:val="18"/>
                          </w:rPr>
                          <w:t>年加工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p>
                      <w:p>
                        <w:pPr>
                          <w:pStyle w:val="TableParagraph"/>
                          <w:spacing w:line="236" w:lineRule="exact"/>
                          <w:ind w:left="21" w:right="0"/>
                          <w:jc w:val="both"/>
                          <w:rPr>
                            <w:rFonts w:ascii="宋体" w:hAnsi="宋体" w:cs="宋体" w:eastAsia="宋体" w:hint="default"/>
                            <w:sz w:val="18"/>
                            <w:szCs w:val="18"/>
                          </w:rPr>
                        </w:pPr>
                        <w:r>
                          <w:rPr>
                            <w:rFonts w:ascii="宋体" w:hAnsi="宋体" w:cs="宋体" w:eastAsia="宋体" w:hint="default"/>
                            <w:sz w:val="18"/>
                            <w:szCs w:val="18"/>
                          </w:rPr>
                          <w:t>吨汽摩等金属件节能热处理技术改造建设项目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年加工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吨汽摩等金属件节能热处理</w:t>
                        </w:r>
                      </w:p>
                      <w:p>
                        <w:pPr>
                          <w:pStyle w:val="TableParagraph"/>
                          <w:spacing w:line="240" w:lineRule="exact"/>
                          <w:ind w:left="21" w:right="0"/>
                          <w:jc w:val="both"/>
                          <w:rPr>
                            <w:rFonts w:ascii="宋体" w:hAnsi="宋体" w:cs="宋体" w:eastAsia="宋体" w:hint="default"/>
                            <w:sz w:val="18"/>
                            <w:szCs w:val="18"/>
                          </w:rPr>
                        </w:pPr>
                        <w:r>
                          <w:rPr>
                            <w:rFonts w:ascii="宋体" w:hAnsi="宋体" w:cs="宋体" w:eastAsia="宋体" w:hint="default"/>
                            <w:spacing w:val="-4"/>
                            <w:sz w:val="18"/>
                            <w:szCs w:val="18"/>
                          </w:rPr>
                          <w:t>技术改造建设项目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，公司单方面减少注册资本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1,982.03</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万元，减资退回公司金额为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2,190.14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239" w:lineRule="exact"/>
                          <w:ind w:left="21" w:right="0"/>
                          <w:jc w:val="both"/>
                          <w:rPr>
                            <w:rFonts w:ascii="宋体" w:hAnsi="宋体" w:cs="宋体" w:eastAsia="宋体" w:hint="default"/>
                            <w:sz w:val="18"/>
                            <w:szCs w:val="18"/>
                          </w:rPr>
                        </w:pPr>
                        <w:r>
                          <w:rPr>
                            <w:rFonts w:ascii="宋体" w:hAnsi="宋体" w:cs="宋体" w:eastAsia="宋体" w:hint="default"/>
                            <w:sz w:val="18"/>
                            <w:szCs w:val="18"/>
                          </w:rPr>
                          <w:t>调整后该项目计划投资总额为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1,609.86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万元，另有专户利息余额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1,694.49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4" w:lineRule="exact"/>
                          <w:ind w:left="21" w:right="0"/>
                          <w:jc w:val="both"/>
                          <w:rPr>
                            <w:rFonts w:ascii="宋体" w:hAnsi="宋体" w:cs="宋体" w:eastAsia="宋体" w:hint="default"/>
                            <w:sz w:val="18"/>
                            <w:szCs w:val="18"/>
                          </w:rPr>
                        </w:pPr>
                        <w:r>
                          <w:rPr>
                            <w:rFonts w:ascii="宋体" w:hAnsi="宋体" w:cs="宋体" w:eastAsia="宋体" w:hint="default"/>
                            <w:sz w:val="18"/>
                            <w:szCs w:val="18"/>
                          </w:rPr>
                          <w:t>截至本报告期末，已累计支付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万元，已完成投资计划。</w:t>
                        </w:r>
                      </w:p>
                      <w:p>
                        <w:pPr>
                          <w:pStyle w:val="TableParagraph"/>
                          <w:spacing w:line="238" w:lineRule="exact" w:before="32"/>
                          <w:ind w:left="21" w:right="23" w:firstLine="360"/>
                          <w:jc w:val="both"/>
                          <w:rPr>
                            <w:rFonts w:ascii="宋体" w:hAnsi="宋体" w:cs="宋体" w:eastAsia="宋体" w:hint="default"/>
                            <w:sz w:val="18"/>
                            <w:szCs w:val="18"/>
                          </w:rPr>
                        </w:pPr>
                        <w:r>
                          <w:rPr>
                            <w:rFonts w:ascii="宋体" w:hAnsi="宋体" w:cs="宋体" w:eastAsia="宋体" w:hint="default"/>
                            <w:sz w:val="18"/>
                            <w:szCs w:val="18"/>
                          </w:rPr>
                          <w:t>报告期内，该募集资金投资项目实现收入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766.72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万元，但由于受市场影响，同时重庆丰东质 量控制有待加强，本报告期内未形成利润，未实现预计收益。</w:t>
                        </w:r>
                      </w:p>
                      <w:p>
                        <w:pPr>
                          <w:pStyle w:val="TableParagraph"/>
                          <w:spacing w:line="244" w:lineRule="exact" w:before="2"/>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、公司本部热处理工艺装备技术研发中心项目：该项目计划投资额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万元，截至本报告</w:t>
                        </w:r>
                      </w:p>
                      <w:p>
                        <w:pPr>
                          <w:pStyle w:val="TableParagraph"/>
                          <w:spacing w:line="252" w:lineRule="auto"/>
                          <w:ind w:left="381" w:right="61" w:hanging="360"/>
                          <w:jc w:val="left"/>
                          <w:rPr>
                            <w:rFonts w:ascii="宋体" w:hAnsi="宋体" w:cs="宋体" w:eastAsia="宋体" w:hint="default"/>
                            <w:sz w:val="18"/>
                            <w:szCs w:val="18"/>
                          </w:rPr>
                        </w:pPr>
                        <w:r>
                          <w:rPr>
                            <w:rFonts w:ascii="宋体" w:hAnsi="宋体" w:cs="宋体" w:eastAsia="宋体" w:hint="default"/>
                            <w:sz w:val="18"/>
                            <w:szCs w:val="18"/>
                          </w:rPr>
                          <w:t>期末，累计投入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万元，其中已完成支付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2,045.08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万元，占计划投资额的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81.80%</w:t>
                        </w:r>
                        <w:r>
                          <w:rPr>
                            <w:rFonts w:ascii="宋体" w:hAnsi="宋体" w:cs="宋体" w:eastAsia="宋体" w:hint="default"/>
                            <w:sz w:val="18"/>
                            <w:szCs w:val="18"/>
                          </w:rPr>
                          <w:t>。 该项目是科研项目，主要是研发智能可控气氛渗氮、渗碳多用炉、智能真空超高压气淬、真</w:t>
                        </w:r>
                      </w:p>
                      <w:p>
                        <w:pPr>
                          <w:pStyle w:val="TableParagraph"/>
                          <w:spacing w:line="237" w:lineRule="auto"/>
                          <w:ind w:left="21" w:right="61"/>
                          <w:jc w:val="both"/>
                          <w:rPr>
                            <w:rFonts w:ascii="宋体" w:hAnsi="宋体" w:cs="宋体" w:eastAsia="宋体" w:hint="default"/>
                            <w:sz w:val="18"/>
                            <w:szCs w:val="18"/>
                          </w:rPr>
                        </w:pPr>
                        <w:r>
                          <w:rPr>
                            <w:rFonts w:ascii="宋体" w:hAnsi="宋体" w:cs="宋体" w:eastAsia="宋体" w:hint="default"/>
                            <w:sz w:val="18"/>
                            <w:szCs w:val="18"/>
                          </w:rPr>
                          <w:t>空渗碳油淬炉、等离子热处理炉等试验装置；热处理温度场、流场模拟、淬火工艺数值模拟等热 处理工艺技术开发；</w:t>
                        </w:r>
                        <w:r>
                          <w:rPr>
                            <w:rFonts w:ascii="Times New Roman" w:hAnsi="Times New Roman" w:cs="Times New Roman" w:eastAsia="Times New Roman" w:hint="default"/>
                            <w:sz w:val="18"/>
                            <w:szCs w:val="18"/>
                          </w:rPr>
                          <w:t>PDM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图文档信息系统及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企业信息化管理系统等内容。截至本报告期末 上述大部分项目已实施完毕并开始产业化应用。</w:t>
                        </w:r>
                      </w:p>
                      <w:p>
                        <w:pPr>
                          <w:pStyle w:val="TableParagraph"/>
                          <w:spacing w:line="245" w:lineRule="exact" w:before="26"/>
                          <w:ind w:left="38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、天津丰东热处理设备的研发、制造和热处理加工项目：该项目使用募集资金 </w:t>
                        </w:r>
                        <w:r>
                          <w:rPr>
                            <w:rFonts w:ascii="Times New Roman" w:hAnsi="Times New Roman" w:cs="Times New Roman" w:eastAsia="Times New Roman" w:hint="default"/>
                            <w:sz w:val="18"/>
                            <w:szCs w:val="18"/>
                          </w:rPr>
                          <w:t>3,056.77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p>
                        <w:pPr>
                          <w:pStyle w:val="TableParagraph"/>
                          <w:spacing w:line="238" w:lineRule="exact" w:before="15"/>
                          <w:ind w:left="21" w:right="113"/>
                          <w:jc w:val="both"/>
                          <w:rPr>
                            <w:rFonts w:ascii="宋体" w:hAnsi="宋体" w:cs="宋体" w:eastAsia="宋体" w:hint="default"/>
                            <w:sz w:val="18"/>
                            <w:szCs w:val="18"/>
                          </w:rPr>
                        </w:pPr>
                        <w:r>
                          <w:rPr>
                            <w:rFonts w:ascii="宋体" w:hAnsi="宋体" w:cs="宋体" w:eastAsia="宋体" w:hint="default"/>
                            <w:sz w:val="18"/>
                            <w:szCs w:val="18"/>
                          </w:rPr>
                          <w:t>不足部分使用自有资金投入。截至本报告期末，已按合同申请从募集资金专户支付</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3,062.73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 完成了募集资金投资计划。目前新工厂已建设完毕，主体工程已投入使用。</w:t>
                        </w:r>
                      </w:p>
                    </w:tc>
                  </w:tr>
                  <w:tr>
                    <w:trPr>
                      <w:trHeight w:val="760" w:hRule="exact"/>
                    </w:trPr>
                    <w:tc>
                      <w:tcPr>
                        <w:tcW w:w="19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1"/>
                          <w:ind w:left="22" w:right="15"/>
                          <w:jc w:val="left"/>
                          <w:rPr>
                            <w:rFonts w:ascii="宋体" w:hAnsi="宋体" w:cs="宋体" w:eastAsia="宋体" w:hint="default"/>
                            <w:sz w:val="18"/>
                            <w:szCs w:val="18"/>
                          </w:rPr>
                        </w:pPr>
                        <w:r>
                          <w:rPr>
                            <w:rFonts w:ascii="宋体" w:hAnsi="宋体" w:cs="宋体" w:eastAsia="宋体" w:hint="default"/>
                            <w:sz w:val="18"/>
                            <w:szCs w:val="18"/>
                          </w:rPr>
                          <w:t>未达到计划进度或预计 </w:t>
                        </w:r>
                        <w:r>
                          <w:rPr>
                            <w:rFonts w:ascii="宋体" w:hAnsi="宋体" w:cs="宋体" w:eastAsia="宋体" w:hint="default"/>
                            <w:spacing w:val="-5"/>
                            <w:sz w:val="18"/>
                            <w:szCs w:val="18"/>
                          </w:rPr>
                          <w:t>收益的情况和原因（分具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体项目）</w:t>
                        </w:r>
                      </w:p>
                    </w:tc>
                    <w:tc>
                      <w:tcPr>
                        <w:tcW w:w="7661" w:type="dxa"/>
                        <w:gridSpan w:val="10"/>
                        <w:vMerge/>
                        <w:tcBorders>
                          <w:left w:val="single" w:sz="9" w:space="0" w:color="D2D2D2"/>
                          <w:right w:val="single" w:sz="4" w:space="0" w:color="000000"/>
                        </w:tcBorders>
                      </w:tcPr>
                      <w:p>
                        <w:pPr/>
                      </w:p>
                    </w:tc>
                  </w:tr>
                  <w:tr>
                    <w:trPr>
                      <w:trHeight w:val="1845" w:hRule="exact"/>
                    </w:trPr>
                    <w:tc>
                      <w:tcPr>
                        <w:tcW w:w="1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61" w:type="dxa"/>
                        <w:gridSpan w:val="10"/>
                        <w:vMerge/>
                        <w:tcBorders>
                          <w:left w:val="single" w:sz="9" w:space="0" w:color="D2D2D2"/>
                          <w:bottom w:val="single" w:sz="4" w:space="0" w:color="000000"/>
                          <w:right w:val="single" w:sz="4" w:space="0" w:color="000000"/>
                        </w:tcBorders>
                      </w:tcPr>
                      <w:p>
                        <w:pPr/>
                      </w:p>
                    </w:tc>
                  </w:tr>
                  <w:tr>
                    <w:trPr>
                      <w:trHeight w:val="57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45"/>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7661"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42"/>
                          <w:ind w:left="381"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0" w:right="1068"/>
        <w:jc w:val="right"/>
      </w:pPr>
      <w:r>
        <w:rPr/>
        <w:t>。</w:t>
      </w:r>
    </w:p>
    <w:p>
      <w:pPr>
        <w:pStyle w:val="BodyText"/>
        <w:spacing w:line="240" w:lineRule="auto" w:before="4"/>
        <w:ind w:left="0" w:right="106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068"/>
        <w:jc w:val="right"/>
      </w:pPr>
      <w:r>
        <w:rPr/>
        <w:t>，</w:t>
      </w:r>
    </w:p>
    <w:p>
      <w:pPr>
        <w:spacing w:line="240" w:lineRule="auto" w:before="11"/>
        <w:rPr>
          <w:rFonts w:ascii="宋体" w:hAnsi="宋体" w:cs="宋体" w:eastAsia="宋体" w:hint="default"/>
          <w:sz w:val="16"/>
          <w:szCs w:val="16"/>
        </w:rPr>
      </w:pPr>
    </w:p>
    <w:p>
      <w:pPr>
        <w:pStyle w:val="BodyText"/>
        <w:spacing w:line="240" w:lineRule="auto" w:before="44"/>
        <w:ind w:left="0" w:right="1067"/>
        <w:jc w:val="right"/>
      </w:pPr>
      <w:r>
        <w:rPr/>
        <w:t>，</w:t>
      </w:r>
    </w:p>
    <w:p>
      <w:pPr>
        <w:pStyle w:val="BodyText"/>
        <w:spacing w:line="240" w:lineRule="auto" w:before="4"/>
        <w:ind w:left="0" w:right="1068"/>
        <w:jc w:val="right"/>
      </w:pPr>
      <w:r>
        <w:rPr/>
        <w:t>，</w:t>
      </w:r>
    </w:p>
    <w:p>
      <w:pPr>
        <w:spacing w:after="0" w:line="240" w:lineRule="auto"/>
        <w:jc w:val="right"/>
        <w:sectPr>
          <w:pgSz w:w="11910" w:h="16840"/>
          <w:pgMar w:header="768"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2.8pt;height:697.7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7656"/>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超募资金的金额、用途及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使用进展情况</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35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2" w:right="0"/>
                          <w:jc w:val="left"/>
                          <w:rPr>
                            <w:rFonts w:ascii="宋体" w:hAnsi="宋体" w:cs="宋体" w:eastAsia="宋体" w:hint="default"/>
                            <w:sz w:val="18"/>
                            <w:szCs w:val="18"/>
                          </w:rPr>
                        </w:pPr>
                        <w:r>
                          <w:rPr>
                            <w:rFonts w:ascii="宋体" w:hAnsi="宋体" w:cs="宋体" w:eastAsia="宋体" w:hint="default"/>
                            <w:sz w:val="18"/>
                            <w:szCs w:val="18"/>
                          </w:rPr>
                          <w:t>公司本次募集资金净额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37,120.35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万元，其中超募资金金额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21,940.35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35" w:lineRule="exact"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日，经公司第二届董事会第三次会议审议通过，同意公司使用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超募资金偿还银行贷款及使用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万元超募资金永久性补充公司流动资金。公司于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万元归还江苏大丰农村合作银行借款，将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万元归还中国农业银行股份有限公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司大丰支行借款，并将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万元转出募集资金专户，补充公司流动资金。</w:t>
                        </w:r>
                      </w:p>
                      <w:p>
                        <w:pPr>
                          <w:pStyle w:val="TableParagraph"/>
                          <w:spacing w:line="234" w:lineRule="exact"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日，经公司第二届董事会第五次会议审议通过，同意公司使用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超募资金建设研发中心大厦项目。研发中心大厦已于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日交付使用。</w:t>
                        </w:r>
                      </w:p>
                      <w:p>
                        <w:pPr>
                          <w:pStyle w:val="TableParagraph"/>
                          <w:spacing w:line="211" w:lineRule="auto" w:before="36"/>
                          <w:ind w:left="22" w:right="23"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日，经公司第二届董事会第七次会议审议通过，同意公司使用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超募资金收购子公司重庆丰东神五热处理工程有限公司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3.772%</w:t>
                        </w:r>
                        <w:r>
                          <w:rPr>
                            <w:rFonts w:ascii="宋体" w:hAnsi="宋体" w:cs="宋体" w:eastAsia="宋体" w:hint="default"/>
                            <w:sz w:val="18"/>
                            <w:szCs w:val="18"/>
                          </w:rPr>
                          <w:t>股权和使用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万元超募资金收购 子公司青岛丰东热处理有限公司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日完成向上述 子公司股东支付股权转让款，并已完成工商变更手续。</w:t>
                        </w:r>
                      </w:p>
                      <w:p>
                        <w:pPr>
                          <w:pStyle w:val="TableParagraph"/>
                          <w:spacing w:line="234" w:lineRule="exact" w:before="28"/>
                          <w:ind w:left="38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日，经公司第二届董事会第十七次会议审议通过，同意公司使用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2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元超募资金偿还银行贷款及使用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万元超募资金永久性补充公司流动资金。公司于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20" w:lineRule="exact" w:before="19"/>
                          <w:ind w:left="22" w:right="6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万元转出募集资金专户，其中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日归还中国建设银行 股份有限公司大丰支行借款。</w:t>
                        </w:r>
                      </w:p>
                      <w:p>
                        <w:pPr>
                          <w:pStyle w:val="TableParagraph"/>
                          <w:spacing w:line="211" w:lineRule="auto" w:before="30"/>
                          <w:ind w:left="22" w:right="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日，经公司第二届董事会第十九次会议审议通过，同意公司使用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w:t>
                        </w:r>
                        <w:r>
                          <w:rPr>
                            <w:rFonts w:ascii="宋体" w:hAnsi="宋体" w:cs="宋体" w:eastAsia="宋体" w:hint="default"/>
                            <w:spacing w:val="-3"/>
                            <w:w w:val="100"/>
                            <w:sz w:val="18"/>
                            <w:szCs w:val="18"/>
                          </w:rPr>
                          <w:t>超募资金投资设立子公司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北京丰东建通工业炉科技有限公司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北京丰东</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）。公司于</w:t>
                        </w:r>
                        <w:r>
                          <w:rPr>
                            <w:rFonts w:ascii="宋体" w:hAnsi="宋体" w:cs="宋体" w:eastAsia="宋体" w:hint="default"/>
                            <w:spacing w:val="-50"/>
                            <w:w w:val="100"/>
                            <w:sz w:val="18"/>
                            <w:szCs w:val="18"/>
                          </w:rPr>
                          <w:t> </w:t>
                        </w:r>
                        <w:r>
                          <w:rPr>
                            <w:rFonts w:ascii="宋体" w:hAnsi="宋体" w:cs="宋体" w:eastAsia="宋体" w:hint="default"/>
                            <w:spacing w:val="-50"/>
                            <w:w w:val="100"/>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日汇出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万元注册资金，北京丰东于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日完成工商登记手续。</w:t>
                        </w:r>
                      </w:p>
                      <w:p>
                        <w:pPr>
                          <w:pStyle w:val="TableParagraph"/>
                          <w:spacing w:line="220" w:lineRule="exact" w:before="50"/>
                          <w:ind w:left="22" w:right="-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866.63 </w:t>
                        </w:r>
                        <w:r>
                          <w:rPr>
                            <w:rFonts w:ascii="宋体" w:hAnsi="宋体" w:cs="宋体" w:eastAsia="宋体" w:hint="default"/>
                            <w:sz w:val="18"/>
                            <w:szCs w:val="18"/>
                          </w:rPr>
                          <w:t>万元超募资金增资天津丰东，并由天津丰东实施</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热处理设备的研发、制造和热处理加工项目</w:t>
                        </w:r>
                        <w:r>
                          <w:rPr>
                            <w:rFonts w:ascii="Times New Roman" w:hAnsi="Times New Roman" w:cs="Times New Roman" w:eastAsia="Times New Roman" w:hint="default"/>
                            <w:sz w:val="18"/>
                            <w:szCs w:val="18"/>
                          </w:rPr>
                          <w:t>” </w:t>
                        </w:r>
                        <w:r>
                          <w:rPr>
                            <w:rFonts w:ascii="宋体" w:hAnsi="宋体" w:cs="宋体" w:eastAsia="宋体" w:hint="default"/>
                            <w:sz w:val="18"/>
                            <w:szCs w:val="18"/>
                          </w:rPr>
                          <w:t>。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万元超募资金转出，用于支付增资款。</w:t>
                        </w:r>
                      </w:p>
                      <w:p>
                        <w:pPr>
                          <w:pStyle w:val="TableParagraph"/>
                          <w:spacing w:line="234" w:lineRule="exact" w:before="6"/>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日，经公司第二届董事会第二十五次会议审议通过，同意公司使用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万元超募资金投资设立子公司潍坊丰东</w:t>
                        </w:r>
                        <w:r>
                          <w:rPr>
                            <w:rFonts w:ascii="宋体" w:hAnsi="宋体" w:cs="宋体" w:eastAsia="宋体" w:hint="default"/>
                            <w:spacing w:val="-17"/>
                            <w:sz w:val="18"/>
                            <w:szCs w:val="18"/>
                          </w:rPr>
                          <w:t>。</w:t>
                        </w:r>
                        <w:r>
                          <w:rPr>
                            <w:rFonts w:ascii="宋体" w:hAnsi="宋体" w:cs="宋体" w:eastAsia="宋体" w:hint="default"/>
                            <w:sz w:val="18"/>
                            <w:szCs w:val="18"/>
                          </w:rPr>
                          <w:t>根据潍坊丰</w:t>
                        </w:r>
                        <w:r>
                          <w:rPr>
                            <w:rFonts w:ascii="宋体" w:hAnsi="宋体" w:cs="宋体" w:eastAsia="宋体" w:hint="default"/>
                            <w:spacing w:val="-17"/>
                            <w:sz w:val="18"/>
                            <w:szCs w:val="18"/>
                          </w:rPr>
                          <w:t>东</w:t>
                        </w:r>
                        <w:r>
                          <w:rPr>
                            <w:rFonts w:ascii="宋体" w:hAnsi="宋体" w:cs="宋体" w:eastAsia="宋体" w:hint="default"/>
                            <w:sz w:val="18"/>
                            <w:szCs w:val="18"/>
                          </w:rPr>
                          <w:t>《公司章程</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潍坊丰东支付首期出资款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日支付剩余出资款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35" w:lineRule="exact" w:before="10"/>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8</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年第一次临时股东大会审议通过，同意公司使用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3,048.42</w:t>
                        </w:r>
                      </w:p>
                      <w:p>
                        <w:pPr>
                          <w:pStyle w:val="TableParagraph"/>
                          <w:spacing w:line="220" w:lineRule="exact" w:before="20"/>
                          <w:ind w:left="22" w:right="61"/>
                          <w:jc w:val="left"/>
                          <w:rPr>
                            <w:rFonts w:ascii="宋体" w:hAnsi="宋体" w:cs="宋体" w:eastAsia="宋体" w:hint="default"/>
                            <w:sz w:val="18"/>
                            <w:szCs w:val="18"/>
                          </w:rPr>
                        </w:pPr>
                        <w:r>
                          <w:rPr>
                            <w:rFonts w:ascii="宋体" w:hAnsi="宋体" w:cs="宋体" w:eastAsia="宋体" w:hint="default"/>
                            <w:sz w:val="18"/>
                            <w:szCs w:val="18"/>
                          </w:rPr>
                          <w:t>万元超募资金及利息永久性补充公司流动资金。公司于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万元（含累 计利息）转出募集资金专户，补充公司流动资金。</w:t>
                        </w:r>
                      </w:p>
                    </w:tc>
                  </w:tr>
                  <w:tr>
                    <w:trPr>
                      <w:trHeight w:val="5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7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382" w:right="0"/>
                          <w:jc w:val="left"/>
                          <w:rPr>
                            <w:rFonts w:ascii="宋体" w:hAnsi="宋体" w:cs="宋体" w:eastAsia="宋体" w:hint="default"/>
                            <w:sz w:val="18"/>
                            <w:szCs w:val="18"/>
                          </w:rPr>
                        </w:pPr>
                        <w:r>
                          <w:rPr>
                            <w:rFonts w:ascii="宋体" w:hAnsi="宋体" w:cs="宋体" w:eastAsia="宋体" w:hint="default"/>
                            <w:sz w:val="18"/>
                            <w:szCs w:val="18"/>
                          </w:rPr>
                          <w:t>公司在募集资金到位前已先期建设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吨精密热处理专业化配套项目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年热加工</w:t>
                        </w:r>
                      </w:p>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吨金属材料生产线项目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吨汽摩等金属件节能热处理技术改造建设项目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上述项目使用自筹资金预先投入募投项目的实际投资额为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2,051.96 </w:t>
                        </w:r>
                        <w:r>
                          <w:rPr>
                            <w:rFonts w:ascii="宋体" w:hAnsi="宋体" w:cs="宋体" w:eastAsia="宋体" w:hint="default"/>
                            <w:sz w:val="18"/>
                            <w:szCs w:val="18"/>
                          </w:rPr>
                          <w:t>万元，已经上海众华沪银会计</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师事务所有限公司出具的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《关于江苏丰东热技术股份有限公司以自筹</w:t>
                        </w:r>
                      </w:p>
                      <w:p>
                        <w:pPr>
                          <w:pStyle w:val="TableParagraph"/>
                          <w:spacing w:line="220" w:lineRule="exact" w:before="20"/>
                          <w:ind w:left="22" w:right="24"/>
                          <w:jc w:val="left"/>
                          <w:rPr>
                            <w:rFonts w:ascii="宋体" w:hAnsi="宋体" w:cs="宋体" w:eastAsia="宋体" w:hint="default"/>
                            <w:sz w:val="18"/>
                            <w:szCs w:val="18"/>
                          </w:rPr>
                        </w:pPr>
                        <w:r>
                          <w:rPr>
                            <w:rFonts w:ascii="宋体" w:hAnsi="宋体" w:cs="宋体" w:eastAsia="宋体" w:hint="default"/>
                            <w:sz w:val="18"/>
                            <w:szCs w:val="18"/>
                          </w:rPr>
                          <w:t>资金预先投入募投项目的鉴证报告》审验确认。</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日公司第二届董事会第四次会议 </w:t>
                        </w:r>
                        <w:r>
                          <w:rPr>
                            <w:rFonts w:ascii="宋体" w:hAnsi="宋体" w:cs="宋体" w:eastAsia="宋体" w:hint="default"/>
                            <w:spacing w:val="-4"/>
                            <w:sz w:val="18"/>
                            <w:szCs w:val="18"/>
                          </w:rPr>
                          <w:t>审议通过了《关于用募集资金置换预先已投入募投项目自筹资金的议案》，同意使用募集资金置换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已预先投入募投项目的自筹资金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2,051.96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日，南京丰东从募集资金专户中</w:t>
                        </w:r>
                      </w:p>
                      <w:p>
                        <w:pPr>
                          <w:pStyle w:val="TableParagraph"/>
                          <w:spacing w:line="20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置换转出前期投入的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404.31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日，上海昂先置换转出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1,365.95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日，重庆丰东置换转出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万元。前期投入置换转出没有发生违规操作。</w:t>
                        </w:r>
                      </w:p>
                    </w:tc>
                  </w:tr>
                  <w:tr>
                    <w:trPr>
                      <w:trHeight w:val="5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1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38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热处理工艺装备技术研发中心项目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万元，截至目前，该项目实际累计投入</w:t>
                        </w:r>
                      </w:p>
                      <w:p>
                        <w:pPr>
                          <w:pStyle w:val="TableParagraph"/>
                          <w:spacing w:line="216" w:lineRule="auto" w:before="7"/>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2,136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万元，尚余</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万元未使用。</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热处理工艺装备技术研发中心项目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建设的目的主要是为了储 备新技术并快速实现产业化应用，公司建设的开发试验装置均属于未来具有较大市场空间的设备 而原计划建设的</w:t>
                        </w:r>
                        <w:r>
                          <w:rPr>
                            <w:rFonts w:ascii="Times New Roman" w:hAnsi="Times New Roman" w:cs="Times New Roman" w:eastAsia="Times New Roman" w:hint="default"/>
                            <w:sz w:val="18"/>
                            <w:szCs w:val="18"/>
                          </w:rPr>
                          <w:t>“</w:t>
                        </w:r>
                        <w:r>
                          <w:rPr>
                            <w:rFonts w:ascii="宋体" w:hAnsi="宋体" w:cs="宋体" w:eastAsia="宋体" w:hint="default"/>
                            <w:sz w:val="18"/>
                            <w:szCs w:val="18"/>
                          </w:rPr>
                          <w:t>有马弗智能多用炉试验装置</w:t>
                        </w:r>
                        <w:r>
                          <w:rPr>
                            <w:rFonts w:ascii="Times New Roman" w:hAnsi="Times New Roman" w:cs="Times New Roman" w:eastAsia="Times New Roman" w:hint="default"/>
                            <w:sz w:val="18"/>
                            <w:szCs w:val="18"/>
                          </w:rPr>
                          <w:t>”</w:t>
                        </w:r>
                        <w:r>
                          <w:rPr>
                            <w:rFonts w:ascii="宋体" w:hAnsi="宋体" w:cs="宋体" w:eastAsia="宋体" w:hint="default"/>
                            <w:sz w:val="18"/>
                            <w:szCs w:val="18"/>
                          </w:rPr>
                          <w:t>（计划投资总额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万元）因市场需求发生变化， 公司决定不再建设该装置；原计划购买的检测设备，如直读光谱仪、全自动气体相色谱分析仪等</w:t>
                        </w:r>
                      </w:p>
                      <w:p>
                        <w:pPr>
                          <w:pStyle w:val="TableParagraph"/>
                          <w:spacing w:line="218" w:lineRule="auto" w:before="6"/>
                          <w:ind w:left="22" w:right="21"/>
                          <w:jc w:val="both"/>
                          <w:rPr>
                            <w:rFonts w:ascii="宋体" w:hAnsi="宋体" w:cs="宋体" w:eastAsia="宋体" w:hint="default"/>
                            <w:sz w:val="18"/>
                            <w:szCs w:val="18"/>
                          </w:rPr>
                        </w:pPr>
                        <w:r>
                          <w:rPr>
                            <w:rFonts w:ascii="宋体" w:hAnsi="宋体" w:cs="宋体" w:eastAsia="宋体" w:hint="default"/>
                            <w:sz w:val="18"/>
                            <w:szCs w:val="18"/>
                          </w:rPr>
                          <w:t>（计划投资总额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106.85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万元），因公司技术中心已购置相关设备，可供研发中心资源共享，为避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免重复投资，公司决定不再购买相关检测设备；此外，由于招股说明书列示的投资预算是基于当 </w:t>
                        </w:r>
                        <w:r>
                          <w:rPr>
                            <w:rFonts w:ascii="宋体" w:hAnsi="宋体" w:cs="宋体" w:eastAsia="宋体" w:hint="default"/>
                            <w:spacing w:val="-3"/>
                            <w:sz w:val="18"/>
                            <w:szCs w:val="18"/>
                          </w:rPr>
                          <w:t>时的价格水平，从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年底至今已达五年，部分商品的价格已发生较大变化，同时公司在采购过 程中，在精度、功能、配置等同等条件下，优先购置性价比更高的产品，使得相关产品采购实际 投入较预算减少，从而节余募集资金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基于上述原因，为提高募集资金使用效率，促使公司经营及股东利益最大化，经审慎研究，</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0" w:right="1069"/>
        <w:jc w:val="right"/>
      </w:pPr>
      <w:r>
        <w:rPr/>
        <w:t>，</w:t>
      </w:r>
    </w:p>
    <w:p>
      <w:pPr>
        <w:spacing w:after="0" w:line="240" w:lineRule="auto"/>
        <w:jc w:val="right"/>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7656"/>
      </w:tblGrid>
      <w:tr>
        <w:trPr>
          <w:trHeight w:val="49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ind w:left="22" w:right="79"/>
              <w:jc w:val="left"/>
              <w:rPr>
                <w:rFonts w:ascii="宋体" w:hAnsi="宋体" w:cs="宋体" w:eastAsia="宋体" w:hint="default"/>
                <w:sz w:val="18"/>
                <w:szCs w:val="18"/>
              </w:rPr>
            </w:pPr>
            <w:r>
              <w:rPr>
                <w:rFonts w:ascii="宋体" w:hAnsi="宋体" w:cs="宋体" w:eastAsia="宋体" w:hint="default"/>
                <w:sz w:val="18"/>
                <w:szCs w:val="18"/>
              </w:rPr>
              <w:t>公司拟终止</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热处理工艺装备技术研发中心项目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，并将余款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万元及其利息永久性补充流动资 金。</w:t>
            </w:r>
          </w:p>
        </w:tc>
      </w:tr>
      <w:tr>
        <w:trPr>
          <w:trHeight w:val="75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2" w:right="150"/>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1"/>
              <w:ind w:left="22" w:right="61" w:firstLine="360"/>
              <w:jc w:val="both"/>
              <w:rPr>
                <w:rFonts w:ascii="宋体" w:hAnsi="宋体" w:cs="宋体" w:eastAsia="宋体" w:hint="default"/>
                <w:sz w:val="18"/>
                <w:szCs w:val="18"/>
              </w:rPr>
            </w:pPr>
            <w:r>
              <w:rPr>
                <w:rFonts w:ascii="宋体" w:hAnsi="宋体" w:cs="宋体" w:eastAsia="宋体" w:hint="default"/>
                <w:spacing w:val="-5"/>
                <w:sz w:val="18"/>
                <w:szCs w:val="18"/>
              </w:rPr>
              <w:t>报告期内，公司已按照《深圳证券交易所上市规则》、《深圳证券交易所中小企业板上市公司</w:t>
            </w:r>
            <w:r>
              <w:rPr>
                <w:rFonts w:ascii="宋体" w:hAnsi="宋体" w:cs="宋体" w:eastAsia="宋体" w:hint="default"/>
                <w:sz w:val="18"/>
                <w:szCs w:val="18"/>
              </w:rPr>
              <w:t> 规范运作指引》及公司《募集资金使用管理办法》等相关规定披露募集资金存放与使用情况，不 存在募集资金管理的违规情形。</w:t>
            </w:r>
          </w:p>
        </w:tc>
      </w:tr>
    </w:tbl>
    <w:p>
      <w:pPr>
        <w:pStyle w:val="BodyText"/>
        <w:spacing w:line="240" w:lineRule="auto" w:before="51"/>
        <w:ind w:left="514" w:right="0"/>
        <w:jc w:val="left"/>
      </w:pPr>
      <w:r>
        <w:rPr/>
        <w:t>说明：</w:t>
      </w:r>
    </w:p>
    <w:p>
      <w:pPr>
        <w:pStyle w:val="BodyText"/>
        <w:spacing w:line="245" w:lineRule="exact" w:before="86"/>
        <w:ind w:left="514" w:right="0"/>
        <w:jc w:val="left"/>
      </w:pPr>
      <w:r>
        <w:rPr>
          <w:rFonts w:ascii="Times New Roman" w:hAnsi="Times New Roman" w:cs="Times New Roman" w:eastAsia="Times New Roman" w:hint="default"/>
        </w:rPr>
        <w:t>1</w:t>
      </w:r>
      <w:r>
        <w:rPr/>
        <w:t>、天津丰东项目投资总额</w:t>
      </w:r>
      <w:r>
        <w:rPr>
          <w:spacing w:val="-47"/>
        </w:rPr>
        <w:t> </w:t>
      </w:r>
      <w:r>
        <w:rPr>
          <w:rFonts w:ascii="Times New Roman" w:hAnsi="Times New Roman" w:cs="Times New Roman" w:eastAsia="Times New Roman" w:hint="default"/>
        </w:rPr>
        <w:t>495</w:t>
      </w:r>
      <w:r>
        <w:rPr>
          <w:rFonts w:ascii="Times New Roman" w:hAnsi="Times New Roman" w:cs="Times New Roman" w:eastAsia="Times New Roman" w:hint="default"/>
          <w:spacing w:val="-2"/>
        </w:rPr>
        <w:t> </w:t>
      </w:r>
      <w:r>
        <w:rPr/>
        <w:t>万美元，折合人民币</w:t>
      </w:r>
      <w:r>
        <w:rPr>
          <w:spacing w:val="-47"/>
        </w:rPr>
        <w:t> </w:t>
      </w:r>
      <w:r>
        <w:rPr>
          <w:rFonts w:ascii="Times New Roman" w:hAnsi="Times New Roman" w:cs="Times New Roman" w:eastAsia="Times New Roman" w:hint="default"/>
        </w:rPr>
        <w:t>3,056.77</w:t>
      </w:r>
      <w:r>
        <w:rPr>
          <w:rFonts w:ascii="Times New Roman" w:hAnsi="Times New Roman" w:cs="Times New Roman" w:eastAsia="Times New Roman" w:hint="default"/>
          <w:spacing w:val="-2"/>
        </w:rPr>
        <w:t> </w:t>
      </w:r>
      <w:r>
        <w:rPr/>
        <w:t>万元，资金来源分为两部分：重庆丰东募集资金减资退回</w:t>
      </w:r>
    </w:p>
    <w:p>
      <w:pPr>
        <w:pStyle w:val="BodyText"/>
        <w:spacing w:line="245" w:lineRule="exact"/>
        <w:ind w:left="153" w:right="0"/>
        <w:jc w:val="left"/>
      </w:pPr>
      <w:r>
        <w:rPr/>
        <w:t>的</w:t>
      </w:r>
      <w:r>
        <w:rPr>
          <w:spacing w:val="-46"/>
        </w:rPr>
        <w:t> </w:t>
      </w:r>
      <w:r>
        <w:rPr>
          <w:rFonts w:ascii="Times New Roman" w:hAnsi="Times New Roman" w:cs="Times New Roman" w:eastAsia="Times New Roman" w:hint="default"/>
        </w:rPr>
        <w:t>2,190.14 </w:t>
      </w:r>
      <w:r>
        <w:rPr/>
        <w:t>万元＋超募资金</w:t>
      </w:r>
      <w:r>
        <w:rPr>
          <w:spacing w:val="-46"/>
        </w:rPr>
        <w:t> </w:t>
      </w:r>
      <w:r>
        <w:rPr>
          <w:rFonts w:ascii="Times New Roman" w:hAnsi="Times New Roman" w:cs="Times New Roman" w:eastAsia="Times New Roman" w:hint="default"/>
        </w:rPr>
        <w:t>866.63</w:t>
      </w:r>
      <w:r>
        <w:rPr>
          <w:rFonts w:ascii="Times New Roman" w:hAnsi="Times New Roman" w:cs="Times New Roman" w:eastAsia="Times New Roman" w:hint="default"/>
          <w:spacing w:val="-1"/>
        </w:rPr>
        <w:t> </w:t>
      </w:r>
      <w:r>
        <w:rPr/>
        <w:t>万元。</w:t>
      </w:r>
    </w:p>
    <w:p>
      <w:pPr>
        <w:pStyle w:val="BodyText"/>
        <w:spacing w:line="240" w:lineRule="exact" w:before="50"/>
        <w:ind w:left="154" w:right="1122" w:firstLine="360"/>
        <w:jc w:val="left"/>
      </w:pPr>
      <w:r>
        <w:rPr>
          <w:rFonts w:ascii="Times New Roman" w:hAnsi="Times New Roman" w:cs="Times New Roman" w:eastAsia="Times New Roman" w:hint="default"/>
        </w:rPr>
        <w:t>2</w:t>
      </w:r>
      <w:r>
        <w:rPr/>
        <w:t>、研发中心大厦项目、潍坊丰东项目、天津丰东项目、重庆丰东项目实际投资超出募集资金承诺投资总额部分，系使 用募集资金利息收入支付。</w:t>
      </w:r>
    </w:p>
    <w:p>
      <w:pPr>
        <w:pStyle w:val="BodyText"/>
        <w:spacing w:line="245" w:lineRule="exact" w:before="21"/>
        <w:ind w:left="514" w:right="0"/>
        <w:jc w:val="left"/>
      </w:pPr>
      <w:r>
        <w:rPr>
          <w:rFonts w:ascii="Times New Roman" w:hAnsi="Times New Roman" w:cs="Times New Roman" w:eastAsia="Times New Roman" w:hint="default"/>
        </w:rPr>
        <w:t>3</w:t>
      </w:r>
      <w:r>
        <w:rPr>
          <w:spacing w:val="-87"/>
        </w:rPr>
        <w:t>、</w:t>
      </w:r>
      <w:r>
        <w:rPr/>
        <w:t>经公司</w:t>
      </w:r>
      <w:r>
        <w:rPr>
          <w:spacing w:val="-46"/>
        </w:rPr>
        <w:t> </w:t>
      </w:r>
      <w:r>
        <w:rPr>
          <w:rFonts w:ascii="Times New Roman" w:hAnsi="Times New Roman" w:cs="Times New Roman" w:eastAsia="Times New Roman" w:hint="default"/>
        </w:rPr>
        <w:t>2014 </w:t>
      </w:r>
      <w:r>
        <w:rPr/>
        <w:t>年第一次临时股东大会审议通过</w:t>
      </w:r>
      <w:r>
        <w:rPr>
          <w:spacing w:val="-87"/>
        </w:rPr>
        <w:t>，</w:t>
      </w:r>
      <w:r>
        <w:rPr/>
        <w:t>同意公司使用</w:t>
      </w:r>
      <w:r>
        <w:rPr>
          <w:spacing w:val="-46"/>
        </w:rPr>
        <w:t> </w:t>
      </w:r>
      <w:r>
        <w:rPr>
          <w:rFonts w:ascii="Times New Roman" w:hAnsi="Times New Roman" w:cs="Times New Roman" w:eastAsia="Times New Roman" w:hint="default"/>
        </w:rPr>
        <w:t>3,048.42</w:t>
      </w:r>
      <w:r>
        <w:rPr>
          <w:rFonts w:ascii="Times New Roman" w:hAnsi="Times New Roman" w:cs="Times New Roman" w:eastAsia="Times New Roman" w:hint="default"/>
          <w:spacing w:val="-1"/>
        </w:rPr>
        <w:t> </w:t>
      </w:r>
      <w:r>
        <w:rPr/>
        <w:t>万元超募资金及利息永久性补充公司流动资金，</w:t>
      </w:r>
    </w:p>
    <w:p>
      <w:pPr>
        <w:pStyle w:val="BodyText"/>
        <w:spacing w:line="245" w:lineRule="exact"/>
        <w:ind w:left="154" w:right="0"/>
        <w:jc w:val="left"/>
      </w:pPr>
      <w:r>
        <w:rPr/>
        <w:t>本报告期内实际补充流动资金</w:t>
      </w:r>
      <w:r>
        <w:rPr>
          <w:spacing w:val="-46"/>
        </w:rPr>
        <w:t> </w:t>
      </w:r>
      <w:r>
        <w:rPr>
          <w:rFonts w:ascii="Times New Roman" w:hAnsi="Times New Roman" w:cs="Times New Roman" w:eastAsia="Times New Roman" w:hint="default"/>
        </w:rPr>
        <w:t>4,057.40</w:t>
      </w:r>
      <w:r>
        <w:rPr>
          <w:rFonts w:ascii="Times New Roman" w:hAnsi="Times New Roman" w:cs="Times New Roman" w:eastAsia="Times New Roman" w:hint="default"/>
          <w:spacing w:val="-1"/>
        </w:rPr>
        <w:t> </w:t>
      </w:r>
      <w:r>
        <w:rPr/>
        <w:t>万元，即超募资金</w:t>
      </w:r>
      <w:r>
        <w:rPr>
          <w:spacing w:val="-46"/>
        </w:rPr>
        <w:t> </w:t>
      </w:r>
      <w:r>
        <w:rPr>
          <w:rFonts w:ascii="Times New Roman" w:hAnsi="Times New Roman" w:cs="Times New Roman" w:eastAsia="Times New Roman" w:hint="default"/>
        </w:rPr>
        <w:t>3,048.42</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累积利息</w:t>
      </w:r>
      <w:r>
        <w:rPr>
          <w:spacing w:val="-46"/>
        </w:rPr>
        <w:t> </w:t>
      </w:r>
      <w:r>
        <w:rPr>
          <w:rFonts w:ascii="Times New Roman" w:hAnsi="Times New Roman" w:cs="Times New Roman" w:eastAsia="Times New Roman" w:hint="default"/>
        </w:rPr>
        <w:t>1,008.98 </w:t>
      </w:r>
      <w:r>
        <w:rPr/>
        <w:t>万元。</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137"/>
        <w:jc w:val="right"/>
      </w:pPr>
      <w:r>
        <w:rPr/>
        <w:pict>
          <v:shape style="position:absolute;margin-left:56.459999pt;margin-top:-241.38829pt;width:479.3pt;height:443.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992"/>
                    <w:gridCol w:w="993"/>
                    <w:gridCol w:w="851"/>
                    <w:gridCol w:w="851"/>
                    <w:gridCol w:w="992"/>
                    <w:gridCol w:w="991"/>
                    <w:gridCol w:w="852"/>
                    <w:gridCol w:w="816"/>
                    <w:gridCol w:w="956"/>
                  </w:tblGrid>
                  <w:tr>
                    <w:trPr>
                      <w:trHeight w:val="105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92"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1" w:right="38"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6" w:right="24"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0" w:right="58"/>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60"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实际累计 投入金额 </w:t>
                        </w:r>
                        <w:r>
                          <w:rPr>
                            <w:rFonts w:ascii="Times New Roman" w:hAnsi="Times New Roman" w:cs="Times New Roman" w:eastAsia="Times New Roman" w:hint="default"/>
                            <w:sz w:val="18"/>
                            <w:szCs w:val="18"/>
                          </w:rPr>
                          <w:t>(2)</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141"/>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40"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1"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42" w:right="4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2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
                          <w:ind w:left="22" w:right="161"/>
                          <w:jc w:val="both"/>
                          <w:rPr>
                            <w:rFonts w:ascii="宋体" w:hAnsi="宋体" w:cs="宋体" w:eastAsia="宋体" w:hint="default"/>
                            <w:sz w:val="18"/>
                            <w:szCs w:val="18"/>
                          </w:rPr>
                        </w:pPr>
                        <w:r>
                          <w:rPr>
                            <w:rFonts w:ascii="宋体" w:hAnsi="宋体" w:cs="宋体" w:eastAsia="宋体" w:hint="default"/>
                            <w:sz w:val="18"/>
                            <w:szCs w:val="18"/>
                          </w:rPr>
                          <w:t>重庆丰东年加 工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吨汽 摩等金属件节 能热处理技术 改造建设项目</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0"/>
                          <w:ind w:left="23"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重庆丰东年 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p>
                        <w:pPr>
                          <w:pStyle w:val="TableParagraph"/>
                          <w:spacing w:line="240" w:lineRule="exact" w:before="5"/>
                          <w:ind w:left="23" w:right="56"/>
                          <w:jc w:val="left"/>
                          <w:rPr>
                            <w:rFonts w:ascii="宋体" w:hAnsi="宋体" w:cs="宋体" w:eastAsia="宋体" w:hint="default"/>
                            <w:sz w:val="18"/>
                            <w:szCs w:val="18"/>
                          </w:rPr>
                        </w:pPr>
                        <w:r>
                          <w:rPr>
                            <w:rFonts w:ascii="宋体" w:hAnsi="宋体" w:cs="宋体" w:eastAsia="宋体" w:hint="default"/>
                            <w:sz w:val="18"/>
                            <w:szCs w:val="18"/>
                          </w:rPr>
                          <w:t>吨汽摩等金 属件节能热</w:t>
                        </w:r>
                      </w:p>
                      <w:p>
                        <w:pPr>
                          <w:pStyle w:val="TableParagraph"/>
                          <w:spacing w:line="238" w:lineRule="exact" w:before="1"/>
                          <w:ind w:left="23" w:right="56"/>
                          <w:jc w:val="left"/>
                          <w:rPr>
                            <w:rFonts w:ascii="宋体" w:hAnsi="宋体" w:cs="宋体" w:eastAsia="宋体" w:hint="default"/>
                            <w:sz w:val="18"/>
                            <w:szCs w:val="18"/>
                          </w:rPr>
                        </w:pPr>
                        <w:r>
                          <w:rPr>
                            <w:rFonts w:ascii="宋体" w:hAnsi="宋体" w:cs="宋体" w:eastAsia="宋体" w:hint="default"/>
                            <w:sz w:val="18"/>
                            <w:szCs w:val="18"/>
                          </w:rPr>
                          <w:t>处理技术改 造建设项目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17"/>
                          <w:jc w:val="left"/>
                          <w:rPr>
                            <w:rFonts w:ascii="宋体" w:hAnsi="宋体" w:cs="宋体" w:eastAsia="宋体" w:hint="default"/>
                            <w:sz w:val="18"/>
                            <w:szCs w:val="18"/>
                          </w:rPr>
                        </w:pPr>
                        <w:r>
                          <w:rPr>
                            <w:rFonts w:ascii="宋体" w:hAnsi="宋体" w:cs="宋体" w:eastAsia="宋体" w:hint="default"/>
                            <w:sz w:val="18"/>
                            <w:szCs w:val="18"/>
                          </w:rPr>
                          <w:t>天津丰东热处 理设备的研发、 制造和热处理 加工项目</w:t>
                        </w:r>
                      </w:p>
                    </w:tc>
                    <w:tc>
                      <w:tcPr>
                        <w:tcW w:w="992" w:type="dxa"/>
                        <w:vMerge/>
                        <w:tcBorders>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161.99</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3,890.44</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690" w:hRule="exact"/>
                    </w:trPr>
                    <w:tc>
                      <w:tcPr>
                        <w:tcW w:w="32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变更原因、决策程序及信息披露情况说明</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3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23" w:lineRule="auto" w:before="20"/>
                          <w:ind w:left="23" w:right="20" w:firstLine="360"/>
                          <w:jc w:val="left"/>
                          <w:rPr>
                            <w:rFonts w:ascii="宋体" w:hAnsi="宋体" w:cs="宋体" w:eastAsia="宋体" w:hint="default"/>
                            <w:sz w:val="18"/>
                            <w:szCs w:val="18"/>
                          </w:rPr>
                        </w:pPr>
                        <w:r>
                          <w:rPr>
                            <w:rFonts w:ascii="宋体" w:hAnsi="宋体" w:cs="宋体" w:eastAsia="宋体" w:hint="default"/>
                            <w:spacing w:val="-2"/>
                            <w:sz w:val="18"/>
                            <w:szCs w:val="18"/>
                          </w:rPr>
                          <w:t>重庆丰东募投项目变更原因：由于项目用地情况发生变化以及近年来受下游</w:t>
                        </w:r>
                        <w:r>
                          <w:rPr>
                            <w:rFonts w:ascii="宋体" w:hAnsi="宋体" w:cs="宋体" w:eastAsia="宋体" w:hint="default"/>
                            <w:sz w:val="18"/>
                            <w:szCs w:val="18"/>
                          </w:rPr>
                          <w:t> </w:t>
                        </w:r>
                        <w:r>
                          <w:rPr>
                            <w:rFonts w:ascii="宋体" w:hAnsi="宋体" w:cs="宋体" w:eastAsia="宋体" w:hint="default"/>
                            <w:spacing w:val="-2"/>
                            <w:sz w:val="18"/>
                            <w:szCs w:val="18"/>
                          </w:rPr>
                          <w:t>客户经营形势影响较大，本着谨慎和保障投资效益的综合考虑，重庆丰东改建推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杆炉及真空炉热处理加工厂房以及部分机器设备的购置计划停止实施。另一方 </w:t>
                        </w:r>
                        <w:r>
                          <w:rPr>
                            <w:rFonts w:ascii="宋体" w:hAnsi="宋体" w:cs="宋体" w:eastAsia="宋体" w:hint="default"/>
                            <w:spacing w:val="-2"/>
                            <w:sz w:val="18"/>
                            <w:szCs w:val="18"/>
                          </w:rPr>
                          <w:t>面，重庆丰东募投项目实施以来，已对原有厂房进行了改造，同时根据生产需要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购置了渗碳淬火线、真空清洗机、辅助设备及检测设备等，根据对未来市场的判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断，重庆丰东目前的生产空间以及设备组成（含已有投资计划但尚未落实的项目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已经能够满足未来较长一段时间的加工产能需要。</w:t>
                        </w:r>
                      </w:p>
                      <w:p>
                        <w:pPr>
                          <w:pStyle w:val="TableParagraph"/>
                          <w:spacing w:line="216" w:lineRule="auto" w:before="46"/>
                          <w:ind w:left="23" w:right="21" w:firstLine="360"/>
                          <w:jc w:val="left"/>
                          <w:rPr>
                            <w:rFonts w:ascii="宋体" w:hAnsi="宋体" w:cs="宋体" w:eastAsia="宋体" w:hint="default"/>
                            <w:sz w:val="18"/>
                            <w:szCs w:val="18"/>
                          </w:rPr>
                        </w:pPr>
                        <w:r>
                          <w:rPr>
                            <w:rFonts w:ascii="宋体" w:hAnsi="宋体" w:cs="宋体" w:eastAsia="宋体" w:hint="default"/>
                            <w:spacing w:val="-2"/>
                            <w:sz w:val="18"/>
                            <w:szCs w:val="18"/>
                          </w:rPr>
                          <w:t>公司经营管理层经过周密的论证、分析比较后认为将原重庆丰东募投项目的</w:t>
                        </w:r>
                        <w:r>
                          <w:rPr>
                            <w:rFonts w:ascii="宋体" w:hAnsi="宋体" w:cs="宋体" w:eastAsia="宋体" w:hint="default"/>
                            <w:sz w:val="18"/>
                            <w:szCs w:val="18"/>
                          </w:rPr>
                          <w:t> 剩余募集资金变更为实施天津丰东</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热处理设备的研发、制造和热处理加工项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，将能够带来较好的市场前景和经济效益，有利于公司战略的实施，变更后 的项目投资效益更好、盈利能力更强、市场前景更为明确。</w:t>
                        </w:r>
                      </w:p>
                      <w:p>
                        <w:pPr>
                          <w:pStyle w:val="TableParagraph"/>
                          <w:spacing w:line="234" w:lineRule="exact" w:before="27"/>
                          <w:ind w:left="383" w:right="0"/>
                          <w:jc w:val="left"/>
                          <w:rPr>
                            <w:rFonts w:ascii="宋体" w:hAnsi="宋体" w:cs="宋体" w:eastAsia="宋体" w:hint="default"/>
                            <w:sz w:val="18"/>
                            <w:szCs w:val="18"/>
                          </w:rPr>
                        </w:pPr>
                        <w:r>
                          <w:rPr>
                            <w:rFonts w:ascii="宋体" w:hAnsi="宋体" w:cs="宋体" w:eastAsia="宋体" w:hint="default"/>
                            <w:sz w:val="18"/>
                            <w:szCs w:val="18"/>
                          </w:rPr>
                          <w:t>本次募投项目变更已经公司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年第一次临时股东大会审议通过，相关公</w:t>
                        </w:r>
                      </w:p>
                      <w:p>
                        <w:pPr>
                          <w:pStyle w:val="TableParagraph"/>
                          <w:spacing w:line="220" w:lineRule="auto" w:before="2"/>
                          <w:ind w:left="23" w:right="21"/>
                          <w:jc w:val="left"/>
                          <w:rPr>
                            <w:rFonts w:ascii="宋体" w:hAnsi="宋体" w:cs="宋体" w:eastAsia="宋体" w:hint="default"/>
                            <w:sz w:val="18"/>
                            <w:szCs w:val="18"/>
                          </w:rPr>
                        </w:pPr>
                        <w:r>
                          <w:rPr>
                            <w:rFonts w:ascii="宋体" w:hAnsi="宋体" w:cs="宋体" w:eastAsia="宋体" w:hint="default"/>
                            <w:sz w:val="18"/>
                            <w:szCs w:val="18"/>
                          </w:rPr>
                          <w:t>告已披露在巨潮资讯网等指定信息媒体：</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日《关于拟对控股子公 </w:t>
                        </w:r>
                        <w:r>
                          <w:rPr>
                            <w:rFonts w:ascii="宋体" w:hAnsi="宋体" w:cs="宋体" w:eastAsia="宋体" w:hint="default"/>
                            <w:spacing w:val="-7"/>
                            <w:sz w:val="18"/>
                            <w:szCs w:val="18"/>
                          </w:rPr>
                          <w:t>司重庆丰东神五热处理工程有限公司减资的公告》、《关于天津丰东热处理有限公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司股权结构调整及增资的公告》、《关于拟变更部分募集资金投资项目的公告》；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pacing w:val="-6"/>
                            <w:sz w:val="18"/>
                            <w:szCs w:val="18"/>
                          </w:rPr>
                          <w:t>年第一次临时股东大会决议公告》。</w:t>
                        </w:r>
                      </w:p>
                    </w:tc>
                  </w:tr>
                  <w:tr>
                    <w:trPr>
                      <w:trHeight w:val="891" w:hRule="exact"/>
                    </w:trPr>
                    <w:tc>
                      <w:tcPr>
                        <w:tcW w:w="32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4" w:lineRule="auto"/>
                          <w:ind w:left="22" w:right="16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 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3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、报告期内，重庆丰东募集资金投资项目实现收入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766.72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万元，但由于受</w:t>
                        </w:r>
                      </w:p>
                      <w:p>
                        <w:pPr>
                          <w:pStyle w:val="TableParagraph"/>
                          <w:spacing w:line="220" w:lineRule="exact" w:before="20"/>
                          <w:ind w:left="23" w:right="21"/>
                          <w:jc w:val="left"/>
                          <w:rPr>
                            <w:rFonts w:ascii="宋体" w:hAnsi="宋体" w:cs="宋体" w:eastAsia="宋体" w:hint="default"/>
                            <w:sz w:val="18"/>
                            <w:szCs w:val="18"/>
                          </w:rPr>
                        </w:pPr>
                        <w:r>
                          <w:rPr>
                            <w:rFonts w:ascii="宋体" w:hAnsi="宋体" w:cs="宋体" w:eastAsia="宋体" w:hint="default"/>
                            <w:spacing w:val="-2"/>
                            <w:sz w:val="18"/>
                            <w:szCs w:val="18"/>
                          </w:rPr>
                          <w:t>市场影响，同时重庆丰东质量控制有待加强，本报告期未形成利润，未实现预计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p>
                        <w:pPr>
                          <w:pStyle w:val="TableParagraph"/>
                          <w:spacing w:line="215"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、报告期内天津丰东项目为建设阶段，尚未形成效益。</w:t>
                        </w:r>
                      </w:p>
                    </w:tc>
                  </w:tr>
                  <w:tr>
                    <w:trPr>
                      <w:trHeight w:val="570" w:hRule="exact"/>
                    </w:trPr>
                    <w:tc>
                      <w:tcPr>
                        <w:tcW w:w="32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63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after="0" w:line="240" w:lineRule="auto"/>
        <w:jc w:val="right"/>
        <w:sectPr>
          <w:pgSz w:w="11910" w:h="16840"/>
          <w:pgMar w:header="768"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0" w:right="7968"/>
        <w:jc w:val="center"/>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0" w:right="7727"/>
        <w:jc w:val="center"/>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68" w:footer="979" w:top="110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0" w:bottom="280" w:left="980" w:right="0"/>
          <w:cols w:num="2" w:equalWidth="0">
            <w:col w:w="5209" w:space="3350"/>
            <w:col w:w="2371"/>
          </w:cols>
        </w:sectPr>
      </w:pPr>
    </w:p>
    <w:p>
      <w:pPr>
        <w:spacing w:line="240" w:lineRule="auto" w:before="1"/>
        <w:rPr>
          <w:rFonts w:ascii="宋体" w:hAnsi="宋体" w:cs="宋体" w:eastAsia="宋体" w:hint="default"/>
          <w:sz w:val="8"/>
          <w:szCs w:val="8"/>
        </w:rPr>
      </w:pPr>
      <w:r>
        <w:rPr/>
        <w:pict>
          <v:group style="position:absolute;margin-left:241.279999pt;margin-top:443.769989pt;width:40.9pt;height:13.15pt;mso-position-horizontal-relative:page;mso-position-vertical-relative:page;z-index:-832936" coordorigin="4826,8875" coordsize="818,263">
            <v:group style="position:absolute;left:4837;top:8887;width:2;height:240" coordorigin="4837,8887" coordsize="2,240">
              <v:shape style="position:absolute;left:4837;top:8887;width:2;height:240" coordorigin="4837,8887" coordsize="0,240" path="m4837,8887l4837,9127e" filled="false" stroked="true" strokeweight="1.140pt" strokecolor="#ffffff">
                <v:path arrowok="t"/>
              </v:shape>
            </v:group>
            <v:group style="position:absolute;left:4848;top:8887;width:795;height:240" coordorigin="4848,8887" coordsize="795,240">
              <v:shape style="position:absolute;left:4848;top:8887;width:795;height:240" coordorigin="4848,8887" coordsize="795,240" path="m4848,9127l5643,9127,5643,8887,4848,8887,4848,9127xe" filled="true" fillcolor="#ffffff" stroked="false">
                <v:path arrowok="t"/>
                <v:fill type="solid"/>
              </v:shape>
            </v:group>
            <w10:wrap type="none"/>
          </v:group>
        </w:pict>
      </w:r>
      <w:r>
        <w:rPr/>
        <w:pict>
          <v:group style="position:absolute;margin-left:241.279999pt;margin-top:633.339966pt;width:42.05pt;height:12pt;mso-position-horizontal-relative:page;mso-position-vertical-relative:page;z-index:-832912" coordorigin="4826,12667" coordsize="841,240">
            <v:shape style="position:absolute;left:4826;top:12667;width:841;height:240" coordorigin="4826,12667" coordsize="841,240" path="m4826,12907l5666,12907,5666,12667,4826,12667,4826,1290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19"/>
        <w:gridCol w:w="850"/>
        <w:gridCol w:w="1418"/>
        <w:gridCol w:w="850"/>
        <w:gridCol w:w="1134"/>
        <w:gridCol w:w="994"/>
        <w:gridCol w:w="992"/>
        <w:gridCol w:w="992"/>
        <w:gridCol w:w="92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上海丰东热处理 工程有限公司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5"/>
              <w:jc w:val="left"/>
              <w:rPr>
                <w:rFonts w:ascii="宋体" w:hAnsi="宋体" w:cs="宋体" w:eastAsia="宋体" w:hint="default"/>
                <w:sz w:val="18"/>
                <w:szCs w:val="18"/>
              </w:rPr>
            </w:pPr>
            <w:r>
              <w:rPr>
                <w:rFonts w:ascii="宋体" w:hAnsi="宋体" w:cs="宋体" w:eastAsia="宋体" w:hint="default"/>
                <w:sz w:val="18"/>
                <w:szCs w:val="18"/>
              </w:rPr>
              <w:t>热处理加工及技 术开发、咨询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5,880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82,960,219.28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77,097,592.07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29,820,608.63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9,466,267.24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7,371,329.19</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南京丰东热处理 工程有限公司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5"/>
              <w:jc w:val="left"/>
              <w:rPr>
                <w:rFonts w:ascii="宋体" w:hAnsi="宋体" w:cs="宋体" w:eastAsia="宋体" w:hint="default"/>
                <w:sz w:val="18"/>
                <w:szCs w:val="18"/>
              </w:rPr>
            </w:pPr>
            <w:r>
              <w:rPr>
                <w:rFonts w:ascii="宋体" w:hAnsi="宋体" w:cs="宋体" w:eastAsia="宋体" w:hint="default"/>
                <w:sz w:val="18"/>
                <w:szCs w:val="18"/>
              </w:rPr>
              <w:t>机械配件专业热 处理加工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3"/>
              <w:ind w:left="22" w:right="0"/>
              <w:jc w:val="left"/>
              <w:rPr>
                <w:rFonts w:ascii="Times New Roman" w:hAnsi="Times New Roman" w:cs="Times New Roman" w:eastAsia="Times New Roman" w:hint="default"/>
                <w:sz w:val="18"/>
                <w:szCs w:val="18"/>
              </w:rPr>
            </w:pPr>
            <w:r>
              <w:rPr>
                <w:rFonts w:ascii="Times New Roman"/>
                <w:sz w:val="18"/>
              </w:rPr>
              <w:t>2,752.25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56,400,943.35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51,103,499.93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29,915,963.75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5,751,649.08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4,276,119.24</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重庆丰东热处理 工程有限公司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5"/>
              <w:jc w:val="left"/>
              <w:rPr>
                <w:rFonts w:ascii="宋体" w:hAnsi="宋体" w:cs="宋体" w:eastAsia="宋体" w:hint="default"/>
                <w:sz w:val="18"/>
                <w:szCs w:val="18"/>
              </w:rPr>
            </w:pPr>
            <w:r>
              <w:rPr>
                <w:rFonts w:ascii="宋体" w:hAnsi="宋体" w:cs="宋体" w:eastAsia="宋体" w:hint="default"/>
                <w:sz w:val="18"/>
                <w:szCs w:val="18"/>
              </w:rPr>
              <w:t>金属零部件的热 处理及表面加工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2,260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33,725,584.01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27,574,264.26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25,731,275.21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378,505.30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1,397,210.99</w:t>
            </w:r>
          </w:p>
        </w:tc>
      </w:tr>
      <w:tr>
        <w:trPr>
          <w:trHeight w:val="9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24"/>
              <w:jc w:val="both"/>
              <w:rPr>
                <w:rFonts w:ascii="宋体" w:hAnsi="宋体" w:cs="宋体" w:eastAsia="宋体" w:hint="default"/>
                <w:sz w:val="18"/>
                <w:szCs w:val="18"/>
              </w:rPr>
            </w:pPr>
            <w:r>
              <w:rPr>
                <w:rFonts w:ascii="宋体" w:hAnsi="宋体" w:cs="宋体" w:eastAsia="宋体" w:hint="default"/>
                <w:sz w:val="18"/>
                <w:szCs w:val="18"/>
              </w:rPr>
              <w:t>江苏丰东热处理 及表面改性工程 技术研究有限公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33"/>
              <w:jc w:val="left"/>
              <w:rPr>
                <w:rFonts w:ascii="宋体" w:hAnsi="宋体" w:cs="宋体" w:eastAsia="宋体" w:hint="default"/>
                <w:sz w:val="18"/>
                <w:szCs w:val="18"/>
              </w:rPr>
            </w:pPr>
            <w:r>
              <w:rPr>
                <w:rFonts w:ascii="宋体" w:hAnsi="宋体" w:cs="宋体" w:eastAsia="宋体" w:hint="default"/>
                <w:sz w:val="18"/>
                <w:szCs w:val="18"/>
              </w:rPr>
              <w:t>热处理设备的研 </w:t>
            </w:r>
            <w:r>
              <w:rPr>
                <w:rFonts w:ascii="宋体" w:hAnsi="宋体" w:cs="宋体" w:eastAsia="宋体" w:hint="default"/>
                <w:spacing w:val="-3"/>
                <w:sz w:val="18"/>
                <w:szCs w:val="18"/>
              </w:rPr>
              <w:t>制及热处理工艺、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试验、验证及推广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8,411,173.77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6,755,039.56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7,812,191.45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1,204,039.33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879,975.87</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青岛丰东热处理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5"/>
              <w:jc w:val="left"/>
              <w:rPr>
                <w:rFonts w:ascii="宋体" w:hAnsi="宋体" w:cs="宋体" w:eastAsia="宋体" w:hint="default"/>
                <w:sz w:val="18"/>
                <w:szCs w:val="18"/>
              </w:rPr>
            </w:pPr>
            <w:r>
              <w:rPr>
                <w:rFonts w:ascii="宋体" w:hAnsi="宋体" w:cs="宋体" w:eastAsia="宋体" w:hint="default"/>
                <w:sz w:val="18"/>
                <w:szCs w:val="18"/>
              </w:rPr>
              <w:t>热处理及表面处 理加工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32,867,091.12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22,527,114.66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34,312,219.92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3,071,118.15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2,951,560.23</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25"/>
              <w:jc w:val="left"/>
              <w:rPr>
                <w:rFonts w:ascii="宋体" w:hAnsi="宋体" w:cs="宋体" w:eastAsia="宋体" w:hint="default"/>
                <w:sz w:val="18"/>
                <w:szCs w:val="18"/>
              </w:rPr>
            </w:pPr>
            <w:r>
              <w:rPr>
                <w:rFonts w:ascii="宋体" w:hAnsi="宋体" w:cs="宋体" w:eastAsia="宋体" w:hint="default"/>
                <w:sz w:val="18"/>
                <w:szCs w:val="18"/>
              </w:rPr>
              <w:t>潍坊丰东热处理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z w:val="18"/>
                <w:szCs w:val="18"/>
              </w:rPr>
              <w:t>精密轮胎模具零 </w:t>
            </w:r>
            <w:r>
              <w:rPr>
                <w:rFonts w:ascii="宋体" w:hAnsi="宋体" w:cs="宋体" w:eastAsia="宋体" w:hint="default"/>
                <w:spacing w:val="-10"/>
                <w:sz w:val="18"/>
                <w:szCs w:val="18"/>
              </w:rPr>
              <w:t>部件、金属机械配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件热处理加工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14,142,173.26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7,384,930.73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71" w:right="0"/>
              <w:jc w:val="left"/>
              <w:rPr>
                <w:rFonts w:ascii="Times New Roman" w:hAnsi="Times New Roman" w:cs="Times New Roman" w:eastAsia="Times New Roman" w:hint="default"/>
                <w:sz w:val="15"/>
                <w:szCs w:val="15"/>
              </w:rPr>
            </w:pPr>
            <w:r>
              <w:rPr>
                <w:rFonts w:ascii="Times New Roman"/>
                <w:sz w:val="15"/>
              </w:rPr>
              <w:t>9,974,608.52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1,597,616.24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1,222,078.13</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24"/>
              <w:jc w:val="left"/>
              <w:rPr>
                <w:rFonts w:ascii="宋体" w:hAnsi="宋体" w:cs="宋体" w:eastAsia="宋体" w:hint="default"/>
                <w:sz w:val="18"/>
                <w:szCs w:val="18"/>
              </w:rPr>
            </w:pPr>
            <w:r>
              <w:rPr>
                <w:rFonts w:ascii="宋体" w:hAnsi="宋体" w:cs="宋体" w:eastAsia="宋体" w:hint="default"/>
                <w:sz w:val="18"/>
                <w:szCs w:val="18"/>
              </w:rPr>
              <w:t>天津丰东热处理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1"/>
              <w:jc w:val="left"/>
              <w:rPr>
                <w:rFonts w:ascii="宋体" w:hAnsi="宋体" w:cs="宋体" w:eastAsia="宋体" w:hint="default"/>
                <w:sz w:val="18"/>
                <w:szCs w:val="18"/>
              </w:rPr>
            </w:pPr>
            <w:r>
              <w:rPr>
                <w:rFonts w:ascii="宋体" w:hAnsi="宋体" w:cs="宋体" w:eastAsia="宋体" w:hint="default"/>
                <w:spacing w:val="-10"/>
                <w:sz w:val="18"/>
                <w:szCs w:val="18"/>
              </w:rPr>
              <w:t>金属制品加工、科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技信息咨询服务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万美</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108,251,225.78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96,496,826.29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Times New Roman" w:hAnsi="Times New Roman" w:cs="Times New Roman" w:eastAsia="Times New Roman" w:hint="default"/>
                <w:sz w:val="15"/>
                <w:szCs w:val="15"/>
              </w:rPr>
            </w:pPr>
            <w:r>
              <w:rPr>
                <w:rFonts w:ascii="Times New Roman"/>
                <w:sz w:val="15"/>
              </w:rPr>
              <w:t>24,411,703.57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1,276,119.73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888,307.93</w:t>
            </w:r>
          </w:p>
        </w:tc>
      </w:tr>
      <w:tr>
        <w:trPr>
          <w:trHeight w:val="73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24"/>
              <w:jc w:val="both"/>
              <w:rPr>
                <w:rFonts w:ascii="宋体" w:hAnsi="宋体" w:cs="宋体" w:eastAsia="宋体" w:hint="default"/>
                <w:sz w:val="18"/>
                <w:szCs w:val="18"/>
              </w:rPr>
            </w:pPr>
            <w:r>
              <w:rPr>
                <w:rFonts w:ascii="宋体" w:hAnsi="宋体" w:cs="宋体" w:eastAsia="宋体" w:hint="default"/>
                <w:sz w:val="18"/>
                <w:szCs w:val="18"/>
              </w:rPr>
              <w:t>北京丰东建通工 业炉科技有限公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25"/>
              <w:jc w:val="both"/>
              <w:rPr>
                <w:rFonts w:ascii="宋体" w:hAnsi="宋体" w:cs="宋体" w:eastAsia="宋体" w:hint="default"/>
                <w:sz w:val="18"/>
                <w:szCs w:val="18"/>
              </w:rPr>
            </w:pPr>
            <w:r>
              <w:rPr>
                <w:rFonts w:ascii="宋体" w:hAnsi="宋体" w:cs="宋体" w:eastAsia="宋体" w:hint="default"/>
                <w:sz w:val="18"/>
                <w:szCs w:val="18"/>
              </w:rPr>
              <w:t>生产热处理设备 及技术开发、转 让、咨询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41,974,470.66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10,243,720.71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95" w:right="0"/>
              <w:jc w:val="left"/>
              <w:rPr>
                <w:rFonts w:ascii="Times New Roman" w:hAnsi="Times New Roman" w:cs="Times New Roman" w:eastAsia="Times New Roman" w:hint="default"/>
                <w:sz w:val="15"/>
                <w:szCs w:val="15"/>
              </w:rPr>
            </w:pPr>
            <w:r>
              <w:rPr>
                <w:rFonts w:ascii="Times New Roman"/>
                <w:sz w:val="15"/>
              </w:rPr>
              <w:t>21,007,286.75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118,134.97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19,786.65</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盐城丰东特种炉 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5"/>
              <w:jc w:val="left"/>
              <w:rPr>
                <w:rFonts w:ascii="宋体" w:hAnsi="宋体" w:cs="宋体" w:eastAsia="宋体" w:hint="default"/>
                <w:sz w:val="18"/>
                <w:szCs w:val="18"/>
              </w:rPr>
            </w:pPr>
            <w:r>
              <w:rPr>
                <w:rFonts w:ascii="宋体" w:hAnsi="宋体" w:cs="宋体" w:eastAsia="宋体" w:hint="default"/>
                <w:sz w:val="18"/>
                <w:szCs w:val="18"/>
              </w:rPr>
              <w:t>生产热处理设备 及零部件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80.417 </w:t>
            </w:r>
            <w:r>
              <w:rPr>
                <w:rFonts w:ascii="宋体" w:hAnsi="宋体" w:cs="宋体" w:eastAsia="宋体" w:hint="default"/>
                <w:sz w:val="18"/>
                <w:szCs w:val="18"/>
              </w:rPr>
              <w:t>万 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31,142,099.66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13,043,818.85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45,979,471.20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2,516,611.80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2,351,937.10</w:t>
            </w:r>
          </w:p>
        </w:tc>
      </w:tr>
      <w:tr>
        <w:trPr>
          <w:trHeight w:val="8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24"/>
              <w:jc w:val="left"/>
              <w:rPr>
                <w:rFonts w:ascii="宋体" w:hAnsi="宋体" w:cs="宋体" w:eastAsia="宋体" w:hint="default"/>
                <w:sz w:val="18"/>
                <w:szCs w:val="18"/>
              </w:rPr>
            </w:pPr>
            <w:r>
              <w:rPr>
                <w:rFonts w:ascii="宋体" w:hAnsi="宋体" w:cs="宋体" w:eastAsia="宋体" w:hint="default"/>
                <w:sz w:val="18"/>
                <w:szCs w:val="18"/>
              </w:rPr>
              <w:t>盐城丰东祺耀工 业炉有限公司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244" w:lineRule="auto" w:before="21"/>
              <w:ind w:left="22" w:right="15"/>
              <w:jc w:val="left"/>
              <w:rPr>
                <w:rFonts w:ascii="宋体" w:hAnsi="宋体" w:cs="宋体" w:eastAsia="宋体" w:hint="default"/>
                <w:sz w:val="18"/>
                <w:szCs w:val="18"/>
              </w:rPr>
            </w:pPr>
            <w:r>
              <w:rPr>
                <w:rFonts w:ascii="宋体" w:hAnsi="宋体" w:cs="宋体" w:eastAsia="宋体" w:hint="default"/>
                <w:sz w:val="18"/>
                <w:szCs w:val="18"/>
              </w:rPr>
              <w:t>热处理设备研发 </w:t>
            </w:r>
            <w:r>
              <w:rPr>
                <w:rFonts w:ascii="宋体" w:hAnsi="宋体" w:cs="宋体" w:eastAsia="宋体" w:hint="default"/>
                <w:spacing w:val="-10"/>
                <w:sz w:val="18"/>
                <w:szCs w:val="18"/>
              </w:rPr>
              <w:t>设计、制造、销售</w:t>
            </w:r>
            <w:r>
              <w:rPr>
                <w:rFonts w:ascii="宋体" w:hAnsi="宋体" w:cs="宋体" w:eastAsia="宋体" w:hint="default"/>
                <w:sz w:val="18"/>
                <w:szCs w:val="18"/>
              </w:rPr>
              <w:t> 和维修服务</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4,660,533.18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2,003,118.57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6,132,928.78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264,457.02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185,166.42</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广州鑫润丰东热 处理有限公司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金属制品业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10,419,031.65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6,559,794.67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21,457,987.52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1,306,555.39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956,585.00</w:t>
            </w:r>
          </w:p>
        </w:tc>
      </w:tr>
      <w:tr>
        <w:trPr>
          <w:trHeight w:val="10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24"/>
              <w:jc w:val="left"/>
              <w:rPr>
                <w:rFonts w:ascii="宋体" w:hAnsi="宋体" w:cs="宋体" w:eastAsia="宋体" w:hint="default"/>
                <w:sz w:val="18"/>
                <w:szCs w:val="18"/>
              </w:rPr>
            </w:pPr>
            <w:r>
              <w:rPr>
                <w:rFonts w:ascii="宋体" w:hAnsi="宋体" w:cs="宋体" w:eastAsia="宋体" w:hint="default"/>
                <w:sz w:val="18"/>
                <w:szCs w:val="18"/>
              </w:rPr>
              <w:t>长春丰东热处理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5"/>
              <w:jc w:val="both"/>
              <w:rPr>
                <w:rFonts w:ascii="宋体" w:hAnsi="宋体" w:cs="宋体" w:eastAsia="宋体" w:hint="default"/>
                <w:sz w:val="18"/>
                <w:szCs w:val="18"/>
              </w:rPr>
            </w:pPr>
            <w:r>
              <w:rPr>
                <w:rFonts w:ascii="宋体" w:hAnsi="宋体" w:cs="宋体" w:eastAsia="宋体" w:hint="default"/>
                <w:sz w:val="18"/>
                <w:szCs w:val="18"/>
              </w:rPr>
              <w:t>推杆式连续炉和 转底炉为主的成 套热处理设备的 研制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20,797,017.09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6,800,567.04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1,584,309.84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-1,746,942.95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-1,732,082.00</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0" w:bottom="280" w:left="980" w:right="0"/>
        </w:sectPr>
      </w:pPr>
    </w:p>
    <w:p>
      <w:pPr>
        <w:spacing w:line="240" w:lineRule="auto" w:before="6"/>
        <w:rPr>
          <w:rFonts w:ascii="宋体" w:hAnsi="宋体" w:cs="宋体" w:eastAsia="宋体" w:hint="default"/>
          <w:sz w:val="24"/>
          <w:szCs w:val="24"/>
        </w:rPr>
      </w:pPr>
      <w:r>
        <w:rPr/>
        <w:pict>
          <v:group style="position:absolute;margin-left:241.279999pt;margin-top:148.999985pt;width:42.05pt;height:34.6pt;mso-position-horizontal-relative:page;mso-position-vertical-relative:page;z-index:-832888" coordorigin="4826,2980" coordsize="841,692">
            <v:group style="position:absolute;left:4826;top:2980;width:841;height:360" coordorigin="4826,2980" coordsize="841,360">
              <v:shape style="position:absolute;left:4826;top:2980;width:841;height:360" coordorigin="4826,2980" coordsize="841,360" path="m4826,3340l5666,3340,5666,2980,4826,2980,4826,3340xe" filled="true" fillcolor="#ffffff" stroked="false">
                <v:path arrowok="t"/>
                <v:fill type="solid"/>
              </v:shape>
            </v:group>
            <v:group style="position:absolute;left:4837;top:3340;width:2;height:321" coordorigin="4837,3340" coordsize="2,321">
              <v:shape style="position:absolute;left:4837;top:3340;width:2;height:321" coordorigin="4837,3340" coordsize="0,321" path="m4837,3340l4837,3660e" filled="false" stroked="true" strokeweight="1.140pt" strokecolor="#ffffff">
                <v:path arrowok="t"/>
              </v:shape>
            </v:group>
            <v:group style="position:absolute;left:4848;top:3340;width:795;height:321" coordorigin="4848,3340" coordsize="795,321">
              <v:shape style="position:absolute;left:4848;top:3340;width:795;height:321" coordorigin="4848,3340" coordsize="795,321" path="m4848,3660l5643,3660,5643,3340,4848,3340,4848,366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419"/>
        <w:gridCol w:w="850"/>
        <w:gridCol w:w="1418"/>
        <w:gridCol w:w="850"/>
        <w:gridCol w:w="1134"/>
        <w:gridCol w:w="994"/>
        <w:gridCol w:w="992"/>
        <w:gridCol w:w="992"/>
        <w:gridCol w:w="920"/>
      </w:tblGrid>
      <w:tr>
        <w:trPr>
          <w:trHeight w:val="15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2" w:right="124"/>
              <w:jc w:val="left"/>
              <w:rPr>
                <w:rFonts w:ascii="宋体" w:hAnsi="宋体" w:cs="宋体" w:eastAsia="宋体" w:hint="default"/>
                <w:sz w:val="18"/>
                <w:szCs w:val="18"/>
              </w:rPr>
            </w:pPr>
            <w:r>
              <w:rPr>
                <w:rFonts w:ascii="宋体" w:hAnsi="宋体" w:cs="宋体" w:eastAsia="宋体" w:hint="default"/>
                <w:sz w:val="18"/>
                <w:szCs w:val="18"/>
              </w:rPr>
              <w:t>盐城高周波热炼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10"/>
                <w:sz w:val="18"/>
                <w:szCs w:val="18"/>
              </w:rPr>
              <w:t>高频电源装置、感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应加热设备以及 各种附属设备制 </w:t>
            </w:r>
            <w:r>
              <w:rPr>
                <w:rFonts w:ascii="宋体" w:hAnsi="宋体" w:cs="宋体" w:eastAsia="宋体" w:hint="default"/>
                <w:spacing w:val="-10"/>
                <w:sz w:val="18"/>
                <w:szCs w:val="18"/>
              </w:rPr>
              <w:t>造，金属零部件的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感应加热热处理 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1,266.315</w:t>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165,410,976.39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spacing w:val="-1"/>
                <w:sz w:val="14"/>
              </w:rPr>
              <w:t>125,733,149.39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52,616,842.17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753,581.63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1,231,568.45</w:t>
            </w:r>
          </w:p>
        </w:tc>
      </w:tr>
      <w:tr>
        <w:trPr>
          <w:trHeight w:val="10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24"/>
              <w:jc w:val="both"/>
              <w:rPr>
                <w:rFonts w:ascii="宋体" w:hAnsi="宋体" w:cs="宋体" w:eastAsia="宋体" w:hint="default"/>
                <w:sz w:val="18"/>
                <w:szCs w:val="18"/>
              </w:rPr>
            </w:pPr>
            <w:r>
              <w:rPr>
                <w:rFonts w:ascii="宋体" w:hAnsi="宋体" w:cs="宋体" w:eastAsia="宋体" w:hint="default"/>
                <w:sz w:val="18"/>
                <w:szCs w:val="18"/>
              </w:rPr>
              <w:t>江苏石川岛丰东 真空技术有限公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真空热处理炉的 营销策划、设计 </w:t>
            </w:r>
            <w:r>
              <w:rPr>
                <w:rFonts w:ascii="宋体" w:hAnsi="宋体" w:cs="宋体" w:eastAsia="宋体" w:hint="default"/>
                <w:spacing w:val="-10"/>
                <w:sz w:val="18"/>
                <w:szCs w:val="18"/>
              </w:rPr>
              <w:t>制造、销售和售后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177"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37,462,768.92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29,390,921.65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24,488,738.80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246,634.80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149,568.73</w:t>
            </w:r>
          </w:p>
        </w:tc>
      </w:tr>
      <w:tr>
        <w:trPr>
          <w:trHeight w:val="10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24"/>
              <w:jc w:val="left"/>
              <w:rPr>
                <w:rFonts w:ascii="宋体" w:hAnsi="宋体" w:cs="宋体" w:eastAsia="宋体" w:hint="default"/>
                <w:sz w:val="18"/>
                <w:szCs w:val="18"/>
              </w:rPr>
            </w:pPr>
            <w:r>
              <w:rPr>
                <w:rFonts w:ascii="宋体" w:hAnsi="宋体" w:cs="宋体" w:eastAsia="宋体" w:hint="default"/>
                <w:sz w:val="18"/>
                <w:szCs w:val="18"/>
              </w:rPr>
              <w:t>广州丰东热炼有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金属零部件的综 合热处理的加工 </w:t>
            </w:r>
            <w:r>
              <w:rPr>
                <w:rFonts w:ascii="宋体" w:hAnsi="宋体" w:cs="宋体" w:eastAsia="宋体" w:hint="default"/>
                <w:spacing w:val="-10"/>
                <w:sz w:val="18"/>
                <w:szCs w:val="18"/>
              </w:rPr>
              <w:t>研发，销售本企业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177"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53,486,128.35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43,359,808.50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47,444,271.01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14,302,329.11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10,784,465.28</w:t>
            </w:r>
          </w:p>
        </w:tc>
      </w:tr>
      <w:tr>
        <w:trPr>
          <w:trHeight w:val="10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24"/>
              <w:jc w:val="both"/>
              <w:rPr>
                <w:rFonts w:ascii="宋体" w:hAnsi="宋体" w:cs="宋体" w:eastAsia="宋体" w:hint="default"/>
                <w:sz w:val="18"/>
                <w:szCs w:val="18"/>
              </w:rPr>
            </w:pPr>
            <w:r>
              <w:rPr>
                <w:rFonts w:ascii="宋体" w:hAnsi="宋体" w:cs="宋体" w:eastAsia="宋体" w:hint="default"/>
                <w:sz w:val="18"/>
                <w:szCs w:val="18"/>
              </w:rPr>
              <w:t>常州鑫润丰东热 处理工程有限公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热处理工程设计 </w:t>
            </w:r>
            <w:r>
              <w:rPr>
                <w:rFonts w:ascii="宋体" w:hAnsi="宋体" w:cs="宋体" w:eastAsia="宋体" w:hint="default"/>
                <w:spacing w:val="-10"/>
                <w:sz w:val="18"/>
                <w:szCs w:val="18"/>
              </w:rPr>
              <w:t>施工；金属热处理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加工；金属零部件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制造、加工、销售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13,175,820.99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9,425,295.98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8,493,900.69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1,281,302.37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932,367.25</w:t>
            </w:r>
          </w:p>
        </w:tc>
      </w:tr>
    </w:tbl>
    <w:p>
      <w:pPr>
        <w:pStyle w:val="BodyText"/>
        <w:spacing w:line="240" w:lineRule="auto" w:before="51"/>
        <w:ind w:left="514" w:right="0"/>
        <w:jc w:val="left"/>
      </w:pPr>
      <w:r>
        <w:rPr/>
        <w:pict>
          <v:group style="position:absolute;margin-left:241.279999pt;margin-top:-105.018257pt;width:42.05pt;height:34.6pt;mso-position-horizontal-relative:page;mso-position-vertical-relative:paragraph;z-index:-832864" coordorigin="4826,-2100" coordsize="841,692">
            <v:group style="position:absolute;left:4826;top:-2100;width:841;height:360" coordorigin="4826,-2100" coordsize="841,360">
              <v:shape style="position:absolute;left:4826;top:-2100;width:841;height:360" coordorigin="4826,-2100" coordsize="841,360" path="m4826,-1740l5666,-1740,5666,-2100,4826,-2100,4826,-1740xe" filled="true" fillcolor="#ffffff" stroked="false">
                <v:path arrowok="t"/>
                <v:fill type="solid"/>
              </v:shape>
            </v:group>
            <v:group style="position:absolute;left:4837;top:-1740;width:2;height:321" coordorigin="4837,-1740" coordsize="2,321">
              <v:shape style="position:absolute;left:4837;top:-1740;width:2;height:321" coordorigin="4837,-1740" coordsize="0,321" path="m4837,-1740l4837,-1420e" filled="false" stroked="true" strokeweight="1.140pt" strokecolor="#ffffff">
                <v:path arrowok="t"/>
              </v:shape>
            </v:group>
            <v:group style="position:absolute;left:4848;top:-1740;width:795;height:321" coordorigin="4848,-1740" coordsize="795,321">
              <v:shape style="position:absolute;left:4848;top:-1740;width:795;height:321" coordorigin="4848,-1740" coordsize="795,321" path="m4848,-1420l5643,-1420,5643,-1740,4848,-1740,4848,-1420xe" filled="true" fillcolor="#ffffff" stroked="false">
                <v:path arrowok="t"/>
                <v:fill type="solid"/>
              </v:shape>
            </v:group>
            <w10:wrap type="none"/>
          </v:group>
        </w:pict>
      </w:r>
      <w:r>
        <w:rPr/>
        <w:pict>
          <v:group style="position:absolute;margin-left:241.279999pt;margin-top:-52.518253pt;width:42.05pt;height:18pt;mso-position-horizontal-relative:page;mso-position-vertical-relative:paragraph;z-index:-832840" coordorigin="4826,-1050" coordsize="841,360">
            <v:shape style="position:absolute;left:4826;top:-1050;width:841;height:360" coordorigin="4826,-1050" coordsize="841,360" path="m4826,-690l5666,-690,5666,-1050,4826,-1050,4826,-690xe" filled="true" fillcolor="#ffffff" stroked="false">
              <v:path arrowok="t"/>
              <v:fill type="solid"/>
            </v:shape>
            <w10:wrap type="none"/>
          </v:group>
        </w:pict>
      </w:r>
      <w:r>
        <w:rPr/>
        <w:t>报告期内取得和处置子公司的情况</w:t>
      </w:r>
    </w:p>
    <w:p>
      <w:pPr>
        <w:pStyle w:val="BodyText"/>
        <w:spacing w:line="402" w:lineRule="exact" w:before="6"/>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240" w:lineRule="exact" w:before="7"/>
        <w:ind w:left="154" w:right="1199" w:firstLine="360"/>
        <w:jc w:val="left"/>
      </w:pPr>
      <w:r>
        <w:rPr>
          <w:rFonts w:ascii="Times New Roman" w:hAnsi="Times New Roman" w:cs="Times New Roman" w:eastAsia="Times New Roman" w:hint="default"/>
        </w:rPr>
        <w:t>1</w:t>
      </w:r>
      <w:r>
        <w:rPr/>
        <w:t>、联营公司广州丰东业绩保持持续稳定增长，</w:t>
      </w:r>
      <w:r>
        <w:rPr>
          <w:rFonts w:ascii="Times New Roman" w:hAnsi="Times New Roman" w:cs="Times New Roman" w:eastAsia="Times New Roman" w:hint="default"/>
        </w:rPr>
        <w:t>2015 </w:t>
      </w:r>
      <w:r>
        <w:rPr/>
        <w:t>年度业绩出现大幅提升，净利润比上年增长</w:t>
      </w:r>
      <w:r>
        <w:rPr>
          <w:spacing w:val="-47"/>
        </w:rPr>
        <w:t> </w:t>
      </w:r>
      <w:r>
        <w:rPr>
          <w:rFonts w:ascii="Times New Roman" w:hAnsi="Times New Roman" w:cs="Times New Roman" w:eastAsia="Times New Roman" w:hint="default"/>
        </w:rPr>
        <w:t>76.10%</w:t>
      </w:r>
      <w:r>
        <w:rPr/>
        <w:t>，带来公司投 资收益的增加。</w:t>
      </w:r>
    </w:p>
    <w:p>
      <w:pPr>
        <w:pStyle w:val="BodyText"/>
        <w:spacing w:line="240" w:lineRule="exact" w:before="41"/>
        <w:ind w:left="153" w:right="1042" w:firstLine="360"/>
        <w:jc w:val="both"/>
      </w:pPr>
      <w:r>
        <w:rPr>
          <w:rFonts w:ascii="Times New Roman" w:hAnsi="Times New Roman" w:cs="Times New Roman" w:eastAsia="Times New Roman" w:hint="default"/>
          <w:spacing w:val="-5"/>
        </w:rPr>
        <w:t>2</w:t>
      </w:r>
      <w:r>
        <w:rPr>
          <w:spacing w:val="-5"/>
        </w:rPr>
        <w:t>、合营公司盐城高周波受下游行业不景气因素影响较大，</w:t>
      </w:r>
      <w:r>
        <w:rPr>
          <w:rFonts w:ascii="Times New Roman" w:hAnsi="Times New Roman" w:cs="Times New Roman" w:eastAsia="Times New Roman" w:hint="default"/>
          <w:spacing w:val="-5"/>
        </w:rPr>
        <w:t>2015 </w:t>
      </w:r>
      <w:r>
        <w:rPr>
          <w:spacing w:val="-3"/>
        </w:rPr>
        <w:t>年度业绩出现较大幅度下滑，净利润比上年减少</w:t>
      </w:r>
      <w:r>
        <w:rPr>
          <w:spacing w:val="-19"/>
        </w:rPr>
        <w:t> </w:t>
      </w:r>
      <w:r>
        <w:rPr>
          <w:rFonts w:ascii="Times New Roman" w:hAnsi="Times New Roman" w:cs="Times New Roman" w:eastAsia="Times New Roman" w:hint="default"/>
        </w:rPr>
        <w:t>88.69%</w:t>
      </w:r>
      <w:r>
        <w:rPr/>
        <w:t>， 导致公司投资收益减少。</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11"/>
        <w:rPr>
          <w:rFonts w:ascii="宋体" w:hAnsi="宋体" w:cs="宋体" w:eastAsia="宋体" w:hint="default"/>
          <w:b/>
          <w:bCs/>
          <w:sz w:val="26"/>
          <w:szCs w:val="26"/>
        </w:rPr>
      </w:pPr>
    </w:p>
    <w:p>
      <w:pPr>
        <w:pStyle w:val="BodyText"/>
        <w:spacing w:line="285" w:lineRule="auto"/>
        <w:ind w:left="153" w:right="1050" w:firstLine="360"/>
        <w:jc w:val="both"/>
      </w:pPr>
      <w:r>
        <w:rPr/>
        <w:t>热处理是机械工业的重要组成部分，是现代制造业生产链上不可或缺的极其重要环节，是促进金属材料潜力充分发挥、 提高机械零件内在质量和使用寿命的关键加工工序，是制造业的基础技术。</w:t>
      </w:r>
    </w:p>
    <w:p>
      <w:pPr>
        <w:pStyle w:val="BodyText"/>
        <w:spacing w:line="285" w:lineRule="auto" w:before="50"/>
        <w:ind w:left="153" w:right="1131" w:firstLine="360"/>
        <w:jc w:val="both"/>
      </w:pPr>
      <w:r>
        <w:rPr>
          <w:spacing w:val="-2"/>
        </w:rPr>
        <w:t>热处理装备是涉及多学科技术复合交叉的典型装备制造业，热处理装备已成为我国机械制造业产业提升和转型升级的瓶</w:t>
      </w:r>
      <w:r>
        <w:rPr/>
        <w:t> </w:t>
      </w:r>
      <w:r>
        <w:rPr>
          <w:spacing w:val="-2"/>
        </w:rPr>
        <w:t>颈，目前国防工业和许多国家重大装备关键核心部件的热处理装备仍然主要依赖进口，严重威胁着我国的国防安全和经济安</w:t>
      </w:r>
      <w:r>
        <w:rPr>
          <w:spacing w:val="-64"/>
        </w:rPr>
        <w:t> </w:t>
      </w:r>
      <w:r>
        <w:rPr>
          <w:spacing w:val="-64"/>
        </w:rPr>
      </w:r>
      <w:r>
        <w:rPr/>
        <w:t>全。</w:t>
      </w:r>
    </w:p>
    <w:p>
      <w:pPr>
        <w:pStyle w:val="BodyText"/>
        <w:spacing w:line="285" w:lineRule="auto" w:before="50"/>
        <w:ind w:left="154" w:right="1133" w:firstLine="360"/>
        <w:jc w:val="both"/>
      </w:pPr>
      <w:r>
        <w:rPr>
          <w:spacing w:val="-2"/>
        </w:rPr>
        <w:t>热处理加工是机械装备及其零部件制造过程中一项重要工序，像齿轮、轴承、叶片等重要的机械零件和工模具都需要经</w:t>
      </w:r>
      <w:r>
        <w:rPr/>
        <w:t> </w:t>
      </w:r>
      <w:r>
        <w:rPr>
          <w:spacing w:val="-2"/>
        </w:rPr>
        <w:t>过热处理，做好热处理加工对于充分发挥金属材料的性能潜力、提高产品的内在质量、节约材料、减少能耗、延长产品的使</w:t>
      </w:r>
      <w:r>
        <w:rPr>
          <w:spacing w:val="-66"/>
        </w:rPr>
        <w:t> </w:t>
      </w:r>
      <w:r>
        <w:rPr>
          <w:spacing w:val="-66"/>
        </w:rPr>
      </w:r>
      <w:r>
        <w:rPr/>
        <w:t>用寿命、提高经济效益都具有十分重要的意义。</w:t>
      </w:r>
    </w:p>
    <w:p>
      <w:pPr>
        <w:pStyle w:val="Heading5"/>
        <w:spacing w:line="240" w:lineRule="auto" w:before="126"/>
        <w:ind w:right="0"/>
        <w:jc w:val="left"/>
        <w:rPr>
          <w:b w:val="0"/>
          <w:bCs w:val="0"/>
        </w:rPr>
      </w:pPr>
      <w:r>
        <w:rPr/>
        <w:t>（一）行业格局和趋势</w:t>
      </w:r>
      <w:r>
        <w:rPr>
          <w:b w:val="0"/>
          <w:bCs w:val="0"/>
        </w:rPr>
      </w:r>
    </w:p>
    <w:p>
      <w:pPr>
        <w:spacing w:line="240" w:lineRule="auto" w:before="0"/>
        <w:rPr>
          <w:rFonts w:ascii="宋体" w:hAnsi="宋体" w:cs="宋体" w:eastAsia="宋体" w:hint="default"/>
          <w:b/>
          <w:bCs/>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w:t>
      </w:r>
      <w:r>
        <w:rPr/>
        <w:t>、热处理设备</w:t>
      </w:r>
      <w:r>
        <w:rPr>
          <w:b w:val="0"/>
          <w:bCs w:val="0"/>
        </w:rPr>
      </w:r>
    </w:p>
    <w:p>
      <w:pPr>
        <w:spacing w:line="240" w:lineRule="auto" w:before="3"/>
        <w:rPr>
          <w:rFonts w:ascii="宋体" w:hAnsi="宋体" w:cs="宋体" w:eastAsia="宋体" w:hint="default"/>
          <w:b/>
          <w:bCs/>
          <w:sz w:val="14"/>
          <w:szCs w:val="14"/>
        </w:rPr>
      </w:pPr>
    </w:p>
    <w:p>
      <w:pPr>
        <w:pStyle w:val="BodyText"/>
        <w:spacing w:line="309" w:lineRule="auto"/>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1.1 </w:t>
      </w:r>
      <w:r>
        <w:rPr/>
        <w:t>国内热处理设备制造企业总体状况及竞争格局</w:t>
      </w:r>
      <w:r>
        <w:rPr>
          <w:spacing w:val="-18"/>
        </w:rPr>
        <w:t> </w:t>
      </w:r>
      <w:r>
        <w:rPr>
          <w:spacing w:val="-18"/>
        </w:rPr>
      </w:r>
      <w:r>
        <w:rPr/>
        <w:t>据国家统计局和热处理行业协会提供的统计数据分析，</w:t>
      </w:r>
      <w:r>
        <w:rPr>
          <w:spacing w:val="-73"/>
        </w:rPr>
        <w:t> </w:t>
      </w:r>
      <w:r>
        <w:rPr/>
        <w:t>全国热处理设备制造企业约有 </w:t>
      </w:r>
      <w:r>
        <w:rPr>
          <w:rFonts w:ascii="Times New Roman" w:hAnsi="Times New Roman" w:cs="Times New Roman" w:eastAsia="Times New Roman" w:hint="default"/>
        </w:rPr>
        <w:t>1,200</w:t>
      </w:r>
      <w:r>
        <w:rPr/>
        <w:t>多家</w:t>
      </w:r>
      <w:r>
        <w:rPr>
          <w:rFonts w:ascii="Times New Roman" w:hAnsi="Times New Roman" w:cs="Times New Roman" w:eastAsia="Times New Roman" w:hint="default"/>
        </w:rPr>
        <w:t>,  </w:t>
      </w:r>
      <w:r>
        <w:rPr/>
        <w:t>从业人员</w:t>
      </w:r>
      <w:r>
        <w:rPr>
          <w:spacing w:val="-59"/>
        </w:rPr>
        <w:t> </w:t>
      </w:r>
      <w:r>
        <w:rPr>
          <w:rFonts w:ascii="Times New Roman" w:hAnsi="Times New Roman" w:cs="Times New Roman" w:eastAsia="Times New Roman" w:hint="default"/>
        </w:rPr>
        <w:t>3</w:t>
      </w:r>
      <w:r>
        <w:rPr/>
        <w:t>万人左右</w:t>
      </w:r>
      <w:r>
        <w:rPr>
          <w:rFonts w:ascii="Times New Roman" w:hAnsi="Times New Roman" w:cs="Times New Roman" w:eastAsia="Times New Roman" w:hint="default"/>
        </w:rPr>
        <w:t>,</w:t>
      </w:r>
    </w:p>
    <w:p>
      <w:pPr>
        <w:pStyle w:val="BodyText"/>
        <w:spacing w:line="222" w:lineRule="exact"/>
        <w:ind w:left="153" w:right="0"/>
        <w:jc w:val="both"/>
      </w:pPr>
      <w:r>
        <w:rPr>
          <w:rFonts w:ascii="Times New Roman" w:hAnsi="Times New Roman" w:cs="Times New Roman" w:eastAsia="Times New Roman" w:hint="default"/>
        </w:rPr>
        <w:t>2012</w:t>
      </w:r>
      <w:r>
        <w:rPr/>
        <w:t>年工业总产值</w:t>
      </w:r>
      <w:r>
        <w:rPr>
          <w:rFonts w:ascii="Times New Roman" w:hAnsi="Times New Roman" w:cs="Times New Roman" w:eastAsia="Times New Roman" w:hint="default"/>
        </w:rPr>
        <w:t>66.6</w:t>
      </w:r>
      <w:r>
        <w:rPr/>
        <w:t>亿，规模以上企业（年收入</w:t>
      </w:r>
      <w:r>
        <w:rPr>
          <w:rFonts w:ascii="Times New Roman" w:hAnsi="Times New Roman" w:cs="Times New Roman" w:eastAsia="Times New Roman" w:hint="default"/>
        </w:rPr>
        <w:t>2,000</w:t>
      </w:r>
      <w:r>
        <w:rPr/>
        <w:t>万以上）有 </w:t>
      </w:r>
      <w:r>
        <w:rPr>
          <w:rFonts w:ascii="Times New Roman" w:hAnsi="Times New Roman" w:cs="Times New Roman" w:eastAsia="Times New Roman" w:hint="default"/>
        </w:rPr>
        <w:t>112</w:t>
      </w:r>
      <w:r>
        <w:rPr/>
        <w:t>家（不到总企业数的</w:t>
      </w:r>
      <w:r>
        <w:rPr>
          <w:rFonts w:ascii="Times New Roman" w:hAnsi="Times New Roman" w:cs="Times New Roman" w:eastAsia="Times New Roman" w:hint="default"/>
        </w:rPr>
        <w:t>10%</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具有较大规模的设备制</w:t>
      </w:r>
    </w:p>
    <w:p>
      <w:pPr>
        <w:pStyle w:val="BodyText"/>
        <w:spacing w:line="268" w:lineRule="auto" w:before="30"/>
        <w:ind w:left="153" w:right="1131"/>
        <w:jc w:val="both"/>
      </w:pPr>
      <w:r>
        <w:rPr>
          <w:spacing w:val="-1"/>
        </w:rPr>
        <w:t>造企业（年收入</w:t>
      </w:r>
      <w:r>
        <w:rPr>
          <w:rFonts w:ascii="Times New Roman" w:hAnsi="Times New Roman" w:cs="Times New Roman" w:eastAsia="Times New Roman" w:hint="default"/>
          <w:spacing w:val="-1"/>
        </w:rPr>
        <w:t>1</w:t>
      </w:r>
      <w:r>
        <w:rPr>
          <w:spacing w:val="-1"/>
        </w:rPr>
        <w:t>亿元以上）在</w:t>
      </w:r>
      <w:r>
        <w:rPr>
          <w:rFonts w:ascii="Times New Roman" w:hAnsi="Times New Roman" w:cs="Times New Roman" w:eastAsia="Times New Roman" w:hint="default"/>
          <w:spacing w:val="-1"/>
        </w:rPr>
        <w:t>11</w:t>
      </w:r>
      <w:r>
        <w:rPr>
          <w:spacing w:val="-1"/>
        </w:rPr>
        <w:t>家左右（不到总企业数的</w:t>
      </w:r>
      <w:r>
        <w:rPr>
          <w:rFonts w:ascii="Times New Roman" w:hAnsi="Times New Roman" w:cs="Times New Roman" w:eastAsia="Times New Roman" w:hint="default"/>
          <w:spacing w:val="-1"/>
        </w:rPr>
        <w:t>1%</w:t>
      </w:r>
      <w:r>
        <w:rPr>
          <w:spacing w:val="-1"/>
        </w:rPr>
        <w:t>），企业规模集中度很低，其中外商独资和合资企业占据高端</w:t>
      </w:r>
      <w:r>
        <w:rPr/>
        <w:t> 热处理设备市场，约占市场规模的</w:t>
      </w:r>
      <w:r>
        <w:rPr>
          <w:rFonts w:ascii="Times New Roman" w:hAnsi="Times New Roman" w:cs="Times New Roman" w:eastAsia="Times New Roman" w:hint="default"/>
        </w:rPr>
        <w:t>1/3</w:t>
      </w:r>
      <w:r>
        <w:rPr/>
        <w:t>，年收入约</w:t>
      </w:r>
      <w:r>
        <w:rPr>
          <w:rFonts w:ascii="Times New Roman" w:hAnsi="Times New Roman" w:cs="Times New Roman" w:eastAsia="Times New Roman" w:hint="default"/>
        </w:rPr>
        <w:t>20</w:t>
      </w:r>
      <w:r>
        <w:rPr/>
        <w:t>亿左右，科研院所以及国有转制企业、民营规模企业占据中档热处理设 </w:t>
      </w:r>
      <w:r>
        <w:rPr>
          <w:spacing w:val="-2"/>
        </w:rPr>
        <w:t>备市场，估计也有</w:t>
      </w:r>
      <w:r>
        <w:rPr>
          <w:rFonts w:ascii="Times New Roman" w:hAnsi="Times New Roman" w:cs="Times New Roman" w:eastAsia="Times New Roman" w:hint="default"/>
          <w:spacing w:val="-2"/>
        </w:rPr>
        <w:t>20</w:t>
      </w:r>
      <w:r>
        <w:rPr>
          <w:spacing w:val="-2"/>
        </w:rPr>
        <w:t>亿左右市场，其他面广量大的小规模合伙企业占据低端传统热处理炉市场。设备制造主要集中在华东地</w:t>
      </w:r>
    </w:p>
    <w:p>
      <w:pPr>
        <w:spacing w:after="0" w:line="268" w:lineRule="auto"/>
        <w:jc w:val="both"/>
        <w:sectPr>
          <w:pgSz w:w="11910" w:h="16840"/>
          <w:pgMar w:header="768" w:footer="979" w:top="1100" w:bottom="1160" w:left="980" w:right="0"/>
        </w:sectPr>
      </w:pPr>
    </w:p>
    <w:p>
      <w:pPr>
        <w:spacing w:line="240" w:lineRule="auto" w:before="2"/>
        <w:rPr>
          <w:rFonts w:ascii="宋体" w:hAnsi="宋体" w:cs="宋体" w:eastAsia="宋体" w:hint="default"/>
          <w:sz w:val="22"/>
          <w:szCs w:val="22"/>
        </w:rPr>
      </w:pPr>
    </w:p>
    <w:p>
      <w:pPr>
        <w:pStyle w:val="BodyText"/>
        <w:spacing w:line="278" w:lineRule="auto" w:before="44"/>
        <w:ind w:left="153" w:right="1033"/>
        <w:jc w:val="left"/>
      </w:pPr>
      <w:r>
        <w:rPr/>
        <w:t>区，约占全国的一半左右市场，其中江苏一省就占全国的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左右，其他如北京占有</w:t>
      </w:r>
      <w:r>
        <w:rPr>
          <w:rFonts w:ascii="Times New Roman" w:hAnsi="Times New Roman" w:cs="Times New Roman" w:eastAsia="Times New Roman" w:hint="default"/>
        </w:rPr>
        <w:t>10%</w:t>
      </w:r>
      <w:r>
        <w:rPr/>
        <w:t>左右的市场，另外沈阳、天津、 杭州、武汉等地设备制造商也相对集中</w:t>
      </w:r>
      <w:r>
        <w:rPr>
          <w:rFonts w:ascii="Times New Roman" w:hAnsi="Times New Roman" w:cs="Times New Roman" w:eastAsia="Times New Roman" w:hint="default"/>
        </w:rPr>
        <w:t>, </w:t>
      </w:r>
      <w:r>
        <w:rPr/>
        <w:t>其中各类可控气氛炉制造企业主要集中在江苏、北京、上海等地</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各类真空炉制造 企业主要集中在北京、沈阳、江苏等地</w:t>
      </w:r>
      <w:r>
        <w:rPr>
          <w:rFonts w:ascii="Times New Roman" w:hAnsi="Times New Roman" w:cs="Times New Roman" w:eastAsia="Times New Roman" w:hint="default"/>
        </w:rPr>
        <w:t>,</w:t>
      </w:r>
      <w:r>
        <w:rPr/>
        <w:t>感应热处理设备制造企业主要集中在上海、江苏、河北等地</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等离子设备主要集中在 </w:t>
      </w:r>
      <w:r>
        <w:rPr>
          <w:spacing w:val="-2"/>
        </w:rPr>
        <w:t>武汉、北京、杭州等地。目前，外商独资和合资企业的研发主要在国外，最先进的热处理装备仍在国外制造，在国内的投资</w:t>
      </w:r>
      <w:r>
        <w:rPr>
          <w:spacing w:val="-66"/>
        </w:rPr>
        <w:t> </w:t>
      </w:r>
      <w:r>
        <w:rPr>
          <w:spacing w:val="-66"/>
        </w:rPr>
      </w:r>
      <w:r>
        <w:rPr>
          <w:spacing w:val="-2"/>
        </w:rPr>
        <w:t>及合资企业主要负责低一档设备的制造和服务。国内设备制造企业主要以仿制为主，研发投入较少，国内行业关键共性技术</w:t>
      </w:r>
      <w:r>
        <w:rPr>
          <w:spacing w:val="-66"/>
        </w:rPr>
        <w:t> </w:t>
      </w:r>
      <w:r>
        <w:rPr>
          <w:spacing w:val="-66"/>
        </w:rPr>
      </w:r>
      <w:r>
        <w:rPr>
          <w:spacing w:val="-2"/>
        </w:rPr>
        <w:t>研发机构缺位，工程化研发投入不足，产学研合作、成果企业化推广、利益共享体系尚未真正形成。国内一些行业（如航空</w:t>
      </w:r>
      <w:r>
        <w:rPr>
          <w:spacing w:val="-68"/>
        </w:rPr>
        <w:t> </w:t>
      </w:r>
      <w:r>
        <w:rPr>
          <w:spacing w:val="-68"/>
        </w:rPr>
      </w:r>
      <w:r>
        <w:rPr>
          <w:spacing w:val="-2"/>
        </w:rPr>
        <w:t>航天、核电、风电、船舶、精密机床、高铁、汽车等行业）的大量核心精密零部件仍主要依赖进口，很大程度是受热处理工</w:t>
      </w:r>
      <w:r>
        <w:rPr>
          <w:spacing w:val="-67"/>
        </w:rPr>
        <w:t> </w:t>
      </w:r>
      <w:r>
        <w:rPr>
          <w:spacing w:val="-67"/>
        </w:rPr>
      </w:r>
      <w:r>
        <w:rPr>
          <w:spacing w:val="-2"/>
        </w:rPr>
        <w:t>艺及装备的制约，大量热处理装备仍主要依赖进口，并时常遭遇禁售，对国民经济及国家安全构成威胁。根据海关总署提供</w:t>
      </w:r>
      <w:r>
        <w:rPr>
          <w:spacing w:val="-66"/>
        </w:rPr>
        <w:t> </w:t>
      </w:r>
      <w:r>
        <w:rPr>
          <w:spacing w:val="-66"/>
        </w:rPr>
      </w:r>
      <w:r>
        <w:rPr/>
        <w:t>的统计数据，进口各类热处理设备的规模至少在</w:t>
      </w:r>
      <w:r>
        <w:rPr>
          <w:rFonts w:ascii="Times New Roman" w:hAnsi="Times New Roman" w:cs="Times New Roman" w:eastAsia="Times New Roman" w:hint="default"/>
        </w:rPr>
        <w:t>30</w:t>
      </w:r>
      <w:r>
        <w:rPr/>
        <w:t>亿人民币以上，远大于国内生产的高档热处理设备</w:t>
      </w:r>
      <w:r>
        <w:rPr>
          <w:rFonts w:ascii="Times New Roman" w:hAnsi="Times New Roman" w:cs="Times New Roman" w:eastAsia="Times New Roman" w:hint="default"/>
        </w:rPr>
        <w:t>20</w:t>
      </w:r>
      <w:r>
        <w:rPr/>
        <w:t>亿左右的市场规模， 国内高档热处理设备仍主要依赖进口，国内现有热处理设备自给率不足</w:t>
      </w:r>
      <w:r>
        <w:rPr>
          <w:rFonts w:ascii="Times New Roman" w:hAnsi="Times New Roman" w:cs="Times New Roman" w:eastAsia="Times New Roman" w:hint="default"/>
        </w:rPr>
        <w:t>40%</w:t>
      </w:r>
      <w:r>
        <w:rPr/>
        <w:t>。</w:t>
      </w:r>
    </w:p>
    <w:p>
      <w:pPr>
        <w:pStyle w:val="BodyText"/>
        <w:spacing w:line="240" w:lineRule="auto" w:before="119"/>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我国热处理装备产业发展趋势</w:t>
      </w:r>
    </w:p>
    <w:p>
      <w:pPr>
        <w:pStyle w:val="BodyText"/>
        <w:spacing w:line="240" w:lineRule="auto" w:before="70"/>
        <w:ind w:right="0"/>
        <w:jc w:val="left"/>
      </w:pPr>
      <w:r>
        <w:rPr/>
        <w:t>（</w:t>
      </w:r>
      <w:r>
        <w:rPr>
          <w:rFonts w:ascii="Times New Roman" w:hAnsi="Times New Roman" w:cs="Times New Roman" w:eastAsia="Times New Roman" w:hint="default"/>
        </w:rPr>
        <w:t>1</w:t>
      </w:r>
      <w:r>
        <w:rPr/>
        <w:t>）热处理装备企业的竞争逐步从价格竞争向质量可靠性方向转变；</w:t>
      </w:r>
    </w:p>
    <w:p>
      <w:pPr>
        <w:pStyle w:val="BodyText"/>
        <w:spacing w:line="240" w:lineRule="auto" w:before="71"/>
        <w:ind w:right="0"/>
        <w:jc w:val="left"/>
      </w:pPr>
      <w:r>
        <w:rPr/>
        <w:t>（</w:t>
      </w:r>
      <w:r>
        <w:rPr>
          <w:rFonts w:ascii="Times New Roman" w:hAnsi="Times New Roman" w:cs="Times New Roman" w:eastAsia="Times New Roman" w:hint="default"/>
        </w:rPr>
        <w:t>2</w:t>
      </w:r>
      <w:r>
        <w:rPr/>
        <w:t>）装备数字化、网络化、智能化将快速提升；</w:t>
      </w:r>
    </w:p>
    <w:p>
      <w:pPr>
        <w:pStyle w:val="BodyText"/>
        <w:spacing w:line="240" w:lineRule="auto" w:before="70"/>
        <w:ind w:left="514" w:right="0"/>
        <w:jc w:val="left"/>
      </w:pPr>
      <w:r>
        <w:rPr/>
        <w:t>（</w:t>
      </w:r>
      <w:r>
        <w:rPr>
          <w:rFonts w:ascii="Times New Roman" w:hAnsi="Times New Roman" w:cs="Times New Roman" w:eastAsia="Times New Roman" w:hint="default"/>
        </w:rPr>
        <w:t>3</w:t>
      </w:r>
      <w:r>
        <w:rPr/>
        <w:t>）装备安全节能环保水平将不断加强；</w:t>
      </w:r>
    </w:p>
    <w:p>
      <w:pPr>
        <w:pStyle w:val="BodyText"/>
        <w:spacing w:line="240" w:lineRule="auto" w:before="71"/>
        <w:ind w:right="0"/>
        <w:jc w:val="left"/>
      </w:pPr>
      <w:r>
        <w:rPr/>
        <w:t>（</w:t>
      </w:r>
      <w:r>
        <w:rPr>
          <w:rFonts w:ascii="Times New Roman" w:hAnsi="Times New Roman" w:cs="Times New Roman" w:eastAsia="Times New Roman" w:hint="default"/>
        </w:rPr>
        <w:t>4</w:t>
      </w:r>
      <w:r>
        <w:rPr/>
        <w:t>）热处理装备制造企业向现代制造服务业发展转型。</w:t>
      </w:r>
    </w:p>
    <w:p>
      <w:pPr>
        <w:pStyle w:val="BodyText"/>
        <w:spacing w:line="240" w:lineRule="auto" w:before="151"/>
        <w:ind w:left="514" w:right="0"/>
        <w:jc w:val="left"/>
      </w:pPr>
      <w:r>
        <w:rPr>
          <w:rFonts w:ascii="Times New Roman" w:hAnsi="Times New Roman" w:cs="Times New Roman" w:eastAsia="Times New Roman" w:hint="default"/>
        </w:rPr>
        <w:t>1. 3</w:t>
      </w:r>
      <w:r>
        <w:rPr>
          <w:rFonts w:ascii="Times New Roman" w:hAnsi="Times New Roman" w:cs="Times New Roman" w:eastAsia="Times New Roman" w:hint="default"/>
          <w:spacing w:val="25"/>
        </w:rPr>
        <w:t> </w:t>
      </w:r>
      <w:r>
        <w:rPr/>
        <w:t>我国热处理装备产业</w:t>
      </w:r>
      <w:r>
        <w:rPr>
          <w:rFonts w:ascii="Times New Roman" w:hAnsi="Times New Roman" w:cs="Times New Roman" w:eastAsia="Times New Roman" w:hint="default"/>
        </w:rPr>
        <w:t>2025</w:t>
      </w:r>
      <w:r>
        <w:rPr/>
        <w:t>年发展目标</w:t>
      </w:r>
    </w:p>
    <w:p>
      <w:pPr>
        <w:pStyle w:val="BodyText"/>
        <w:spacing w:line="278" w:lineRule="auto" w:before="70"/>
        <w:ind w:left="154" w:right="1041" w:firstLine="360"/>
        <w:jc w:val="both"/>
      </w:pPr>
      <w:r>
        <w:rPr/>
        <w:t>（</w:t>
      </w:r>
      <w:r>
        <w:rPr>
          <w:rFonts w:ascii="Times New Roman" w:hAnsi="Times New Roman" w:cs="Times New Roman" w:eastAsia="Times New Roman" w:hint="default"/>
        </w:rPr>
        <w:t>1</w:t>
      </w:r>
      <w:r>
        <w:rPr/>
        <w:t>）现有主要类型的热处理设备（如可控气氛、真空热处理、感应加热热处理、等离子表面改性和大型非标热处理炉 </w:t>
      </w:r>
      <w:r>
        <w:rPr>
          <w:spacing w:val="-2"/>
        </w:rPr>
        <w:t>等）在设备可靠性、自动化、智能化、生产效率、节能减排等技术指标及制造水平上基本可与国际先进水平同步，国内品牌</w:t>
      </w:r>
      <w:r>
        <w:rPr>
          <w:spacing w:val="-68"/>
        </w:rPr>
        <w:t> </w:t>
      </w:r>
      <w:r>
        <w:rPr>
          <w:spacing w:val="-68"/>
        </w:rPr>
      </w:r>
      <w:r>
        <w:rPr>
          <w:spacing w:val="-3"/>
        </w:rPr>
        <w:t>热处理设备在国内中高端市场占有率可达</w:t>
      </w:r>
      <w:r>
        <w:rPr>
          <w:rFonts w:ascii="Times New Roman" w:hAnsi="Times New Roman" w:cs="Times New Roman" w:eastAsia="Times New Roman" w:hint="default"/>
          <w:spacing w:val="-3"/>
        </w:rPr>
        <w:t>80%</w:t>
      </w:r>
      <w:r>
        <w:rPr>
          <w:spacing w:val="-3"/>
        </w:rPr>
        <w:t>以上，热处理设备进出口贸易可形成顺差，设备大量出口东南亚及独联体国家。</w:t>
      </w:r>
    </w:p>
    <w:p>
      <w:pPr>
        <w:pStyle w:val="BodyText"/>
        <w:spacing w:line="268" w:lineRule="auto" w:before="38"/>
        <w:ind w:left="153" w:right="1130" w:firstLine="360"/>
        <w:jc w:val="both"/>
      </w:pPr>
      <w:r>
        <w:rPr/>
        <w:t>（</w:t>
      </w:r>
      <w:r>
        <w:rPr>
          <w:rFonts w:ascii="Times New Roman" w:hAnsi="Times New Roman" w:cs="Times New Roman" w:eastAsia="Times New Roman" w:hint="default"/>
        </w:rPr>
        <w:t>2</w:t>
      </w:r>
      <w:r>
        <w:rPr/>
        <w:t>）环保少无氧化热处理设备在内部配套热处理加工的规模机械制造企业中比例估计将达到</w:t>
      </w:r>
      <w:r>
        <w:rPr>
          <w:rFonts w:ascii="Times New Roman" w:hAnsi="Times New Roman" w:cs="Times New Roman" w:eastAsia="Times New Roman" w:hint="default"/>
        </w:rPr>
        <w:t>70%</w:t>
      </w:r>
      <w:r>
        <w:rPr/>
        <w:t>，在专业热处理加工 </w:t>
      </w:r>
      <w:r>
        <w:rPr>
          <w:spacing w:val="-1"/>
        </w:rPr>
        <w:t>企业中预计将达到</w:t>
      </w:r>
      <w:r>
        <w:rPr>
          <w:rFonts w:ascii="Times New Roman" w:hAnsi="Times New Roman" w:cs="Times New Roman" w:eastAsia="Times New Roman" w:hint="default"/>
          <w:spacing w:val="-1"/>
        </w:rPr>
        <w:t>90%</w:t>
      </w:r>
      <w:r>
        <w:rPr>
          <w:spacing w:val="-1"/>
        </w:rPr>
        <w:t>，热处理能耗指标平均降低</w:t>
      </w:r>
      <w:r>
        <w:rPr>
          <w:rFonts w:ascii="Times New Roman" w:hAnsi="Times New Roman" w:cs="Times New Roman" w:eastAsia="Times New Roman" w:hint="default"/>
          <w:spacing w:val="-1"/>
        </w:rPr>
        <w:t>60%</w:t>
      </w:r>
      <w:r>
        <w:rPr>
          <w:spacing w:val="-1"/>
        </w:rPr>
        <w:t>，热处理生产对环境的影响基本为零，质量保证体系和企业信息化管</w:t>
      </w:r>
      <w:r>
        <w:rPr>
          <w:spacing w:val="-58"/>
        </w:rPr>
        <w:t> </w:t>
      </w:r>
      <w:r>
        <w:rPr>
          <w:spacing w:val="-58"/>
        </w:rPr>
      </w:r>
      <w:r>
        <w:rPr>
          <w:spacing w:val="-1"/>
        </w:rPr>
        <w:t>理水平与国际先进水平同步，专业热处理加工量占总加工量的比重预计将达到</w:t>
      </w:r>
      <w:r>
        <w:rPr>
          <w:rFonts w:ascii="Times New Roman" w:hAnsi="Times New Roman" w:cs="Times New Roman" w:eastAsia="Times New Roman" w:hint="default"/>
          <w:spacing w:val="-1"/>
        </w:rPr>
        <w:t>30%</w:t>
      </w:r>
      <w:r>
        <w:rPr>
          <w:spacing w:val="-1"/>
        </w:rPr>
        <w:t>，并形成几家具有国际竞争力的连锁加工</w:t>
      </w:r>
      <w:r>
        <w:rPr/>
        <w:t> 跨国企业集团，劳动生产率与国际先进水平接近。</w:t>
      </w:r>
    </w:p>
    <w:p>
      <w:pPr>
        <w:pStyle w:val="BodyText"/>
        <w:spacing w:line="268" w:lineRule="auto" w:before="63"/>
        <w:ind w:left="154" w:right="1122" w:firstLine="360"/>
        <w:jc w:val="left"/>
      </w:pPr>
      <w:r>
        <w:rPr/>
        <w:t>（</w:t>
      </w:r>
      <w:r>
        <w:rPr>
          <w:rFonts w:ascii="Times New Roman" w:hAnsi="Times New Roman" w:cs="Times New Roman" w:eastAsia="Times New Roman" w:hint="default"/>
        </w:rPr>
        <w:t>3</w:t>
      </w:r>
      <w:r>
        <w:rPr/>
        <w:t>）热处理配件及辅助材料质量、可靠性、使用寿命基本上可与国际先进水平同步，国产品牌的配件及辅助材料在国 内中高档热处理设备上的配套率预计将达到</w:t>
      </w:r>
      <w:r>
        <w:rPr>
          <w:rFonts w:ascii="Times New Roman" w:hAnsi="Times New Roman" w:cs="Times New Roman" w:eastAsia="Times New Roman" w:hint="default"/>
        </w:rPr>
        <w:t>80%</w:t>
      </w:r>
      <w:r>
        <w:rPr/>
        <w:t>以上。</w:t>
      </w:r>
    </w:p>
    <w:p>
      <w:pPr>
        <w:pStyle w:val="Heading5"/>
        <w:spacing w:line="240" w:lineRule="auto" w:before="127"/>
        <w:ind w:right="0"/>
        <w:jc w:val="left"/>
        <w:rPr>
          <w:b w:val="0"/>
          <w:bCs w:val="0"/>
        </w:rPr>
      </w:pPr>
      <w:r>
        <w:rPr>
          <w:rFonts w:ascii="Times New Roman" w:hAnsi="Times New Roman" w:cs="Times New Roman" w:eastAsia="Times New Roman" w:hint="default"/>
        </w:rPr>
        <w:t>2</w:t>
      </w:r>
      <w:r>
        <w:rPr/>
        <w:t>、热处理加工</w:t>
      </w:r>
      <w:r>
        <w:rPr>
          <w:b w:val="0"/>
          <w:bCs w:val="0"/>
        </w:rPr>
      </w:r>
    </w:p>
    <w:p>
      <w:pPr>
        <w:pStyle w:val="BodyText"/>
        <w:spacing w:line="309" w:lineRule="auto" w:before="150"/>
        <w:ind w:left="514" w:right="0"/>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28"/>
        </w:rPr>
        <w:t> </w:t>
      </w:r>
      <w:r>
        <w:rPr/>
        <w:t>热处理加工产业总体规模、地域分布、业务特点 </w:t>
      </w:r>
      <w:r>
        <w:rPr>
          <w:spacing w:val="-2"/>
        </w:rPr>
        <w:t>根据国家统计局及中国热处理行业协会统计分析数据，全行业共有热处理企业（含主机厂及零部件厂的热处理分厂、车</w:t>
      </w:r>
    </w:p>
    <w:p>
      <w:pPr>
        <w:pStyle w:val="BodyText"/>
        <w:spacing w:line="268" w:lineRule="auto"/>
        <w:ind w:left="153" w:right="0"/>
        <w:jc w:val="left"/>
      </w:pPr>
      <w:r>
        <w:rPr/>
        <w:t>间，专业化热处理加工厂、热处理设备制造厂、热处理工艺材料生产等）约</w:t>
      </w:r>
      <w:r>
        <w:rPr>
          <w:rFonts w:ascii="Times New Roman" w:hAnsi="Times New Roman" w:cs="Times New Roman" w:eastAsia="Times New Roman" w:hint="default"/>
        </w:rPr>
        <w:t>16,000</w:t>
      </w:r>
      <w:r>
        <w:rPr/>
        <w:t>家，年销售总收入约</w:t>
      </w:r>
      <w:r>
        <w:rPr>
          <w:rFonts w:ascii="Times New Roman" w:hAnsi="Times New Roman" w:cs="Times New Roman" w:eastAsia="Times New Roman" w:hint="default"/>
        </w:rPr>
        <w:t>996</w:t>
      </w:r>
      <w:r>
        <w:rPr/>
        <w:t>亿，平均年产值 约</w:t>
      </w:r>
      <w:r>
        <w:rPr>
          <w:rFonts w:ascii="Times New Roman" w:hAnsi="Times New Roman" w:cs="Times New Roman" w:eastAsia="Times New Roman" w:hint="default"/>
        </w:rPr>
        <w:t>623</w:t>
      </w:r>
      <w:r>
        <w:rPr/>
        <w:t>万，从业人员约</w:t>
      </w:r>
      <w:r>
        <w:rPr>
          <w:rFonts w:ascii="Times New Roman" w:hAnsi="Times New Roman" w:cs="Times New Roman" w:eastAsia="Times New Roman" w:hint="default"/>
        </w:rPr>
        <w:t>40</w:t>
      </w:r>
      <w:r>
        <w:rPr/>
        <w:t>多万，人均年产值约</w:t>
      </w:r>
      <w:r>
        <w:rPr>
          <w:rFonts w:ascii="Times New Roman" w:hAnsi="Times New Roman" w:cs="Times New Roman" w:eastAsia="Times New Roman" w:hint="default"/>
        </w:rPr>
        <w:t>25</w:t>
      </w:r>
      <w:r>
        <w:rPr/>
        <w:t>万。列入统计（年收入</w:t>
      </w:r>
      <w:r>
        <w:rPr>
          <w:rFonts w:ascii="Times New Roman" w:hAnsi="Times New Roman" w:cs="Times New Roman" w:eastAsia="Times New Roman" w:hint="default"/>
        </w:rPr>
        <w:t>500</w:t>
      </w:r>
      <w:r>
        <w:rPr/>
        <w:t>万以上）的专业化热处理加工企业近</w:t>
      </w:r>
      <w:r>
        <w:rPr>
          <w:rFonts w:ascii="Times New Roman" w:hAnsi="Times New Roman" w:cs="Times New Roman" w:eastAsia="Times New Roman" w:hint="default"/>
        </w:rPr>
        <w:t>3,500</w:t>
      </w:r>
      <w:r>
        <w:rPr/>
        <w:t>家，占 </w:t>
      </w:r>
      <w:r>
        <w:rPr>
          <w:spacing w:val="-1"/>
        </w:rPr>
        <w:t>热处理企业总数的</w:t>
      </w:r>
      <w:r>
        <w:rPr>
          <w:rFonts w:ascii="Times New Roman" w:hAnsi="Times New Roman" w:cs="Times New Roman" w:eastAsia="Times New Roman" w:hint="default"/>
          <w:spacing w:val="-1"/>
        </w:rPr>
        <w:t>22%</w:t>
      </w:r>
      <w:r>
        <w:rPr>
          <w:spacing w:val="-1"/>
        </w:rPr>
        <w:t>，年加工收入超</w:t>
      </w:r>
      <w:r>
        <w:rPr>
          <w:rFonts w:ascii="Times New Roman" w:hAnsi="Times New Roman" w:cs="Times New Roman" w:eastAsia="Times New Roman" w:hint="default"/>
          <w:spacing w:val="-1"/>
        </w:rPr>
        <w:t>2,000</w:t>
      </w:r>
      <w:r>
        <w:rPr>
          <w:spacing w:val="-1"/>
        </w:rPr>
        <w:t>万的规模以上企业大约有</w:t>
      </w:r>
      <w:r>
        <w:rPr>
          <w:rFonts w:ascii="Times New Roman" w:hAnsi="Times New Roman" w:cs="Times New Roman" w:eastAsia="Times New Roman" w:hint="default"/>
          <w:spacing w:val="-1"/>
        </w:rPr>
        <w:t>250</w:t>
      </w:r>
      <w:r>
        <w:rPr>
          <w:spacing w:val="-1"/>
        </w:rPr>
        <w:t>家左右，占热处理企业总数不到</w:t>
      </w:r>
      <w:r>
        <w:rPr>
          <w:rFonts w:ascii="Times New Roman" w:hAnsi="Times New Roman" w:cs="Times New Roman" w:eastAsia="Times New Roman" w:hint="default"/>
          <w:spacing w:val="-1"/>
        </w:rPr>
        <w:t>1.6%</w:t>
      </w:r>
      <w:r>
        <w:rPr>
          <w:spacing w:val="-1"/>
        </w:rPr>
        <w:t>。热处理加工</w:t>
      </w:r>
      <w:r>
        <w:rPr>
          <w:spacing w:val="-56"/>
        </w:rPr>
        <w:t> </w:t>
      </w:r>
      <w:r>
        <w:rPr>
          <w:spacing w:val="-56"/>
        </w:rPr>
      </w:r>
      <w:r>
        <w:rPr/>
        <w:t>产值主要集中在华东、华南地区，华东地区加工产值占全国的</w:t>
      </w:r>
      <w:r>
        <w:rPr>
          <w:rFonts w:ascii="Times New Roman" w:hAnsi="Times New Roman" w:cs="Times New Roman" w:eastAsia="Times New Roman" w:hint="default"/>
        </w:rPr>
        <w:t>55</w:t>
      </w:r>
      <w:r>
        <w:rPr>
          <w:rFonts w:ascii="宋体" w:hAnsi="宋体" w:cs="宋体" w:eastAsia="宋体" w:hint="default"/>
        </w:rPr>
        <w:t>.</w:t>
      </w:r>
      <w:r>
        <w:rPr>
          <w:rFonts w:ascii="Times New Roman" w:hAnsi="Times New Roman" w:cs="Times New Roman" w:eastAsia="Times New Roman" w:hint="default"/>
        </w:rPr>
        <w:t>4%</w:t>
      </w:r>
      <w:r>
        <w:rPr/>
        <w:t>，华南地区占全国的</w:t>
      </w:r>
      <w:r>
        <w:rPr>
          <w:rFonts w:ascii="Times New Roman" w:hAnsi="Times New Roman" w:cs="Times New Roman" w:eastAsia="Times New Roman" w:hint="default"/>
        </w:rPr>
        <w:t>18.7%</w:t>
      </w:r>
      <w:r>
        <w:rPr/>
        <w:t>，二地区加工产值占全国的 </w:t>
      </w:r>
      <w:r>
        <w:rPr>
          <w:rFonts w:ascii="Times New Roman" w:hAnsi="Times New Roman" w:cs="Times New Roman" w:eastAsia="Times New Roman" w:hint="default"/>
        </w:rPr>
        <w:t>74.1%</w:t>
      </w:r>
      <w:r>
        <w:rPr/>
        <w:t>。热处理加工量最大的省份是江苏和广东，二省占全国的比重达到</w:t>
      </w:r>
      <w:r>
        <w:rPr>
          <w:rFonts w:ascii="Times New Roman" w:hAnsi="Times New Roman" w:cs="Times New Roman" w:eastAsia="Times New Roman" w:hint="default"/>
        </w:rPr>
        <w:t>37.9%</w:t>
      </w:r>
      <w:r>
        <w:rPr/>
        <w:t>，近年来浙江、重庆、山东等地发展较快。 加工企业中，国内私营投资企业占到一半左右，外商及港澳台投资企业接近</w:t>
      </w:r>
      <w:r>
        <w:rPr>
          <w:rFonts w:ascii="Times New Roman" w:hAnsi="Times New Roman" w:cs="Times New Roman" w:eastAsia="Times New Roman" w:hint="default"/>
        </w:rPr>
        <w:t>25%</w:t>
      </w:r>
      <w:r>
        <w:rPr/>
        <w:t>，其他为国有及集体投资企业。</w:t>
      </w:r>
    </w:p>
    <w:p>
      <w:pPr>
        <w:pStyle w:val="BodyText"/>
        <w:spacing w:line="280" w:lineRule="auto" w:before="46"/>
        <w:ind w:left="153" w:right="0" w:firstLine="360"/>
        <w:jc w:val="left"/>
      </w:pPr>
      <w:r>
        <w:rPr/>
        <w:t>目前国内的专业热处理加工行业尚处于市场竞争的初级阶段</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各加工企业主要在一定市场半径内开展业务</w:t>
      </w:r>
      <w:r>
        <w:rPr>
          <w:rFonts w:ascii="Times New Roman" w:hAnsi="Times New Roman" w:cs="Times New Roman" w:eastAsia="Times New Roman" w:hint="default"/>
        </w:rPr>
        <w:t>,</w:t>
      </w:r>
      <w:r>
        <w:rPr/>
        <w:t>竞争对手主 </w:t>
      </w:r>
      <w:r>
        <w:rPr>
          <w:spacing w:val="-2"/>
        </w:rPr>
        <w:t>要是本区域内的同行企业，部分企业开始连锁热处理加工的尝试，几家规模热处理设备骨干企业利用其在设备、工艺技术及</w:t>
      </w:r>
      <w:r>
        <w:rPr>
          <w:spacing w:val="-66"/>
        </w:rPr>
        <w:t> </w:t>
      </w:r>
      <w:r>
        <w:rPr>
          <w:spacing w:val="-66"/>
        </w:rPr>
      </w:r>
      <w:r>
        <w:rPr>
          <w:spacing w:val="-2"/>
        </w:rPr>
        <w:t>管理方面的优势开始进入加工服务市场，并已逐步树立起了自己的品牌，为国内各地区的热处理专业化树立了标杆，从而引</w:t>
      </w:r>
      <w:r>
        <w:rPr>
          <w:spacing w:val="-66"/>
        </w:rPr>
        <w:t> </w:t>
      </w:r>
      <w:r>
        <w:rPr>
          <w:spacing w:val="-66"/>
        </w:rPr>
      </w:r>
      <w:r>
        <w:rPr/>
        <w:t>导了热处理加工产业的升级，并带动热处理产业与机械行业一同进入到新的发展阶段。</w:t>
      </w:r>
    </w:p>
    <w:p>
      <w:pPr>
        <w:pStyle w:val="BodyText"/>
        <w:spacing w:line="285" w:lineRule="auto" w:before="54"/>
        <w:ind w:left="153" w:right="0" w:firstLine="360"/>
        <w:jc w:val="left"/>
      </w:pPr>
      <w:r>
        <w:rPr>
          <w:spacing w:val="-2"/>
        </w:rPr>
        <w:t>热处理加工企业的业务特点与地区的机械产业结构有着密切的关联。如在上海，汽车工业发达，大量的汽车配件生产企</w:t>
      </w:r>
      <w:r>
        <w:rPr/>
        <w:t> </w:t>
      </w:r>
      <w:r>
        <w:rPr>
          <w:spacing w:val="-4"/>
        </w:rPr>
        <w:t>业，就会产生为汽车部件热处理服务的企业；在广东，由于家电业的发展，就会产生为模具服务的热处理加工企业；在浙江，</w:t>
      </w:r>
      <w:r>
        <w:rPr>
          <w:spacing w:val="-44"/>
        </w:rPr>
        <w:t> </w:t>
      </w:r>
      <w:r>
        <w:rPr>
          <w:spacing w:val="-44"/>
        </w:rPr>
      </w:r>
      <w:r>
        <w:rPr>
          <w:spacing w:val="-2"/>
        </w:rPr>
        <w:t>大量的五金、工具、机械基础件制造企业，大多为中小企业，就会产生各类热处理加工企业，而且分工更细；在东三省，以</w:t>
      </w:r>
      <w:r>
        <w:rPr>
          <w:spacing w:val="-71"/>
        </w:rPr>
        <w:t> </w:t>
      </w:r>
      <w:r>
        <w:rPr>
          <w:spacing w:val="-71"/>
        </w:rPr>
      </w:r>
      <w:r>
        <w:rPr>
          <w:spacing w:val="-2"/>
        </w:rPr>
        <w:t>重型机械为主，就会产生为重型机械服务的热处理加工企业；在外资企业密集的沿海城市，产生为外资企业服务为主的热处</w:t>
      </w:r>
      <w:r>
        <w:rPr>
          <w:spacing w:val="-66"/>
        </w:rPr>
        <w:t> </w:t>
      </w:r>
      <w:r>
        <w:rPr>
          <w:spacing w:val="-66"/>
        </w:rPr>
      </w:r>
      <w:r>
        <w:rPr/>
        <w:t>理加工企业；在大型企业集聚的上海、重庆、西安、长春、沈阳等地，就会产生为其外包服务的热处理加工企业。</w:t>
      </w:r>
    </w:p>
    <w:p>
      <w:pPr>
        <w:pStyle w:val="BodyText"/>
        <w:spacing w:line="240" w:lineRule="auto" w:before="131"/>
        <w:ind w:right="0"/>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26"/>
        </w:rPr>
        <w:t> </w:t>
      </w:r>
      <w:r>
        <w:rPr/>
        <w:t>我国热处理加工产业的发展趋势</w:t>
      </w:r>
    </w:p>
    <w:p>
      <w:pPr>
        <w:pStyle w:val="BodyText"/>
        <w:spacing w:line="240" w:lineRule="auto" w:before="150"/>
        <w:ind w:right="0"/>
        <w:jc w:val="left"/>
      </w:pPr>
      <w:r>
        <w:rPr/>
        <w:t>（</w:t>
      </w:r>
      <w:r>
        <w:rPr>
          <w:rFonts w:ascii="Times New Roman" w:hAnsi="Times New Roman" w:cs="Times New Roman" w:eastAsia="Times New Roman" w:hint="default"/>
        </w:rPr>
        <w:t>1</w:t>
      </w:r>
      <w:r>
        <w:rPr/>
        <w:t>）整机厂内设的热处理配套加工比重将逐步减少，零部件厂的热处理配套能力及水平将逐步提高；</w:t>
      </w:r>
    </w:p>
    <w:p>
      <w:pPr>
        <w:spacing w:after="0" w:line="240" w:lineRule="auto"/>
        <w:jc w:val="left"/>
        <w:sectPr>
          <w:pgSz w:w="11910" w:h="16840"/>
          <w:pgMar w:header="768" w:footer="979" w:top="1100" w:bottom="1160" w:left="980" w:right="0"/>
        </w:sectPr>
      </w:pPr>
    </w:p>
    <w:p>
      <w:pPr>
        <w:spacing w:line="240" w:lineRule="auto" w:before="2"/>
        <w:rPr>
          <w:rFonts w:ascii="宋体" w:hAnsi="宋体" w:cs="宋体" w:eastAsia="宋体" w:hint="default"/>
          <w:sz w:val="22"/>
          <w:szCs w:val="22"/>
        </w:rPr>
      </w:pPr>
    </w:p>
    <w:p>
      <w:pPr>
        <w:pStyle w:val="BodyText"/>
        <w:spacing w:line="240" w:lineRule="auto" w:before="44"/>
        <w:ind w:left="514" w:right="0"/>
        <w:jc w:val="left"/>
      </w:pPr>
      <w:r>
        <w:rPr/>
        <w:t>（</w:t>
      </w:r>
      <w:r>
        <w:rPr>
          <w:rFonts w:ascii="Times New Roman" w:hAnsi="Times New Roman" w:cs="Times New Roman" w:eastAsia="Times New Roman" w:hint="default"/>
        </w:rPr>
        <w:t>2</w:t>
      </w:r>
      <w:r>
        <w:rPr/>
        <w:t>）专业化加工将出现规模化和连锁化发展趋势，与上下游产业相互合作的市场环境会不断加强；</w:t>
      </w:r>
    </w:p>
    <w:p>
      <w:pPr>
        <w:pStyle w:val="BodyText"/>
        <w:spacing w:line="240" w:lineRule="auto" w:before="71"/>
        <w:ind w:right="0"/>
        <w:jc w:val="left"/>
      </w:pPr>
      <w:r>
        <w:rPr/>
        <w:t>（</w:t>
      </w:r>
      <w:r>
        <w:rPr>
          <w:rFonts w:ascii="Times New Roman" w:hAnsi="Times New Roman" w:cs="Times New Roman" w:eastAsia="Times New Roman" w:hint="default"/>
        </w:rPr>
        <w:t>3</w:t>
      </w:r>
      <w:r>
        <w:rPr/>
        <w:t>）加工使用装备的数字化、网络化、智能化水平会逐步提升，生产效率和环保节能水平会快速提高。</w:t>
      </w:r>
    </w:p>
    <w:p>
      <w:pPr>
        <w:pStyle w:val="BodyText"/>
        <w:spacing w:line="240" w:lineRule="auto" w:before="150"/>
        <w:ind w:right="0"/>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t>中国热处理加工产业化总体发展目标：</w:t>
      </w:r>
      <w:r>
        <w:rPr>
          <w:rFonts w:ascii="Times New Roman" w:hAnsi="Times New Roman" w:cs="Times New Roman" w:eastAsia="Times New Roman" w:hint="default"/>
        </w:rPr>
        <w:t>2020</w:t>
      </w:r>
      <w:r>
        <w:rPr/>
        <w:t>年我国热处理加工产业化水平与世界先进水平同步。</w:t>
      </w:r>
    </w:p>
    <w:p>
      <w:pPr>
        <w:pStyle w:val="BodyText"/>
        <w:spacing w:line="240" w:lineRule="auto" w:before="150"/>
        <w:ind w:right="0"/>
        <w:jc w:val="left"/>
      </w:pPr>
      <w:r>
        <w:rPr/>
        <w:t>（</w:t>
      </w:r>
      <w:r>
        <w:rPr>
          <w:rFonts w:ascii="Times New Roman" w:hAnsi="Times New Roman" w:cs="Times New Roman" w:eastAsia="Times New Roman" w:hint="default"/>
        </w:rPr>
        <w:t>1</w:t>
      </w:r>
      <w:r>
        <w:rPr/>
        <w:t>）到</w:t>
      </w:r>
      <w:r>
        <w:rPr>
          <w:rFonts w:ascii="Times New Roman" w:hAnsi="Times New Roman" w:cs="Times New Roman" w:eastAsia="Times New Roman" w:hint="default"/>
        </w:rPr>
        <w:t>2020</w:t>
      </w:r>
      <w:r>
        <w:rPr/>
        <w:t>年时，热处理加工产业以产品质量著称，产品质量按国际标准零波动，同时还能获得丰厚的利润。</w:t>
      </w:r>
    </w:p>
    <w:p>
      <w:pPr>
        <w:pStyle w:val="BodyText"/>
        <w:spacing w:line="268" w:lineRule="auto" w:before="71"/>
        <w:ind w:left="154" w:right="1119" w:firstLine="360"/>
        <w:jc w:val="left"/>
      </w:pPr>
      <w:r>
        <w:rPr>
          <w:spacing w:val="-1"/>
        </w:rPr>
        <w:t>（</w:t>
      </w:r>
      <w:r>
        <w:rPr>
          <w:rFonts w:ascii="Times New Roman" w:hAnsi="Times New Roman" w:cs="Times New Roman" w:eastAsia="Times New Roman" w:hint="default"/>
          <w:spacing w:val="-1"/>
        </w:rPr>
        <w:t>2</w:t>
      </w:r>
      <w:r>
        <w:rPr>
          <w:spacing w:val="-1"/>
        </w:rPr>
        <w:t>）实现热处理加工产业能源消耗减少</w:t>
      </w:r>
      <w:r>
        <w:rPr>
          <w:rFonts w:ascii="Times New Roman" w:hAnsi="Times New Roman" w:cs="Times New Roman" w:eastAsia="Times New Roman" w:hint="default"/>
          <w:spacing w:val="-1"/>
        </w:rPr>
        <w:t>80%</w:t>
      </w:r>
      <w:r>
        <w:rPr>
          <w:spacing w:val="-1"/>
        </w:rPr>
        <w:t>，工艺周期缩短</w:t>
      </w:r>
      <w:r>
        <w:rPr>
          <w:rFonts w:ascii="Times New Roman" w:hAnsi="Times New Roman" w:cs="Times New Roman" w:eastAsia="Times New Roman" w:hint="default"/>
          <w:spacing w:val="-1"/>
        </w:rPr>
        <w:t>50%</w:t>
      </w:r>
      <w:r>
        <w:rPr>
          <w:spacing w:val="-1"/>
        </w:rPr>
        <w:t>，生产成本降低</w:t>
      </w:r>
      <w:r>
        <w:rPr>
          <w:rFonts w:ascii="Times New Roman" w:hAnsi="Times New Roman" w:cs="Times New Roman" w:eastAsia="Times New Roman" w:hint="default"/>
          <w:spacing w:val="-1"/>
        </w:rPr>
        <w:t>75%</w:t>
      </w:r>
      <w:r>
        <w:rPr>
          <w:spacing w:val="-1"/>
        </w:rPr>
        <w:t>，企业利润率保持</w:t>
      </w:r>
      <w:r>
        <w:rPr>
          <w:rFonts w:ascii="Times New Roman" w:hAnsi="Times New Roman" w:cs="Times New Roman" w:eastAsia="Times New Roman" w:hint="default"/>
          <w:spacing w:val="-1"/>
        </w:rPr>
        <w:t>25%</w:t>
      </w:r>
      <w:r>
        <w:rPr>
          <w:spacing w:val="-1"/>
        </w:rPr>
        <w:t>以上；实现</w:t>
      </w:r>
      <w:r>
        <w:rPr/>
        <w:t> 热处理件零畸变、零质量分散、热处理生产零排放、热处理加工企业</w:t>
      </w:r>
      <w:r>
        <w:rPr>
          <w:rFonts w:ascii="Times New Roman" w:hAnsi="Times New Roman" w:cs="Times New Roman" w:eastAsia="Times New Roman" w:hint="default"/>
        </w:rPr>
        <w:t>(</w:t>
      </w:r>
      <w:r>
        <w:rPr/>
        <w:t>专业厂</w:t>
      </w:r>
      <w:r>
        <w:rPr>
          <w:rFonts w:ascii="Times New Roman" w:hAnsi="Times New Roman" w:cs="Times New Roman" w:eastAsia="Times New Roman" w:hint="default"/>
        </w:rPr>
        <w:t>)</w:t>
      </w:r>
      <w:r>
        <w:rPr/>
        <w:t>和用户保持</w:t>
      </w:r>
      <w:r>
        <w:rPr>
          <w:rFonts w:ascii="Times New Roman" w:hAnsi="Times New Roman" w:cs="Times New Roman" w:eastAsia="Times New Roman" w:hint="default"/>
        </w:rPr>
        <w:t>10</w:t>
      </w:r>
      <w:r>
        <w:rPr/>
        <w:t>年以上协作关系。</w:t>
      </w:r>
    </w:p>
    <w:p>
      <w:pPr>
        <w:pStyle w:val="BodyText"/>
        <w:spacing w:line="268" w:lineRule="auto" w:before="47"/>
        <w:ind w:left="154" w:right="1122" w:firstLine="360"/>
        <w:jc w:val="left"/>
      </w:pPr>
      <w:r>
        <w:rPr/>
        <w:t>（</w:t>
      </w:r>
      <w:r>
        <w:rPr>
          <w:rFonts w:ascii="Times New Roman" w:hAnsi="Times New Roman" w:cs="Times New Roman" w:eastAsia="Times New Roman" w:hint="default"/>
        </w:rPr>
        <w:t>3</w:t>
      </w:r>
      <w:r>
        <w:rPr/>
        <w:t>）热处理加工成为制造业的核心组成部分，与客户、供应商、高校和政府形成长期合作关系。除金属材料外，还可 处理复合材料、金属间化合物及所有其他先进材料。</w:t>
      </w:r>
    </w:p>
    <w:p>
      <w:pPr>
        <w:pStyle w:val="BodyText"/>
        <w:spacing w:line="240" w:lineRule="auto" w:before="63"/>
        <w:ind w:left="514" w:right="0"/>
        <w:jc w:val="left"/>
      </w:pPr>
      <w:r>
        <w:rPr/>
        <w:t>（</w:t>
      </w:r>
      <w:r>
        <w:rPr>
          <w:rFonts w:ascii="Times New Roman" w:hAnsi="Times New Roman" w:cs="Times New Roman" w:eastAsia="Times New Roman" w:hint="default"/>
        </w:rPr>
        <w:t>4</w:t>
      </w:r>
      <w:r>
        <w:rPr/>
        <w:t>）工作环境整洁、舒适、安全，工人训练有素、掌握先进技术。</w:t>
      </w:r>
    </w:p>
    <w:p>
      <w:pPr>
        <w:pStyle w:val="BodyText"/>
        <w:spacing w:line="307" w:lineRule="auto" w:before="71"/>
        <w:ind w:right="1953"/>
        <w:jc w:val="left"/>
      </w:pPr>
      <w:r>
        <w:rPr/>
        <w:t>（</w:t>
      </w:r>
      <w:r>
        <w:rPr>
          <w:rFonts w:ascii="Times New Roman" w:hAnsi="Times New Roman" w:cs="Times New Roman" w:eastAsia="Times New Roman" w:hint="default"/>
        </w:rPr>
        <w:t>5</w:t>
      </w:r>
      <w:r>
        <w:rPr/>
        <w:t>）建立材料、热处理零件、安全生产和环境等方面的全球化标准体系。 以上资料及数据来源于：中国工程院重点咨询研究项目</w:t>
      </w:r>
      <w:r>
        <w:rPr>
          <w:rFonts w:ascii="Times New Roman" w:hAnsi="Times New Roman" w:cs="Times New Roman" w:eastAsia="Times New Roman" w:hint="default"/>
        </w:rPr>
        <w:t>“</w:t>
      </w:r>
      <w:r>
        <w:rPr/>
        <w:t>中国热处理及表面改性技术路线图</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p>
    <w:p>
      <w:pPr>
        <w:pStyle w:val="Heading5"/>
        <w:spacing w:line="240" w:lineRule="auto" w:before="96"/>
        <w:ind w:right="0"/>
        <w:jc w:val="left"/>
        <w:rPr>
          <w:b w:val="0"/>
          <w:bCs w:val="0"/>
        </w:rPr>
      </w:pPr>
      <w:r>
        <w:rPr/>
        <w:t>（二）公司发展战略</w:t>
      </w:r>
      <w:r>
        <w:rPr>
          <w:b w:val="0"/>
          <w:bCs w:val="0"/>
        </w:rPr>
      </w:r>
    </w:p>
    <w:p>
      <w:pPr>
        <w:spacing w:line="380" w:lineRule="atLeast" w:before="33"/>
        <w:ind w:left="515"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、发展战略</w:t>
      </w:r>
      <w:r>
        <w:rPr>
          <w:rFonts w:ascii="宋体" w:hAnsi="宋体" w:cs="宋体" w:eastAsia="宋体" w:hint="default"/>
          <w:b/>
          <w:bCs/>
          <w:w w:val="99"/>
          <w:sz w:val="18"/>
          <w:szCs w:val="18"/>
        </w:rPr>
        <w:t> </w:t>
      </w:r>
      <w:r>
        <w:rPr>
          <w:rFonts w:ascii="宋体" w:hAnsi="宋体" w:cs="宋体" w:eastAsia="宋体" w:hint="default"/>
          <w:b/>
          <w:bCs/>
          <w:spacing w:val="-2"/>
          <w:sz w:val="18"/>
          <w:szCs w:val="18"/>
        </w:rPr>
        <w:t>公司总体发展战略</w:t>
      </w:r>
      <w:r>
        <w:rPr>
          <w:rFonts w:ascii="宋体" w:hAnsi="宋体" w:cs="宋体" w:eastAsia="宋体" w:hint="default"/>
          <w:spacing w:val="-2"/>
          <w:sz w:val="18"/>
          <w:szCs w:val="18"/>
        </w:rPr>
        <w:t>：在继续巩固现有主营业务并实现持续稳定增长的基础上，依托资本市场的平台，在风险可控的前提</w:t>
      </w:r>
    </w:p>
    <w:p>
      <w:pPr>
        <w:pStyle w:val="BodyText"/>
        <w:spacing w:line="240" w:lineRule="auto" w:before="45"/>
        <w:ind w:left="153" w:right="0"/>
        <w:jc w:val="left"/>
      </w:pPr>
      <w:r>
        <w:rPr>
          <w:spacing w:val="-4"/>
        </w:rPr>
        <w:t>下，实现产业转型，跨入具有更大成长及盈利空间的互联网大数据产业，实现公司主业双轨驱动及整体经营业绩的跨越发展。</w:t>
      </w:r>
    </w:p>
    <w:p>
      <w:pPr>
        <w:spacing w:line="240" w:lineRule="auto" w:before="7"/>
        <w:rPr>
          <w:rFonts w:ascii="宋体" w:hAnsi="宋体" w:cs="宋体" w:eastAsia="宋体" w:hint="default"/>
          <w:sz w:val="12"/>
          <w:szCs w:val="12"/>
        </w:rPr>
      </w:pPr>
    </w:p>
    <w:p>
      <w:pPr>
        <w:spacing w:line="384" w:lineRule="auto" w:before="0"/>
        <w:ind w:left="515"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1.1</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热处理业务</w:t>
      </w:r>
      <w:r>
        <w:rPr>
          <w:rFonts w:ascii="宋体" w:hAnsi="宋体" w:cs="宋体" w:eastAsia="宋体" w:hint="default"/>
          <w:b/>
          <w:bCs/>
          <w:w w:val="99"/>
          <w:sz w:val="18"/>
          <w:szCs w:val="18"/>
        </w:rPr>
        <w:t> </w:t>
      </w:r>
      <w:r>
        <w:rPr>
          <w:rFonts w:ascii="宋体" w:hAnsi="宋体" w:cs="宋体" w:eastAsia="宋体" w:hint="default"/>
          <w:b/>
          <w:bCs/>
          <w:sz w:val="18"/>
          <w:szCs w:val="18"/>
        </w:rPr>
        <w:t>公司现有主营业务的发展战略：</w:t>
      </w:r>
      <w:r>
        <w:rPr>
          <w:rFonts w:ascii="宋体" w:hAnsi="宋体" w:cs="宋体" w:eastAsia="宋体" w:hint="default"/>
          <w:sz w:val="18"/>
          <w:szCs w:val="18"/>
        </w:rPr>
        <w:t>公司将以技术创新为基础，高技术热处理装备制造和高质量专业热处理加工业务同步</w:t>
      </w:r>
    </w:p>
    <w:p>
      <w:pPr>
        <w:pStyle w:val="BodyText"/>
        <w:spacing w:line="186" w:lineRule="exact"/>
        <w:ind w:left="154" w:right="0"/>
        <w:jc w:val="left"/>
      </w:pPr>
      <w:r>
        <w:rPr/>
        <w:t>发展，致力于成为</w:t>
      </w:r>
      <w:r>
        <w:rPr>
          <w:rFonts w:ascii="Times New Roman" w:hAnsi="Times New Roman" w:cs="Times New Roman" w:eastAsia="Times New Roman" w:hint="default"/>
        </w:rPr>
        <w:t>“</w:t>
      </w:r>
      <w:r>
        <w:rPr/>
        <w:t>国际一流的热处理综合解决方案提供商</w:t>
      </w:r>
      <w:r>
        <w:rPr>
          <w:rFonts w:ascii="Times New Roman" w:hAnsi="Times New Roman" w:cs="Times New Roman" w:eastAsia="Times New Roman" w:hint="default"/>
        </w:rPr>
        <w:t>”</w:t>
      </w:r>
      <w:r>
        <w:rPr/>
        <w:t>，为社会、股东、员工创造长期价值。</w:t>
      </w:r>
    </w:p>
    <w:p>
      <w:pPr>
        <w:pStyle w:val="BodyText"/>
        <w:spacing w:line="285" w:lineRule="auto" w:before="70"/>
        <w:ind w:left="154" w:right="0" w:firstLine="360"/>
        <w:jc w:val="left"/>
      </w:pPr>
      <w:r>
        <w:rPr>
          <w:spacing w:val="-2"/>
        </w:rPr>
        <w:t>热处理设备业务方面：公司制定了定位高端、以替代进口和突破国外技术封锁为出发点，以全面提高设备可靠性、提升</w:t>
      </w:r>
      <w:r>
        <w:rPr/>
        <w:t> 设备数字智能化水平、强化制造服务一体化和确保节能环保的发展战略。</w:t>
      </w:r>
    </w:p>
    <w:p>
      <w:pPr>
        <w:pStyle w:val="BodyText"/>
        <w:spacing w:line="285" w:lineRule="auto" w:before="50"/>
        <w:ind w:left="154" w:right="1131" w:firstLine="360"/>
        <w:jc w:val="both"/>
      </w:pPr>
      <w:r>
        <w:rPr>
          <w:spacing w:val="-2"/>
        </w:rPr>
        <w:t>热处理加工服务业务方面：公司定位高质量要求热处理加工配套服务，加强工艺开发平台及数据库建设，构建专业人才</w:t>
      </w:r>
      <w:r>
        <w:rPr/>
        <w:t> </w:t>
      </w:r>
      <w:r>
        <w:rPr>
          <w:spacing w:val="-2"/>
        </w:rPr>
        <w:t>培训体系，不断规范和完善热处理加工质量体系，总结提炼热处理加工连锁经营模式，借助资本市场平台，实施加工企业的</w:t>
      </w:r>
      <w:r>
        <w:rPr>
          <w:spacing w:val="-66"/>
        </w:rPr>
        <w:t> </w:t>
      </w:r>
      <w:r>
        <w:rPr>
          <w:spacing w:val="-66"/>
        </w:rPr>
      </w:r>
      <w:r>
        <w:rPr/>
        <w:t>收购、兼并和新建，构建基本覆盖全国主要机械制造集中地区的热处理加工网络。</w:t>
      </w:r>
    </w:p>
    <w:p>
      <w:pPr>
        <w:spacing w:line="400" w:lineRule="exact" w:before="21"/>
        <w:ind w:left="515"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产业转型</w:t>
      </w:r>
      <w:r>
        <w:rPr>
          <w:rFonts w:ascii="宋体" w:hAnsi="宋体" w:cs="宋体" w:eastAsia="宋体" w:hint="default"/>
          <w:b/>
          <w:bCs/>
          <w:w w:val="99"/>
          <w:sz w:val="18"/>
          <w:szCs w:val="18"/>
        </w:rPr>
        <w:t> </w:t>
      </w:r>
      <w:r>
        <w:rPr>
          <w:rFonts w:ascii="宋体" w:hAnsi="宋体" w:cs="宋体" w:eastAsia="宋体" w:hint="default"/>
          <w:b/>
          <w:bCs/>
          <w:spacing w:val="-2"/>
          <w:sz w:val="18"/>
          <w:szCs w:val="18"/>
        </w:rPr>
        <w:t>产业转型发展战略：</w:t>
      </w:r>
      <w:r>
        <w:rPr>
          <w:rFonts w:ascii="宋体" w:hAnsi="宋体" w:cs="宋体" w:eastAsia="宋体" w:hint="default"/>
          <w:spacing w:val="-2"/>
          <w:sz w:val="18"/>
          <w:szCs w:val="18"/>
        </w:rPr>
        <w:t>利用资本市场的平台，跨入具有较高成长性的互联网大数据产业，并依托该产业原有团队，进一步</w:t>
      </w:r>
    </w:p>
    <w:p>
      <w:pPr>
        <w:pStyle w:val="BodyText"/>
        <w:spacing w:line="326" w:lineRule="auto"/>
        <w:ind w:left="514" w:right="0" w:hanging="360"/>
        <w:jc w:val="left"/>
      </w:pPr>
      <w:r>
        <w:rPr/>
        <w:t>扩大、发展产业延伸服务，打造专业的互联网大数据服务的生态系统。 </w:t>
      </w:r>
      <w:r>
        <w:rPr>
          <w:spacing w:val="-2"/>
        </w:rPr>
        <w:t>近年来，由于我国机械工业转入中低速增长周期，热处理行业势必受到较大影响，由此公司经营的长期成长性也会存在</w:t>
      </w:r>
    </w:p>
    <w:p>
      <w:pPr>
        <w:pStyle w:val="BodyText"/>
        <w:spacing w:line="215" w:lineRule="exact"/>
        <w:ind w:left="154" w:right="0"/>
        <w:jc w:val="left"/>
      </w:pPr>
      <w:r>
        <w:rPr/>
        <w:t>较多不确定因素。</w:t>
      </w:r>
    </w:p>
    <w:p>
      <w:pPr>
        <w:pStyle w:val="BodyText"/>
        <w:spacing w:line="285" w:lineRule="auto" w:before="85"/>
        <w:ind w:left="154" w:right="0" w:firstLine="360"/>
        <w:jc w:val="left"/>
      </w:pPr>
      <w:r>
        <w:rPr>
          <w:spacing w:val="-2"/>
        </w:rPr>
        <w:t>为应对日益严峻的市场竞争，降低传统行业的市场风险，提高公司的持续盈利能力和抗风险能力，公司在巩固主业的同</w:t>
      </w:r>
      <w:r>
        <w:rPr/>
        <w:t> </w:t>
      </w:r>
      <w:r>
        <w:rPr>
          <w:spacing w:val="-4"/>
        </w:rPr>
        <w:t>时，积极推进外延式发展，计划通过并购方式进入前景广阔的具有更大成长和盈利空间的互联网领域，提升公司核心竞争力，</w:t>
      </w:r>
      <w:r>
        <w:rPr>
          <w:spacing w:val="-44"/>
        </w:rPr>
        <w:t> </w:t>
      </w:r>
      <w:r>
        <w:rPr>
          <w:spacing w:val="-44"/>
        </w:rPr>
      </w:r>
      <w:r>
        <w:rPr/>
        <w:t>实现主营业务双轨发展的新布局。</w:t>
      </w:r>
    </w:p>
    <w:p>
      <w:pPr>
        <w:pStyle w:val="BodyText"/>
        <w:spacing w:line="280" w:lineRule="auto" w:before="50"/>
        <w:ind w:left="153" w:right="0" w:firstLine="360"/>
        <w:jc w:val="left"/>
      </w:pPr>
      <w:r>
        <w:rPr/>
        <w:t>经过多番调研与论证，公司最终确定拟发行股份购买方欣科技有限公司（以下简称</w:t>
      </w:r>
      <w:r>
        <w:rPr>
          <w:rFonts w:ascii="Times New Roman" w:hAnsi="Times New Roman" w:cs="Times New Roman" w:eastAsia="Times New Roman" w:hint="default"/>
        </w:rPr>
        <w:t>“</w:t>
      </w:r>
      <w:r>
        <w:rPr/>
        <w:t>方欣科技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股权并募集配套</w:t>
      </w:r>
      <w:r>
        <w:rPr>
          <w:spacing w:val="1"/>
        </w:rPr>
        <w:t> </w:t>
      </w:r>
      <w:r>
        <w:rPr>
          <w:spacing w:val="-2"/>
        </w:rPr>
        <w:t>资金。方欣科技是一家国内领先的财税服务互联网公司，拥有雄厚的技术力量和积累，是财税云服务领域的先行者。方欣科</w:t>
      </w:r>
      <w:r>
        <w:rPr>
          <w:spacing w:val="-66"/>
        </w:rPr>
        <w:t> </w:t>
      </w:r>
      <w:r>
        <w:rPr>
          <w:spacing w:val="-66"/>
        </w:rPr>
      </w:r>
      <w:r>
        <w:rPr>
          <w:spacing w:val="-4"/>
        </w:rPr>
        <w:t>技是国家金税三期工程纳税服务平台中标承建商，参与了平台运作和外部接入标准的制定，为企业服务提供统一规范。同时，</w:t>
      </w:r>
      <w:r>
        <w:rPr>
          <w:spacing w:val="-44"/>
        </w:rPr>
        <w:t> </w:t>
      </w:r>
      <w:r>
        <w:rPr>
          <w:spacing w:val="-44"/>
        </w:rPr>
      </w:r>
      <w:r>
        <w:rPr>
          <w:spacing w:val="-2"/>
        </w:rPr>
        <w:t>方欣科技在企业财税服务领域已经具有多年的运营经验，积累了丰富的互联网财税产品，包括：凭证管家、办税管家、财务</w:t>
      </w:r>
      <w:r>
        <w:rPr>
          <w:spacing w:val="-65"/>
        </w:rPr>
        <w:t> </w:t>
      </w:r>
      <w:r>
        <w:rPr>
          <w:spacing w:val="-65"/>
        </w:rPr>
      </w:r>
      <w:r>
        <w:rPr>
          <w:spacing w:val="-2"/>
        </w:rPr>
        <w:t>管家、财税管家、培训管家等，使用用户超过</w:t>
      </w:r>
      <w:r>
        <w:rPr>
          <w:rFonts w:ascii="Times New Roman" w:hAnsi="Times New Roman" w:cs="Times New Roman" w:eastAsia="Times New Roman" w:hint="default"/>
          <w:spacing w:val="-2"/>
        </w:rPr>
        <w:t>500</w:t>
      </w:r>
      <w:r>
        <w:rPr>
          <w:spacing w:val="-2"/>
        </w:rPr>
        <w:t>万，业务覆盖全国</w:t>
      </w:r>
      <w:r>
        <w:rPr>
          <w:rFonts w:ascii="Times New Roman" w:hAnsi="Times New Roman" w:cs="Times New Roman" w:eastAsia="Times New Roman" w:hint="default"/>
          <w:spacing w:val="-2"/>
        </w:rPr>
        <w:t>11</w:t>
      </w:r>
      <w:r>
        <w:rPr>
          <w:spacing w:val="-2"/>
        </w:rPr>
        <w:t>个省市。方欣科技是广东省战略性新兴产业骨干企业，</w:t>
      </w:r>
      <w:r>
        <w:rPr>
          <w:spacing w:val="-61"/>
        </w:rPr>
        <w:t> </w:t>
      </w:r>
      <w:r>
        <w:rPr>
          <w:spacing w:val="-61"/>
        </w:rPr>
      </w:r>
      <w:r>
        <w:rPr>
          <w:spacing w:val="-2"/>
        </w:rPr>
        <w:t>取得国家规划布局内重点软件企业、计算机信息系统集成企业一级资质、高新技术企业认定证书，并拥有国家软件与集成电</w:t>
      </w:r>
      <w:r>
        <w:rPr>
          <w:spacing w:val="-66"/>
        </w:rPr>
        <w:t> </w:t>
      </w:r>
      <w:r>
        <w:rPr>
          <w:spacing w:val="-66"/>
        </w:rPr>
      </w:r>
      <w:r>
        <w:rPr/>
        <w:t>路公共服务平台方欣</w:t>
      </w:r>
      <w:r>
        <w:rPr>
          <w:rFonts w:ascii="Times New Roman" w:hAnsi="Times New Roman" w:cs="Times New Roman" w:eastAsia="Times New Roman" w:hint="default"/>
        </w:rPr>
        <w:t>SOA</w:t>
      </w:r>
      <w:r>
        <w:rPr/>
        <w:t>创新中心、博士后科研工作分站。</w:t>
      </w:r>
    </w:p>
    <w:p>
      <w:pPr>
        <w:pStyle w:val="BodyText"/>
        <w:spacing w:line="268" w:lineRule="auto" w:before="37"/>
        <w:ind w:left="153" w:right="0"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月份，公司披露了《发行股份购买资产并募集配套资金暨关联交易预案》，公司拟向徐正军、王金根、北京众 </w:t>
      </w:r>
      <w:r>
        <w:rPr>
          <w:spacing w:val="-3"/>
        </w:rPr>
        <w:t>诚、深圳金蝶、苏州松禾、广州西域、曹锋、邓国庭等</w:t>
      </w:r>
      <w:r>
        <w:rPr>
          <w:rFonts w:ascii="Times New Roman" w:hAnsi="Times New Roman" w:cs="Times New Roman" w:eastAsia="Times New Roman" w:hint="default"/>
          <w:spacing w:val="-3"/>
        </w:rPr>
        <w:t>8</w:t>
      </w:r>
      <w:r>
        <w:rPr>
          <w:spacing w:val="-3"/>
        </w:rPr>
        <w:t>名交易对方以发行股份的方式收购方欣科技</w:t>
      </w:r>
      <w:r>
        <w:rPr>
          <w:rFonts w:ascii="Times New Roman" w:hAnsi="Times New Roman" w:cs="Times New Roman" w:eastAsia="Times New Roman" w:hint="default"/>
          <w:spacing w:val="-3"/>
        </w:rPr>
        <w:t>100%</w:t>
      </w:r>
      <w:r>
        <w:rPr>
          <w:spacing w:val="-3"/>
        </w:rPr>
        <w:t>股权，并向朱文明、</w:t>
      </w:r>
      <w:r>
        <w:rPr>
          <w:spacing w:val="-61"/>
        </w:rPr>
        <w:t> </w:t>
      </w:r>
      <w:r>
        <w:rPr>
          <w:spacing w:val="-61"/>
        </w:rPr>
      </w:r>
      <w:r>
        <w:rPr>
          <w:spacing w:val="-2"/>
        </w:rPr>
        <w:t>束昱辉、民生方欣</w:t>
      </w:r>
      <w:r>
        <w:rPr>
          <w:rFonts w:ascii="Times New Roman" w:hAnsi="Times New Roman" w:cs="Times New Roman" w:eastAsia="Times New Roman" w:hint="default"/>
          <w:spacing w:val="-2"/>
        </w:rPr>
        <w:t>1</w:t>
      </w:r>
      <w:r>
        <w:rPr>
          <w:spacing w:val="-2"/>
        </w:rPr>
        <w:t>号计划、谢兵及徐锦宏等</w:t>
      </w:r>
      <w:r>
        <w:rPr>
          <w:rFonts w:ascii="Times New Roman" w:hAnsi="Times New Roman" w:cs="Times New Roman" w:eastAsia="Times New Roman" w:hint="default"/>
          <w:spacing w:val="-2"/>
        </w:rPr>
        <w:t>5</w:t>
      </w:r>
      <w:r>
        <w:rPr>
          <w:spacing w:val="-2"/>
        </w:rPr>
        <w:t>名特定对象非公开发行股份募集配套资金。本次交易完成后，丰东股份将直接</w:t>
      </w:r>
      <w:r>
        <w:rPr>
          <w:spacing w:val="-65"/>
        </w:rPr>
        <w:t> </w:t>
      </w:r>
      <w:r>
        <w:rPr>
          <w:spacing w:val="-65"/>
        </w:rPr>
      </w:r>
      <w:r>
        <w:rPr/>
        <w:t>持有方欣科技</w:t>
      </w:r>
      <w:r>
        <w:rPr>
          <w:rFonts w:ascii="Times New Roman" w:hAnsi="Times New Roman" w:cs="Times New Roman" w:eastAsia="Times New Roman" w:hint="default"/>
        </w:rPr>
        <w:t>100%</w:t>
      </w:r>
      <w:r>
        <w:rPr/>
        <w:t>股权。本次发行股份购买资产和募集配套资金互为条件、同时进行。</w:t>
      </w:r>
    </w:p>
    <w:p>
      <w:pPr>
        <w:spacing w:line="271" w:lineRule="auto" w:before="46"/>
        <w:ind w:left="154" w:right="1128" w:firstLine="360"/>
        <w:jc w:val="left"/>
        <w:rPr>
          <w:rFonts w:ascii="宋体" w:hAnsi="宋体" w:cs="宋体" w:eastAsia="宋体" w:hint="default"/>
          <w:sz w:val="18"/>
          <w:szCs w:val="18"/>
        </w:rPr>
      </w:pPr>
      <w:r>
        <w:rPr>
          <w:rFonts w:ascii="宋体" w:hAnsi="宋体" w:cs="宋体" w:eastAsia="宋体" w:hint="default"/>
          <w:spacing w:val="-1"/>
          <w:sz w:val="18"/>
          <w:szCs w:val="18"/>
        </w:rPr>
        <w:t>综上，公司的发展战略确定为：</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热处理设备制造服务业</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互联网服务业</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的双轨多元化发展战略</w:t>
      </w:r>
      <w:r>
        <w:rPr>
          <w:rFonts w:ascii="宋体" w:hAnsi="宋体" w:cs="宋体" w:eastAsia="宋体" w:hint="default"/>
          <w:spacing w:val="-1"/>
          <w:sz w:val="18"/>
          <w:szCs w:val="18"/>
        </w:rPr>
        <w:t>，即在继续巩固发展原</w:t>
      </w:r>
      <w:r>
        <w:rPr>
          <w:rFonts w:ascii="宋体" w:hAnsi="宋体" w:cs="宋体" w:eastAsia="宋体" w:hint="default"/>
          <w:sz w:val="18"/>
          <w:szCs w:val="18"/>
        </w:rPr>
        <w:t> </w:t>
      </w:r>
      <w:r>
        <w:rPr>
          <w:rFonts w:ascii="宋体" w:hAnsi="宋体" w:cs="宋体" w:eastAsia="宋体" w:hint="default"/>
          <w:spacing w:val="-1"/>
          <w:sz w:val="18"/>
          <w:szCs w:val="18"/>
        </w:rPr>
        <w:t>有主业的基础上，充分利用方欣科技在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智慧电子税务局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财税云服务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领域的市场地位，将在已有市场、用户、产品、技</w:t>
      </w:r>
    </w:p>
    <w:p>
      <w:pPr>
        <w:spacing w:after="0" w:line="271"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2"/>
        <w:rPr>
          <w:rFonts w:ascii="宋体" w:hAnsi="宋体" w:cs="宋体" w:eastAsia="宋体" w:hint="default"/>
          <w:sz w:val="22"/>
          <w:szCs w:val="22"/>
        </w:rPr>
      </w:pPr>
    </w:p>
    <w:p>
      <w:pPr>
        <w:pStyle w:val="BodyText"/>
        <w:spacing w:line="240" w:lineRule="auto" w:before="44"/>
        <w:ind w:left="154" w:right="0"/>
        <w:jc w:val="left"/>
      </w:pPr>
      <w:r>
        <w:rPr/>
        <w:t>术积累的基础上，进一步拓展财税大数据、互联网金融服务，打造财税服务的生态系统。</w:t>
      </w:r>
    </w:p>
    <w:p>
      <w:pPr>
        <w:spacing w:line="240" w:lineRule="auto" w:before="8"/>
        <w:rPr>
          <w:rFonts w:ascii="宋体" w:hAnsi="宋体" w:cs="宋体" w:eastAsia="宋体" w:hint="default"/>
          <w:sz w:val="12"/>
          <w:szCs w:val="12"/>
        </w:rPr>
      </w:pPr>
    </w:p>
    <w:p>
      <w:pPr>
        <w:pStyle w:val="Heading5"/>
        <w:spacing w:line="240" w:lineRule="auto"/>
        <w:ind w:right="0"/>
        <w:jc w:val="left"/>
        <w:rPr>
          <w:b w:val="0"/>
          <w:bCs w:val="0"/>
        </w:rPr>
      </w:pPr>
      <w:r>
        <w:rPr>
          <w:rFonts w:ascii="Times New Roman" w:hAnsi="Times New Roman" w:cs="Times New Roman" w:eastAsia="Times New Roman" w:hint="default"/>
        </w:rPr>
        <w:t>2</w:t>
      </w:r>
      <w:r>
        <w:rPr/>
        <w:t>、业务发展规划</w:t>
      </w:r>
      <w:r>
        <w:rPr>
          <w:b w:val="0"/>
          <w:bCs w:val="0"/>
        </w:rPr>
      </w:r>
    </w:p>
    <w:p>
      <w:pPr>
        <w:pStyle w:val="Heading5"/>
        <w:spacing w:line="240" w:lineRule="auto" w:before="150"/>
        <w:ind w:right="0"/>
        <w:jc w:val="left"/>
        <w:rPr>
          <w:b w:val="0"/>
          <w:bCs w:val="0"/>
        </w:rPr>
      </w:pPr>
      <w:r>
        <w:rPr>
          <w:rFonts w:ascii="Times New Roman" w:hAnsi="Times New Roman" w:cs="Times New Roman" w:eastAsia="Times New Roman" w:hint="default"/>
        </w:rPr>
        <w:t>2.1</w:t>
      </w:r>
      <w:r>
        <w:rPr>
          <w:rFonts w:ascii="Times New Roman" w:hAnsi="Times New Roman" w:cs="Times New Roman" w:eastAsia="Times New Roman" w:hint="default"/>
          <w:spacing w:val="28"/>
        </w:rPr>
        <w:t> </w:t>
      </w:r>
      <w:r>
        <w:rPr/>
        <w:t>热处理设备制造服务业务发展规划</w:t>
      </w:r>
      <w:r>
        <w:rPr>
          <w:b w:val="0"/>
          <w:bCs w:val="0"/>
        </w:rPr>
      </w:r>
    </w:p>
    <w:p>
      <w:pPr>
        <w:pStyle w:val="BodyText"/>
        <w:spacing w:line="240" w:lineRule="auto" w:before="151"/>
        <w:ind w:right="0"/>
        <w:jc w:val="left"/>
      </w:pPr>
      <w:r>
        <w:rPr>
          <w:rFonts w:ascii="Times New Roman" w:hAnsi="Times New Roman" w:cs="Times New Roman" w:eastAsia="Times New Roman" w:hint="default"/>
        </w:rPr>
        <w:t>2.1.1</w:t>
      </w:r>
      <w:r>
        <w:rPr>
          <w:rFonts w:ascii="Times New Roman" w:hAnsi="Times New Roman" w:cs="Times New Roman" w:eastAsia="Times New Roman" w:hint="default"/>
          <w:spacing w:val="25"/>
        </w:rPr>
        <w:t> </w:t>
      </w:r>
      <w:r>
        <w:rPr/>
        <w:t>增加技术和研发投入，开发</w:t>
      </w:r>
      <w:r>
        <w:rPr>
          <w:rFonts w:ascii="Times New Roman" w:hAnsi="Times New Roman" w:cs="Times New Roman" w:eastAsia="Times New Roman" w:hint="default"/>
        </w:rPr>
        <w:t>“</w:t>
      </w:r>
      <w:r>
        <w:rPr/>
        <w:t>智能、环保、高效、节能</w:t>
      </w:r>
      <w:r>
        <w:rPr>
          <w:rFonts w:ascii="Times New Roman" w:hAnsi="Times New Roman" w:cs="Times New Roman" w:eastAsia="Times New Roman" w:hint="default"/>
        </w:rPr>
        <w:t>”</w:t>
      </w:r>
      <w:r>
        <w:rPr/>
        <w:t>的新型热处理装备，进一步抢占高端热处理设备市场。</w:t>
      </w:r>
    </w:p>
    <w:p>
      <w:pPr>
        <w:pStyle w:val="BodyText"/>
        <w:spacing w:line="268" w:lineRule="auto" w:before="71"/>
        <w:ind w:left="153" w:right="1143" w:firstLine="360"/>
        <w:jc w:val="left"/>
      </w:pPr>
      <w:r>
        <w:rPr>
          <w:rFonts w:ascii="Times New Roman" w:hAnsi="Times New Roman" w:cs="Times New Roman" w:eastAsia="Times New Roman" w:hint="default"/>
        </w:rPr>
        <w:t>2.1.2</w:t>
      </w:r>
      <w:r>
        <w:rPr>
          <w:rFonts w:ascii="Times New Roman" w:hAnsi="Times New Roman" w:cs="Times New Roman" w:eastAsia="Times New Roman" w:hint="default"/>
          <w:spacing w:val="25"/>
        </w:rPr>
        <w:t> </w:t>
      </w:r>
      <w:r>
        <w:rPr/>
        <w:t>充分利用上市融资平台实施加工企业的收购、兼并和新建，实施规范化、规模化的热处理加工连锁服务；继续推 广与各行业规模制造企业密切合作，形成优势互补、分工协作、长期互助发展的</w:t>
      </w:r>
      <w:r>
        <w:rPr>
          <w:rFonts w:ascii="Times New Roman" w:hAnsi="Times New Roman" w:cs="Times New Roman" w:eastAsia="Times New Roman" w:hint="default"/>
        </w:rPr>
        <w:t>“</w:t>
      </w:r>
      <w:r>
        <w:rPr/>
        <w:t>厂中厂</w:t>
      </w:r>
      <w:r>
        <w:rPr>
          <w:rFonts w:ascii="Times New Roman" w:hAnsi="Times New Roman" w:cs="Times New Roman" w:eastAsia="Times New Roman" w:hint="default"/>
        </w:rPr>
        <w:t>”</w:t>
      </w:r>
      <w:r>
        <w:rPr/>
        <w:t>合作新模式。</w:t>
      </w:r>
    </w:p>
    <w:p>
      <w:pPr>
        <w:pStyle w:val="BodyText"/>
        <w:spacing w:line="240" w:lineRule="auto" w:before="47"/>
        <w:ind w:right="0"/>
        <w:jc w:val="left"/>
      </w:pPr>
      <w:r>
        <w:rPr>
          <w:rFonts w:ascii="Times New Roman" w:hAnsi="Times New Roman" w:cs="Times New Roman" w:eastAsia="Times New Roman" w:hint="default"/>
        </w:rPr>
        <w:t>2.1.3 </w:t>
      </w:r>
      <w:r>
        <w:rPr>
          <w:rFonts w:ascii="Times New Roman" w:hAnsi="Times New Roman" w:cs="Times New Roman" w:eastAsia="Times New Roman" w:hint="default"/>
          <w:spacing w:val="14"/>
        </w:rPr>
        <w:t> </w:t>
      </w:r>
      <w:r>
        <w:rPr>
          <w:spacing w:val="-2"/>
        </w:rPr>
        <w:t>做好设备客户的跟踪与服务，全力开拓售后服务市场，进一步增加售后服务及备品备件销售在主营业务中的比重。</w:t>
      </w:r>
    </w:p>
    <w:p>
      <w:pPr>
        <w:pStyle w:val="Heading5"/>
        <w:spacing w:line="240" w:lineRule="auto" w:before="150"/>
        <w:ind w:right="0"/>
        <w:jc w:val="left"/>
        <w:rPr>
          <w:b w:val="0"/>
          <w:bCs w:val="0"/>
        </w:rPr>
      </w:pPr>
      <w:r>
        <w:rPr>
          <w:rFonts w:ascii="Times New Roman" w:hAnsi="Times New Roman" w:cs="Times New Roman" w:eastAsia="Times New Roman" w:hint="default"/>
        </w:rPr>
        <w:t>2.2</w:t>
      </w:r>
      <w:r>
        <w:rPr>
          <w:rFonts w:ascii="Times New Roman" w:hAnsi="Times New Roman" w:cs="Times New Roman" w:eastAsia="Times New Roman" w:hint="default"/>
          <w:spacing w:val="29"/>
        </w:rPr>
        <w:t> </w:t>
      </w:r>
      <w:r>
        <w:rPr/>
        <w:t>互联网服务业务发展规划</w:t>
      </w:r>
      <w:r>
        <w:rPr>
          <w:b w:val="0"/>
          <w:bCs w:val="0"/>
        </w:rPr>
      </w:r>
    </w:p>
    <w:p>
      <w:pPr>
        <w:pStyle w:val="BodyText"/>
        <w:spacing w:line="240" w:lineRule="auto" w:before="150"/>
        <w:ind w:left="514" w:right="0"/>
        <w:jc w:val="left"/>
      </w:pPr>
      <w:r>
        <w:rPr>
          <w:rFonts w:ascii="Times New Roman" w:hAnsi="Times New Roman" w:cs="Times New Roman" w:eastAsia="Times New Roman" w:hint="default"/>
        </w:rPr>
        <w:t>2.2.1</w:t>
      </w:r>
      <w:r>
        <w:rPr>
          <w:rFonts w:ascii="Times New Roman" w:hAnsi="Times New Roman" w:cs="Times New Roman" w:eastAsia="Times New Roman" w:hint="default"/>
          <w:spacing w:val="25"/>
        </w:rPr>
        <w:t> </w:t>
      </w:r>
      <w:r>
        <w:rPr/>
        <w:t>公司将依托方欣科技以云计算技术为基础，以企业财税行业应用和服务为抓手，构建全方位智慧互联生态圈。</w:t>
      </w:r>
    </w:p>
    <w:p>
      <w:pPr>
        <w:pStyle w:val="BodyText"/>
        <w:spacing w:line="268" w:lineRule="auto" w:before="71"/>
        <w:ind w:left="153" w:right="0" w:firstLine="360"/>
        <w:jc w:val="left"/>
      </w:pPr>
      <w:r>
        <w:rPr>
          <w:rFonts w:ascii="Times New Roman" w:hAnsi="Times New Roman" w:cs="Times New Roman" w:eastAsia="Times New Roman" w:hint="default"/>
        </w:rPr>
        <w:t>2.2.2 </w:t>
      </w:r>
      <w:r>
        <w:rPr/>
        <w:t>通过互联网数据创新服务平台，方欣科技进一步深耕财税领域服务，依托数据实现精准营销，增强平台用户使用 粘性，达到拓展业务范围及客户类型的目标。</w:t>
      </w:r>
    </w:p>
    <w:p>
      <w:pPr>
        <w:pStyle w:val="BodyText"/>
        <w:spacing w:line="268" w:lineRule="auto" w:before="63"/>
        <w:ind w:left="153" w:right="1118" w:firstLine="360"/>
        <w:jc w:val="left"/>
      </w:pPr>
      <w:r>
        <w:rPr>
          <w:rFonts w:ascii="Times New Roman" w:hAnsi="Times New Roman" w:cs="Times New Roman" w:eastAsia="Times New Roman" w:hint="default"/>
        </w:rPr>
        <w:t>2.2.3 </w:t>
      </w:r>
      <w:r>
        <w:rPr/>
        <w:t>通过人才的引进与培养，建立起能够适应快速发展的企业互联网服务行业需要的人才资源，为上市公司的长远发 展提供保证。</w:t>
      </w:r>
    </w:p>
    <w:p>
      <w:pPr>
        <w:pStyle w:val="Heading5"/>
        <w:spacing w:line="285" w:lineRule="auto" w:before="63"/>
        <w:ind w:left="153" w:right="0" w:firstLine="361"/>
        <w:jc w:val="left"/>
        <w:rPr>
          <w:b w:val="0"/>
          <w:bCs w:val="0"/>
        </w:rPr>
      </w:pPr>
      <w:r>
        <w:rPr/>
        <w:t>说明：本次发行股份购买资产并募集配套资金暨关联交易事项尚需公司股东大会审议通过并报中国证监会核准，本次</w:t>
      </w:r>
      <w:r>
        <w:rPr>
          <w:w w:val="99"/>
        </w:rPr>
        <w:t> </w:t>
      </w:r>
      <w:r>
        <w:rPr/>
        <w:t>交易能否取得上述核准以及最终取得核准的时间均存在不确定性，敬请广大投资者注意投资风险。</w:t>
      </w:r>
      <w:r>
        <w:rPr>
          <w:b w:val="0"/>
          <w:bCs w:val="0"/>
        </w:rPr>
      </w:r>
    </w:p>
    <w:p>
      <w:pPr>
        <w:pStyle w:val="Heading5"/>
        <w:spacing w:line="240" w:lineRule="auto" w:before="131"/>
        <w:ind w:right="0"/>
        <w:jc w:val="left"/>
        <w:rPr>
          <w:b w:val="0"/>
          <w:bCs w:val="0"/>
        </w:rPr>
      </w:pPr>
      <w:r>
        <w:rPr/>
        <w:t>（三）经营计划</w:t>
      </w:r>
      <w:r>
        <w:rPr>
          <w:b w:val="0"/>
          <w:bCs w:val="0"/>
        </w:rPr>
      </w:r>
    </w:p>
    <w:p>
      <w:pPr>
        <w:spacing w:line="400" w:lineRule="atLeast" w:before="13"/>
        <w:ind w:left="513" w:right="10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、回顾前期披露的发展战略和经营计划在报告期内的进展</w:t>
      </w:r>
      <w:r>
        <w:rPr>
          <w:rFonts w:ascii="宋体" w:hAnsi="宋体" w:cs="宋体" w:eastAsia="宋体" w:hint="default"/>
          <w:b/>
          <w:bCs/>
          <w:w w:val="99"/>
          <w:sz w:val="18"/>
          <w:szCs w:val="18"/>
        </w:rPr>
        <w:t> </w:t>
      </w:r>
      <w:r>
        <w:rPr>
          <w:rFonts w:ascii="宋体" w:hAnsi="宋体" w:cs="宋体" w:eastAsia="宋体" w:hint="default"/>
          <w:sz w:val="18"/>
          <w:szCs w:val="18"/>
        </w:rPr>
        <w:t>报告期内，公司按照</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年度董事会制定的经营计划有序开展各项工作，在热处理连锁服务网点布局、人才梯队建设、</w:t>
      </w:r>
    </w:p>
    <w:p>
      <w:pPr>
        <w:pStyle w:val="BodyText"/>
        <w:spacing w:line="285" w:lineRule="auto" w:before="31"/>
        <w:ind w:left="154" w:right="0"/>
        <w:jc w:val="left"/>
      </w:pPr>
      <w:r>
        <w:rPr>
          <w:spacing w:val="-2"/>
        </w:rPr>
        <w:t>完善业务流程、优化技术设计、持续产品创新、强化内控执行等方面均取得了一定的成效；募集资金投资项目按照投资计划</w:t>
      </w:r>
      <w:r>
        <w:rPr>
          <w:spacing w:val="-66"/>
        </w:rPr>
        <w:t> </w:t>
      </w:r>
      <w:r>
        <w:rPr>
          <w:spacing w:val="-66"/>
        </w:rPr>
      </w:r>
      <w:r>
        <w:rPr/>
        <w:t>有步骤地进行。经过全体员工的共同努力，圆满完成了</w:t>
      </w:r>
      <w:r>
        <w:rPr>
          <w:rFonts w:ascii="Times New Roman" w:hAnsi="Times New Roman" w:cs="Times New Roman" w:eastAsia="Times New Roman" w:hint="default"/>
        </w:rPr>
        <w:t>2015</w:t>
      </w:r>
      <w:r>
        <w:rPr/>
        <w:t>年度经营目标。</w:t>
      </w:r>
    </w:p>
    <w:p>
      <w:pPr>
        <w:pStyle w:val="Heading5"/>
        <w:spacing w:line="240" w:lineRule="auto" w:before="114"/>
        <w:ind w:right="0"/>
        <w:jc w:val="left"/>
        <w:rPr>
          <w:b w:val="0"/>
          <w:bCs w:val="0"/>
        </w:rPr>
      </w:pPr>
      <w:r>
        <w:rPr>
          <w:rFonts w:ascii="Times New Roman" w:hAnsi="Times New Roman" w:cs="Times New Roman" w:eastAsia="Times New Roman" w:hint="default"/>
        </w:rPr>
        <w:t>2</w:t>
      </w:r>
      <w:r>
        <w:rPr/>
        <w:t>、下一年度的经营计划</w:t>
      </w:r>
      <w:r>
        <w:rPr>
          <w:b w:val="0"/>
          <w:bCs w:val="0"/>
        </w:rPr>
      </w:r>
    </w:p>
    <w:p>
      <w:pPr>
        <w:pStyle w:val="Heading5"/>
        <w:spacing w:line="240" w:lineRule="auto" w:before="70"/>
        <w:ind w:right="0"/>
        <w:jc w:val="left"/>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16"/>
        </w:rPr>
        <w:t> </w:t>
      </w:r>
      <w:r>
        <w:rPr>
          <w:rFonts w:ascii="Times New Roman" w:hAnsi="Times New Roman" w:cs="Times New Roman" w:eastAsia="Times New Roman" w:hint="default"/>
        </w:rPr>
        <w:t>2016</w:t>
      </w:r>
      <w:r>
        <w:rPr/>
        <w:t>年度经营目标</w:t>
      </w:r>
      <w:r>
        <w:rPr>
          <w:b w:val="0"/>
          <w:bCs w:val="0"/>
        </w:rPr>
      </w:r>
    </w:p>
    <w:p>
      <w:pPr>
        <w:pStyle w:val="BodyText"/>
        <w:spacing w:line="273" w:lineRule="auto" w:before="150"/>
        <w:ind w:left="153" w:right="1128" w:firstLine="360"/>
        <w:jc w:val="both"/>
      </w:pPr>
      <w:r>
        <w:rPr>
          <w:rFonts w:ascii="Times New Roman" w:hAnsi="Times New Roman" w:cs="Times New Roman" w:eastAsia="Times New Roman" w:hint="default"/>
          <w:spacing w:val="-2"/>
        </w:rPr>
        <w:t>2016</w:t>
      </w:r>
      <w:r>
        <w:rPr>
          <w:spacing w:val="-2"/>
        </w:rPr>
        <w:t>年是国家“</w:t>
      </w:r>
      <w:hyperlink r:id="rId25">
        <w:r>
          <w:rPr>
            <w:spacing w:val="-2"/>
          </w:rPr>
          <w:t>十三五</w:t>
        </w:r>
      </w:hyperlink>
      <w:r>
        <w:rPr>
          <w:spacing w:val="-2"/>
        </w:rPr>
        <w:t>”规划开局之年，标志着中国机械制造工业已经站在新的发展起点上。应该看到，由于国内外经</w:t>
      </w:r>
      <w:r>
        <w:rPr/>
        <w:t> </w:t>
      </w:r>
      <w:r>
        <w:rPr>
          <w:spacing w:val="-2"/>
        </w:rPr>
        <w:t>济环境的变化，机械制造工业面对的矛盾与问题将更为复杂，结构调整与转型升级的任务将更加繁重。尽管如此，机械制造</w:t>
      </w:r>
      <w:r>
        <w:rPr>
          <w:spacing w:val="-66"/>
        </w:rPr>
        <w:t> </w:t>
      </w:r>
      <w:r>
        <w:rPr>
          <w:spacing w:val="-66"/>
        </w:rPr>
      </w:r>
      <w:r>
        <w:rPr/>
        <w:t>工业仍具备稳中有进的利好因素：一是中央经济工作会议明确了</w:t>
      </w:r>
      <w:r>
        <w:rPr>
          <w:rFonts w:ascii="Times New Roman" w:hAnsi="Times New Roman" w:cs="Times New Roman" w:eastAsia="Times New Roman" w:hint="default"/>
        </w:rPr>
        <w:t>“</w:t>
      </w:r>
      <w:r>
        <w:rPr/>
        <w:t>稳中求进</w:t>
      </w:r>
      <w:r>
        <w:rPr>
          <w:rFonts w:ascii="Times New Roman" w:hAnsi="Times New Roman" w:cs="Times New Roman" w:eastAsia="Times New Roman" w:hint="default"/>
        </w:rPr>
        <w:t>”</w:t>
      </w:r>
      <w:r>
        <w:rPr/>
        <w:t>的经济政策基调，强调了</w:t>
      </w:r>
      <w:r>
        <w:rPr>
          <w:rFonts w:ascii="Times New Roman" w:hAnsi="Times New Roman" w:cs="Times New Roman" w:eastAsia="Times New Roman" w:hint="default"/>
        </w:rPr>
        <w:t>“</w:t>
      </w:r>
      <w:r>
        <w:rPr/>
        <w:t>去产能、去库存、去</w:t>
      </w:r>
      <w:r>
        <w:rPr>
          <w:spacing w:val="-54"/>
        </w:rPr>
        <w:t> </w:t>
      </w:r>
      <w:r>
        <w:rPr>
          <w:spacing w:val="-54"/>
        </w:rPr>
      </w:r>
      <w:r>
        <w:rPr/>
        <w:t>杠杆、降成本、补短板，提高供给体系质量和效益</w:t>
      </w:r>
      <w:r>
        <w:rPr>
          <w:rFonts w:ascii="Times New Roman" w:hAnsi="Times New Roman" w:cs="Times New Roman" w:eastAsia="Times New Roman" w:hint="default"/>
        </w:rPr>
        <w:t>”</w:t>
      </w:r>
      <w:r>
        <w:rPr/>
        <w:t>等主要任务，并释放了保持宏观政策连续性和稳定性的信息，有利于机</w:t>
      </w:r>
      <w:r>
        <w:rPr>
          <w:spacing w:val="-75"/>
        </w:rPr>
        <w:t> </w:t>
      </w:r>
      <w:r>
        <w:rPr>
          <w:spacing w:val="-75"/>
        </w:rPr>
      </w:r>
      <w:r>
        <w:rPr>
          <w:spacing w:val="-2"/>
        </w:rPr>
        <w:t>械制造行业推进结构调整与转型升级；二是《中国制造</w:t>
      </w:r>
      <w:r>
        <w:rPr>
          <w:rFonts w:ascii="Times New Roman" w:hAnsi="Times New Roman" w:cs="Times New Roman" w:eastAsia="Times New Roman" w:hint="default"/>
          <w:spacing w:val="-2"/>
        </w:rPr>
        <w:t>2025</w:t>
      </w:r>
      <w:r>
        <w:rPr>
          <w:spacing w:val="-2"/>
        </w:rPr>
        <w:t>》以及相关配套政策相继出台，为机械制造工业长期发展和短期</w:t>
      </w:r>
      <w:r>
        <w:rPr>
          <w:spacing w:val="-62"/>
        </w:rPr>
        <w:t> </w:t>
      </w:r>
      <w:r>
        <w:rPr>
          <w:spacing w:val="-62"/>
        </w:rPr>
      </w:r>
      <w:r>
        <w:rPr/>
        <w:t>调整指明了方向，提供了政策支持。</w:t>
      </w:r>
    </w:p>
    <w:p>
      <w:pPr>
        <w:spacing w:line="307" w:lineRule="auto" w:before="59"/>
        <w:ind w:left="513" w:right="0" w:firstLine="0"/>
        <w:jc w:val="left"/>
        <w:rPr>
          <w:rFonts w:ascii="宋体" w:hAnsi="宋体" w:cs="宋体" w:eastAsia="宋体" w:hint="default"/>
          <w:sz w:val="18"/>
          <w:szCs w:val="18"/>
        </w:rPr>
      </w:pPr>
      <w:r>
        <w:rPr>
          <w:rFonts w:ascii="宋体" w:hAnsi="宋体" w:cs="宋体" w:eastAsia="宋体" w:hint="default"/>
          <w:sz w:val="18"/>
          <w:szCs w:val="18"/>
        </w:rPr>
        <w:t>综合分析</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年的市场预期、潜在的不确定因素以及公司的实际生产能力，确定</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年公司的经营目标为： 现有主营业务热处理业务实现营业收入以及归属于母公司股东的净利润分别比</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年度增长</w:t>
      </w:r>
      <w:r>
        <w:rPr>
          <w:rFonts w:ascii="Times New Roman" w:hAnsi="Times New Roman" w:cs="Times New Roman" w:eastAsia="Times New Roman" w:hint="default"/>
          <w:sz w:val="18"/>
          <w:szCs w:val="18"/>
        </w:rPr>
        <w:t>0~10%</w:t>
      </w:r>
      <w:r>
        <w:rPr>
          <w:rFonts w:ascii="宋体" w:hAnsi="宋体" w:cs="宋体" w:eastAsia="宋体" w:hint="default"/>
          <w:sz w:val="18"/>
          <w:szCs w:val="18"/>
        </w:rPr>
        <w:t>。 </w:t>
      </w:r>
      <w:r>
        <w:rPr>
          <w:rFonts w:ascii="宋体" w:hAnsi="宋体" w:cs="宋体" w:eastAsia="宋体" w:hint="default"/>
          <w:b/>
          <w:bCs/>
          <w:sz w:val="18"/>
          <w:szCs w:val="18"/>
        </w:rPr>
        <w:t>说明：以上目标仅为公司董事会确定的</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年度总体经营目标，不代表公司对</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年度的盈利预测，实现情况如何取</w:t>
      </w:r>
      <w:r>
        <w:rPr>
          <w:rFonts w:ascii="宋体" w:hAnsi="宋体" w:cs="宋体" w:eastAsia="宋体" w:hint="default"/>
          <w:sz w:val="18"/>
          <w:szCs w:val="18"/>
        </w:rPr>
      </w:r>
    </w:p>
    <w:p>
      <w:pPr>
        <w:pStyle w:val="Heading5"/>
        <w:spacing w:line="210" w:lineRule="exact"/>
        <w:ind w:left="154" w:right="0"/>
        <w:jc w:val="left"/>
        <w:rPr>
          <w:b w:val="0"/>
          <w:bCs w:val="0"/>
        </w:rPr>
      </w:pPr>
      <w:r>
        <w:rPr/>
        <w:t>决于宏观经济环境、行业发展状况、市场状况变化及经营团队的努力程度等诸多因素，存在一定的不确定性，敬请广大投</w:t>
      </w:r>
      <w:r>
        <w:rPr>
          <w:b w:val="0"/>
          <w:bCs w:val="0"/>
        </w:rPr>
      </w:r>
    </w:p>
    <w:p>
      <w:pPr>
        <w:pStyle w:val="Heading5"/>
        <w:spacing w:line="240" w:lineRule="auto" w:before="45"/>
        <w:ind w:left="154" w:right="0"/>
        <w:jc w:val="left"/>
        <w:rPr>
          <w:b w:val="0"/>
          <w:bCs w:val="0"/>
        </w:rPr>
      </w:pPr>
      <w:r>
        <w:rPr/>
        <w:t>资者注意投资风险。</w:t>
      </w:r>
      <w:r>
        <w:rPr>
          <w:b w:val="0"/>
          <w:bCs w:val="0"/>
        </w:rPr>
      </w:r>
    </w:p>
    <w:p>
      <w:pPr>
        <w:spacing w:line="240" w:lineRule="auto" w:before="7"/>
        <w:rPr>
          <w:rFonts w:ascii="宋体" w:hAnsi="宋体" w:cs="宋体" w:eastAsia="宋体" w:hint="default"/>
          <w:b/>
          <w:bCs/>
          <w:sz w:val="12"/>
          <w:szCs w:val="12"/>
        </w:rPr>
      </w:pPr>
    </w:p>
    <w:p>
      <w:pPr>
        <w:spacing w:line="309" w:lineRule="auto" w:before="0"/>
        <w:ind w:left="513" w:right="1027"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2.2</w:t>
      </w:r>
      <w:r>
        <w:rPr>
          <w:rFonts w:ascii="Times New Roman" w:hAnsi="Times New Roman" w:cs="Times New Roman" w:eastAsia="Times New Roman" w:hint="default"/>
          <w:b/>
          <w:bCs/>
          <w:spacing w:val="18"/>
          <w:sz w:val="18"/>
          <w:szCs w:val="18"/>
        </w:rPr>
        <w:t> </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年经营计划</w:t>
      </w:r>
      <w:r>
        <w:rPr>
          <w:rFonts w:ascii="宋体" w:hAnsi="宋体" w:cs="宋体" w:eastAsia="宋体" w:hint="default"/>
          <w:b/>
          <w:bCs/>
          <w:w w:val="99"/>
          <w:sz w:val="18"/>
          <w:szCs w:val="18"/>
        </w:rPr>
        <w:t> </w:t>
      </w:r>
      <w:r>
        <w:rPr>
          <w:rFonts w:ascii="宋体" w:hAnsi="宋体" w:cs="宋体" w:eastAsia="宋体" w:hint="default"/>
          <w:sz w:val="18"/>
          <w:szCs w:val="18"/>
        </w:rPr>
        <w:t>结合整体市场环境及公司战略规划，为实现</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年度热处理业务的经营目标，公司总体经营思路为：</w:t>
      </w:r>
      <w:r>
        <w:rPr>
          <w:rFonts w:ascii="宋体" w:hAnsi="宋体" w:cs="宋体" w:eastAsia="宋体" w:hint="default"/>
          <w:b/>
          <w:bCs/>
          <w:sz w:val="18"/>
          <w:szCs w:val="18"/>
        </w:rPr>
        <w:t>抓市场、控成本、</w:t>
      </w:r>
      <w:r>
        <w:rPr>
          <w:rFonts w:ascii="宋体" w:hAnsi="宋体" w:cs="宋体" w:eastAsia="宋体" w:hint="default"/>
          <w:sz w:val="18"/>
          <w:szCs w:val="18"/>
        </w:rPr>
      </w:r>
    </w:p>
    <w:p>
      <w:pPr>
        <w:spacing w:line="208" w:lineRule="exact"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严管理、稳增长</w:t>
      </w:r>
      <w:r>
        <w:rPr>
          <w:rFonts w:ascii="宋体" w:hAnsi="宋体" w:cs="宋体" w:eastAsia="宋体" w:hint="default"/>
          <w:sz w:val="18"/>
          <w:szCs w:val="18"/>
        </w:rPr>
        <w:t>。具体措施如下：</w:t>
      </w:r>
    </w:p>
    <w:p>
      <w:pPr>
        <w:pStyle w:val="BodyText"/>
        <w:spacing w:line="268" w:lineRule="auto" w:before="85"/>
        <w:ind w:left="154" w:right="1070" w:firstLine="361"/>
        <w:jc w:val="both"/>
      </w:pPr>
      <w:r>
        <w:rPr>
          <w:rFonts w:ascii="Times New Roman" w:hAnsi="Times New Roman" w:cs="Times New Roman" w:eastAsia="Times New Roman" w:hint="default"/>
          <w:b/>
          <w:bCs/>
        </w:rPr>
        <w:t>2.2.1</w:t>
      </w:r>
      <w:r>
        <w:rPr>
          <w:rFonts w:ascii="Times New Roman" w:hAnsi="Times New Roman" w:cs="Times New Roman" w:eastAsia="Times New Roman" w:hint="default"/>
          <w:b/>
          <w:bCs/>
          <w:spacing w:val="34"/>
        </w:rPr>
        <w:t> </w:t>
      </w:r>
      <w:r>
        <w:rPr>
          <w:rFonts w:ascii="宋体" w:hAnsi="宋体" w:cs="宋体" w:eastAsia="宋体" w:hint="default"/>
          <w:b/>
          <w:bCs/>
        </w:rPr>
        <w:t>调整营销策略，集中力量开拓国内国际市场。</w:t>
      </w:r>
      <w:r>
        <w:rPr/>
        <w:t>对重点客户、有改造需求的客户进行重点关注；对于往年订单较少 或为零的地区项目要尤其重视，通过</w:t>
      </w:r>
      <w:r>
        <w:rPr>
          <w:rFonts w:ascii="Times New Roman" w:hAnsi="Times New Roman" w:cs="Times New Roman" w:eastAsia="Times New Roman" w:hint="default"/>
        </w:rPr>
        <w:t>“</w:t>
      </w:r>
      <w:r>
        <w:rPr/>
        <w:t>点</w:t>
      </w:r>
      <w:r>
        <w:rPr>
          <w:rFonts w:ascii="Times New Roman" w:hAnsi="Times New Roman" w:cs="Times New Roman" w:eastAsia="Times New Roman" w:hint="default"/>
        </w:rPr>
        <w:t>”</w:t>
      </w:r>
      <w:r>
        <w:rPr/>
        <w:t>的突破，实现以点带面；继续加强海外市场的培育与开拓；加强有效的宣传推广， 扩大微信平台的影响力，通过微信、网络等方式进一步拓宽公司的销售服务渠道。</w:t>
      </w:r>
    </w:p>
    <w:p>
      <w:pPr>
        <w:pStyle w:val="BodyText"/>
        <w:spacing w:line="268" w:lineRule="auto" w:before="63"/>
        <w:ind w:left="153" w:right="0" w:firstLine="361"/>
        <w:jc w:val="left"/>
      </w:pPr>
      <w:r>
        <w:rPr>
          <w:rFonts w:ascii="Times New Roman" w:hAnsi="Times New Roman" w:cs="Times New Roman" w:eastAsia="Times New Roman" w:hint="default"/>
          <w:b/>
          <w:bCs/>
        </w:rPr>
        <w:t>2.2.2</w:t>
      </w:r>
      <w:r>
        <w:rPr>
          <w:rFonts w:ascii="Times New Roman" w:hAnsi="Times New Roman" w:cs="Times New Roman" w:eastAsia="Times New Roman" w:hint="default"/>
          <w:b/>
          <w:bCs/>
          <w:spacing w:val="24"/>
        </w:rPr>
        <w:t> </w:t>
      </w:r>
      <w:r>
        <w:rPr>
          <w:rFonts w:ascii="宋体" w:hAnsi="宋体" w:cs="宋体" w:eastAsia="宋体" w:hint="default"/>
          <w:b/>
          <w:bCs/>
        </w:rPr>
        <w:t>强化成本控制，全方位多渠道提升管理效益。</w:t>
      </w:r>
      <w:r>
        <w:rPr/>
        <w:t>从公司</w:t>
      </w:r>
      <w:r>
        <w:rPr>
          <w:rFonts w:ascii="Times New Roman" w:hAnsi="Times New Roman" w:cs="Times New Roman" w:eastAsia="Times New Roman" w:hint="default"/>
        </w:rPr>
        <w:t>2015</w:t>
      </w:r>
      <w:r>
        <w:rPr/>
        <w:t>年度的经营结果来看，我们的营业收入增长</w:t>
      </w:r>
      <w:r>
        <w:rPr>
          <w:rFonts w:ascii="Times New Roman" w:hAnsi="Times New Roman" w:cs="Times New Roman" w:eastAsia="Times New Roman" w:hint="default"/>
        </w:rPr>
        <w:t>18.42%</w:t>
      </w:r>
      <w:r>
        <w:rPr/>
        <w:t>，而</w:t>
      </w:r>
      <w:r>
        <w:rPr>
          <w:spacing w:val="-2"/>
        </w:rPr>
        <w:t> </w:t>
      </w:r>
      <w:r>
        <w:rPr/>
        <w:t>实现归属于母公司股东的净利润仅增长了</w:t>
      </w:r>
      <w:r>
        <w:rPr>
          <w:rFonts w:ascii="Times New Roman" w:hAnsi="Times New Roman" w:cs="Times New Roman" w:eastAsia="Times New Roman" w:hint="default"/>
        </w:rPr>
        <w:t>3.38%</w:t>
      </w:r>
      <w:r>
        <w:rPr/>
        <w:t>，收入与利润增长的不匹配警示我们成本控制的重要性。尤其是在目前整体 </w:t>
      </w:r>
      <w:r>
        <w:rPr>
          <w:spacing w:val="-1"/>
        </w:rPr>
        <w:t>经济环境不好的情况下，</w:t>
      </w:r>
      <w:r>
        <w:rPr>
          <w:rFonts w:ascii="Times New Roman" w:hAnsi="Times New Roman" w:cs="Times New Roman" w:eastAsia="Times New Roman" w:hint="default"/>
          <w:spacing w:val="-1"/>
        </w:rPr>
        <w:t>“</w:t>
      </w:r>
      <w:r>
        <w:rPr>
          <w:spacing w:val="-1"/>
        </w:rPr>
        <w:t>节流</w:t>
      </w:r>
      <w:r>
        <w:rPr>
          <w:rFonts w:ascii="Times New Roman" w:hAnsi="Times New Roman" w:cs="Times New Roman" w:eastAsia="Times New Roman" w:hint="default"/>
          <w:spacing w:val="-1"/>
        </w:rPr>
        <w:t>”</w:t>
      </w:r>
      <w:r>
        <w:rPr>
          <w:spacing w:val="-1"/>
        </w:rPr>
        <w:t>就显得更加重要。</w:t>
      </w:r>
      <w:r>
        <w:rPr>
          <w:rFonts w:ascii="Times New Roman" w:hAnsi="Times New Roman" w:cs="Times New Roman" w:eastAsia="Times New Roman" w:hint="default"/>
          <w:spacing w:val="-1"/>
        </w:rPr>
        <w:t>2016</w:t>
      </w:r>
      <w:r>
        <w:rPr>
          <w:spacing w:val="-1"/>
        </w:rPr>
        <w:t>年确定为公司的</w:t>
      </w:r>
      <w:r>
        <w:rPr>
          <w:rFonts w:ascii="Times New Roman" w:hAnsi="Times New Roman" w:cs="Times New Roman" w:eastAsia="Times New Roman" w:hint="default"/>
          <w:spacing w:val="-1"/>
        </w:rPr>
        <w:t>“</w:t>
      </w:r>
      <w:r>
        <w:rPr>
          <w:spacing w:val="-1"/>
        </w:rPr>
        <w:t>成本控制年</w:t>
      </w:r>
      <w:r>
        <w:rPr>
          <w:rFonts w:ascii="Times New Roman" w:hAnsi="Times New Roman" w:cs="Times New Roman" w:eastAsia="Times New Roman" w:hint="default"/>
          <w:spacing w:val="-1"/>
        </w:rPr>
        <w:t>”</w:t>
      </w:r>
      <w:r>
        <w:rPr>
          <w:spacing w:val="-1"/>
        </w:rPr>
        <w:t>，公司将对影响生产、管理成本的</w:t>
      </w:r>
      <w:r>
        <w:rPr>
          <w:rFonts w:ascii="Times New Roman" w:hAnsi="Times New Roman" w:cs="Times New Roman" w:eastAsia="Times New Roman" w:hint="default"/>
          <w:spacing w:val="-1"/>
        </w:rPr>
        <w:t>“</w:t>
      </w:r>
      <w:r>
        <w:rPr>
          <w:spacing w:val="-1"/>
        </w:rPr>
        <w:t>料、</w:t>
      </w:r>
      <w:r>
        <w:rPr>
          <w:spacing w:val="-66"/>
        </w:rPr>
        <w:t> </w:t>
      </w:r>
      <w:r>
        <w:rPr/>
        <w:t>工、费</w:t>
      </w:r>
      <w:r>
        <w:rPr>
          <w:rFonts w:ascii="Times New Roman" w:hAnsi="Times New Roman" w:cs="Times New Roman" w:eastAsia="Times New Roman" w:hint="default"/>
        </w:rPr>
        <w:t>”</w:t>
      </w:r>
      <w:r>
        <w:rPr/>
        <w:t>因素进行全方位分析，找出节约空间，在日常经营管理中通过多渠道控制，采取有效措施控制成本，以促进经营质</w:t>
      </w:r>
    </w:p>
    <w:p>
      <w:pPr>
        <w:spacing w:after="0" w:line="268" w:lineRule="auto"/>
        <w:jc w:val="left"/>
        <w:sectPr>
          <w:pgSz w:w="11910" w:h="16840"/>
          <w:pgMar w:header="768" w:footer="979" w:top="1100" w:bottom="1160" w:left="980" w:right="0"/>
        </w:sectPr>
      </w:pPr>
    </w:p>
    <w:p>
      <w:pPr>
        <w:spacing w:line="240" w:lineRule="auto" w:before="2"/>
        <w:rPr>
          <w:rFonts w:ascii="宋体" w:hAnsi="宋体" w:cs="宋体" w:eastAsia="宋体" w:hint="default"/>
          <w:sz w:val="22"/>
          <w:szCs w:val="22"/>
        </w:rPr>
      </w:pPr>
    </w:p>
    <w:p>
      <w:pPr>
        <w:pStyle w:val="BodyText"/>
        <w:spacing w:line="240" w:lineRule="auto" w:before="44"/>
        <w:ind w:left="154" w:right="0"/>
        <w:jc w:val="both"/>
      </w:pPr>
      <w:r>
        <w:rPr/>
        <w:t>量和管理效益的不断提升。</w:t>
      </w:r>
    </w:p>
    <w:p>
      <w:pPr>
        <w:pStyle w:val="BodyText"/>
        <w:spacing w:line="276" w:lineRule="auto" w:before="85"/>
        <w:ind w:left="154" w:right="1130" w:firstLine="361"/>
        <w:jc w:val="both"/>
      </w:pPr>
      <w:r>
        <w:rPr>
          <w:rFonts w:ascii="Times New Roman" w:hAnsi="Times New Roman" w:cs="Times New Roman" w:eastAsia="Times New Roman" w:hint="default"/>
          <w:b/>
          <w:bCs/>
        </w:rPr>
        <w:t>2.2.3</w:t>
      </w:r>
      <w:r>
        <w:rPr>
          <w:rFonts w:ascii="Times New Roman" w:hAnsi="Times New Roman" w:cs="Times New Roman" w:eastAsia="Times New Roman" w:hint="default"/>
          <w:b/>
          <w:bCs/>
          <w:spacing w:val="34"/>
        </w:rPr>
        <w:t> </w:t>
      </w:r>
      <w:r>
        <w:rPr>
          <w:rFonts w:ascii="宋体" w:hAnsi="宋体" w:cs="宋体" w:eastAsia="宋体" w:hint="default"/>
          <w:b/>
          <w:bCs/>
        </w:rPr>
        <w:t>严制度严管理，推进经营管理任务有力落实。</w:t>
      </w:r>
      <w:r>
        <w:rPr/>
        <w:t>公司将结合</w:t>
      </w:r>
      <w:r>
        <w:rPr>
          <w:rFonts w:ascii="Times New Roman" w:hAnsi="Times New Roman" w:cs="Times New Roman" w:eastAsia="Times New Roman" w:hint="default"/>
        </w:rPr>
        <w:t>2016</w:t>
      </w:r>
      <w:r>
        <w:rPr/>
        <w:t>年初制定的管理职能分工，持续改进完善内部控制 </w:t>
      </w:r>
      <w:r>
        <w:rPr>
          <w:spacing w:val="-1"/>
        </w:rPr>
        <w:t>制度，确保各项工作及流程有章可依、有据可循。同时借助</w:t>
      </w:r>
      <w:r>
        <w:rPr>
          <w:rFonts w:ascii="Times New Roman" w:hAnsi="Times New Roman" w:cs="Times New Roman" w:eastAsia="Times New Roman" w:hint="default"/>
          <w:spacing w:val="-1"/>
        </w:rPr>
        <w:t>ERP</w:t>
      </w:r>
      <w:r>
        <w:rPr>
          <w:spacing w:val="-1"/>
        </w:rPr>
        <w:t>系统管理工具，从技术准备与交流、合同签订、生产确认书</w:t>
      </w:r>
      <w:r>
        <w:rPr/>
        <w:t> </w:t>
      </w:r>
      <w:r>
        <w:rPr>
          <w:spacing w:val="-2"/>
        </w:rPr>
        <w:t>签署、技术设计、外协外购件采购、质量检查、生产组装等方面进行全流程监控，不断提高准时交付率和客户满意度，提高</w:t>
      </w:r>
      <w:r>
        <w:rPr>
          <w:spacing w:val="-68"/>
        </w:rPr>
        <w:t> </w:t>
      </w:r>
      <w:r>
        <w:rPr>
          <w:spacing w:val="-68"/>
        </w:rPr>
      </w:r>
      <w:r>
        <w:rPr/>
        <w:t>工作效率及市场竞争力。</w:t>
      </w:r>
    </w:p>
    <w:p>
      <w:pPr>
        <w:pStyle w:val="BodyText"/>
        <w:spacing w:line="276" w:lineRule="auto" w:before="56"/>
        <w:ind w:left="153" w:right="1031" w:firstLine="361"/>
        <w:jc w:val="left"/>
      </w:pPr>
      <w:r>
        <w:rPr>
          <w:rFonts w:ascii="Times New Roman" w:hAnsi="Times New Roman" w:cs="Times New Roman" w:eastAsia="Times New Roman" w:hint="default"/>
          <w:b/>
          <w:bCs/>
        </w:rPr>
        <w:t>2.2.4</w:t>
      </w:r>
      <w:r>
        <w:rPr>
          <w:rFonts w:ascii="Times New Roman" w:hAnsi="Times New Roman" w:cs="Times New Roman" w:eastAsia="Times New Roman" w:hint="default"/>
          <w:b/>
          <w:bCs/>
          <w:spacing w:val="42"/>
        </w:rPr>
        <w:t> </w:t>
      </w:r>
      <w:r>
        <w:rPr>
          <w:rFonts w:ascii="宋体" w:hAnsi="宋体" w:cs="宋体" w:eastAsia="宋体" w:hint="default"/>
          <w:b/>
          <w:bCs/>
          <w:spacing w:val="-2"/>
        </w:rPr>
        <w:t>加强投后管理，确保整体经营业绩稳定增长。</w:t>
      </w:r>
      <w:r>
        <w:rPr>
          <w:spacing w:val="-2"/>
        </w:rPr>
        <w:t>经综合分析子公司历年来的经营结果以及投资回报情况，我们看到，</w:t>
      </w:r>
      <w:r>
        <w:rPr/>
        <w:t> </w:t>
      </w:r>
      <w:r>
        <w:rPr>
          <w:spacing w:val="-2"/>
        </w:rPr>
        <w:t>因地域差异、客户质量、管理水平等因素，即使是同一业务类型的企业，各子公司的发展势头也是参差不齐。</w:t>
      </w:r>
      <w:r>
        <w:rPr>
          <w:rFonts w:ascii="Times New Roman" w:hAnsi="Times New Roman" w:cs="Times New Roman" w:eastAsia="Times New Roman" w:hint="default"/>
          <w:spacing w:val="-2"/>
        </w:rPr>
        <w:t>2016</w:t>
      </w:r>
      <w:r>
        <w:rPr>
          <w:spacing w:val="-2"/>
        </w:rPr>
        <w:t>年，公司</w:t>
      </w:r>
      <w:r>
        <w:rPr>
          <w:spacing w:val="-63"/>
        </w:rPr>
        <w:t> </w:t>
      </w:r>
      <w:r>
        <w:rPr>
          <w:spacing w:val="-63"/>
        </w:rPr>
      </w:r>
      <w:r>
        <w:rPr>
          <w:spacing w:val="-2"/>
        </w:rPr>
        <w:t>将加强对已投资企业的日常监管，通过规范运营管理、优化业务流程，促进子公司经营水平的提升，确保整体经营业绩稳定</w:t>
      </w:r>
      <w:r>
        <w:rPr>
          <w:spacing w:val="-66"/>
        </w:rPr>
        <w:t> </w:t>
      </w:r>
      <w:r>
        <w:rPr>
          <w:spacing w:val="-66"/>
        </w:rPr>
      </w:r>
      <w:r>
        <w:rPr>
          <w:spacing w:val="-2"/>
        </w:rPr>
        <w:t>增长。重点关注如下：①鉴于长春丰东存在产品单一的局限性以及受下游客户不景气的影响程度较大，已连续三年经营业绩</w:t>
      </w:r>
      <w:r>
        <w:rPr>
          <w:spacing w:val="-66"/>
        </w:rPr>
        <w:t> </w:t>
      </w:r>
      <w:r>
        <w:rPr>
          <w:spacing w:val="-66"/>
        </w:rPr>
      </w:r>
      <w:r>
        <w:rPr/>
        <w:t>不佳，且未来市场空间狭小，为此，经公司总经理办公会审议，同意将公司所持有的长春丰东</w:t>
      </w:r>
      <w:r>
        <w:rPr>
          <w:rFonts w:ascii="Times New Roman" w:hAnsi="Times New Roman" w:cs="Times New Roman" w:eastAsia="Times New Roman" w:hint="default"/>
        </w:rPr>
        <w:t>65%</w:t>
      </w:r>
      <w:r>
        <w:rPr/>
        <w:t>股权转让给自然人闫立群 </w:t>
      </w:r>
      <w:r>
        <w:rPr>
          <w:spacing w:val="-2"/>
        </w:rPr>
        <w:t>先生，目前，长春丰东已办理完成股权转让的工商变更登记，公司不再持有长春丰东股权；②对近年来新加入的子公司，如</w:t>
      </w:r>
      <w:r>
        <w:rPr>
          <w:spacing w:val="-65"/>
        </w:rPr>
        <w:t> </w:t>
      </w:r>
      <w:r>
        <w:rPr>
          <w:spacing w:val="-65"/>
        </w:rPr>
      </w:r>
      <w:r>
        <w:rPr/>
        <w:t>北京丰东、常州丰东等，梳理其成立初期签订的《合作协议</w:t>
      </w:r>
      <w:r>
        <w:rPr>
          <w:rFonts w:ascii="Times New Roman" w:hAnsi="Times New Roman" w:cs="Times New Roman" w:eastAsia="Times New Roman" w:hint="default"/>
        </w:rPr>
        <w:t>/</w:t>
      </w:r>
      <w:r>
        <w:rPr/>
        <w:t>备忘录》，督促经营管理层</w:t>
      </w:r>
      <w:r>
        <w:rPr>
          <w:rFonts w:ascii="Times New Roman" w:hAnsi="Times New Roman" w:cs="Times New Roman" w:eastAsia="Times New Roman" w:hint="default"/>
        </w:rPr>
        <w:t>/</w:t>
      </w:r>
      <w:r>
        <w:rPr/>
        <w:t>原股东严格履行相关承诺，并不断 提升规范运作水平。</w:t>
      </w:r>
    </w:p>
    <w:p>
      <w:pPr>
        <w:spacing w:line="268" w:lineRule="auto" w:before="56"/>
        <w:ind w:left="153" w:right="1131" w:firstLine="361"/>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2.2.5</w:t>
      </w:r>
      <w:r>
        <w:rPr>
          <w:rFonts w:ascii="Times New Roman" w:hAnsi="Times New Roman" w:cs="Times New Roman" w:eastAsia="Times New Roman" w:hint="default"/>
          <w:b/>
          <w:bCs/>
          <w:spacing w:val="28"/>
          <w:sz w:val="18"/>
          <w:szCs w:val="18"/>
        </w:rPr>
        <w:t> </w:t>
      </w:r>
      <w:r>
        <w:rPr>
          <w:rFonts w:ascii="宋体" w:hAnsi="宋体" w:cs="宋体" w:eastAsia="宋体" w:hint="default"/>
          <w:b/>
          <w:bCs/>
          <w:sz w:val="18"/>
          <w:szCs w:val="18"/>
        </w:rPr>
        <w:t>实施多层次激励体系，加强面向未来发展战略的梯队化人才建设。</w:t>
      </w:r>
      <w:r>
        <w:rPr>
          <w:rFonts w:ascii="宋体" w:hAnsi="宋体" w:cs="宋体" w:eastAsia="宋体" w:hint="default"/>
          <w:sz w:val="18"/>
          <w:szCs w:val="18"/>
        </w:rPr>
        <w:t>从公司目前的经营管理团队来看，面对公司未 </w:t>
      </w:r>
      <w:r>
        <w:rPr>
          <w:rFonts w:ascii="宋体" w:hAnsi="宋体" w:cs="宋体" w:eastAsia="宋体" w:hint="default"/>
          <w:spacing w:val="-2"/>
          <w:sz w:val="18"/>
          <w:szCs w:val="18"/>
        </w:rPr>
        <w:t>来多元化发展战略的人才准备不足，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年，公司将积极引进面向未来的高端人才，实施多层次激励体系，为公司未来发展</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战略的实施早做人才储备和梯队建设。</w:t>
      </w:r>
    </w:p>
    <w:p>
      <w:pPr>
        <w:pStyle w:val="BodyText"/>
        <w:spacing w:line="273" w:lineRule="auto" w:before="63"/>
        <w:ind w:left="153" w:right="1033" w:firstLine="361"/>
        <w:jc w:val="left"/>
      </w:pPr>
      <w:r>
        <w:rPr>
          <w:rFonts w:ascii="Times New Roman" w:hAnsi="Times New Roman" w:cs="Times New Roman" w:eastAsia="Times New Roman" w:hint="default"/>
          <w:b/>
          <w:bCs/>
        </w:rPr>
        <w:t>2.2.6</w:t>
      </w:r>
      <w:r>
        <w:rPr>
          <w:rFonts w:ascii="Times New Roman" w:hAnsi="Times New Roman" w:cs="Times New Roman" w:eastAsia="Times New Roman" w:hint="default"/>
          <w:b/>
          <w:bCs/>
          <w:spacing w:val="42"/>
        </w:rPr>
        <w:t> </w:t>
      </w:r>
      <w:r>
        <w:rPr>
          <w:rFonts w:ascii="宋体" w:hAnsi="宋体" w:cs="宋体" w:eastAsia="宋体" w:hint="default"/>
          <w:b/>
          <w:bCs/>
        </w:rPr>
        <w:t>利用上市公司资本平台，加快兼并重组实施，实现公司跨越发展。</w:t>
      </w:r>
      <w:r>
        <w:rPr/>
        <w:t>在方欣科技相关审计、评估等工作完成之后， 公司计划于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月份召开审议发行股份购买资产并募集配套资金暨关联交易事项的第二次董事会，然后提交临时股东大</w:t>
      </w:r>
      <w:r>
        <w:rPr>
          <w:spacing w:val="-83"/>
        </w:rPr>
        <w:t> </w:t>
      </w:r>
      <w:r>
        <w:rPr>
          <w:spacing w:val="-83"/>
        </w:rPr>
      </w:r>
      <w:r>
        <w:rPr/>
        <w:t>会审议，通过后报送中国证监会审核。目前各项工作正在有条不紊地进行。希望通过本次交易，公司顺利进入到前景广阔、 </w:t>
      </w:r>
      <w:r>
        <w:rPr>
          <w:spacing w:val="-2"/>
        </w:rPr>
        <w:t>具有更大成长和盈利空间的互联网领域，公司将由传统的热处理设备制造服务业转变为</w:t>
      </w:r>
      <w:r>
        <w:rPr>
          <w:rFonts w:ascii="Times New Roman" w:hAnsi="Times New Roman" w:cs="Times New Roman" w:eastAsia="Times New Roman" w:hint="default"/>
          <w:spacing w:val="-2"/>
        </w:rPr>
        <w:t>“</w:t>
      </w:r>
      <w:r>
        <w:rPr>
          <w:spacing w:val="-2"/>
        </w:rPr>
        <w:t>热处理设备制造服务业</w:t>
      </w:r>
      <w:r>
        <w:rPr>
          <w:rFonts w:ascii="Times New Roman" w:hAnsi="Times New Roman" w:cs="Times New Roman" w:eastAsia="Times New Roman" w:hint="default"/>
          <w:spacing w:val="-2"/>
        </w:rPr>
        <w:t>+</w:t>
      </w:r>
      <w:r>
        <w:rPr>
          <w:spacing w:val="-2"/>
        </w:rPr>
        <w:t>互联网服务</w:t>
      </w:r>
      <w:r>
        <w:rPr>
          <w:spacing w:val="-66"/>
        </w:rPr>
        <w:t> </w:t>
      </w:r>
      <w:r>
        <w:rPr/>
        <w:t>业</w:t>
      </w:r>
      <w:r>
        <w:rPr>
          <w:rFonts w:ascii="Times New Roman" w:hAnsi="Times New Roman" w:cs="Times New Roman" w:eastAsia="Times New Roman" w:hint="default"/>
        </w:rPr>
        <w:t>”</w:t>
      </w:r>
      <w:r>
        <w:rPr/>
        <w:t>的双轨发展模式，实现公司多元化发展战略。</w:t>
      </w:r>
    </w:p>
    <w:p>
      <w:pPr>
        <w:pStyle w:val="Heading5"/>
        <w:spacing w:line="240" w:lineRule="auto" w:before="123"/>
        <w:ind w:right="0"/>
        <w:jc w:val="left"/>
        <w:rPr>
          <w:b w:val="0"/>
          <w:bCs w:val="0"/>
        </w:rPr>
      </w:pPr>
      <w:r>
        <w:rPr/>
        <w:t>（四）可能面对的风险及应对措施</w:t>
      </w:r>
      <w:r>
        <w:rPr>
          <w:b w:val="0"/>
          <w:bCs w:val="0"/>
        </w:rPr>
      </w:r>
    </w:p>
    <w:p>
      <w:pPr>
        <w:pStyle w:val="BodyText"/>
        <w:spacing w:line="380" w:lineRule="atLeast" w:before="33"/>
        <w:ind w:right="1118" w:firstLine="73"/>
        <w:jc w:val="left"/>
      </w:pPr>
      <w:r>
        <w:rPr>
          <w:rFonts w:ascii="Times New Roman" w:hAnsi="Times New Roman" w:cs="Times New Roman" w:eastAsia="Times New Roman" w:hint="default"/>
          <w:b/>
          <w:bCs/>
        </w:rPr>
        <w:t>1</w:t>
      </w:r>
      <w:r>
        <w:rPr>
          <w:rFonts w:ascii="宋体" w:hAnsi="宋体" w:cs="宋体" w:eastAsia="宋体" w:hint="default"/>
          <w:b/>
          <w:bCs/>
        </w:rPr>
        <w:t>、市场风险</w:t>
      </w:r>
      <w:r>
        <w:rPr>
          <w:rFonts w:ascii="宋体" w:hAnsi="宋体" w:cs="宋体" w:eastAsia="宋体" w:hint="default"/>
          <w:b/>
          <w:bCs/>
          <w:w w:val="99"/>
        </w:rPr>
        <w:t> </w:t>
      </w:r>
      <w:r>
        <w:rPr>
          <w:spacing w:val="-2"/>
        </w:rPr>
        <w:t>热处理行业的市场需求与下游行业的发展和景气度具有较强的联动性，而下游机械制造行业容易受到经济景气周期和国</w:t>
      </w:r>
    </w:p>
    <w:p>
      <w:pPr>
        <w:pStyle w:val="BodyText"/>
        <w:spacing w:line="326" w:lineRule="auto" w:before="44"/>
        <w:ind w:right="0" w:hanging="360"/>
        <w:jc w:val="left"/>
      </w:pPr>
      <w:r>
        <w:rPr/>
        <w:t>家调控政策影响，如果机械制造行业不景气或者发生重大不利变化，将会对公司的生产经营产生直接的负面影响。 </w:t>
      </w:r>
      <w:r>
        <w:rPr>
          <w:spacing w:val="-2"/>
        </w:rPr>
        <w:t>为减少这些客观因素对公司主营业务的影响，公司必须在市场开拓、产品研发、持续创新上给予更大的投入，从而开拓</w:t>
      </w:r>
    </w:p>
    <w:p>
      <w:pPr>
        <w:pStyle w:val="BodyText"/>
        <w:spacing w:line="215" w:lineRule="exact"/>
        <w:ind w:left="153" w:right="0"/>
        <w:jc w:val="both"/>
      </w:pPr>
      <w:r>
        <w:rPr/>
        <w:t>更多行业的客户，使公司的主营业务服务范围辐射到更宽的领域，分散客户行业的集中度。</w:t>
      </w:r>
    </w:p>
    <w:p>
      <w:pPr>
        <w:pStyle w:val="BodyText"/>
        <w:spacing w:line="380" w:lineRule="atLeast" w:before="34"/>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、管理风险</w:t>
      </w:r>
      <w:r>
        <w:rPr>
          <w:rFonts w:ascii="宋体" w:hAnsi="宋体" w:cs="宋体" w:eastAsia="宋体" w:hint="default"/>
          <w:b/>
          <w:bCs/>
          <w:w w:val="99"/>
        </w:rPr>
        <w:t> </w:t>
      </w:r>
      <w:r>
        <w:rPr>
          <w:spacing w:val="-2"/>
        </w:rPr>
        <w:t>伴随着公司设备市场竞争的日趋激烈以及专业热处理加工业务网点的增多，将对现有的管理体系、管理人员提出更高的</w:t>
      </w:r>
    </w:p>
    <w:p>
      <w:pPr>
        <w:pStyle w:val="BodyText"/>
        <w:spacing w:line="285" w:lineRule="auto" w:before="44"/>
        <w:ind w:left="154" w:right="1131"/>
        <w:jc w:val="both"/>
      </w:pPr>
      <w:r>
        <w:rPr>
          <w:spacing w:val="-2"/>
        </w:rPr>
        <w:t>要求。尽管公司已经积累了较丰富的企业管理经验，建立了规范的法人治理结构和健全的内部控制制度，生产经营能保持有</w:t>
      </w:r>
      <w:r>
        <w:rPr>
          <w:spacing w:val="-65"/>
        </w:rPr>
        <w:t> </w:t>
      </w:r>
      <w:r>
        <w:rPr>
          <w:spacing w:val="-65"/>
        </w:rPr>
      </w:r>
      <w:r>
        <w:rPr>
          <w:spacing w:val="-2"/>
        </w:rPr>
        <w:t>序运行，但是如果公司管理水平不能随着公司业务规模的扩大而提高，将会对公司的发展构成一定的投资风险。特别是专业</w:t>
      </w:r>
      <w:r>
        <w:rPr>
          <w:spacing w:val="-66"/>
        </w:rPr>
        <w:t> </w:t>
      </w:r>
      <w:r>
        <w:rPr>
          <w:spacing w:val="-66"/>
        </w:rPr>
      </w:r>
      <w:r>
        <w:rPr/>
        <w:t>热处理加工服务质量体系及规范标准化管理建设将是公司面临的一个重要课题。</w:t>
      </w:r>
    </w:p>
    <w:p>
      <w:pPr>
        <w:pStyle w:val="BodyText"/>
        <w:spacing w:line="285" w:lineRule="auto" w:before="50"/>
        <w:ind w:left="153" w:right="1131" w:firstLine="360"/>
        <w:jc w:val="both"/>
      </w:pPr>
      <w:r>
        <w:rPr>
          <w:spacing w:val="-2"/>
        </w:rPr>
        <w:t>对此，公司一方面需要进一步完善现有管理体系和内部控制制度，强化内控制度的执行与评估，加强对子公司的有效控</w:t>
      </w:r>
      <w:r>
        <w:rPr/>
        <w:t> </w:t>
      </w:r>
      <w:r>
        <w:rPr>
          <w:spacing w:val="-2"/>
        </w:rPr>
        <w:t>制；另一方面通过内部培养和外部引进、完善公司绩效考核体系，储备具有设备制造技术、营销复合型人才和热处理加工工</w:t>
      </w:r>
      <w:r>
        <w:rPr>
          <w:spacing w:val="-66"/>
        </w:rPr>
        <w:t> </w:t>
      </w:r>
      <w:r>
        <w:rPr>
          <w:spacing w:val="-66"/>
        </w:rPr>
      </w:r>
      <w:r>
        <w:rPr/>
        <w:t>艺技术和体系管理复合型人才，提升管理能力和经营效率，满足公司长远发展的需要。</w:t>
      </w:r>
    </w:p>
    <w:p>
      <w:pPr>
        <w:pStyle w:val="Heading5"/>
        <w:spacing w:line="240" w:lineRule="auto" w:before="131"/>
        <w:ind w:right="0"/>
        <w:jc w:val="left"/>
        <w:rPr>
          <w:b w:val="0"/>
          <w:bCs w:val="0"/>
        </w:rPr>
      </w:pPr>
      <w:r>
        <w:rPr>
          <w:rFonts w:ascii="Times New Roman" w:hAnsi="Times New Roman" w:cs="Times New Roman" w:eastAsia="Times New Roman" w:hint="default"/>
        </w:rPr>
        <w:t>3</w:t>
      </w:r>
      <w:r>
        <w:rPr/>
        <w:t>、其他风险</w:t>
      </w:r>
      <w:r>
        <w:rPr>
          <w:b w:val="0"/>
          <w:bCs w:val="0"/>
        </w:rPr>
      </w:r>
    </w:p>
    <w:p>
      <w:pPr>
        <w:pStyle w:val="BodyText"/>
        <w:spacing w:line="280" w:lineRule="auto" w:before="150"/>
        <w:ind w:left="153" w:right="1131" w:firstLine="36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天津丰东新工厂基础建设投资较大，建成并投入使用后，从</w:t>
      </w:r>
      <w:r>
        <w:rPr>
          <w:rFonts w:ascii="Times New Roman" w:hAnsi="Times New Roman" w:cs="Times New Roman" w:eastAsia="Times New Roman" w:hint="default"/>
        </w:rPr>
        <w:t>2016</w:t>
      </w:r>
      <w:r>
        <w:rPr/>
        <w:t>年起，固定资产折旧摊销费用将大大增加，而天津 </w:t>
      </w:r>
      <w:r>
        <w:rPr>
          <w:spacing w:val="-2"/>
        </w:rPr>
        <w:t>丰东新项目正在建设中，产能无法在短期之内完全释放，该因素会直接影响到天津丰东的效益。天津丰东一方面将加大专业</w:t>
      </w:r>
      <w:r>
        <w:rPr>
          <w:spacing w:val="-66"/>
        </w:rPr>
        <w:t> </w:t>
      </w:r>
      <w:r>
        <w:rPr>
          <w:spacing w:val="-66"/>
        </w:rPr>
      </w:r>
      <w:r>
        <w:rPr>
          <w:spacing w:val="-2"/>
        </w:rPr>
        <w:t>热处理加工业务的市场开拓，积极寻找长期战略合作伙伴，促使产能的尽快释放及经营业绩的快速提升；另一方面，经公司</w:t>
      </w:r>
      <w:r>
        <w:rPr>
          <w:spacing w:val="-66"/>
        </w:rPr>
        <w:t> </w:t>
      </w:r>
      <w:r>
        <w:rPr>
          <w:spacing w:val="-66"/>
        </w:rPr>
      </w:r>
      <w:r>
        <w:rPr/>
        <w:t>总经理办公会审议，同意对天津丰东老厂区的厂房、土地及附属设施进行出售处置，该处置将会产生一定的收益。</w:t>
      </w:r>
    </w:p>
    <w:p>
      <w:pPr>
        <w:pStyle w:val="BodyText"/>
        <w:spacing w:line="268" w:lineRule="auto" w:before="54"/>
        <w:ind w:left="153" w:right="1217" w:firstLine="360"/>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26"/>
        </w:rPr>
        <w:t> </w:t>
      </w:r>
      <w:r>
        <w:rPr/>
        <w:t>本次发行股份购买方欣科技</w:t>
      </w:r>
      <w:r>
        <w:rPr>
          <w:rFonts w:ascii="Times New Roman" w:hAnsi="Times New Roman" w:cs="Times New Roman" w:eastAsia="Times New Roman" w:hint="default"/>
        </w:rPr>
        <w:t>100%</w:t>
      </w:r>
      <w:r>
        <w:rPr/>
        <w:t>股权并募集配套资金暨关联交易事项尚需公司股东大会审议通过并报中国证监会 核准，本次交易能否取得上述核准以及最终取得核准的时间均存在不确定性，敬请广大投资者注意投资风险。</w:t>
      </w:r>
    </w:p>
    <w:p>
      <w:pPr>
        <w:spacing w:after="0" w:line="268" w:lineRule="auto"/>
        <w:jc w:val="left"/>
        <w:sectPr>
          <w:pgSz w:w="11910" w:h="16840"/>
          <w:pgMar w:header="768"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十、接待调研、沟通、采访等活动" w:id="58"/>
      <w:bookmarkEnd w:id="58"/>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1843"/>
        <w:gridCol w:w="1844"/>
        <w:gridCol w:w="4040"/>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57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hyperlink r:id="rId26">
              <w:r>
                <w:rPr>
                  <w:rFonts w:ascii="Times New Roman"/>
                  <w:sz w:val="18"/>
                </w:rPr>
                <w:t>http://www.cninfo.com.cn/information/companyinfo_n</w:t>
              </w:r>
            </w:hyperlink>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.html?fulltext?szsme002530</w:t>
            </w:r>
          </w:p>
        </w:tc>
      </w:tr>
      <w:tr>
        <w:trPr>
          <w:trHeight w:val="57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hyperlink r:id="rId26">
              <w:r>
                <w:rPr>
                  <w:rFonts w:ascii="Times New Roman"/>
                  <w:sz w:val="18"/>
                </w:rPr>
                <w:t>http://www.cninfo.com.cn/information/companyinfo_n</w:t>
              </w:r>
            </w:hyperlink>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.html?fulltext?szsme002530</w:t>
            </w:r>
          </w:p>
        </w:tc>
      </w:tr>
      <w:tr>
        <w:trPr>
          <w:trHeight w:val="57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hyperlink r:id="rId26">
              <w:r>
                <w:rPr>
                  <w:rFonts w:ascii="Times New Roman"/>
                  <w:sz w:val="18"/>
                </w:rPr>
                <w:t>http://www.cninfo.com.cn/information/companyinfo_n</w:t>
              </w:r>
            </w:hyperlink>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.html?fulltext?szsme002530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末至披露日期间接待调研、沟通、采访等活动登记表" w:id="60"/>
      <w:bookmarkEnd w:id="60"/>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1843"/>
        <w:gridCol w:w="1844"/>
        <w:gridCol w:w="4040"/>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57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hyperlink r:id="rId26">
              <w:r>
                <w:rPr>
                  <w:rFonts w:ascii="Times New Roman"/>
                  <w:sz w:val="18"/>
                </w:rPr>
                <w:t>http://www.cninfo.com.cn/information/companyinfo_n</w:t>
              </w:r>
            </w:hyperlink>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.html?fulltext?szsme002530</w:t>
            </w:r>
          </w:p>
        </w:tc>
      </w:tr>
    </w:tbl>
    <w:p>
      <w:pPr>
        <w:spacing w:after="0" w:line="240" w:lineRule="auto"/>
        <w:jc w:val="lef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《公司章程》中的利润分配政策明确了现金分红标准和现金分红比例，同时公司于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月制定了《公司未来三年</w:t>
      </w:r>
    </w:p>
    <w:p>
      <w:pPr>
        <w:pStyle w:val="BodyText"/>
        <w:spacing w:line="240" w:lineRule="auto" w:before="64"/>
        <w:ind w:left="153" w:right="0"/>
        <w:jc w:val="left"/>
      </w:pPr>
      <w:r>
        <w:rPr/>
        <w:t>（</w:t>
      </w:r>
      <w:r>
        <w:rPr>
          <w:rFonts w:ascii="Times New Roman" w:hAnsi="Times New Roman" w:cs="Times New Roman" w:eastAsia="Times New Roman" w:hint="default"/>
        </w:rPr>
        <w:t>2015~2017</w:t>
      </w:r>
      <w:r>
        <w:rPr/>
        <w:t>年）股东回报规划》。</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4762"/>
        <w:gridCol w:w="5009"/>
      </w:tblGrid>
      <w:tr>
        <w:trPr>
          <w:trHeight w:val="325" w:hRule="exact"/>
        </w:trPr>
        <w:tc>
          <w:tcPr>
            <w:tcW w:w="9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3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5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71"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5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51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941"/>
        <w:jc w:val="right"/>
      </w:pPr>
      <w:r>
        <w:rPr/>
        <w:pict>
          <v:shape style="position:absolute;margin-left:56.459999pt;margin-top:-15.11829pt;width:488.2pt;height:114.2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755"/>
                  </w:tblGrid>
                  <w:tr>
                    <w:trPr>
                      <w:trHeight w:val="340" w:hRule="exact"/>
                    </w:trPr>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87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利润分配方案</w:t>
                        </w:r>
                        <w:r>
                          <w:rPr>
                            <w:rFonts w:ascii="Times New Roman" w:hAnsi="Times New Roman" w:cs="Times New Roman" w:eastAsia="Times New Roman" w:hint="default"/>
                            <w:sz w:val="18"/>
                            <w:szCs w:val="18"/>
                          </w:rPr>
                          <w:t>/</w:t>
                        </w:r>
                        <w:r>
                          <w:rPr>
                            <w:rFonts w:ascii="宋体" w:hAnsi="宋体" w:cs="宋体" w:eastAsia="宋体" w:hint="default"/>
                            <w:sz w:val="18"/>
                            <w:szCs w:val="18"/>
                          </w:rPr>
                          <w:t>预案</w:t>
                        </w:r>
                      </w:p>
                    </w:tc>
                  </w:tr>
                  <w:tr>
                    <w:trPr>
                      <w:trHeight w:val="755" w:hRule="exact"/>
                    </w:trPr>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8755" w:type="dxa"/>
                        <w:tcBorders>
                          <w:top w:val="single" w:sz="8" w:space="0" w:color="000000"/>
                          <w:left w:val="single" w:sz="6" w:space="0" w:color="000000"/>
                          <w:bottom w:val="single" w:sz="4" w:space="0" w:color="000000"/>
                          <w:right w:val="single" w:sz="4" w:space="0" w:color="000000"/>
                        </w:tcBorders>
                      </w:tcPr>
                      <w:p>
                        <w:pPr>
                          <w:pStyle w:val="TableParagraph"/>
                          <w:spacing w:line="240" w:lineRule="exact" w:before="9"/>
                          <w:ind w:left="1" w:right="92" w:firstLine="360"/>
                          <w:jc w:val="both"/>
                          <w:rPr>
                            <w:rFonts w:ascii="宋体" w:hAnsi="宋体" w:cs="宋体" w:eastAsia="宋体" w:hint="default"/>
                            <w:sz w:val="18"/>
                            <w:szCs w:val="18"/>
                          </w:rPr>
                        </w:pPr>
                        <w:r>
                          <w:rPr>
                            <w:rFonts w:ascii="宋体" w:hAnsi="宋体" w:cs="宋体" w:eastAsia="宋体" w:hint="default"/>
                            <w:spacing w:val="-3"/>
                            <w:sz w:val="18"/>
                            <w:szCs w:val="18"/>
                          </w:rPr>
                          <w:t>以公司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日的总股本</w:t>
                        </w:r>
                        <w:r>
                          <w:rPr>
                            <w:rFonts w:ascii="Times New Roman" w:hAnsi="Times New Roman" w:cs="Times New Roman" w:eastAsia="Times New Roman" w:hint="default"/>
                            <w:spacing w:val="-3"/>
                            <w:sz w:val="18"/>
                            <w:szCs w:val="18"/>
                          </w:rPr>
                          <w:t>268,000,000</w:t>
                        </w:r>
                        <w:r>
                          <w:rPr>
                            <w:rFonts w:ascii="宋体" w:hAnsi="宋体" w:cs="宋体" w:eastAsia="宋体" w:hint="default"/>
                            <w:spacing w:val="-3"/>
                            <w:sz w:val="18"/>
                            <w:szCs w:val="18"/>
                          </w:rPr>
                          <w:t>股为基数，向全体股东实施每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0.30</w:t>
                        </w:r>
                        <w:r>
                          <w:rPr>
                            <w:rFonts w:ascii="宋体" w:hAnsi="宋体" w:cs="宋体" w:eastAsia="宋体" w:hint="default"/>
                            <w:spacing w:val="-3"/>
                            <w:sz w:val="18"/>
                            <w:szCs w:val="18"/>
                          </w:rPr>
                          <w:t>元（含税）</w:t>
                        </w:r>
                        <w:r>
                          <w:rPr>
                            <w:rFonts w:ascii="宋体" w:hAnsi="宋体" w:cs="宋体" w:eastAsia="宋体" w:hint="default"/>
                            <w:spacing w:val="-44"/>
                            <w:sz w:val="18"/>
                            <w:szCs w:val="18"/>
                          </w:rPr>
                          <w:t> </w:t>
                        </w:r>
                        <w:r>
                          <w:rPr>
                            <w:rFonts w:ascii="宋体" w:hAnsi="宋体" w:cs="宋体" w:eastAsia="宋体" w:hint="default"/>
                            <w:spacing w:val="-1"/>
                            <w:sz w:val="18"/>
                            <w:szCs w:val="18"/>
                          </w:rPr>
                          <w:t>共计派发现金红利</w:t>
                        </w:r>
                        <w:r>
                          <w:rPr>
                            <w:rFonts w:ascii="Times New Roman" w:hAnsi="Times New Roman" w:cs="Times New Roman" w:eastAsia="Times New Roman" w:hint="default"/>
                            <w:spacing w:val="-1"/>
                            <w:sz w:val="18"/>
                            <w:szCs w:val="18"/>
                          </w:rPr>
                          <w:t>8,040,000.00</w:t>
                        </w:r>
                        <w:r>
                          <w:rPr>
                            <w:rFonts w:ascii="宋体" w:hAnsi="宋体" w:cs="宋体" w:eastAsia="宋体" w:hint="default"/>
                            <w:spacing w:val="-1"/>
                            <w:sz w:val="18"/>
                            <w:szCs w:val="18"/>
                          </w:rPr>
                          <w:t>元。若分配方案实施前公司总股本由于再融资新增股份上市等原因而发生变化的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分配比例将按分派总额不变的原则相应调整。</w:t>
                        </w:r>
                      </w:p>
                    </w:tc>
                  </w:tr>
                  <w:tr>
                    <w:trPr>
                      <w:trHeight w:val="589" w:hRule="exact"/>
                    </w:trPr>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8755"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before="47"/>
                          <w:ind w:left="1" w:right="92" w:firstLine="360"/>
                          <w:jc w:val="left"/>
                          <w:rPr>
                            <w:rFonts w:ascii="宋体" w:hAnsi="宋体" w:cs="宋体" w:eastAsia="宋体" w:hint="default"/>
                            <w:sz w:val="18"/>
                            <w:szCs w:val="18"/>
                          </w:rPr>
                        </w:pPr>
                        <w:r>
                          <w:rPr>
                            <w:rFonts w:ascii="宋体" w:hAnsi="宋体" w:cs="宋体" w:eastAsia="宋体" w:hint="default"/>
                            <w:spacing w:val="-3"/>
                            <w:sz w:val="18"/>
                            <w:szCs w:val="18"/>
                          </w:rPr>
                          <w:t>以公司</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日的总股本</w:t>
                        </w:r>
                        <w:r>
                          <w:rPr>
                            <w:rFonts w:ascii="Times New Roman" w:hAnsi="Times New Roman" w:cs="Times New Roman" w:eastAsia="Times New Roman" w:hint="default"/>
                            <w:spacing w:val="-3"/>
                            <w:sz w:val="18"/>
                            <w:szCs w:val="18"/>
                          </w:rPr>
                          <w:t>268,000,000</w:t>
                        </w:r>
                        <w:r>
                          <w:rPr>
                            <w:rFonts w:ascii="宋体" w:hAnsi="宋体" w:cs="宋体" w:eastAsia="宋体" w:hint="default"/>
                            <w:spacing w:val="-3"/>
                            <w:sz w:val="18"/>
                            <w:szCs w:val="18"/>
                          </w:rPr>
                          <w:t>股为基数，向全体股东实施每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0.30</w:t>
                        </w:r>
                        <w:r>
                          <w:rPr>
                            <w:rFonts w:ascii="宋体" w:hAnsi="宋体" w:cs="宋体" w:eastAsia="宋体" w:hint="default"/>
                            <w:spacing w:val="-3"/>
                            <w:sz w:val="18"/>
                            <w:szCs w:val="18"/>
                          </w:rPr>
                          <w:t>元（含税）</w:t>
                        </w:r>
                        <w:r>
                          <w:rPr>
                            <w:rFonts w:ascii="宋体" w:hAnsi="宋体" w:cs="宋体" w:eastAsia="宋体" w:hint="default"/>
                            <w:spacing w:val="-44"/>
                            <w:sz w:val="18"/>
                            <w:szCs w:val="18"/>
                          </w:rPr>
                          <w:t> </w:t>
                        </w:r>
                        <w:r>
                          <w:rPr>
                            <w:rFonts w:ascii="宋体" w:hAnsi="宋体" w:cs="宋体" w:eastAsia="宋体" w:hint="default"/>
                            <w:sz w:val="18"/>
                            <w:szCs w:val="18"/>
                          </w:rPr>
                          <w:t>共计派发现金红利</w:t>
                        </w:r>
                        <w:r>
                          <w:rPr>
                            <w:rFonts w:ascii="Times New Roman" w:hAnsi="Times New Roman" w:cs="Times New Roman" w:eastAsia="Times New Roman" w:hint="default"/>
                            <w:sz w:val="18"/>
                            <w:szCs w:val="18"/>
                          </w:rPr>
                          <w:t>8,040,000.00</w:t>
                        </w:r>
                        <w:r>
                          <w:rPr>
                            <w:rFonts w:ascii="宋体" w:hAnsi="宋体" w:cs="宋体" w:eastAsia="宋体" w:hint="default"/>
                            <w:sz w:val="18"/>
                            <w:szCs w:val="18"/>
                          </w:rPr>
                          <w:t>元。</w:t>
                        </w:r>
                      </w:p>
                    </w:tc>
                  </w:tr>
                  <w:tr>
                    <w:trPr>
                      <w:trHeight w:val="590" w:hRule="exact"/>
                    </w:trPr>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8755"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before="50"/>
                          <w:ind w:left="1" w:right="92" w:firstLine="360"/>
                          <w:jc w:val="left"/>
                          <w:rPr>
                            <w:rFonts w:ascii="宋体" w:hAnsi="宋体" w:cs="宋体" w:eastAsia="宋体" w:hint="default"/>
                            <w:sz w:val="18"/>
                            <w:szCs w:val="18"/>
                          </w:rPr>
                        </w:pPr>
                        <w:r>
                          <w:rPr>
                            <w:rFonts w:ascii="宋体" w:hAnsi="宋体" w:cs="宋体" w:eastAsia="宋体" w:hint="default"/>
                            <w:spacing w:val="-3"/>
                            <w:sz w:val="18"/>
                            <w:szCs w:val="18"/>
                          </w:rPr>
                          <w:t>以公司</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日的总股本</w:t>
                        </w:r>
                        <w:r>
                          <w:rPr>
                            <w:rFonts w:ascii="Times New Roman" w:hAnsi="Times New Roman" w:cs="Times New Roman" w:eastAsia="Times New Roman" w:hint="default"/>
                            <w:spacing w:val="-3"/>
                            <w:sz w:val="18"/>
                            <w:szCs w:val="18"/>
                          </w:rPr>
                          <w:t>268,000,000</w:t>
                        </w:r>
                        <w:r>
                          <w:rPr>
                            <w:rFonts w:ascii="宋体" w:hAnsi="宋体" w:cs="宋体" w:eastAsia="宋体" w:hint="default"/>
                            <w:spacing w:val="-3"/>
                            <w:sz w:val="18"/>
                            <w:szCs w:val="18"/>
                          </w:rPr>
                          <w:t>股为基数，向全体股东实施每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0.50</w:t>
                        </w:r>
                        <w:r>
                          <w:rPr>
                            <w:rFonts w:ascii="宋体" w:hAnsi="宋体" w:cs="宋体" w:eastAsia="宋体" w:hint="default"/>
                            <w:spacing w:val="-3"/>
                            <w:sz w:val="18"/>
                            <w:szCs w:val="18"/>
                          </w:rPr>
                          <w:t>元（含税）</w:t>
                        </w:r>
                        <w:r>
                          <w:rPr>
                            <w:rFonts w:ascii="宋体" w:hAnsi="宋体" w:cs="宋体" w:eastAsia="宋体" w:hint="default"/>
                            <w:spacing w:val="-44"/>
                            <w:sz w:val="18"/>
                            <w:szCs w:val="18"/>
                          </w:rPr>
                          <w:t> </w:t>
                        </w:r>
                        <w:r>
                          <w:rPr>
                            <w:rFonts w:ascii="宋体" w:hAnsi="宋体" w:cs="宋体" w:eastAsia="宋体" w:hint="default"/>
                            <w:sz w:val="18"/>
                            <w:szCs w:val="18"/>
                          </w:rPr>
                          <w:t>共计派发现金红利</w:t>
                        </w:r>
                        <w:r>
                          <w:rPr>
                            <w:rFonts w:ascii="Times New Roman" w:hAnsi="Times New Roman" w:cs="Times New Roman" w:eastAsia="Times New Roman" w:hint="default"/>
                            <w:sz w:val="18"/>
                            <w:szCs w:val="18"/>
                          </w:rPr>
                          <w:t>13,400,000.00</w:t>
                        </w:r>
                        <w:r>
                          <w:rPr>
                            <w:rFonts w:ascii="宋体" w:hAnsi="宋体" w:cs="宋体" w:eastAsia="宋体" w:hint="default"/>
                            <w:sz w:val="18"/>
                            <w:szCs w:val="18"/>
                          </w:rPr>
                          <w:t>元。</w:t>
                        </w:r>
                      </w:p>
                    </w:tc>
                  </w:tr>
                </w:tbl>
                <w:p>
                  <w:pPr/>
                </w:p>
              </w:txbxContent>
            </v:textbox>
            <w10:wrap type="none"/>
          </v:shape>
        </w:pict>
      </w:r>
      <w:r>
        <w:rPr/>
        <w:t>，</w:t>
      </w:r>
    </w:p>
    <w:p>
      <w:pPr>
        <w:pStyle w:val="BodyText"/>
        <w:spacing w:line="240" w:lineRule="auto" w:before="4"/>
        <w:ind w:left="0" w:right="942"/>
        <w:jc w:val="right"/>
      </w:pPr>
      <w:r>
        <w:rPr/>
        <w:t>，</w:t>
      </w:r>
    </w:p>
    <w:p>
      <w:pPr>
        <w:spacing w:line="240" w:lineRule="auto" w:before="8"/>
        <w:rPr>
          <w:rFonts w:ascii="宋体" w:hAnsi="宋体" w:cs="宋体" w:eastAsia="宋体" w:hint="default"/>
          <w:sz w:val="20"/>
          <w:szCs w:val="20"/>
        </w:rPr>
      </w:pPr>
    </w:p>
    <w:p>
      <w:pPr>
        <w:pStyle w:val="BodyText"/>
        <w:spacing w:line="240" w:lineRule="auto" w:before="44"/>
        <w:ind w:left="0" w:right="941"/>
        <w:jc w:val="right"/>
      </w:pPr>
      <w:r>
        <w:rPr/>
        <w:t>，</w:t>
      </w:r>
    </w:p>
    <w:p>
      <w:pPr>
        <w:spacing w:line="240" w:lineRule="auto" w:before="9"/>
        <w:rPr>
          <w:rFonts w:ascii="宋体" w:hAnsi="宋体" w:cs="宋体" w:eastAsia="宋体" w:hint="default"/>
          <w:sz w:val="23"/>
          <w:szCs w:val="23"/>
        </w:rPr>
      </w:pPr>
    </w:p>
    <w:p>
      <w:pPr>
        <w:pStyle w:val="BodyText"/>
        <w:spacing w:line="240" w:lineRule="auto" w:before="44"/>
        <w:ind w:left="0" w:right="941"/>
        <w:jc w:val="right"/>
      </w:pP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51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1771"/>
        <w:gridCol w:w="2056"/>
        <w:gridCol w:w="1985"/>
        <w:gridCol w:w="1276"/>
        <w:gridCol w:w="1276"/>
      </w:tblGrid>
      <w:tr>
        <w:trPr>
          <w:trHeight w:val="125"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771" w:type="dxa"/>
            <w:vMerge w:val="restart"/>
            <w:tcBorders>
              <w:top w:val="single" w:sz="4" w:space="0" w:color="000000"/>
              <w:left w:val="single" w:sz="4" w:space="0" w:color="000000"/>
              <w:right w:val="single" w:sz="4" w:space="0" w:color="000000"/>
            </w:tcBorders>
            <w:shd w:val="clear" w:color="auto" w:fill="D2D2D2"/>
          </w:tcPr>
          <w:p>
            <w:pPr/>
          </w:p>
        </w:tc>
        <w:tc>
          <w:tcPr>
            <w:tcW w:w="2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33" w:right="0"/>
              <w:jc w:val="left"/>
              <w:rPr>
                <w:rFonts w:ascii="宋体" w:hAnsi="宋体" w:cs="宋体" w:eastAsia="宋体" w:hint="default"/>
                <w:sz w:val="18"/>
                <w:szCs w:val="18"/>
              </w:rPr>
            </w:pPr>
            <w:r>
              <w:rPr>
                <w:rFonts w:ascii="宋体" w:hAnsi="宋体" w:cs="宋体" w:eastAsia="宋体" w:hint="default"/>
                <w:sz w:val="18"/>
                <w:szCs w:val="18"/>
              </w:rPr>
              <w:t>分红年度合并报表中归属</w:t>
            </w:r>
          </w:p>
          <w:p>
            <w:pPr>
              <w:pStyle w:val="TableParagraph"/>
              <w:spacing w:line="244" w:lineRule="auto" w:before="5"/>
              <w:ind w:left="753" w:right="30" w:hanging="883"/>
              <w:jc w:val="left"/>
              <w:rPr>
                <w:rFonts w:ascii="宋体" w:hAnsi="宋体" w:cs="宋体" w:eastAsia="宋体" w:hint="default"/>
                <w:sz w:val="18"/>
                <w:szCs w:val="18"/>
              </w:rPr>
            </w:pPr>
            <w:r>
              <w:rPr>
                <w:rFonts w:ascii="宋体" w:hAnsi="宋体" w:cs="宋体" w:eastAsia="宋体" w:hint="default"/>
                <w:spacing w:val="-2"/>
                <w:sz w:val="18"/>
                <w:szCs w:val="18"/>
              </w:rPr>
              <w:t>）于上市公司普通股股东的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净利润</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86" w:right="87"/>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0"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771" w:type="dxa"/>
            <w:vMerge/>
            <w:tcBorders>
              <w:left w:val="single" w:sz="4" w:space="0" w:color="000000"/>
              <w:bottom w:val="nil" w:sz="6" w:space="0" w:color="auto"/>
              <w:right w:val="single" w:sz="4" w:space="0" w:color="000000"/>
            </w:tcBorders>
            <w:shd w:val="clear" w:color="auto" w:fill="D2D2D2"/>
          </w:tcPr>
          <w:p>
            <w:pPr/>
          </w:p>
        </w:tc>
        <w:tc>
          <w:tcPr>
            <w:tcW w:w="2056"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92"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92" w:right="91"/>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20"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56"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45"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6"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33,841,036.15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w:t>
            </w:r>
          </w:p>
        </w:tc>
        <w:tc>
          <w:tcPr>
            <w:tcW w:w="1276" w:type="dxa"/>
            <w:tcBorders>
              <w:top w:val="single" w:sz="48" w:space="0" w:color="D2D2D2"/>
              <w:left w:val="single" w:sz="4" w:space="0" w:color="000000"/>
              <w:bottom w:val="single" w:sz="4" w:space="0" w:color="000000"/>
              <w:right w:val="single" w:sz="4" w:space="0" w:color="000000"/>
            </w:tcBorders>
          </w:tcPr>
          <w:p>
            <w:pPr/>
          </w:p>
        </w:tc>
        <w:tc>
          <w:tcPr>
            <w:tcW w:w="1276" w:type="dxa"/>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32,733,440.80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43,053,161.40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8"/>
        <w:rPr>
          <w:rFonts w:ascii="宋体" w:hAnsi="宋体" w:cs="宋体" w:eastAsia="宋体" w:hint="default"/>
          <w:sz w:val="19"/>
          <w:szCs w:val="19"/>
        </w:rPr>
      </w:pPr>
      <w:r>
        <w:rPr/>
        <w:pict>
          <v:shape style="position:absolute;margin-left:284.600006pt;margin-top:626.019958pt;width:165.25pt;height:54pt;mso-position-horizontal-relative:page;mso-position-vertical-relative:page;z-index:-832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0" w:right="0"/>
                    <w:jc w:val="left"/>
                  </w:pPr>
                  <w:r>
                    <w:rPr/>
                    <w:t>承诺方保证现在和将来不生产、</w:t>
                  </w:r>
                </w:p>
              </w:txbxContent>
            </v:textbox>
            <w10:wrap type="none"/>
          </v:shape>
        </w:pict>
      </w:r>
    </w:p>
    <w:p>
      <w:pPr>
        <w:pStyle w:val="Heading2"/>
        <w:spacing w:line="240" w:lineRule="auto" w:before="26"/>
        <w:ind w:left="174"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153,755,335.66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pacing w:val="-1"/>
                <w:sz w:val="18"/>
                <w:szCs w:val="18"/>
              </w:rPr>
              <w:t>公司发展阶段不易区分但有重大资金支出安排的，进行利润分配时，现金分红在本次利润分配中所占比例最低应达到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公司经本次董事会审议通过的利润分配预案为：以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日的公司总股本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268,000,000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股为基数，向全体股</w:t>
            </w:r>
          </w:p>
          <w:p>
            <w:pPr>
              <w:pStyle w:val="TableParagraph"/>
              <w:spacing w:line="302" w:lineRule="auto" w:before="61"/>
              <w:ind w:left="22" w:right="39"/>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元（含税），送红股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股（含税），不以公积金转增股本。若分配方案实施前公司总股本由于</w:t>
            </w:r>
            <w:r>
              <w:rPr>
                <w:rFonts w:ascii="宋体" w:hAnsi="宋体" w:cs="宋体" w:eastAsia="宋体" w:hint="default"/>
                <w:sz w:val="18"/>
                <w:szCs w:val="18"/>
              </w:rPr>
              <w:t> 再融资新增股份上市等原因而发生变化的，分配比例将按分派总额不变的原则相应调整。</w:t>
            </w:r>
          </w:p>
        </w:tc>
      </w:tr>
    </w:tbl>
    <w:p>
      <w:pPr>
        <w:spacing w:line="240" w:lineRule="auto" w:before="2"/>
        <w:rPr>
          <w:rFonts w:ascii="宋体" w:hAnsi="宋体" w:cs="宋体" w:eastAsia="宋体" w:hint="default"/>
          <w:sz w:val="18"/>
          <w:szCs w:val="18"/>
        </w:rPr>
      </w:pPr>
    </w:p>
    <w:p>
      <w:pPr>
        <w:pStyle w:val="Heading2"/>
        <w:spacing w:line="240" w:lineRule="auto" w:before="26"/>
        <w:ind w:left="17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73" w:right="0" w:firstLine="422"/>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w:t>
      </w:r>
      <w:r>
        <w:rPr>
          <w:w w:val="99"/>
        </w:rPr>
        <w:t> </w:t>
      </w:r>
      <w:r>
        <w:rPr/>
        <w:t>毕及截至报告期末尚未履行完毕的承诺事项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253"/>
        <w:gridCol w:w="1076"/>
        <w:gridCol w:w="851"/>
        <w:gridCol w:w="3898"/>
        <w:gridCol w:w="850"/>
        <w:gridCol w:w="851"/>
        <w:gridCol w:w="992"/>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76"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0"/>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076"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0"/>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076"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9" w:space="0" w:color="D2D2D2"/>
              <w:right w:val="single" w:sz="4" w:space="0" w:color="000000"/>
            </w:tcBorders>
          </w:tcPr>
          <w:p>
            <w:pPr>
              <w:pStyle w:val="TableParagraph"/>
              <w:spacing w:line="240" w:lineRule="auto" w:before="142"/>
              <w:ind w:left="28"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）公司控 股股东大丰 市东润投资 管理有限公 司</w:t>
            </w:r>
          </w:p>
          <w:p>
            <w:pPr>
              <w:pStyle w:val="TableParagraph"/>
              <w:spacing w:line="240" w:lineRule="auto" w:before="5"/>
              <w:ind w:left="28"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）公司实 </w:t>
            </w:r>
            <w:r>
              <w:rPr>
                <w:rFonts w:ascii="宋体" w:hAnsi="宋体" w:cs="宋体" w:eastAsia="宋体" w:hint="default"/>
                <w:spacing w:val="-12"/>
                <w:sz w:val="18"/>
                <w:szCs w:val="18"/>
              </w:rPr>
              <w:t>际控制人、公</w:t>
            </w:r>
            <w:r>
              <w:rPr>
                <w:rFonts w:ascii="宋体" w:hAnsi="宋体" w:cs="宋体" w:eastAsia="宋体" w:hint="default"/>
                <w:sz w:val="18"/>
                <w:szCs w:val="18"/>
              </w:rPr>
              <w:t> 司董事长兼 总经理朱文 明先生</w:t>
            </w:r>
          </w:p>
        </w:tc>
        <w:tc>
          <w:tcPr>
            <w:tcW w:w="851" w:type="dxa"/>
            <w:vMerge w:val="restart"/>
            <w:tcBorders>
              <w:top w:val="single" w:sz="4" w:space="0" w:color="000000"/>
              <w:left w:val="single" w:sz="4" w:space="0" w:color="000000"/>
              <w:right w:val="single" w:sz="4" w:space="0" w:color="000000"/>
            </w:tcBorders>
          </w:tcPr>
          <w:p>
            <w:pPr/>
          </w:p>
        </w:tc>
        <w:tc>
          <w:tcPr>
            <w:tcW w:w="3898" w:type="dxa"/>
            <w:vMerge w:val="restart"/>
            <w:tcBorders>
              <w:top w:val="single" w:sz="4" w:space="0" w:color="000000"/>
              <w:left w:val="single" w:sz="4" w:space="0" w:color="000000"/>
              <w:right w:val="single" w:sz="4" w:space="0" w:color="000000"/>
            </w:tcBorders>
          </w:tcPr>
          <w:p>
            <w:pPr>
              <w:pStyle w:val="TableParagraph"/>
              <w:spacing w:line="223" w:lineRule="auto" w:before="21"/>
              <w:ind w:left="22" w:right="69" w:firstLine="360"/>
              <w:jc w:val="left"/>
              <w:rPr>
                <w:rFonts w:ascii="宋体" w:hAnsi="宋体" w:cs="宋体" w:eastAsia="宋体" w:hint="default"/>
                <w:sz w:val="18"/>
                <w:szCs w:val="18"/>
              </w:rPr>
            </w:pPr>
            <w:r>
              <w:rPr>
                <w:rFonts w:ascii="宋体" w:hAnsi="宋体" w:cs="宋体" w:eastAsia="宋体" w:hint="default"/>
                <w:sz w:val="18"/>
                <w:szCs w:val="18"/>
              </w:rPr>
              <w:t>对于江苏丰东热技术股份有限公司正在或已 经进行生产开发的产品、经营的业务以及研究的 新产品、新技术， 开发任何对江苏丰东热技术股份有限公司生产的 产品构成直接竞争的同类产品，亦不直接经营或 间接经营与江苏丰东热技术股份有限公司业务、 新产品、新技术有竞争或可能有竞争的企业、业 务、新产品、新技术。承诺方也保证不利用其控 股股东（或实际控制人）的地位损害江苏丰东热 技术股份有限公司及其它股东的正当权益。同时 承诺方将促使承诺方全资拥有或其拥有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 以上或相对控制的下属子公司遵守上述承诺。</w:t>
            </w:r>
          </w:p>
        </w:tc>
        <w:tc>
          <w:tcPr>
            <w:tcW w:w="850" w:type="dxa"/>
            <w:vMerge w:val="restart"/>
            <w:tcBorders>
              <w:top w:val="single" w:sz="4" w:space="0" w:color="000000"/>
              <w:left w:val="single" w:sz="4" w:space="0" w:color="000000"/>
              <w:right w:val="single" w:sz="4" w:space="0" w:color="000000"/>
            </w:tcBorders>
          </w:tcPr>
          <w:p>
            <w:pPr>
              <w:pStyle w:val="TableParagraph"/>
              <w:spacing w:line="1080" w:lineRule="exact"/>
              <w:ind w:right="-50"/>
              <w:jc w:val="left"/>
              <w:rPr>
                <w:rFonts w:ascii="宋体" w:hAnsi="宋体" w:cs="宋体" w:eastAsia="宋体" w:hint="default"/>
                <w:sz w:val="20"/>
                <w:szCs w:val="20"/>
              </w:rPr>
            </w:pPr>
            <w:r>
              <w:rPr>
                <w:rFonts w:ascii="宋体" w:hAnsi="宋体" w:cs="宋体" w:eastAsia="宋体" w:hint="default"/>
                <w:position w:val="-21"/>
                <w:sz w:val="20"/>
                <w:szCs w:val="20"/>
              </w:rPr>
              <w:pict>
                <v:group style="width:42pt;height:54pt;mso-position-horizontal-relative:char;mso-position-vertical-relative:line" coordorigin="0,0" coordsize="840,1080">
                  <v:group style="position:absolute;left:0;top:0;width:840;height:1080" coordorigin="0,0" coordsize="840,1080">
                    <v:shape style="position:absolute;left:0;top:0;width:840;height:1080" coordorigin="0,0" coordsize="840,1080" path="m0,1080l840,1080,840,0,0,0,0,1080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2" w:right="59"/>
              <w:jc w:val="both"/>
              <w:rPr>
                <w:rFonts w:ascii="宋体" w:hAnsi="宋体" w:cs="宋体" w:eastAsia="宋体" w:hint="default"/>
                <w:sz w:val="18"/>
                <w:szCs w:val="18"/>
              </w:rPr>
            </w:pPr>
            <w:r>
              <w:rPr>
                <w:rFonts w:ascii="宋体" w:hAnsi="宋体" w:cs="宋体" w:eastAsia="宋体" w:hint="default"/>
                <w:sz w:val="18"/>
                <w:szCs w:val="18"/>
              </w:rPr>
              <w:t>报告期内， 承诺人均严 格履行了承 诺内容。</w:t>
            </w:r>
          </w:p>
        </w:tc>
      </w:tr>
      <w:tr>
        <w:trPr>
          <w:trHeight w:val="800"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11" w:right="150"/>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076"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389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96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89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60" w:right="0"/>
        </w:sectPr>
      </w:pPr>
    </w:p>
    <w:p>
      <w:pPr>
        <w:spacing w:line="240" w:lineRule="auto" w:before="10"/>
        <w:rPr>
          <w:rFonts w:ascii="Times New Roman" w:hAnsi="Times New Roman" w:cs="Times New Roman" w:eastAsia="Times New Roman" w:hint="default"/>
          <w:sz w:val="27"/>
          <w:szCs w:val="27"/>
        </w:rPr>
      </w:pPr>
      <w:r>
        <w:rPr/>
        <w:pict>
          <v:shape style="position:absolute;margin-left:302.600006pt;margin-top:72.47998pt;width:147.25pt;height:84.05pt;mso-position-horizontal-relative:page;mso-position-vertical-relative:page;z-index:-832696" type="#_x0000_t202" filled="false" stroked="false">
            <v:textbox inset="0,0,0,0">
              <w:txbxContent>
                <w:p>
                  <w:pPr>
                    <w:spacing w:line="240" w:lineRule="auto" w:before="8"/>
                    <w:rPr>
                      <w:rFonts w:ascii="Times New Roman" w:hAnsi="Times New Roman" w:cs="Times New Roman" w:eastAsia="Times New Roman" w:hint="default"/>
                      <w:sz w:val="19"/>
                      <w:szCs w:val="19"/>
                    </w:rPr>
                  </w:pPr>
                </w:p>
                <w:p>
                  <w:pPr>
                    <w:pStyle w:val="BodyText"/>
                    <w:spacing w:line="240" w:lineRule="auto"/>
                    <w:ind w:left="0" w:right="0"/>
                    <w:jc w:val="left"/>
                  </w:pPr>
                  <w:r>
                    <w:rPr/>
                    <w:t>本公司不得销售自有产品；</w:t>
                  </w:r>
                </w:p>
              </w:txbxContent>
            </v:textbox>
            <w10:wrap type="none"/>
          </v:shape>
        </w:pict>
      </w:r>
      <w:r>
        <w:rPr/>
        <w:pict>
          <v:shape style="position:absolute;margin-left:320.600006pt;margin-top:581.5pt;width:129.25pt;height:77pt;mso-position-horizontal-relative:page;mso-position-vertical-relative:page;z-index:-832672" type="#_x0000_t202" filled="false" stroked="false">
            <v:textbox inset="0,0,0,0">
              <w:txbxContent>
                <w:p>
                  <w:pPr>
                    <w:spacing w:line="240" w:lineRule="auto" w:before="7"/>
                    <w:rPr>
                      <w:rFonts w:ascii="Times New Roman" w:hAnsi="Times New Roman" w:cs="Times New Roman" w:eastAsia="Times New Roman" w:hint="default"/>
                      <w:sz w:val="19"/>
                      <w:szCs w:val="19"/>
                    </w:rPr>
                  </w:pPr>
                </w:p>
                <w:p>
                  <w:pPr>
                    <w:pStyle w:val="BodyText"/>
                    <w:spacing w:line="240" w:lineRule="auto"/>
                    <w:ind w:left="0" w:right="0"/>
                    <w:jc w:val="left"/>
                  </w:pPr>
                  <w:r>
                    <w:rPr/>
                    <w:t>法规允许的其他方式，</w:t>
                  </w:r>
                </w:p>
              </w:txbxContent>
            </v:textbox>
            <w10:wrap type="none"/>
          </v:shape>
        </w:pict>
      </w:r>
    </w:p>
    <w:tbl>
      <w:tblPr>
        <w:tblW w:w="0" w:type="auto"/>
        <w:jc w:val="left"/>
        <w:tblInd w:w="117" w:type="dxa"/>
        <w:tblLayout w:type="fixed"/>
        <w:tblCellMar>
          <w:top w:w="0" w:type="dxa"/>
          <w:left w:w="0" w:type="dxa"/>
          <w:bottom w:w="0" w:type="dxa"/>
          <w:right w:w="0" w:type="dxa"/>
        </w:tblCellMar>
        <w:tblLook w:val="01E0"/>
      </w:tblPr>
      <w:tblGrid>
        <w:gridCol w:w="1276"/>
        <w:gridCol w:w="1064"/>
        <w:gridCol w:w="851"/>
        <w:gridCol w:w="3898"/>
        <w:gridCol w:w="850"/>
        <w:gridCol w:w="851"/>
        <w:gridCol w:w="992"/>
      </w:tblGrid>
      <w:tr>
        <w:trPr>
          <w:trHeight w:val="637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1"/>
              <w:ind w:left="23" w:right="128"/>
              <w:jc w:val="both"/>
              <w:rPr>
                <w:rFonts w:ascii="宋体" w:hAnsi="宋体" w:cs="宋体" w:eastAsia="宋体" w:hint="default"/>
                <w:sz w:val="18"/>
                <w:szCs w:val="18"/>
              </w:rPr>
            </w:pPr>
            <w:r>
              <w:rPr>
                <w:rFonts w:ascii="宋体" w:hAnsi="宋体" w:cs="宋体" w:eastAsia="宋体" w:hint="default"/>
                <w:sz w:val="18"/>
                <w:szCs w:val="18"/>
              </w:rPr>
              <w:t>公司股东东 方工程株式 会社</w:t>
            </w: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0"/>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、在销售市场方面：在日本国市场上，日本</w:t>
            </w:r>
            <w:r>
              <w:rPr>
                <w:rFonts w:ascii="宋体" w:hAnsi="宋体" w:cs="宋体" w:eastAsia="宋体" w:hint="default"/>
                <w:sz w:val="18"/>
                <w:szCs w:val="18"/>
              </w:rPr>
              <w:t> 东方可销售自有产品， 在东南亚国家市场，日本东方只向日资控股的企 业销售自有产品，本公司则可向除日资控股的企 业以外的所有企业销售自有产品；对于除日本国 及东南亚的世界任何其他市场，日本东方不得以 任何方式销售自有产品，本公司则可自由销售。</w:t>
            </w:r>
          </w:p>
          <w:p>
            <w:pPr>
              <w:pStyle w:val="TableParagraph"/>
              <w:spacing w:line="223" w:lineRule="auto" w:before="40"/>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、热处理加工业务方面：日本东方可继续在</w:t>
            </w:r>
            <w:r>
              <w:rPr>
                <w:rFonts w:ascii="宋体" w:hAnsi="宋体" w:cs="宋体" w:eastAsia="宋体" w:hint="default"/>
                <w:sz w:val="18"/>
                <w:szCs w:val="18"/>
              </w:rPr>
              <w:t> 日本国从事热处理加工业务，但本公司不得在日 本国从事该等业务；在东南亚国家，日本东方只 能承接日资控股企业的热处理加工业务，本公司 则可承接除日资控股企业以外的所有企业的热处 理加工业务；在除日本国及东南亚的世界任何其 它国家和地区，本公司可从事热处理加工业务， 但日本东方不得从事该等业务。</w:t>
            </w:r>
          </w:p>
          <w:p>
            <w:pPr>
              <w:pStyle w:val="TableParagraph"/>
              <w:spacing w:line="216" w:lineRule="auto" w:before="46"/>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、在投资方面：本公司可继续在中国以任何</w:t>
            </w:r>
            <w:r>
              <w:rPr>
                <w:rFonts w:ascii="宋体" w:hAnsi="宋体" w:cs="宋体" w:eastAsia="宋体" w:hint="default"/>
                <w:sz w:val="18"/>
                <w:szCs w:val="18"/>
              </w:rPr>
              <w:t> 方式进行投资以从事热处理设备销售和热处理加 </w:t>
            </w:r>
            <w:r>
              <w:rPr>
                <w:rFonts w:ascii="宋体" w:hAnsi="宋体" w:cs="宋体" w:eastAsia="宋体" w:hint="default"/>
                <w:spacing w:val="-1"/>
                <w:sz w:val="18"/>
                <w:szCs w:val="18"/>
              </w:rPr>
              <w:t>工业务；除</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本协议生效之前，日本东方已与本公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司共同投资设 立的合营企业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且</w:t>
            </w:r>
            <w:r>
              <w:rPr>
                <w:rFonts w:ascii="Times New Roman" w:hAnsi="Times New Roman" w:cs="Times New Roman" w:eastAsia="Times New Roman" w:hint="default"/>
                <w:sz w:val="18"/>
                <w:szCs w:val="18"/>
              </w:rPr>
              <w:t>“</w:t>
            </w:r>
            <w:r>
              <w:rPr>
                <w:rFonts w:ascii="宋体" w:hAnsi="宋体" w:cs="宋体" w:eastAsia="宋体" w:hint="default"/>
                <w:sz w:val="18"/>
                <w:szCs w:val="18"/>
              </w:rPr>
              <w:t>合营企业为本 公司所控股</w:t>
            </w:r>
            <w:r>
              <w:rPr>
                <w:rFonts w:ascii="Times New Roman" w:hAnsi="Times New Roman" w:cs="Times New Roman" w:eastAsia="Times New Roman" w:hint="default"/>
                <w:sz w:val="18"/>
                <w:szCs w:val="18"/>
              </w:rPr>
              <w:t>”</w:t>
            </w:r>
            <w:r>
              <w:rPr>
                <w:rFonts w:ascii="宋体" w:hAnsi="宋体" w:cs="宋体" w:eastAsia="宋体" w:hint="default"/>
                <w:sz w:val="18"/>
                <w:szCs w:val="18"/>
              </w:rPr>
              <w:t>的情形外，日本东方不得以直接投 资、委托投资、受托经营等任何方式在中国从事 热处理设备销售和热处理加工业务。</w:t>
            </w:r>
          </w:p>
          <w:p>
            <w:pPr>
              <w:pStyle w:val="TableParagraph"/>
              <w:spacing w:line="220" w:lineRule="auto" w:before="44"/>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、在知识产权的转让方面：除非受让方明确</w:t>
            </w:r>
            <w:r>
              <w:rPr>
                <w:rFonts w:ascii="宋体" w:hAnsi="宋体" w:cs="宋体" w:eastAsia="宋体" w:hint="default"/>
                <w:sz w:val="18"/>
                <w:szCs w:val="18"/>
              </w:rPr>
              <w:t> 承诺接受本协议的条款和条件并由其承继日本东 方在本协议项下的全部义务和责任，否则日本东 方不得向其他自然人、公司、企业或其它组织转 让或许可使用与研发、生产和销售热处理设备以 及从事热处理加工业务有关的知识产权。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8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42pt;height:84.05pt;mso-position-horizontal-relative:char;mso-position-vertical-relative:line" coordorigin="0,0" coordsize="840,1681">
                  <v:group style="position:absolute;left:0;top:0;width:840;height:1681" coordorigin="0,0" coordsize="840,1681">
                    <v:shape style="position:absolute;left:0;top:0;width:840;height:1681" coordorigin="0,0" coordsize="840,1681" path="m0,1680l840,1680,840,0,0,0,0,1680xe" filled="true" fillcolor="#ffffff" stroked="false">
                      <v:path arrowok="t"/>
                      <v:fill type="solid"/>
                    </v:shape>
                  </v:group>
                </v:group>
              </w:pict>
            </w:r>
            <w:r>
              <w:rPr>
                <w:rFonts w:ascii="Times New Roman" w:hAnsi="Times New Roman" w:cs="Times New Roman" w:eastAsia="Times New Roman" w:hint="default"/>
                <w:position w:val="-33"/>
                <w:sz w:val="20"/>
                <w:szCs w:val="20"/>
              </w:rPr>
            </w:r>
          </w:p>
          <w:p>
            <w:pPr>
              <w:pStyle w:val="TableParagraph"/>
              <w:spacing w:line="245" w:lineRule="exact" w:before="21"/>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p>
            <w:pPr>
              <w:pStyle w:val="TableParagraph"/>
              <w:spacing w:line="244" w:lineRule="auto"/>
              <w:ind w:left="22" w:right="23"/>
              <w:jc w:val="both"/>
              <w:rPr>
                <w:rFonts w:ascii="宋体" w:hAnsi="宋体" w:cs="宋体" w:eastAsia="宋体" w:hint="default"/>
                <w:sz w:val="18"/>
                <w:szCs w:val="18"/>
              </w:rPr>
            </w:pPr>
            <w:r>
              <w:rPr>
                <w:rFonts w:ascii="宋体" w:hAnsi="宋体" w:cs="宋体" w:eastAsia="宋体" w:hint="default"/>
                <w:sz w:val="18"/>
                <w:szCs w:val="18"/>
              </w:rPr>
              <w:t>《避免同 业竞争协 议》</w:t>
            </w:r>
          </w:p>
          <w:p>
            <w:pPr>
              <w:pStyle w:val="TableParagraph"/>
              <w:spacing w:line="245" w:lineRule="exact" w:before="40"/>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p>
            <w:pPr>
              <w:pStyle w:val="TableParagraph"/>
              <w:spacing w:line="240" w:lineRule="exact" w:before="13"/>
              <w:ind w:left="22" w:right="95"/>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 </w:t>
            </w:r>
            <w:r>
              <w:rPr>
                <w:rFonts w:ascii="宋体" w:hAnsi="宋体" w:cs="宋体" w:eastAsia="宋体" w:hint="default"/>
                <w:sz w:val="18"/>
                <w:szCs w:val="18"/>
              </w:rPr>
              <w:t>避免同业 竞争</w:t>
            </w:r>
            <w:r>
              <w:rPr>
                <w:rFonts w:ascii="Times New Roman" w:hAnsi="Times New Roman" w:cs="Times New Roman" w:eastAsia="Times New Roman" w:hint="default"/>
                <w:sz w:val="18"/>
                <w:szCs w:val="18"/>
              </w:rPr>
              <w:t>&gt;</w:t>
            </w:r>
            <w:r>
              <w:rPr>
                <w:rFonts w:ascii="宋体" w:hAnsi="宋体" w:cs="宋体" w:eastAsia="宋体" w:hint="default"/>
                <w:sz w:val="18"/>
                <w:szCs w:val="18"/>
              </w:rPr>
              <w:t>之 补充协 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4" w:lineRule="auto"/>
              <w:ind w:left="22" w:right="59"/>
              <w:jc w:val="both"/>
              <w:rPr>
                <w:rFonts w:ascii="宋体" w:hAnsi="宋体" w:cs="宋体" w:eastAsia="宋体" w:hint="default"/>
                <w:sz w:val="18"/>
                <w:szCs w:val="18"/>
              </w:rPr>
            </w:pPr>
            <w:r>
              <w:rPr>
                <w:rFonts w:ascii="宋体" w:hAnsi="宋体" w:cs="宋体" w:eastAsia="宋体" w:hint="default"/>
                <w:sz w:val="18"/>
                <w:szCs w:val="18"/>
              </w:rPr>
              <w:t>报告期内， 承诺人严格 履行了承诺 内容。</w:t>
            </w:r>
          </w:p>
        </w:tc>
      </w:tr>
      <w:tr>
        <w:trPr>
          <w:trHeight w:val="1290" w:hRule="exact"/>
        </w:trPr>
        <w:tc>
          <w:tcPr>
            <w:tcW w:w="1276" w:type="dxa"/>
            <w:vMerge/>
            <w:tcBorders>
              <w:left w:val="single" w:sz="4" w:space="0" w:color="000000"/>
              <w:bottom w:val="single" w:sz="4" w:space="0" w:color="FFFFFF"/>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4" w:lineRule="auto"/>
              <w:ind w:left="23" w:right="128"/>
              <w:jc w:val="left"/>
              <w:rPr>
                <w:rFonts w:ascii="宋体" w:hAnsi="宋体" w:cs="宋体" w:eastAsia="宋体" w:hint="default"/>
                <w:sz w:val="18"/>
                <w:szCs w:val="18"/>
              </w:rPr>
            </w:pPr>
            <w:r>
              <w:rPr>
                <w:rFonts w:ascii="宋体" w:hAnsi="宋体" w:cs="宋体" w:eastAsia="宋体" w:hint="default"/>
                <w:sz w:val="18"/>
                <w:szCs w:val="18"/>
              </w:rPr>
              <w:t>公司股东和 华株式会社</w:t>
            </w:r>
          </w:p>
        </w:tc>
        <w:tc>
          <w:tcPr>
            <w:tcW w:w="851" w:type="dxa"/>
            <w:tcBorders>
              <w:top w:val="single" w:sz="4" w:space="0" w:color="000000"/>
              <w:left w:val="single" w:sz="4" w:space="0" w:color="000000"/>
              <w:bottom w:val="single" w:sz="4" w:space="0" w:color="FFFFFF"/>
              <w:right w:val="single" w:sz="4" w:space="0" w:color="000000"/>
            </w:tcBorders>
          </w:tcPr>
          <w:p>
            <w:pPr/>
          </w:p>
        </w:tc>
        <w:tc>
          <w:tcPr>
            <w:tcW w:w="38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20" w:lineRule="exact"/>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、在日本市场上，和华可销售自有产品，本</w:t>
            </w:r>
            <w:r>
              <w:rPr>
                <w:rFonts w:ascii="宋体" w:hAnsi="宋体" w:cs="宋体" w:eastAsia="宋体" w:hint="default"/>
                <w:sz w:val="18"/>
                <w:szCs w:val="18"/>
              </w:rPr>
              <w:t> 公司不得销售自有产品。</w:t>
            </w:r>
          </w:p>
          <w:p>
            <w:pPr>
              <w:pStyle w:val="TableParagraph"/>
              <w:spacing w:line="220" w:lineRule="exact" w:before="40"/>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、和华不得向除日本国的世界任何市场销售</w:t>
            </w:r>
            <w:r>
              <w:rPr>
                <w:rFonts w:ascii="宋体" w:hAnsi="宋体" w:cs="宋体" w:eastAsia="宋体" w:hint="default"/>
                <w:sz w:val="18"/>
                <w:szCs w:val="18"/>
              </w:rPr>
              <w:t> 自有产品，本公司可自由销售自有产品。</w:t>
            </w:r>
          </w:p>
        </w:tc>
        <w:tc>
          <w:tcPr>
            <w:tcW w:w="850" w:type="dxa"/>
            <w:tcBorders>
              <w:top w:val="single" w:sz="4" w:space="0" w:color="000000"/>
              <w:left w:val="single" w:sz="4" w:space="0" w:color="000000"/>
              <w:bottom w:val="single" w:sz="4" w:space="0" w:color="FFFFFF"/>
              <w:right w:val="single" w:sz="4" w:space="0" w:color="000000"/>
            </w:tcBorders>
          </w:tcPr>
          <w:p>
            <w:pPr>
              <w:pStyle w:val="TableParagraph"/>
              <w:spacing w:line="245" w:lineRule="exact" w:before="22"/>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exact"/>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4" w:lineRule="auto"/>
              <w:ind w:left="22" w:right="95"/>
              <w:jc w:val="both"/>
              <w:rPr>
                <w:rFonts w:ascii="宋体" w:hAnsi="宋体" w:cs="宋体" w:eastAsia="宋体" w:hint="default"/>
                <w:sz w:val="18"/>
                <w:szCs w:val="18"/>
              </w:rPr>
            </w:pPr>
            <w:r>
              <w:rPr>
                <w:rFonts w:ascii="宋体" w:hAnsi="宋体" w:cs="宋体" w:eastAsia="宋体" w:hint="default"/>
                <w:sz w:val="18"/>
                <w:szCs w:val="18"/>
              </w:rPr>
              <w:t>《避免同 业竞争协 议》</w:t>
            </w:r>
          </w:p>
        </w:tc>
        <w:tc>
          <w:tcPr>
            <w:tcW w:w="85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FFFFFF"/>
              <w:right w:val="single" w:sz="4" w:space="0" w:color="000000"/>
            </w:tcBorders>
          </w:tcPr>
          <w:p>
            <w:pPr>
              <w:pStyle w:val="TableParagraph"/>
              <w:spacing w:line="244" w:lineRule="auto" w:before="142"/>
              <w:ind w:left="22" w:right="59"/>
              <w:jc w:val="both"/>
              <w:rPr>
                <w:rFonts w:ascii="宋体" w:hAnsi="宋体" w:cs="宋体" w:eastAsia="宋体" w:hint="default"/>
                <w:sz w:val="18"/>
                <w:szCs w:val="18"/>
              </w:rPr>
            </w:pPr>
            <w:r>
              <w:rPr>
                <w:rFonts w:ascii="宋体" w:hAnsi="宋体" w:cs="宋体" w:eastAsia="宋体" w:hint="default"/>
                <w:sz w:val="18"/>
                <w:szCs w:val="18"/>
              </w:rPr>
              <w:t>报告期内， 承诺人严格 履行了承诺 内容。</w:t>
            </w:r>
          </w:p>
        </w:tc>
      </w:tr>
      <w:tr>
        <w:trPr>
          <w:trHeight w:val="419" w:hRule="exact"/>
        </w:trPr>
        <w:tc>
          <w:tcPr>
            <w:tcW w:w="127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64" w:type="dxa"/>
            <w:tcBorders>
              <w:top w:val="single" w:sz="4" w:space="0" w:color="FFFFFF"/>
              <w:left w:val="single" w:sz="4" w:space="0" w:color="000000"/>
              <w:bottom w:val="single" w:sz="4" w:space="0" w:color="000000"/>
              <w:right w:val="single" w:sz="4" w:space="0" w:color="000000"/>
            </w:tcBorders>
          </w:tcPr>
          <w:p>
            <w:pPr/>
          </w:p>
        </w:tc>
        <w:tc>
          <w:tcPr>
            <w:tcW w:w="851" w:type="dxa"/>
            <w:tcBorders>
              <w:top w:val="single" w:sz="4" w:space="0" w:color="FFFFFF"/>
              <w:left w:val="single" w:sz="4" w:space="0" w:color="000000"/>
              <w:bottom w:val="single" w:sz="4" w:space="0" w:color="000000"/>
              <w:right w:val="single" w:sz="4" w:space="0" w:color="000000"/>
            </w:tcBorders>
          </w:tcPr>
          <w:p>
            <w:pPr/>
          </w:p>
        </w:tc>
        <w:tc>
          <w:tcPr>
            <w:tcW w:w="3898"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851" w:type="dxa"/>
            <w:tcBorders>
              <w:top w:val="single" w:sz="4" w:space="0" w:color="FFFFFF"/>
              <w:left w:val="single" w:sz="4" w:space="0" w:color="000000"/>
              <w:bottom w:val="single" w:sz="4" w:space="0" w:color="000000"/>
              <w:right w:val="single" w:sz="4" w:space="0" w:color="000000"/>
            </w:tcBorders>
          </w:tcPr>
          <w:p>
            <w:pPr/>
          </w:p>
        </w:tc>
        <w:tc>
          <w:tcPr>
            <w:tcW w:w="992" w:type="dxa"/>
            <w:tcBorders>
              <w:top w:val="single" w:sz="4" w:space="0" w:color="FFFFFF"/>
              <w:left w:val="single" w:sz="4" w:space="0" w:color="000000"/>
              <w:bottom w:val="single" w:sz="4" w:space="0" w:color="000000"/>
              <w:right w:val="single" w:sz="4" w:space="0" w:color="000000"/>
            </w:tcBorders>
          </w:tcPr>
          <w:p>
            <w:pPr/>
          </w:p>
        </w:tc>
      </w:tr>
      <w:tr>
        <w:trPr>
          <w:trHeight w:val="105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4"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128"/>
              <w:jc w:val="both"/>
              <w:rPr>
                <w:rFonts w:ascii="宋体" w:hAnsi="宋体" w:cs="宋体" w:eastAsia="宋体" w:hint="default"/>
                <w:sz w:val="18"/>
                <w:szCs w:val="18"/>
              </w:rPr>
            </w:pPr>
            <w:r>
              <w:rPr>
                <w:rFonts w:ascii="宋体" w:hAnsi="宋体" w:cs="宋体" w:eastAsia="宋体" w:hint="default"/>
                <w:sz w:val="18"/>
                <w:szCs w:val="18"/>
              </w:rPr>
              <w:t>公司控股股 东大丰市东 润投资管理 有限公司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18" w:lineRule="auto"/>
              <w:ind w:left="22" w:right="85" w:firstLine="36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日首次减持之日起连续六 个月内通过证券交易系统出售的股份将不超过公 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2014.11.3</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~2015.5.2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9"/>
              <w:jc w:val="both"/>
              <w:rPr>
                <w:rFonts w:ascii="宋体" w:hAnsi="宋体" w:cs="宋体" w:eastAsia="宋体" w:hint="default"/>
                <w:sz w:val="18"/>
                <w:szCs w:val="18"/>
              </w:rPr>
            </w:pPr>
            <w:r>
              <w:rPr>
                <w:rFonts w:ascii="宋体" w:hAnsi="宋体" w:cs="宋体" w:eastAsia="宋体" w:hint="default"/>
                <w:sz w:val="18"/>
                <w:szCs w:val="18"/>
              </w:rPr>
              <w:t>报告期内， 承诺人严格 履行了承诺 内容。</w:t>
            </w:r>
          </w:p>
        </w:tc>
      </w:tr>
      <w:tr>
        <w:trPr>
          <w:trHeight w:val="1050" w:hRule="exact"/>
        </w:trPr>
        <w:tc>
          <w:tcPr>
            <w:tcW w:w="1276" w:type="dxa"/>
            <w:vMerge/>
            <w:tcBorders>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3" w:right="128"/>
              <w:jc w:val="both"/>
              <w:rPr>
                <w:rFonts w:ascii="宋体" w:hAnsi="宋体" w:cs="宋体" w:eastAsia="宋体" w:hint="default"/>
                <w:sz w:val="18"/>
                <w:szCs w:val="18"/>
              </w:rPr>
            </w:pPr>
            <w:r>
              <w:rPr>
                <w:rFonts w:ascii="宋体" w:hAnsi="宋体" w:cs="宋体" w:eastAsia="宋体" w:hint="default"/>
                <w:sz w:val="18"/>
                <w:szCs w:val="18"/>
              </w:rPr>
              <w:t>公司股东东 方工程株式 会社</w:t>
            </w: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18" w:lineRule="auto"/>
              <w:ind w:left="22" w:right="85" w:firstLine="36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日首次减持之日起连续六 个月内通过证券交易系统出售的股份将不超过公 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2015.3.18</w:t>
            </w:r>
          </w:p>
          <w:p>
            <w:pPr>
              <w:pStyle w:val="TableParagraph"/>
              <w:spacing w:line="278" w:lineRule="auto" w:before="33"/>
              <w:ind w:left="22" w:right="88"/>
              <w:jc w:val="left"/>
              <w:rPr>
                <w:rFonts w:ascii="Times New Roman" w:hAnsi="Times New Roman" w:cs="Times New Roman" w:eastAsia="Times New Roman" w:hint="default"/>
                <w:sz w:val="18"/>
                <w:szCs w:val="18"/>
              </w:rPr>
            </w:pPr>
            <w:r>
              <w:rPr>
                <w:rFonts w:ascii="Times New Roman"/>
                <w:sz w:val="18"/>
              </w:rPr>
              <w:t>~2015.9.1</w:t>
            </w:r>
            <w:r>
              <w:rPr>
                <w:rFonts w:ascii="Times New Roman"/>
                <w:w w:val="99"/>
                <w:sz w:val="18"/>
              </w:rPr>
              <w:t> </w:t>
            </w:r>
            <w:r>
              <w:rPr>
                <w:rFonts w:ascii="Times New Roman"/>
                <w:sz w:val="18"/>
              </w:rPr>
              <w:t>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9"/>
              <w:jc w:val="both"/>
              <w:rPr>
                <w:rFonts w:ascii="宋体" w:hAnsi="宋体" w:cs="宋体" w:eastAsia="宋体" w:hint="default"/>
                <w:sz w:val="18"/>
                <w:szCs w:val="18"/>
              </w:rPr>
            </w:pPr>
            <w:r>
              <w:rPr>
                <w:rFonts w:ascii="宋体" w:hAnsi="宋体" w:cs="宋体" w:eastAsia="宋体" w:hint="default"/>
                <w:sz w:val="18"/>
                <w:szCs w:val="18"/>
              </w:rPr>
              <w:t>报告期内， 承诺人严格 履行了承诺 内容。</w:t>
            </w:r>
          </w:p>
        </w:tc>
      </w:tr>
      <w:tr>
        <w:trPr>
          <w:trHeight w:val="365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1"/>
              <w:ind w:left="22" w:right="85" w:firstLine="360"/>
              <w:jc w:val="left"/>
              <w:rPr>
                <w:rFonts w:ascii="宋体" w:hAnsi="宋体" w:cs="宋体" w:eastAsia="宋体" w:hint="default"/>
                <w:sz w:val="18"/>
                <w:szCs w:val="18"/>
              </w:rPr>
            </w:pPr>
            <w:r>
              <w:rPr>
                <w:rFonts w:ascii="宋体" w:hAnsi="宋体" w:cs="宋体" w:eastAsia="宋体" w:hint="default"/>
                <w:sz w:val="18"/>
                <w:szCs w:val="18"/>
              </w:rPr>
              <w:t>未来三年公司利润分配采取现金、股票、现 金与股票相结合或者法律、 优先采用现金分红方式分配股利。</w:t>
            </w:r>
          </w:p>
          <w:p>
            <w:pPr>
              <w:pStyle w:val="TableParagraph"/>
              <w:spacing w:line="223" w:lineRule="auto" w:before="40"/>
              <w:ind w:left="22" w:right="69" w:firstLine="360"/>
              <w:jc w:val="left"/>
              <w:rPr>
                <w:rFonts w:ascii="宋体" w:hAnsi="宋体" w:cs="宋体" w:eastAsia="宋体" w:hint="default"/>
                <w:sz w:val="18"/>
                <w:szCs w:val="18"/>
              </w:rPr>
            </w:pPr>
            <w:r>
              <w:rPr>
                <w:rFonts w:ascii="宋体" w:hAnsi="宋体" w:cs="宋体" w:eastAsia="宋体" w:hint="default"/>
                <w:sz w:val="18"/>
                <w:szCs w:val="18"/>
              </w:rPr>
              <w:t>在满足现金分红条件、保证公司正常经营和 长远发展的前提下，公司未来三年原则上每年年 度股东大会审议通过后进行一次现金分红，公司 董事会可以根据公司的盈利状况及资金需求状况 提议公司进行中期现金分红。公司应保持利润分 配政策的连续性和稳定性，在满足现金分红条件 时，公司每年以现金方式分配的利润不少于当年 实现的母公司可分配利润的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，且任意三个连 续会计年度内，公司以现金方式累计分配的利润 不少于该三年实现的母公司年均可分配利润的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20" w:lineRule="exact" w:before="47"/>
              <w:ind w:left="22" w:right="83" w:firstLine="360"/>
              <w:jc w:val="left"/>
              <w:rPr>
                <w:rFonts w:ascii="宋体" w:hAnsi="宋体" w:cs="宋体" w:eastAsia="宋体" w:hint="default"/>
                <w:sz w:val="18"/>
                <w:szCs w:val="18"/>
              </w:rPr>
            </w:pPr>
            <w:r>
              <w:rPr>
                <w:rFonts w:ascii="宋体" w:hAnsi="宋体" w:cs="宋体" w:eastAsia="宋体" w:hint="default"/>
                <w:sz w:val="18"/>
                <w:szCs w:val="18"/>
              </w:rPr>
              <w:t>公司经营情况良好，并且董事会认为公司股 票价格与公司股本规模不匹配、发放股票股利有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3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2pt;height:77pt;mso-position-horizontal-relative:char;mso-position-vertical-relative:line" coordorigin="0,0" coordsize="840,1540">
                  <v:group style="position:absolute;left:0;top:0;width:840;height:1540" coordorigin="0,0" coordsize="840,1540">
                    <v:shape style="position:absolute;left:0;top:0;width:840;height:1540" coordorigin="0,0" coordsize="840,1540" path="m0,1540l840,1540,840,0,0,0,0,154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2017.12.3</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4" w:lineRule="auto"/>
              <w:ind w:left="22" w:right="59"/>
              <w:jc w:val="both"/>
              <w:rPr>
                <w:rFonts w:ascii="宋体" w:hAnsi="宋体" w:cs="宋体" w:eastAsia="宋体" w:hint="default"/>
                <w:sz w:val="18"/>
                <w:szCs w:val="18"/>
              </w:rPr>
            </w:pPr>
            <w:r>
              <w:rPr>
                <w:rFonts w:ascii="宋体" w:hAnsi="宋体" w:cs="宋体" w:eastAsia="宋体" w:hint="default"/>
                <w:sz w:val="18"/>
                <w:szCs w:val="18"/>
              </w:rPr>
              <w:t>报告期内， 承诺人严格 履行了承诺 内容。</w:t>
            </w:r>
          </w:p>
        </w:tc>
      </w:tr>
    </w:tbl>
    <w:p>
      <w:pPr>
        <w:spacing w:after="0" w:line="244" w:lineRule="auto"/>
        <w:jc w:val="both"/>
        <w:rPr>
          <w:rFonts w:ascii="宋体" w:hAnsi="宋体" w:cs="宋体" w:eastAsia="宋体" w:hint="default"/>
          <w:sz w:val="18"/>
          <w:szCs w:val="18"/>
        </w:rPr>
        <w:sectPr>
          <w:pgSz w:w="11910" w:h="16840"/>
          <w:pgMar w:header="768" w:footer="979" w:top="1100" w:bottom="1160" w:left="9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276"/>
        <w:gridCol w:w="1064"/>
        <w:gridCol w:w="851"/>
        <w:gridCol w:w="3898"/>
        <w:gridCol w:w="850"/>
        <w:gridCol w:w="851"/>
        <w:gridCol w:w="992"/>
      </w:tblGrid>
      <w:tr>
        <w:trPr>
          <w:trHeight w:val="181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2" w:right="0"/>
              <w:jc w:val="left"/>
              <w:rPr>
                <w:rFonts w:ascii="宋体" w:hAnsi="宋体" w:cs="宋体" w:eastAsia="宋体" w:hint="default"/>
                <w:sz w:val="18"/>
                <w:szCs w:val="18"/>
              </w:rPr>
            </w:pPr>
            <w:r>
              <w:rPr>
                <w:rFonts w:ascii="宋体" w:hAnsi="宋体" w:cs="宋体" w:eastAsia="宋体" w:hint="default"/>
                <w:sz w:val="18"/>
                <w:szCs w:val="18"/>
              </w:rPr>
              <w:t>利于公司全体股东整体利益的，可以在满足上述</w:t>
            </w:r>
          </w:p>
          <w:p>
            <w:pPr>
              <w:pStyle w:val="TableParagraph"/>
              <w:spacing w:line="223" w:lineRule="auto" w:before="7"/>
              <w:ind w:left="22" w:right="85"/>
              <w:jc w:val="left"/>
              <w:rPr>
                <w:rFonts w:ascii="宋体" w:hAnsi="宋体" w:cs="宋体" w:eastAsia="宋体" w:hint="default"/>
                <w:sz w:val="18"/>
                <w:szCs w:val="18"/>
              </w:rPr>
            </w:pPr>
            <w:r>
              <w:rPr>
                <w:rFonts w:ascii="宋体" w:hAnsi="宋体" w:cs="宋体" w:eastAsia="宋体" w:hint="default"/>
                <w:sz w:val="18"/>
                <w:szCs w:val="18"/>
              </w:rPr>
              <w:t>现金分红之余，提出股票股利分配预案，并经股 东大会审议通过后执行。公司在确定以股票方式 分配利润的具体金额时，应充分考虑以股票方式 分配利润后的总股本是否与公司目前的经营规 模、盈利增长速度相适应，并考虑对未来债权融 资成本的影响，以确保分配方案符合全体股东的 整体利益。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51"/>
              <w:ind w:left="22" w:right="39" w:firstLine="360"/>
              <w:jc w:val="both"/>
              <w:rPr>
                <w:rFonts w:ascii="宋体" w:hAnsi="宋体" w:cs="宋体" w:eastAsia="宋体" w:hint="default"/>
                <w:sz w:val="18"/>
                <w:szCs w:val="18"/>
              </w:rPr>
            </w:pPr>
            <w:r>
              <w:rPr>
                <w:rFonts w:ascii="宋体" w:hAnsi="宋体" w:cs="宋体" w:eastAsia="宋体" w:hint="default"/>
                <w:sz w:val="18"/>
                <w:szCs w:val="18"/>
              </w:rPr>
              <w:t>公司本次使用剩余超募资金补充流动资金后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个月内不进行证券投资等高风险投资及为他人 提供财务资助。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2014.12.2</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6~2015.12</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59"/>
              <w:jc w:val="both"/>
              <w:rPr>
                <w:rFonts w:ascii="宋体" w:hAnsi="宋体" w:cs="宋体" w:eastAsia="宋体" w:hint="default"/>
                <w:sz w:val="18"/>
                <w:szCs w:val="18"/>
              </w:rPr>
            </w:pPr>
            <w:r>
              <w:rPr>
                <w:rFonts w:ascii="宋体" w:hAnsi="宋体" w:cs="宋体" w:eastAsia="宋体" w:hint="default"/>
                <w:sz w:val="18"/>
                <w:szCs w:val="18"/>
              </w:rPr>
              <w:t>报告期内， 承诺人严格 履行了承诺 内容。</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5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53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5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93" w:right="0" w:firstLine="422"/>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w:t>
      </w:r>
      <w:r>
        <w:rPr>
          <w:w w:val="99"/>
        </w:rPr>
        <w:t> </w:t>
      </w:r>
      <w:r>
        <w:rPr/>
        <w:t>测及其原因做出说明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93"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53" w:right="4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left="193"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93"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53" w:right="5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left="193"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53"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9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after="0" w:line="338" w:lineRule="auto"/>
        <w:jc w:val="left"/>
        <w:sectPr>
          <w:pgSz w:w="11910" w:h="16840"/>
          <w:pgMar w:header="768" w:footer="979" w:top="1100" w:bottom="1160" w:left="94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331"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330"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Times New Roman"/>
                <w:sz w:val="18"/>
              </w:rPr>
              <w:t>92</w:t>
            </w:r>
          </w:p>
        </w:tc>
      </w:tr>
      <w:tr>
        <w:trPr>
          <w:trHeight w:val="330"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331"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冯家俊、郑珮</w:t>
            </w:r>
          </w:p>
        </w:tc>
      </w:tr>
    </w:tbl>
    <w:p>
      <w:pPr>
        <w:pStyle w:val="BodyText"/>
        <w:spacing w:line="240" w:lineRule="auto" w:before="51"/>
        <w:ind w:left="514" w:right="0"/>
        <w:jc w:val="left"/>
      </w:pPr>
      <w:r>
        <w:rPr/>
        <w:t>当期是否改聘会计师事务所</w:t>
      </w:r>
    </w:p>
    <w:p>
      <w:pPr>
        <w:pStyle w:val="BodyText"/>
        <w:spacing w:line="340" w:lineRule="auto" w:before="116"/>
        <w:ind w:right="58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公司聘请众华会计师事务所（特殊普通合伙）对公司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日与财务报告相关的内部控制有效性进行审计。</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38" w:lineRule="auto"/>
        <w:jc w:val="left"/>
        <w:sectPr>
          <w:pgSz w:w="11910" w:h="16840"/>
          <w:pgMar w:header="768"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0" w:right="8449"/>
        <w:jc w:val="center"/>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929"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93"/>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30" w:lineRule="exact"/>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30" w:lineRule="exact"/>
              <w:ind w:left="61" w:right="60"/>
              <w:jc w:val="center"/>
              <w:rPr>
                <w:rFonts w:ascii="宋体" w:hAnsi="宋体" w:cs="宋体" w:eastAsia="宋体" w:hint="default"/>
                <w:sz w:val="18"/>
                <w:szCs w:val="18"/>
              </w:rPr>
            </w:pPr>
            <w:r>
              <w:rPr>
                <w:rFonts w:ascii="宋体" w:hAnsi="宋体" w:cs="宋体" w:eastAsia="宋体" w:hint="default"/>
                <w:sz w:val="18"/>
                <w:szCs w:val="18"/>
              </w:rPr>
              <w:t>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 w:right="61"/>
              <w:jc w:val="left"/>
              <w:rPr>
                <w:rFonts w:ascii="宋体" w:hAnsi="宋体" w:cs="宋体" w:eastAsia="宋体" w:hint="default"/>
                <w:sz w:val="18"/>
                <w:szCs w:val="18"/>
              </w:rPr>
            </w:pPr>
            <w:r>
              <w:rPr>
                <w:rFonts w:ascii="宋体" w:hAnsi="宋体" w:cs="宋体" w:eastAsia="宋体" w:hint="default"/>
                <w:sz w:val="18"/>
                <w:szCs w:val="18"/>
              </w:rPr>
              <w:t>获批的 交易额</w:t>
            </w:r>
          </w:p>
          <w:p>
            <w:pPr>
              <w:pStyle w:val="TableParagraph"/>
              <w:spacing w:line="230" w:lineRule="exact"/>
              <w:ind w:left="151" w:right="61" w:hanging="90"/>
              <w:jc w:val="left"/>
              <w:rPr>
                <w:rFonts w:ascii="宋体" w:hAnsi="宋体" w:cs="宋体" w:eastAsia="宋体" w:hint="default"/>
                <w:sz w:val="18"/>
                <w:szCs w:val="18"/>
              </w:rPr>
            </w:pPr>
            <w:r>
              <w:rPr>
                <w:rFonts w:ascii="宋体" w:hAnsi="宋体" w:cs="宋体" w:eastAsia="宋体" w:hint="default"/>
                <w:sz w:val="18"/>
                <w:szCs w:val="18"/>
              </w:rPr>
              <w:t>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93"/>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93"/>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w:t>
            </w:r>
          </w:p>
          <w:p>
            <w:pPr>
              <w:pStyle w:val="TableParagraph"/>
              <w:spacing w:line="230" w:lineRule="exact"/>
              <w:ind w:left="61" w:right="61"/>
              <w:jc w:val="center"/>
              <w:rPr>
                <w:rFonts w:ascii="宋体" w:hAnsi="宋体" w:cs="宋体" w:eastAsia="宋体" w:hint="default"/>
                <w:sz w:val="18"/>
                <w:szCs w:val="18"/>
              </w:rPr>
            </w:pPr>
            <w:r>
              <w:rPr>
                <w:rFonts w:ascii="宋体" w:hAnsi="宋体" w:cs="宋体" w:eastAsia="宋体" w:hint="default"/>
                <w:sz w:val="18"/>
                <w:szCs w:val="18"/>
              </w:rPr>
              <w:t>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46"/>
              <w:jc w:val="left"/>
              <w:rPr>
                <w:rFonts w:ascii="宋体" w:hAnsi="宋体" w:cs="宋体" w:eastAsia="宋体" w:hint="default"/>
                <w:sz w:val="18"/>
                <w:szCs w:val="18"/>
              </w:rPr>
            </w:pPr>
            <w:r>
              <w:rPr>
                <w:rFonts w:ascii="宋体" w:hAnsi="宋体" w:cs="宋体" w:eastAsia="宋体" w:hint="default"/>
                <w:sz w:val="18"/>
                <w:szCs w:val="18"/>
              </w:rPr>
              <w:t>东方工程 株式会社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311"/>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584.56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54" w:right="0"/>
              <w:jc w:val="center"/>
              <w:rPr>
                <w:rFonts w:ascii="Times New Roman" w:hAnsi="Times New Roman" w:cs="Times New Roman" w:eastAsia="Times New Roman" w:hint="default"/>
                <w:sz w:val="18"/>
                <w:szCs w:val="18"/>
              </w:rPr>
            </w:pPr>
            <w:r>
              <w:rPr>
                <w:rFonts w:ascii="Times New Roman"/>
                <w:sz w:val="18"/>
              </w:rPr>
              <w:t>3.31%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1,500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2" w:right="0"/>
              <w:jc w:val="left"/>
              <w:rPr>
                <w:rFonts w:ascii="Times New Roman" w:hAnsi="Times New Roman" w:cs="Times New Roman" w:eastAsia="Times New Roman" w:hint="default"/>
                <w:sz w:val="18"/>
                <w:szCs w:val="18"/>
              </w:rPr>
            </w:pPr>
            <w:r>
              <w:rPr>
                <w:rFonts w:ascii="Times New Roman"/>
                <w:sz w:val="18"/>
              </w:rPr>
              <w:t>584.56</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17</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66" w:lineRule="auto"/>
              <w:ind w:left="22" w:right="27"/>
              <w:jc w:val="left"/>
              <w:rPr>
                <w:rFonts w:ascii="Times New Roman" w:hAnsi="Times New Roman" w:cs="Times New Roman" w:eastAsia="Times New Roman" w:hint="default"/>
                <w:sz w:val="18"/>
                <w:szCs w:val="18"/>
              </w:rPr>
            </w:pPr>
            <w:hyperlink r:id="rId2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w/discl</w:t>
            </w:r>
            <w:r>
              <w:rPr>
                <w:rFonts w:ascii="Times New Roman"/>
                <w:w w:val="99"/>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99"/>
                <w:sz w:val="18"/>
              </w:rPr>
              <w:t> </w:t>
            </w:r>
            <w:r>
              <w:rPr>
                <w:rFonts w:ascii="Times New Roman"/>
                <w:sz w:val="18"/>
              </w:rPr>
              <w:t>e/bullet</w:t>
            </w:r>
            <w:r>
              <w:rPr>
                <w:rFonts w:ascii="Times New Roman"/>
                <w:sz w:val="18"/>
              </w:rPr>
              <w:t> in_detai l/true/1 200704</w:t>
            </w:r>
          </w:p>
          <w:p>
            <w:pPr>
              <w:pStyle w:val="TableParagraph"/>
              <w:spacing w:line="266" w:lineRule="auto" w:before="1"/>
              <w:ind w:left="22" w:right="37"/>
              <w:jc w:val="both"/>
              <w:rPr>
                <w:rFonts w:ascii="Times New Roman" w:hAnsi="Times New Roman" w:cs="Times New Roman" w:eastAsia="Times New Roman" w:hint="default"/>
                <w:sz w:val="18"/>
                <w:szCs w:val="18"/>
              </w:rPr>
            </w:pPr>
            <w:r>
              <w:rPr>
                <w:rFonts w:ascii="Times New Roman"/>
                <w:sz w:val="18"/>
              </w:rPr>
              <w:t>872?an nounce Time=2 015-03-</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东方工程</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286.73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54" w:right="0"/>
              <w:jc w:val="center"/>
              <w:rPr>
                <w:rFonts w:ascii="Times New Roman" w:hAnsi="Times New Roman" w:cs="Times New Roman" w:eastAsia="Times New Roman" w:hint="default"/>
                <w:sz w:val="18"/>
                <w:szCs w:val="18"/>
              </w:rPr>
            </w:pPr>
            <w:r>
              <w:rPr>
                <w:rFonts w:ascii="Times New Roman"/>
                <w:sz w:val="18"/>
              </w:rPr>
              <w:t>1.06%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Times New Roman" w:hAnsi="Times New Roman" w:cs="Times New Roman" w:eastAsia="Times New Roman" w:hint="default"/>
                <w:sz w:val="18"/>
                <w:szCs w:val="18"/>
              </w:rPr>
            </w:pPr>
            <w:r>
              <w:rPr>
                <w:rFonts w:ascii="Times New Roman"/>
                <w:sz w:val="18"/>
              </w:rPr>
              <w:t>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sz w:val="18"/>
              </w:rPr>
              <w:t>283.73</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46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和华株式</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会社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材料</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38.82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54" w:right="0"/>
              <w:jc w:val="center"/>
              <w:rPr>
                <w:rFonts w:ascii="Times New Roman" w:hAnsi="Times New Roman" w:cs="Times New Roman" w:eastAsia="Times New Roman" w:hint="default"/>
                <w:sz w:val="18"/>
                <w:szCs w:val="18"/>
              </w:rPr>
            </w:pPr>
            <w:r>
              <w:rPr>
                <w:rFonts w:ascii="Times New Roman"/>
                <w:sz w:val="18"/>
              </w:rPr>
              <w:t>0.22%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sz w:val="18"/>
              </w:rPr>
              <w:t>38.82</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4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46"/>
              <w:jc w:val="left"/>
              <w:rPr>
                <w:rFonts w:ascii="宋体" w:hAnsi="宋体" w:cs="宋体" w:eastAsia="宋体" w:hint="default"/>
                <w:sz w:val="18"/>
                <w:szCs w:val="18"/>
              </w:rPr>
            </w:pPr>
            <w:r>
              <w:rPr>
                <w:rFonts w:ascii="宋体" w:hAnsi="宋体" w:cs="宋体" w:eastAsia="宋体" w:hint="default"/>
                <w:sz w:val="18"/>
                <w:szCs w:val="18"/>
              </w:rPr>
              <w:t>和华株式 会社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311"/>
              <w:jc w:val="left"/>
              <w:rPr>
                <w:rFonts w:ascii="宋体" w:hAnsi="宋体" w:cs="宋体" w:eastAsia="宋体" w:hint="default"/>
                <w:sz w:val="18"/>
                <w:szCs w:val="18"/>
              </w:rPr>
            </w:pPr>
            <w:r>
              <w:rPr>
                <w:rFonts w:ascii="宋体" w:hAnsi="宋体" w:cs="宋体" w:eastAsia="宋体" w:hint="default"/>
                <w:sz w:val="18"/>
                <w:szCs w:val="18"/>
              </w:rPr>
              <w:t>销售 配件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3.32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54" w:right="0"/>
              <w:jc w:val="center"/>
              <w:rPr>
                <w:rFonts w:ascii="Times New Roman" w:hAnsi="Times New Roman" w:cs="Times New Roman" w:eastAsia="Times New Roman" w:hint="default"/>
                <w:sz w:val="18"/>
                <w:szCs w:val="18"/>
              </w:rPr>
            </w:pPr>
            <w:r>
              <w:rPr>
                <w:rFonts w:ascii="Times New Roman"/>
                <w:sz w:val="18"/>
              </w:rPr>
              <w:t>0.08%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2" w:right="0"/>
              <w:jc w:val="left"/>
              <w:rPr>
                <w:rFonts w:ascii="Times New Roman" w:hAnsi="Times New Roman" w:cs="Times New Roman" w:eastAsia="Times New Roman" w:hint="default"/>
                <w:sz w:val="18"/>
                <w:szCs w:val="18"/>
              </w:rPr>
            </w:pPr>
            <w:r>
              <w:rPr>
                <w:rFonts w:ascii="Times New Roman"/>
                <w:sz w:val="18"/>
              </w:rPr>
              <w:t>3.32</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70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广州丰东</w:t>
            </w:r>
          </w:p>
          <w:p>
            <w:pPr>
              <w:pStyle w:val="TableParagraph"/>
              <w:spacing w:line="230" w:lineRule="exact" w:before="23"/>
              <w:ind w:left="22" w:right="46"/>
              <w:jc w:val="left"/>
              <w:rPr>
                <w:rFonts w:ascii="宋体" w:hAnsi="宋体" w:cs="宋体" w:eastAsia="宋体" w:hint="default"/>
                <w:sz w:val="18"/>
                <w:szCs w:val="18"/>
              </w:rPr>
            </w:pPr>
            <w:r>
              <w:rPr>
                <w:rFonts w:ascii="宋体" w:hAnsi="宋体" w:cs="宋体" w:eastAsia="宋体" w:hint="default"/>
                <w:sz w:val="18"/>
                <w:szCs w:val="18"/>
              </w:rPr>
              <w:t>热炼有限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5"/>
              <w:ind w:left="22" w:right="282"/>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5"/>
              <w:ind w:left="22" w:right="282"/>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5"/>
              <w:ind w:left="22" w:right="311"/>
              <w:jc w:val="left"/>
              <w:rPr>
                <w:rFonts w:ascii="宋体" w:hAnsi="宋体" w:cs="宋体" w:eastAsia="宋体" w:hint="default"/>
                <w:sz w:val="18"/>
                <w:szCs w:val="18"/>
              </w:rPr>
            </w:pPr>
            <w:r>
              <w:rPr>
                <w:rFonts w:ascii="宋体" w:hAnsi="宋体" w:cs="宋体" w:eastAsia="宋体" w:hint="default"/>
                <w:sz w:val="18"/>
                <w:szCs w:val="18"/>
              </w:rPr>
              <w:t>销售 配件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1.25%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53.99</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70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22" w:right="46"/>
              <w:jc w:val="left"/>
              <w:rPr>
                <w:rFonts w:ascii="宋体" w:hAnsi="宋体" w:cs="宋体" w:eastAsia="宋体" w:hint="default"/>
                <w:sz w:val="18"/>
                <w:szCs w:val="18"/>
              </w:rPr>
            </w:pPr>
            <w:r>
              <w:rPr>
                <w:rFonts w:ascii="宋体" w:hAnsi="宋体" w:cs="宋体" w:eastAsia="宋体" w:hint="default"/>
                <w:sz w:val="18"/>
                <w:szCs w:val="18"/>
              </w:rPr>
              <w:t>盐城高周 波热炼有</w:t>
            </w:r>
          </w:p>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6"/>
              <w:ind w:left="22" w:right="282"/>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6"/>
              <w:ind w:left="22" w:right="282"/>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6"/>
              <w:ind w:left="22" w:right="311"/>
              <w:jc w:val="left"/>
              <w:rPr>
                <w:rFonts w:ascii="宋体" w:hAnsi="宋体" w:cs="宋体" w:eastAsia="宋体" w:hint="default"/>
                <w:sz w:val="18"/>
                <w:szCs w:val="18"/>
              </w:rPr>
            </w:pPr>
            <w:r>
              <w:rPr>
                <w:rFonts w:ascii="宋体" w:hAnsi="宋体" w:cs="宋体" w:eastAsia="宋体" w:hint="default"/>
                <w:sz w:val="18"/>
                <w:szCs w:val="18"/>
              </w:rPr>
              <w:t>销售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153.92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153.92</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70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盐城高周</w:t>
            </w:r>
          </w:p>
          <w:p>
            <w:pPr>
              <w:pStyle w:val="TableParagraph"/>
              <w:spacing w:line="230" w:lineRule="exact" w:before="23"/>
              <w:ind w:left="22" w:right="46"/>
              <w:jc w:val="left"/>
              <w:rPr>
                <w:rFonts w:ascii="宋体" w:hAnsi="宋体" w:cs="宋体" w:eastAsia="宋体" w:hint="default"/>
                <w:sz w:val="18"/>
                <w:szCs w:val="18"/>
              </w:rPr>
            </w:pPr>
            <w:r>
              <w:rPr>
                <w:rFonts w:ascii="宋体" w:hAnsi="宋体" w:cs="宋体" w:eastAsia="宋体" w:hint="default"/>
                <w:sz w:val="18"/>
                <w:szCs w:val="18"/>
              </w:rPr>
              <w:t>波热炼有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22" w:right="282"/>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22" w:right="282"/>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22" w:right="311"/>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38.38</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93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both"/>
              <w:rPr>
                <w:rFonts w:ascii="宋体" w:hAnsi="宋体" w:cs="宋体" w:eastAsia="宋体" w:hint="default"/>
                <w:sz w:val="18"/>
                <w:szCs w:val="18"/>
              </w:rPr>
            </w:pPr>
            <w:r>
              <w:rPr>
                <w:rFonts w:ascii="宋体" w:hAnsi="宋体" w:cs="宋体" w:eastAsia="宋体" w:hint="default"/>
                <w:sz w:val="18"/>
                <w:szCs w:val="18"/>
              </w:rPr>
              <w:t>江苏石川</w:t>
            </w:r>
          </w:p>
          <w:p>
            <w:pPr>
              <w:pStyle w:val="TableParagraph"/>
              <w:spacing w:line="235" w:lineRule="auto" w:before="1"/>
              <w:ind w:left="22" w:right="46"/>
              <w:jc w:val="both"/>
              <w:rPr>
                <w:rFonts w:ascii="宋体" w:hAnsi="宋体" w:cs="宋体" w:eastAsia="宋体" w:hint="default"/>
                <w:sz w:val="18"/>
                <w:szCs w:val="18"/>
              </w:rPr>
            </w:pPr>
            <w:r>
              <w:rPr>
                <w:rFonts w:ascii="宋体" w:hAnsi="宋体" w:cs="宋体" w:eastAsia="宋体" w:hint="default"/>
                <w:sz w:val="18"/>
                <w:szCs w:val="18"/>
              </w:rPr>
              <w:t>岛丰东真 空技术有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92"/>
              <w:ind w:left="22" w:right="131"/>
              <w:jc w:val="both"/>
              <w:rPr>
                <w:rFonts w:ascii="宋体" w:hAnsi="宋体" w:cs="宋体" w:eastAsia="宋体" w:hint="default"/>
                <w:sz w:val="18"/>
                <w:szCs w:val="18"/>
              </w:rPr>
            </w:pPr>
            <w:r>
              <w:rPr>
                <w:rFonts w:ascii="宋体" w:hAnsi="宋体" w:cs="宋体" w:eastAsia="宋体" w:hint="default"/>
                <w:sz w:val="18"/>
                <w:szCs w:val="18"/>
              </w:rPr>
              <w:t>销售设 备及配 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409.12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4" w:right="0"/>
              <w:jc w:val="center"/>
              <w:rPr>
                <w:rFonts w:ascii="Times New Roman" w:hAnsi="Times New Roman" w:cs="Times New Roman" w:eastAsia="Times New Roman" w:hint="default"/>
                <w:sz w:val="18"/>
                <w:szCs w:val="18"/>
              </w:rPr>
            </w:pPr>
            <w:r>
              <w:rPr>
                <w:rFonts w:ascii="Times New Roman"/>
                <w:sz w:val="18"/>
              </w:rPr>
              <w:t>1.31%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409.12</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93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both"/>
              <w:rPr>
                <w:rFonts w:ascii="宋体" w:hAnsi="宋体" w:cs="宋体" w:eastAsia="宋体" w:hint="default"/>
                <w:sz w:val="18"/>
                <w:szCs w:val="18"/>
              </w:rPr>
            </w:pPr>
            <w:r>
              <w:rPr>
                <w:rFonts w:ascii="宋体" w:hAnsi="宋体" w:cs="宋体" w:eastAsia="宋体" w:hint="default"/>
                <w:sz w:val="18"/>
                <w:szCs w:val="18"/>
              </w:rPr>
              <w:t>江苏石川</w:t>
            </w:r>
          </w:p>
          <w:p>
            <w:pPr>
              <w:pStyle w:val="TableParagraph"/>
              <w:spacing w:line="235" w:lineRule="auto" w:before="1"/>
              <w:ind w:left="22" w:right="46"/>
              <w:jc w:val="both"/>
              <w:rPr>
                <w:rFonts w:ascii="宋体" w:hAnsi="宋体" w:cs="宋体" w:eastAsia="宋体" w:hint="default"/>
                <w:sz w:val="18"/>
                <w:szCs w:val="18"/>
              </w:rPr>
            </w:pPr>
            <w:r>
              <w:rPr>
                <w:rFonts w:ascii="宋体" w:hAnsi="宋体" w:cs="宋体" w:eastAsia="宋体" w:hint="default"/>
                <w:sz w:val="18"/>
                <w:szCs w:val="18"/>
              </w:rPr>
              <w:t>岛丰东真 空技术有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22" w:right="131"/>
              <w:jc w:val="both"/>
              <w:rPr>
                <w:rFonts w:ascii="宋体" w:hAnsi="宋体" w:cs="宋体" w:eastAsia="宋体" w:hint="default"/>
                <w:sz w:val="18"/>
                <w:szCs w:val="18"/>
              </w:rPr>
            </w:pPr>
            <w:r>
              <w:rPr>
                <w:rFonts w:ascii="宋体" w:hAnsi="宋体" w:cs="宋体" w:eastAsia="宋体" w:hint="default"/>
                <w:sz w:val="18"/>
                <w:szCs w:val="18"/>
              </w:rPr>
              <w:t>材料及 设备采 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2,147.9</w:t>
            </w:r>
          </w:p>
          <w:p>
            <w:pPr>
              <w:pStyle w:val="TableParagraph"/>
              <w:spacing w:line="240" w:lineRule="auto" w:before="23"/>
              <w:ind w:right="23"/>
              <w:jc w:val="right"/>
              <w:rPr>
                <w:rFonts w:ascii="Times New Roman" w:hAnsi="Times New Roman" w:cs="Times New Roman" w:eastAsia="Times New Roman" w:hint="default"/>
                <w:sz w:val="18"/>
                <w:szCs w:val="18"/>
              </w:rPr>
            </w:pPr>
            <w:r>
              <w:rPr>
                <w:rFonts w:ascii="Times New Roman"/>
                <w:sz w:val="18"/>
              </w:rPr>
              <w:t>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4" w:right="0"/>
              <w:jc w:val="center"/>
              <w:rPr>
                <w:rFonts w:ascii="Times New Roman" w:hAnsi="Times New Roman" w:cs="Times New Roman" w:eastAsia="Times New Roman" w:hint="default"/>
                <w:sz w:val="18"/>
                <w:szCs w:val="18"/>
              </w:rPr>
            </w:pPr>
            <w:r>
              <w:rPr>
                <w:rFonts w:ascii="Times New Roman"/>
                <w:sz w:val="18"/>
              </w:rPr>
              <w:t>12.16%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2,900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2,147.9</w:t>
            </w:r>
          </w:p>
          <w:p>
            <w:pPr>
              <w:pStyle w:val="TableParagraph"/>
              <w:spacing w:line="240" w:lineRule="auto" w:before="23"/>
              <w:ind w:left="22" w:right="0"/>
              <w:jc w:val="left"/>
              <w:rPr>
                <w:rFonts w:ascii="Times New Roman" w:hAnsi="Times New Roman" w:cs="Times New Roman" w:eastAsia="Times New Roman" w:hint="default"/>
                <w:sz w:val="18"/>
                <w:szCs w:val="18"/>
              </w:rPr>
            </w:pPr>
            <w:r>
              <w:rPr>
                <w:rFonts w:ascii="Times New Roman"/>
                <w:sz w:val="18"/>
              </w:rPr>
              <w:t>9</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93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both"/>
              <w:rPr>
                <w:rFonts w:ascii="宋体" w:hAnsi="宋体" w:cs="宋体" w:eastAsia="宋体" w:hint="default"/>
                <w:sz w:val="18"/>
                <w:szCs w:val="18"/>
              </w:rPr>
            </w:pPr>
            <w:r>
              <w:rPr>
                <w:rFonts w:ascii="宋体" w:hAnsi="宋体" w:cs="宋体" w:eastAsia="宋体" w:hint="default"/>
                <w:sz w:val="18"/>
                <w:szCs w:val="18"/>
              </w:rPr>
              <w:t>常州鑫润</w:t>
            </w:r>
          </w:p>
          <w:p>
            <w:pPr>
              <w:pStyle w:val="TableParagraph"/>
              <w:spacing w:line="235" w:lineRule="auto" w:before="1"/>
              <w:ind w:left="22" w:right="46"/>
              <w:jc w:val="both"/>
              <w:rPr>
                <w:rFonts w:ascii="宋体" w:hAnsi="宋体" w:cs="宋体" w:eastAsia="宋体" w:hint="default"/>
                <w:sz w:val="18"/>
                <w:szCs w:val="18"/>
              </w:rPr>
            </w:pPr>
            <w:r>
              <w:rPr>
                <w:rFonts w:ascii="宋体" w:hAnsi="宋体" w:cs="宋体" w:eastAsia="宋体" w:hint="default"/>
                <w:sz w:val="18"/>
                <w:szCs w:val="18"/>
              </w:rPr>
              <w:t>丰东热处 理工程有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311"/>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10.82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4" w:right="0"/>
              <w:jc w:val="center"/>
              <w:rPr>
                <w:rFonts w:ascii="Times New Roman" w:hAnsi="Times New Roman" w:cs="Times New Roman" w:eastAsia="Times New Roman" w:hint="default"/>
                <w:sz w:val="18"/>
                <w:szCs w:val="18"/>
              </w:rPr>
            </w:pPr>
            <w:r>
              <w:rPr>
                <w:rFonts w:ascii="Times New Roman"/>
                <w:sz w:val="18"/>
              </w:rPr>
              <w:t>0.06%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10.82</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930" w:hRule="exact"/>
        </w:trPr>
        <w:tc>
          <w:tcPr>
            <w:tcW w:w="801" w:type="dxa"/>
            <w:tcBorders>
              <w:top w:val="single" w:sz="4" w:space="0" w:color="000000"/>
              <w:left w:val="single" w:sz="4" w:space="0" w:color="000000"/>
              <w:bottom w:val="single" w:sz="50" w:space="0" w:color="D2D2D2"/>
              <w:right w:val="single" w:sz="4" w:space="0" w:color="000000"/>
            </w:tcBorders>
          </w:tcPr>
          <w:p>
            <w:pPr>
              <w:pStyle w:val="TableParagraph"/>
              <w:spacing w:line="206" w:lineRule="exact"/>
              <w:ind w:left="22" w:right="0"/>
              <w:jc w:val="both"/>
              <w:rPr>
                <w:rFonts w:ascii="宋体" w:hAnsi="宋体" w:cs="宋体" w:eastAsia="宋体" w:hint="default"/>
                <w:sz w:val="18"/>
                <w:szCs w:val="18"/>
              </w:rPr>
            </w:pPr>
            <w:r>
              <w:rPr>
                <w:rFonts w:ascii="宋体" w:hAnsi="宋体" w:cs="宋体" w:eastAsia="宋体" w:hint="default"/>
                <w:sz w:val="18"/>
                <w:szCs w:val="18"/>
              </w:rPr>
              <w:t>常州鑫润</w:t>
            </w:r>
          </w:p>
          <w:p>
            <w:pPr>
              <w:pStyle w:val="TableParagraph"/>
              <w:spacing w:line="235" w:lineRule="auto" w:before="1"/>
              <w:ind w:left="22" w:right="46"/>
              <w:jc w:val="both"/>
              <w:rPr>
                <w:rFonts w:ascii="宋体" w:hAnsi="宋体" w:cs="宋体" w:eastAsia="宋体" w:hint="default"/>
                <w:sz w:val="18"/>
                <w:szCs w:val="18"/>
              </w:rPr>
            </w:pPr>
            <w:r>
              <w:rPr>
                <w:rFonts w:ascii="宋体" w:hAnsi="宋体" w:cs="宋体" w:eastAsia="宋体" w:hint="default"/>
                <w:sz w:val="18"/>
                <w:szCs w:val="18"/>
              </w:rPr>
              <w:t>丰东热处 理工程有 限公司</w:t>
            </w:r>
          </w:p>
        </w:tc>
        <w:tc>
          <w:tcPr>
            <w:tcW w:w="677" w:type="dxa"/>
            <w:tcBorders>
              <w:top w:val="single" w:sz="4" w:space="0" w:color="000000"/>
              <w:left w:val="single" w:sz="4" w:space="0" w:color="000000"/>
              <w:bottom w:val="single" w:sz="50" w:space="0" w:color="D2D2D2"/>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677" w:type="dxa"/>
            <w:tcBorders>
              <w:top w:val="single" w:sz="4" w:space="0" w:color="000000"/>
              <w:left w:val="single" w:sz="4" w:space="0" w:color="000000"/>
              <w:bottom w:val="single" w:sz="50" w:space="0" w:color="D2D2D2"/>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282"/>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6" w:type="dxa"/>
            <w:tcBorders>
              <w:top w:val="single" w:sz="4" w:space="0" w:color="000000"/>
              <w:left w:val="single" w:sz="4" w:space="0" w:color="000000"/>
              <w:bottom w:val="single" w:sz="50" w:space="0" w:color="D2D2D2"/>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0" w:lineRule="exact"/>
              <w:ind w:left="22" w:right="311"/>
              <w:jc w:val="left"/>
              <w:rPr>
                <w:rFonts w:ascii="宋体" w:hAnsi="宋体" w:cs="宋体" w:eastAsia="宋体" w:hint="default"/>
                <w:sz w:val="18"/>
                <w:szCs w:val="18"/>
              </w:rPr>
            </w:pPr>
            <w:r>
              <w:rPr>
                <w:rFonts w:ascii="宋体" w:hAnsi="宋体" w:cs="宋体" w:eastAsia="宋体" w:hint="default"/>
                <w:sz w:val="18"/>
                <w:szCs w:val="18"/>
              </w:rPr>
              <w:t>销售 配件</w:t>
            </w:r>
          </w:p>
        </w:tc>
        <w:tc>
          <w:tcPr>
            <w:tcW w:w="679" w:type="dxa"/>
            <w:tcBorders>
              <w:top w:val="single" w:sz="4" w:space="0" w:color="000000"/>
              <w:left w:val="single" w:sz="4" w:space="0" w:color="000000"/>
              <w:bottom w:val="single" w:sz="50" w:space="0" w:color="D2D2D2"/>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50" w:space="0" w:color="D2D2D2"/>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公允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2.69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4" w:right="0"/>
              <w:jc w:val="center"/>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2.69</w:t>
            </w:r>
          </w:p>
        </w:tc>
        <w:tc>
          <w:tcPr>
            <w:tcW w:w="670"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r>
      <w:tr>
        <w:trPr>
          <w:trHeight w:val="120"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3" w:space="0" w:color="D2D2D2"/>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z w:val="18"/>
              </w:rPr>
              <w:t>3,730.3</w:t>
            </w:r>
          </w:p>
          <w:p>
            <w:pPr>
              <w:pStyle w:val="TableParagraph"/>
              <w:spacing w:line="197" w:lineRule="exact" w:before="23"/>
              <w:ind w:right="23"/>
              <w:jc w:val="right"/>
              <w:rPr>
                <w:rFonts w:ascii="Times New Roman" w:hAnsi="Times New Roman" w:cs="Times New Roman" w:eastAsia="Times New Roman" w:hint="default"/>
                <w:sz w:val="18"/>
                <w:szCs w:val="18"/>
              </w:rPr>
            </w:pPr>
            <w:r>
              <w:rPr>
                <w:rFonts w:ascii="Times New Roman"/>
                <w:sz w:val="18"/>
              </w:rPr>
              <w:t>4</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30"/>
              <w:ind w:left="236" w:right="0"/>
              <w:jc w:val="left"/>
              <w:rPr>
                <w:rFonts w:ascii="Times New Roman" w:hAnsi="Times New Roman" w:cs="Times New Roman" w:eastAsia="Times New Roman" w:hint="default"/>
                <w:sz w:val="18"/>
                <w:szCs w:val="18"/>
              </w:rPr>
            </w:pPr>
            <w:r>
              <w:rPr>
                <w:rFonts w:ascii="Times New Roman"/>
                <w:sz w:val="18"/>
              </w:rPr>
              <w:t>8,900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r>
      <w:tr>
        <w:trPr>
          <w:trHeight w:val="293"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5"/>
              <w:ind w:right="271"/>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3"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388"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6" w:space="0" w:color="D2D2D2"/>
              <w:left w:val="single" w:sz="13" w:space="0" w:color="D2D2D2"/>
              <w:bottom w:val="single" w:sz="4" w:space="0" w:color="000000"/>
              <w:right w:val="single" w:sz="4" w:space="0" w:color="000000"/>
            </w:tcBorders>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90"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0" w:type="dxa"/>
            <w:gridSpan w:val="10"/>
            <w:vMerge w:val="restart"/>
            <w:tcBorders>
              <w:top w:val="single" w:sz="4" w:space="0" w:color="000000"/>
              <w:left w:val="single" w:sz="9" w:space="0" w:color="D2D2D2"/>
              <w:right w:val="single" w:sz="4" w:space="0" w:color="000000"/>
            </w:tcBorders>
          </w:tcPr>
          <w:p>
            <w:pPr>
              <w:pStyle w:val="TableParagraph"/>
              <w:spacing w:line="201" w:lineRule="exact"/>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年度预计与江苏石川岛丰东真空技术有限</w:t>
            </w:r>
          </w:p>
          <w:p>
            <w:pPr>
              <w:pStyle w:val="TableParagraph"/>
              <w:spacing w:line="220" w:lineRule="exact"/>
              <w:ind w:left="16"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6"/>
                <w:sz w:val="18"/>
                <w:szCs w:val="18"/>
              </w:rPr>
              <w:t>司</w:t>
            </w:r>
            <w:r>
              <w:rPr>
                <w:rFonts w:ascii="宋体" w:hAnsi="宋体" w:cs="宋体" w:eastAsia="宋体" w:hint="default"/>
                <w:sz w:val="18"/>
                <w:szCs w:val="18"/>
              </w:rPr>
              <w:t>（以下简</w:t>
            </w:r>
            <w:r>
              <w:rPr>
                <w:rFonts w:ascii="宋体" w:hAnsi="宋体" w:cs="宋体" w:eastAsia="宋体" w:hint="default"/>
                <w:spacing w:val="-6"/>
                <w:sz w:val="18"/>
                <w:szCs w:val="18"/>
              </w:rPr>
              <w:t>称</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VI</w:t>
            </w:r>
            <w:r>
              <w:rPr>
                <w:rFonts w:ascii="Times New Roman" w:hAnsi="Times New Roman" w:cs="Times New Roman" w:eastAsia="Times New Roman" w:hint="default"/>
                <w:spacing w:val="-1"/>
                <w:w w:val="99"/>
                <w:sz w:val="18"/>
                <w:szCs w:val="18"/>
              </w:rPr>
              <w:t>F</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发生的热处理设备及零配件销售总金额不超过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
                <w:sz w:val="18"/>
                <w:szCs w:val="18"/>
              </w:rPr>
              <w:t>，</w:t>
            </w:r>
            <w:r>
              <w:rPr>
                <w:rFonts w:ascii="宋体" w:hAnsi="宋体" w:cs="宋体" w:eastAsia="宋体" w:hint="default"/>
                <w:sz w:val="18"/>
                <w:szCs w:val="18"/>
              </w:rPr>
              <w:t>而</w:t>
            </w:r>
          </w:p>
          <w:p>
            <w:pPr>
              <w:pStyle w:val="TableParagraph"/>
              <w:spacing w:line="22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年度该项关联交易实际发生额为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万元；与此同时，常州鑫润丰东热处理</w:t>
            </w:r>
          </w:p>
          <w:p>
            <w:pPr>
              <w:pStyle w:val="TableParagraph"/>
              <w:spacing w:line="211" w:lineRule="auto" w:before="10"/>
              <w:ind w:left="16" w:right="20"/>
              <w:jc w:val="left"/>
              <w:rPr>
                <w:rFonts w:ascii="宋体" w:hAnsi="宋体" w:cs="宋体" w:eastAsia="宋体" w:hint="default"/>
                <w:sz w:val="18"/>
                <w:szCs w:val="18"/>
              </w:rPr>
            </w:pPr>
            <w:r>
              <w:rPr>
                <w:rFonts w:ascii="宋体" w:hAnsi="宋体" w:cs="宋体" w:eastAsia="宋体" w:hint="default"/>
                <w:spacing w:val="-5"/>
                <w:sz w:val="18"/>
                <w:szCs w:val="18"/>
              </w:rPr>
              <w:t>工程有限公司（以下简称“常州鑫润丰东”）为公司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月新收购企业，公司拟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通过收购股权并增资扩股达到持有该公司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股权，因而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年年度股东大会未对 与常州鑫润丰东预计的关联交易进行审议，但由于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年内公司未实施增资手续，</w:t>
            </w:r>
          </w:p>
          <w:p>
            <w:pPr>
              <w:pStyle w:val="TableParagraph"/>
              <w:spacing w:line="220" w:lineRule="exact" w:before="9"/>
              <w:ind w:left="16" w:right="9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日，公司仍持有常州鑫润丰东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股权，从而与常州鑫润丰东 的交易构成关联交易。</w:t>
            </w:r>
          </w:p>
          <w:p>
            <w:pPr>
              <w:pStyle w:val="TableParagraph"/>
              <w:spacing w:line="201" w:lineRule="exact"/>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月，经公司总经理办公会审议，同意公司增加与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VIF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20" w:lineRule="exact"/>
              <w:ind w:left="16" w:right="0"/>
              <w:jc w:val="left"/>
              <w:rPr>
                <w:rFonts w:ascii="宋体" w:hAnsi="宋体" w:cs="宋体" w:eastAsia="宋体" w:hint="default"/>
                <w:sz w:val="18"/>
                <w:szCs w:val="18"/>
              </w:rPr>
            </w:pPr>
            <w:r>
              <w:rPr>
                <w:rFonts w:ascii="宋体" w:hAnsi="宋体" w:cs="宋体" w:eastAsia="宋体" w:hint="default"/>
                <w:sz w:val="18"/>
                <w:szCs w:val="18"/>
              </w:rPr>
              <w:t>的的热处理设备及零配件销售交易；新增与常州鑫润丰东不超过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万元的热处理材</w:t>
            </w:r>
          </w:p>
          <w:p>
            <w:pPr>
              <w:pStyle w:val="TableParagraph"/>
              <w:spacing w:line="220" w:lineRule="exact"/>
              <w:ind w:left="16" w:right="0"/>
              <w:jc w:val="left"/>
              <w:rPr>
                <w:rFonts w:ascii="宋体" w:hAnsi="宋体" w:cs="宋体" w:eastAsia="宋体" w:hint="default"/>
                <w:sz w:val="18"/>
                <w:szCs w:val="18"/>
              </w:rPr>
            </w:pPr>
            <w:r>
              <w:rPr>
                <w:rFonts w:ascii="宋体" w:hAnsi="宋体" w:cs="宋体" w:eastAsia="宋体" w:hint="default"/>
                <w:sz w:val="18"/>
                <w:szCs w:val="18"/>
              </w:rPr>
              <w:t>料及零配件采购交易以及不超过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万元的热处理设备及零配件销售交易。</w:t>
            </w:r>
          </w:p>
          <w:p>
            <w:pPr>
              <w:pStyle w:val="TableParagraph"/>
              <w:spacing w:line="220" w:lineRule="exact"/>
              <w:ind w:left="376" w:right="0"/>
              <w:jc w:val="left"/>
              <w:rPr>
                <w:rFonts w:ascii="宋体" w:hAnsi="宋体" w:cs="宋体" w:eastAsia="宋体" w:hint="default"/>
                <w:sz w:val="18"/>
                <w:szCs w:val="18"/>
              </w:rPr>
            </w:pPr>
            <w:r>
              <w:rPr>
                <w:rFonts w:ascii="宋体" w:hAnsi="宋体" w:cs="宋体" w:eastAsia="宋体" w:hint="default"/>
                <w:sz w:val="18"/>
                <w:szCs w:val="18"/>
              </w:rPr>
              <w:t>上述新增关联交易金额在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万元以内，且占公司最近一期经审计净资产绝对值</w:t>
            </w:r>
          </w:p>
          <w:p>
            <w:pPr>
              <w:pStyle w:val="TableParagraph"/>
              <w:spacing w:line="234"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以下，根据《公司章程》的有关规定，该事项属于公司总经理办公会审议权限，</w:t>
            </w:r>
          </w:p>
        </w:tc>
      </w:tr>
      <w:tr>
        <w:trPr>
          <w:trHeight w:val="690"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w:t>
            </w:r>
          </w:p>
          <w:p>
            <w:pPr>
              <w:pStyle w:val="TableParagraph"/>
              <w:spacing w:line="230" w:lineRule="exact" w:before="23"/>
              <w:ind w:left="22" w:right="22"/>
              <w:jc w:val="left"/>
              <w:rPr>
                <w:rFonts w:ascii="宋体" w:hAnsi="宋体" w:cs="宋体" w:eastAsia="宋体" w:hint="default"/>
                <w:sz w:val="18"/>
                <w:szCs w:val="18"/>
              </w:rPr>
            </w:pP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vMerge/>
            <w:tcBorders>
              <w:left w:val="single" w:sz="9" w:space="0" w:color="D2D2D2"/>
              <w:right w:val="single" w:sz="4" w:space="0" w:color="000000"/>
            </w:tcBorders>
          </w:tcPr>
          <w:p>
            <w:pPr/>
          </w:p>
        </w:tc>
      </w:tr>
      <w:tr>
        <w:trPr>
          <w:trHeight w:val="109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0"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59"/>
        <w:gridCol w:w="6711"/>
      </w:tblGrid>
      <w:tr>
        <w:trPr>
          <w:trHeight w:val="890"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ind w:left="23" w:right="105"/>
              <w:jc w:val="left"/>
              <w:rPr>
                <w:rFonts w:ascii="宋体" w:hAnsi="宋体" w:cs="宋体" w:eastAsia="宋体" w:hint="default"/>
                <w:sz w:val="18"/>
                <w:szCs w:val="18"/>
              </w:rPr>
            </w:pPr>
            <w:r>
              <w:rPr>
                <w:rFonts w:ascii="宋体" w:hAnsi="宋体" w:cs="宋体" w:eastAsia="宋体" w:hint="default"/>
                <w:sz w:val="18"/>
                <w:szCs w:val="18"/>
              </w:rPr>
              <w:t>因而公司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年度发生的关联交易均已履行了必要的审批程序，决策程序符合《深 </w:t>
            </w:r>
            <w:r>
              <w:rPr>
                <w:rFonts w:ascii="宋体" w:hAnsi="宋体" w:cs="宋体" w:eastAsia="宋体" w:hint="default"/>
                <w:spacing w:val="-7"/>
                <w:sz w:val="18"/>
                <w:szCs w:val="18"/>
              </w:rPr>
              <w:t>圳证券交易所股票上市规则》、《公司章程》等相关规定。</w:t>
            </w:r>
          </w:p>
          <w:p>
            <w:pPr>
              <w:pStyle w:val="TableParagraph"/>
              <w:spacing w:line="220" w:lineRule="exact" w:before="21"/>
              <w:ind w:left="23" w:right="104" w:firstLine="360"/>
              <w:jc w:val="left"/>
              <w:rPr>
                <w:rFonts w:ascii="宋体" w:hAnsi="宋体" w:cs="宋体" w:eastAsia="宋体" w:hint="default"/>
                <w:sz w:val="18"/>
                <w:szCs w:val="18"/>
              </w:rPr>
            </w:pPr>
            <w:r>
              <w:rPr>
                <w:rFonts w:ascii="宋体" w:hAnsi="宋体" w:cs="宋体" w:eastAsia="宋体" w:hint="default"/>
                <w:sz w:val="18"/>
                <w:szCs w:val="18"/>
              </w:rPr>
              <w:t>综上，报告期内，实际发生的日常关联交易金额在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年度预计日常关联交易 额度范围内。</w:t>
            </w:r>
          </w:p>
        </w:tc>
      </w:tr>
      <w:tr>
        <w:trPr>
          <w:trHeight w:val="471"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pStyle w:val="BodyText"/>
        <w:spacing w:line="338" w:lineRule="auto" w:before="168"/>
        <w:ind w:right="6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pStyle w:val="BodyText"/>
        <w:spacing w:line="338" w:lineRule="auto" w:before="168"/>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pStyle w:val="BodyText"/>
        <w:spacing w:line="340" w:lineRule="auto" w:before="166"/>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pStyle w:val="BodyText"/>
        <w:spacing w:line="338" w:lineRule="auto" w:before="168"/>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pStyle w:val="BodyText"/>
        <w:spacing w:line="338" w:lineRule="auto" w:before="168"/>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pStyle w:val="BodyText"/>
        <w:spacing w:line="340" w:lineRule="auto" w:before="16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pStyle w:val="BodyText"/>
        <w:spacing w:line="338" w:lineRule="auto" w:before="168"/>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pStyle w:val="BodyText"/>
        <w:spacing w:line="338" w:lineRule="auto" w:before="168"/>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38"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公司重视履行社会责任，积极构建和谐社会，在追求企业的依法经营、规范运作、科学管理的同时，追求公司与社会的</w:t>
      </w:r>
    </w:p>
    <w:p>
      <w:pPr>
        <w:pStyle w:val="BodyText"/>
        <w:spacing w:line="441" w:lineRule="auto" w:before="2"/>
        <w:ind w:right="3013" w:hanging="360"/>
        <w:jc w:val="left"/>
      </w:pPr>
      <w:r>
        <w:rPr/>
        <w:t>协调和谐发展。通过公司的不断发展，实现股东和投资者、员工、供应商、客户与社会共同发展。 上市公司及其子公司是否属于国家环境保护部门规定的重污染行业</w:t>
      </w:r>
    </w:p>
    <w:p>
      <w:pPr>
        <w:pStyle w:val="BodyText"/>
        <w:spacing w:line="215" w:lineRule="exact"/>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514" w:right="0"/>
        <w:jc w:val="left"/>
      </w:pPr>
      <w:r>
        <w:rPr/>
        <w:t>是否发布社会责任报告</w:t>
      </w:r>
    </w:p>
    <w:p>
      <w:pPr>
        <w:pStyle w:val="BodyText"/>
        <w:spacing w:line="240" w:lineRule="auto" w:before="116"/>
        <w:ind w:left="51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75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2"/>
        <w:gridCol w:w="993"/>
        <w:gridCol w:w="851"/>
        <w:gridCol w:w="850"/>
        <w:gridCol w:w="709"/>
        <w:gridCol w:w="1094"/>
        <w:gridCol w:w="749"/>
        <w:gridCol w:w="709"/>
        <w:gridCol w:w="980"/>
        <w:gridCol w:w="794"/>
      </w:tblGrid>
      <w:tr>
        <w:trPr>
          <w:trHeight w:val="205"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4112" w:type="dxa"/>
            <w:gridSpan w:val="5"/>
            <w:vMerge/>
            <w:tcBorders>
              <w:left w:val="single" w:sz="4" w:space="0" w:color="000000"/>
              <w:bottom w:val="single" w:sz="4" w:space="0" w:color="000000"/>
              <w:right w:val="single" w:sz="4" w:space="0" w:color="000000"/>
            </w:tcBorders>
            <w:shd w:val="clear" w:color="auto" w:fill="D2D2D2"/>
          </w:tcPr>
          <w:p>
            <w:pPr/>
          </w:p>
        </w:tc>
        <w:tc>
          <w:tcPr>
            <w:tcW w:w="1775"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268,000,000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268,000,000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268,000,000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268,000,000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268,000,000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268,000,000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股份变动的原因</w:t>
      </w:r>
    </w:p>
    <w:p>
      <w:pPr>
        <w:pStyle w:val="BodyText"/>
        <w:spacing w:line="340" w:lineRule="auto" w:before="116"/>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0"/>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股份变动对最近一年和最近一期基本每股收益和稀释每股收益、归属于公司普通股股东的每股净资产等财务指标的影响</w:t>
      </w:r>
    </w:p>
    <w:p>
      <w:pPr>
        <w:pStyle w:val="BodyText"/>
        <w:spacing w:line="340" w:lineRule="auto" w:before="42"/>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0" w:right="7968"/>
        <w:jc w:val="center"/>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073"/>
        <w:gridCol w:w="154"/>
        <w:gridCol w:w="1265"/>
        <w:gridCol w:w="131"/>
        <w:gridCol w:w="579"/>
        <w:gridCol w:w="399"/>
        <w:gridCol w:w="592"/>
        <w:gridCol w:w="845"/>
        <w:gridCol w:w="857"/>
        <w:gridCol w:w="99"/>
        <w:gridCol w:w="892"/>
        <w:gridCol w:w="562"/>
        <w:gridCol w:w="926"/>
      </w:tblGrid>
      <w:tr>
        <w:trPr>
          <w:trHeight w:val="125"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2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18,851</w:t>
            </w:r>
          </w:p>
        </w:tc>
        <w:tc>
          <w:tcPr>
            <w:tcW w:w="1395" w:type="dxa"/>
            <w:gridSpan w:val="2"/>
            <w:vMerge w:val="restart"/>
            <w:tcBorders>
              <w:top w:val="single" w:sz="4" w:space="0" w:color="000000"/>
              <w:left w:val="single" w:sz="4" w:space="0" w:color="000000"/>
              <w:right w:val="single" w:sz="4" w:space="0" w:color="000000"/>
            </w:tcBorders>
            <w:shd w:val="clear" w:color="auto" w:fill="D2D2D2"/>
          </w:tcPr>
          <w:p>
            <w:pPr/>
          </w:p>
        </w:tc>
        <w:tc>
          <w:tcPr>
            <w:tcW w:w="97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12,728</w:t>
            </w:r>
          </w:p>
        </w:tc>
        <w:tc>
          <w:tcPr>
            <w:tcW w:w="143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gridSpan w:val="2"/>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11" w:right="-8"/>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20" w:hRule="exact"/>
        </w:trPr>
        <w:tc>
          <w:tcPr>
            <w:tcW w:w="1196" w:type="dxa"/>
            <w:vMerge/>
            <w:tcBorders>
              <w:left w:val="single" w:sz="4" w:space="0" w:color="000000"/>
              <w:right w:val="single" w:sz="4" w:space="0" w:color="000000"/>
            </w:tcBorders>
            <w:shd w:val="clear" w:color="auto" w:fill="D2D2D2"/>
          </w:tcPr>
          <w:p>
            <w:pPr/>
          </w:p>
        </w:tc>
        <w:tc>
          <w:tcPr>
            <w:tcW w:w="1226" w:type="dxa"/>
            <w:gridSpan w:val="2"/>
            <w:vMerge/>
            <w:tcBorders>
              <w:left w:val="single" w:sz="10" w:space="0" w:color="D2D2D2"/>
              <w:right w:val="single" w:sz="10" w:space="0" w:color="D2D2D2"/>
            </w:tcBorders>
          </w:tcPr>
          <w:p>
            <w:pPr/>
          </w:p>
        </w:tc>
        <w:tc>
          <w:tcPr>
            <w:tcW w:w="1395"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4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11" w:right="16"/>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56" w:type="dxa"/>
            <w:gridSpan w:val="2"/>
            <w:vMerge/>
            <w:tcBorders>
              <w:left w:val="single" w:sz="13" w:space="0" w:color="D2D2D2"/>
              <w:right w:val="single" w:sz="13" w:space="0" w:color="D2D2D2"/>
            </w:tcBorders>
          </w:tcPr>
          <w:p>
            <w:pPr/>
          </w:p>
        </w:tc>
        <w:tc>
          <w:tcPr>
            <w:tcW w:w="1454" w:type="dxa"/>
            <w:gridSpan w:val="2"/>
            <w:vMerge/>
            <w:tcBorders>
              <w:left w:val="single" w:sz="4" w:space="0" w:color="000000"/>
              <w:right w:val="single" w:sz="4" w:space="0" w:color="000000"/>
            </w:tcBorders>
            <w:shd w:val="clear" w:color="auto" w:fill="D2D2D2"/>
          </w:tcPr>
          <w:p>
            <w:pPr/>
          </w:p>
        </w:tc>
        <w:tc>
          <w:tcPr>
            <w:tcW w:w="926" w:type="dxa"/>
            <w:vMerge/>
            <w:tcBorders>
              <w:left w:val="single" w:sz="13" w:space="0" w:color="D2D2D2"/>
              <w:right w:val="single" w:sz="4" w:space="0" w:color="000000"/>
            </w:tcBorders>
          </w:tcPr>
          <w:p>
            <w:pPr/>
          </w:p>
        </w:tc>
      </w:tr>
      <w:tr>
        <w:trPr>
          <w:trHeight w:val="12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26" w:type="dxa"/>
            <w:gridSpan w:val="2"/>
            <w:vMerge/>
            <w:tcBorders>
              <w:left w:val="single" w:sz="10" w:space="0" w:color="D2D2D2"/>
              <w:right w:val="single" w:sz="10" w:space="0" w:color="D2D2D2"/>
            </w:tcBorders>
          </w:tcPr>
          <w:p>
            <w:pPr/>
          </w:p>
        </w:tc>
        <w:tc>
          <w:tcPr>
            <w:tcW w:w="139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11" w:right="11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8" w:type="dxa"/>
            <w:gridSpan w:val="2"/>
            <w:vMerge/>
            <w:tcBorders>
              <w:left w:val="single" w:sz="9" w:space="0" w:color="D2D2D2"/>
              <w:right w:val="single" w:sz="9" w:space="0" w:color="D2D2D2"/>
            </w:tcBorders>
          </w:tcPr>
          <w:p>
            <w:pPr/>
          </w:p>
        </w:tc>
        <w:tc>
          <w:tcPr>
            <w:tcW w:w="1437" w:type="dxa"/>
            <w:gridSpan w:val="2"/>
            <w:vMerge/>
            <w:tcBorders>
              <w:left w:val="single" w:sz="4" w:space="0" w:color="000000"/>
              <w:right w:val="single" w:sz="4" w:space="0" w:color="000000"/>
            </w:tcBorders>
            <w:shd w:val="clear" w:color="auto" w:fill="D2D2D2"/>
          </w:tcPr>
          <w:p>
            <w:pPr/>
          </w:p>
        </w:tc>
        <w:tc>
          <w:tcPr>
            <w:tcW w:w="956" w:type="dxa"/>
            <w:gridSpan w:val="2"/>
            <w:vMerge/>
            <w:tcBorders>
              <w:left w:val="single" w:sz="13" w:space="0" w:color="D2D2D2"/>
              <w:right w:val="single" w:sz="13" w:space="0" w:color="D2D2D2"/>
            </w:tcBorders>
          </w:tcPr>
          <w:p>
            <w:pPr/>
          </w:p>
        </w:tc>
        <w:tc>
          <w:tcPr>
            <w:tcW w:w="1454" w:type="dxa"/>
            <w:gridSpan w:val="2"/>
            <w:vMerge/>
            <w:tcBorders>
              <w:left w:val="single" w:sz="4" w:space="0" w:color="000000"/>
              <w:right w:val="single" w:sz="4" w:space="0" w:color="000000"/>
            </w:tcBorders>
            <w:shd w:val="clear" w:color="auto" w:fill="D2D2D2"/>
          </w:tcPr>
          <w:p>
            <w:pPr/>
          </w:p>
        </w:tc>
        <w:tc>
          <w:tcPr>
            <w:tcW w:w="926" w:type="dxa"/>
            <w:vMerge/>
            <w:tcBorders>
              <w:left w:val="single" w:sz="13" w:space="0" w:color="D2D2D2"/>
              <w:right w:val="single" w:sz="4" w:space="0" w:color="000000"/>
            </w:tcBorders>
          </w:tcPr>
          <w:p>
            <w:pPr/>
          </w:p>
        </w:tc>
      </w:tr>
      <w:tr>
        <w:trPr>
          <w:trHeight w:val="560"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26" w:type="dxa"/>
            <w:gridSpan w:val="2"/>
            <w:vMerge/>
            <w:tcBorders>
              <w:left w:val="single" w:sz="10" w:space="0" w:color="D2D2D2"/>
              <w:right w:val="single" w:sz="10" w:space="0" w:color="D2D2D2"/>
            </w:tcBorders>
          </w:tcPr>
          <w:p>
            <w:pPr/>
          </w:p>
        </w:tc>
        <w:tc>
          <w:tcPr>
            <w:tcW w:w="1395" w:type="dxa"/>
            <w:gridSpan w:val="2"/>
            <w:vMerge/>
            <w:tcBorders>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437" w:type="dxa"/>
            <w:gridSpan w:val="2"/>
            <w:vMerge/>
            <w:tcBorders>
              <w:left w:val="single" w:sz="4" w:space="0" w:color="000000"/>
              <w:right w:val="single" w:sz="4" w:space="0" w:color="000000"/>
            </w:tcBorders>
            <w:shd w:val="clear" w:color="auto" w:fill="D2D2D2"/>
          </w:tcPr>
          <w:p>
            <w:pPr/>
          </w:p>
        </w:tc>
        <w:tc>
          <w:tcPr>
            <w:tcW w:w="956" w:type="dxa"/>
            <w:gridSpan w:val="2"/>
            <w:vMerge/>
            <w:tcBorders>
              <w:left w:val="single" w:sz="13" w:space="0" w:color="D2D2D2"/>
              <w:right w:val="single" w:sz="13" w:space="0" w:color="D2D2D2"/>
            </w:tcBorders>
          </w:tcPr>
          <w:p>
            <w:pPr/>
          </w:p>
        </w:tc>
        <w:tc>
          <w:tcPr>
            <w:tcW w:w="1454" w:type="dxa"/>
            <w:gridSpan w:val="2"/>
            <w:vMerge/>
            <w:tcBorders>
              <w:left w:val="single" w:sz="4" w:space="0" w:color="000000"/>
              <w:right w:val="single" w:sz="4" w:space="0" w:color="000000"/>
            </w:tcBorders>
            <w:shd w:val="clear" w:color="auto" w:fill="D2D2D2"/>
          </w:tcPr>
          <w:p>
            <w:pPr/>
          </w:p>
        </w:tc>
        <w:tc>
          <w:tcPr>
            <w:tcW w:w="926" w:type="dxa"/>
            <w:vMerge/>
            <w:tcBorders>
              <w:left w:val="single" w:sz="13" w:space="0" w:color="D2D2D2"/>
              <w:right w:val="single" w:sz="4" w:space="0" w:color="000000"/>
            </w:tcBorders>
          </w:tcPr>
          <w:p>
            <w:pPr/>
          </w:p>
        </w:tc>
      </w:tr>
      <w:tr>
        <w:trPr>
          <w:trHeight w:val="120"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26" w:type="dxa"/>
            <w:gridSpan w:val="2"/>
            <w:vMerge/>
            <w:tcBorders>
              <w:left w:val="single" w:sz="10" w:space="0" w:color="D2D2D2"/>
              <w:right w:val="single" w:sz="10" w:space="0" w:color="D2D2D2"/>
            </w:tcBorders>
          </w:tcPr>
          <w:p>
            <w:pPr/>
          </w:p>
        </w:tc>
        <w:tc>
          <w:tcPr>
            <w:tcW w:w="1395"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437" w:type="dxa"/>
            <w:gridSpan w:val="2"/>
            <w:vMerge/>
            <w:tcBorders>
              <w:left w:val="single" w:sz="4" w:space="0" w:color="000000"/>
              <w:right w:val="single" w:sz="4" w:space="0" w:color="000000"/>
            </w:tcBorders>
            <w:shd w:val="clear" w:color="auto" w:fill="D2D2D2"/>
          </w:tcPr>
          <w:p>
            <w:pPr/>
          </w:p>
        </w:tc>
        <w:tc>
          <w:tcPr>
            <w:tcW w:w="956" w:type="dxa"/>
            <w:gridSpan w:val="2"/>
            <w:vMerge/>
            <w:tcBorders>
              <w:left w:val="single" w:sz="13" w:space="0" w:color="D2D2D2"/>
              <w:right w:val="single" w:sz="13" w:space="0" w:color="D2D2D2"/>
            </w:tcBorders>
          </w:tcPr>
          <w:p>
            <w:pPr/>
          </w:p>
        </w:tc>
        <w:tc>
          <w:tcPr>
            <w:tcW w:w="1454" w:type="dxa"/>
            <w:gridSpan w:val="2"/>
            <w:vMerge/>
            <w:tcBorders>
              <w:left w:val="single" w:sz="4" w:space="0" w:color="000000"/>
              <w:right w:val="single" w:sz="4" w:space="0" w:color="000000"/>
            </w:tcBorders>
            <w:shd w:val="clear" w:color="auto" w:fill="D2D2D2"/>
          </w:tcPr>
          <w:p>
            <w:pPr/>
          </w:p>
        </w:tc>
        <w:tc>
          <w:tcPr>
            <w:tcW w:w="926" w:type="dxa"/>
            <w:vMerge/>
            <w:tcBorders>
              <w:left w:val="single" w:sz="13" w:space="0" w:color="D2D2D2"/>
              <w:right w:val="single" w:sz="4" w:space="0" w:color="000000"/>
            </w:tcBorders>
          </w:tcPr>
          <w:p>
            <w:pPr/>
          </w:p>
        </w:tc>
      </w:tr>
      <w:tr>
        <w:trPr>
          <w:trHeight w:val="250"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26" w:type="dxa"/>
            <w:gridSpan w:val="2"/>
            <w:vMerge/>
            <w:tcBorders>
              <w:left w:val="single" w:sz="10" w:space="0" w:color="D2D2D2"/>
              <w:bottom w:val="single" w:sz="4" w:space="0" w:color="000000"/>
              <w:right w:val="single" w:sz="10" w:space="0" w:color="D2D2D2"/>
            </w:tcBorders>
          </w:tcPr>
          <w:p>
            <w:pPr/>
          </w:p>
        </w:tc>
        <w:tc>
          <w:tcPr>
            <w:tcW w:w="13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8" w:type="dxa"/>
            <w:gridSpan w:val="2"/>
            <w:vMerge/>
            <w:tcBorders>
              <w:left w:val="single" w:sz="9" w:space="0" w:color="D2D2D2"/>
              <w:bottom w:val="single" w:sz="4" w:space="0" w:color="000000"/>
              <w:right w:val="single" w:sz="9" w:space="0" w:color="D2D2D2"/>
            </w:tcBorders>
          </w:tcPr>
          <w:p>
            <w:pPr/>
          </w:p>
        </w:tc>
        <w:tc>
          <w:tcPr>
            <w:tcW w:w="1437" w:type="dxa"/>
            <w:gridSpan w:val="2"/>
            <w:vMerge/>
            <w:tcBorders>
              <w:left w:val="single" w:sz="4" w:space="0" w:color="000000"/>
              <w:bottom w:val="single" w:sz="4" w:space="0" w:color="000000"/>
              <w:right w:val="single" w:sz="4" w:space="0" w:color="000000"/>
            </w:tcBorders>
            <w:shd w:val="clear" w:color="auto" w:fill="D2D2D2"/>
          </w:tcPr>
          <w:p>
            <w:pPr/>
          </w:p>
        </w:tc>
        <w:tc>
          <w:tcPr>
            <w:tcW w:w="956" w:type="dxa"/>
            <w:gridSpan w:val="2"/>
            <w:vMerge/>
            <w:tcBorders>
              <w:left w:val="single" w:sz="13" w:space="0" w:color="D2D2D2"/>
              <w:bottom w:val="single" w:sz="4" w:space="0" w:color="000000"/>
              <w:right w:val="single" w:sz="13" w:space="0" w:color="D2D2D2"/>
            </w:tcBorders>
          </w:tcPr>
          <w:p>
            <w:pPr/>
          </w:p>
        </w:tc>
        <w:tc>
          <w:tcPr>
            <w:tcW w:w="1454" w:type="dxa"/>
            <w:gridSpan w:val="2"/>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0" w:hRule="exact"/>
        </w:trPr>
        <w:tc>
          <w:tcPr>
            <w:tcW w:w="2268" w:type="dxa"/>
            <w:gridSpan w:val="2"/>
            <w:vMerge w:val="restart"/>
            <w:tcBorders>
              <w:top w:val="single" w:sz="4" w:space="0" w:color="000000"/>
              <w:left w:val="single" w:sz="4" w:space="0" w:color="000000"/>
              <w:right w:val="single" w:sz="4" w:space="0" w:color="000000"/>
            </w:tcBorders>
            <w:shd w:val="clear" w:color="auto" w:fill="D2D2D2"/>
          </w:tcPr>
          <w:p>
            <w:pP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
        </w:tc>
        <w:tc>
          <w:tcPr>
            <w:tcW w:w="710" w:type="dxa"/>
            <w:gridSpan w:val="2"/>
            <w:tcBorders>
              <w:top w:val="single" w:sz="4" w:space="0" w:color="000000"/>
              <w:left w:val="single" w:sz="4" w:space="0" w:color="000000"/>
              <w:bottom w:val="single" w:sz="8" w:space="0" w:color="FFFFFF"/>
              <w:right w:val="single" w:sz="4" w:space="0" w:color="000000"/>
            </w:tcBorders>
            <w:shd w:val="clear" w:color="auto" w:fill="D2D2D2"/>
          </w:tcPr>
          <w:p>
            <w:pPr/>
          </w:p>
        </w:tc>
        <w:tc>
          <w:tcPr>
            <w:tcW w:w="991" w:type="dxa"/>
            <w:gridSpan w:val="2"/>
            <w:tcBorders>
              <w:top w:val="single" w:sz="4" w:space="0" w:color="000000"/>
              <w:left w:val="single" w:sz="4" w:space="0" w:color="000000"/>
              <w:bottom w:val="single" w:sz="8" w:space="0" w:color="FFFFFF"/>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60" w:right="5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66"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86"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710" w:type="dxa"/>
            <w:gridSpan w:val="2"/>
            <w:vMerge w:val="restart"/>
            <w:tcBorders>
              <w:top w:val="single" w:sz="8" w:space="0" w:color="FFFFFF"/>
              <w:left w:val="single" w:sz="4" w:space="0" w:color="000000"/>
              <w:right w:val="single" w:sz="4" w:space="0" w:color="000000"/>
            </w:tcBorders>
            <w:shd w:val="clear" w:color="auto" w:fill="D2D2D2"/>
          </w:tcPr>
          <w:p>
            <w:pPr>
              <w:pStyle w:val="TableParagraph"/>
              <w:spacing w:line="357" w:lineRule="auto" w:before="32"/>
              <w:ind w:left="169"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1" w:type="dxa"/>
            <w:gridSpan w:val="2"/>
            <w:vMerge w:val="restart"/>
            <w:tcBorders>
              <w:top w:val="single" w:sz="8" w:space="0" w:color="FFFFFF"/>
              <w:left w:val="single" w:sz="4" w:space="0" w:color="000000"/>
              <w:right w:val="single" w:sz="4" w:space="0" w:color="000000"/>
            </w:tcBorders>
            <w:shd w:val="clear" w:color="auto" w:fill="D2D2D2"/>
          </w:tcPr>
          <w:p>
            <w:pPr>
              <w:pStyle w:val="TableParagraph"/>
              <w:spacing w:line="319"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45"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488" w:type="dxa"/>
            <w:gridSpan w:val="2"/>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99" w:right="90"/>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71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
        </w:tc>
        <w:tc>
          <w:tcPr>
            <w:tcW w:w="1418" w:type="dxa"/>
            <w:gridSpan w:val="2"/>
            <w:vMerge w:val="restart"/>
            <w:tcBorders>
              <w:top w:val="nil" w:sz="6" w:space="0" w:color="auto"/>
              <w:left w:val="single" w:sz="4" w:space="0" w:color="000000"/>
              <w:right w:val="single" w:sz="4" w:space="0" w:color="000000"/>
            </w:tcBorders>
            <w:shd w:val="clear" w:color="auto" w:fill="D2D2D2"/>
          </w:tcPr>
          <w:p>
            <w:pPr/>
          </w:p>
        </w:tc>
        <w:tc>
          <w:tcPr>
            <w:tcW w:w="710" w:type="dxa"/>
            <w:gridSpan w:val="2"/>
            <w:vMerge/>
            <w:tcBorders>
              <w:left w:val="single" w:sz="4" w:space="0" w:color="000000"/>
              <w:bottom w:val="single" w:sz="8" w:space="0" w:color="FFFFFF"/>
              <w:right w:val="single" w:sz="4" w:space="0" w:color="000000"/>
            </w:tcBorders>
            <w:shd w:val="clear" w:color="auto" w:fill="D2D2D2"/>
          </w:tcPr>
          <w:p>
            <w:pPr/>
          </w:p>
        </w:tc>
        <w:tc>
          <w:tcPr>
            <w:tcW w:w="991" w:type="dxa"/>
            <w:gridSpan w:val="2"/>
            <w:vMerge/>
            <w:tcBorders>
              <w:left w:val="single" w:sz="4" w:space="0" w:color="000000"/>
              <w:bottom w:val="single" w:sz="8" w:space="0" w:color="FFFFFF"/>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710" w:type="dxa"/>
            <w:gridSpan w:val="2"/>
            <w:tcBorders>
              <w:top w:val="single" w:sz="8" w:space="0" w:color="FFFFFF"/>
              <w:left w:val="single" w:sz="4" w:space="0" w:color="000000"/>
              <w:bottom w:val="single" w:sz="4" w:space="0" w:color="000000"/>
              <w:right w:val="single" w:sz="4" w:space="0" w:color="000000"/>
            </w:tcBorders>
            <w:shd w:val="clear" w:color="auto" w:fill="D2D2D2"/>
          </w:tcPr>
          <w:p>
            <w:pPr/>
          </w:p>
        </w:tc>
        <w:tc>
          <w:tcPr>
            <w:tcW w:w="991" w:type="dxa"/>
            <w:gridSpan w:val="2"/>
            <w:tcBorders>
              <w:top w:val="single" w:sz="8" w:space="0" w:color="FFFFFF"/>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大丰市东润投资管理有限公 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36.16%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96,900,000</w:t>
            </w:r>
          </w:p>
        </w:tc>
        <w:tc>
          <w:tcPr>
            <w:tcW w:w="845" w:type="dxa"/>
            <w:tcBorders>
              <w:top w:val="single" w:sz="18" w:space="0" w:color="D2D2D2"/>
              <w:left w:val="single" w:sz="4" w:space="0" w:color="000000"/>
              <w:bottom w:val="single" w:sz="4" w:space="0" w:color="000000"/>
              <w:right w:val="single" w:sz="4" w:space="0" w:color="000000"/>
            </w:tcBorders>
          </w:tcPr>
          <w:p>
            <w:pPr/>
          </w:p>
        </w:tc>
        <w:tc>
          <w:tcPr>
            <w:tcW w:w="857" w:type="dxa"/>
            <w:tcBorders>
              <w:top w:val="single" w:sz="18" w:space="0" w:color="D2D2D2"/>
              <w:left w:val="single" w:sz="4" w:space="0" w:color="000000"/>
              <w:bottom w:val="single" w:sz="4" w:space="0" w:color="000000"/>
              <w:right w:val="single" w:sz="4" w:space="0" w:color="000000"/>
            </w:tcBorders>
          </w:tcPr>
          <w:p>
            <w:pPr/>
          </w:p>
        </w:tc>
        <w:tc>
          <w:tcPr>
            <w:tcW w:w="991"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96,900,000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53,600,000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-7,600,000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53,600,000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3.85%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10,313,068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center"/>
              <w:rPr>
                <w:rFonts w:ascii="Times New Roman" w:hAnsi="Times New Roman" w:cs="Times New Roman" w:eastAsia="Times New Roman" w:hint="default"/>
                <w:sz w:val="18"/>
                <w:szCs w:val="18"/>
              </w:rPr>
            </w:pPr>
            <w:r>
              <w:rPr>
                <w:rFonts w:ascii="Times New Roman"/>
                <w:sz w:val="18"/>
              </w:rPr>
              <w:t>-190,000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10,313,068</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2,782,600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2,782,600</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2,782,600</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75"/>
              <w:jc w:val="both"/>
              <w:rPr>
                <w:rFonts w:ascii="宋体" w:hAnsi="宋体" w:cs="宋体" w:eastAsia="宋体" w:hint="default"/>
                <w:sz w:val="18"/>
                <w:szCs w:val="18"/>
              </w:rPr>
            </w:pPr>
            <w:r>
              <w:rPr>
                <w:rFonts w:ascii="宋体" w:hAnsi="宋体" w:cs="宋体" w:eastAsia="宋体" w:hint="default"/>
                <w:sz w:val="18"/>
                <w:szCs w:val="18"/>
              </w:rPr>
              <w:t>兴业银行股份有限公司－广 发中证百度百发策略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 数型证券投资基金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基金、理财产品等</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0.85%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2,286,456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2,286,456</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2,286,456</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5"/>
              <w:jc w:val="left"/>
              <w:rPr>
                <w:rFonts w:ascii="宋体" w:hAnsi="宋体" w:cs="宋体" w:eastAsia="宋体" w:hint="default"/>
                <w:sz w:val="18"/>
                <w:szCs w:val="18"/>
              </w:rPr>
            </w:pPr>
            <w:r>
              <w:rPr>
                <w:rFonts w:ascii="宋体" w:hAnsi="宋体" w:cs="宋体" w:eastAsia="宋体" w:hint="default"/>
                <w:sz w:val="18"/>
                <w:szCs w:val="18"/>
              </w:rPr>
              <w:t>中国银行－海富通股票证券 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基金、理财产品等</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0.85%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2,265,404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2,265,404</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2,265,404</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5"/>
              <w:jc w:val="left"/>
              <w:rPr>
                <w:rFonts w:ascii="宋体" w:hAnsi="宋体" w:cs="宋体" w:eastAsia="宋体" w:hint="default"/>
                <w:sz w:val="18"/>
                <w:szCs w:val="18"/>
              </w:rPr>
            </w:pPr>
            <w:r>
              <w:rPr>
                <w:rFonts w:ascii="宋体" w:hAnsi="宋体" w:cs="宋体" w:eastAsia="宋体" w:hint="default"/>
                <w:sz w:val="18"/>
                <w:szCs w:val="18"/>
              </w:rPr>
              <w:t>交通银行－普天收益证券投 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基金、理财产品等</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2,000,079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2,000,079</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2,000,079</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244" w:lineRule="auto" w:before="4"/>
              <w:ind w:left="22" w:right="73"/>
              <w:jc w:val="left"/>
              <w:rPr>
                <w:rFonts w:ascii="宋体" w:hAnsi="宋体" w:cs="宋体" w:eastAsia="宋体" w:hint="default"/>
                <w:sz w:val="18"/>
                <w:szCs w:val="18"/>
              </w:rPr>
            </w:pPr>
            <w:r>
              <w:rPr>
                <w:rFonts w:ascii="宋体" w:hAnsi="宋体" w:cs="宋体" w:eastAsia="宋体" w:hint="default"/>
                <w:sz w:val="18"/>
                <w:szCs w:val="18"/>
              </w:rPr>
              <w:t>－摩根士丹利华鑫多因子精 选策略混合型证券投资基金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基金、理财产品等</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0.60%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1,609,266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-1,510,164</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1,609,266</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3"/>
              <w:jc w:val="left"/>
              <w:rPr>
                <w:rFonts w:ascii="宋体" w:hAnsi="宋体" w:cs="宋体" w:eastAsia="宋体" w:hint="default"/>
                <w:sz w:val="18"/>
                <w:szCs w:val="18"/>
              </w:rPr>
            </w:pPr>
            <w:r>
              <w:rPr>
                <w:rFonts w:ascii="宋体" w:hAnsi="宋体" w:cs="宋体" w:eastAsia="宋体" w:hint="default"/>
                <w:sz w:val="18"/>
                <w:szCs w:val="18"/>
              </w:rPr>
              <w:t>长安基金－光大银行－长安 瑞阳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号分级资产管理计划</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基金、理财产品等</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1,579,006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1,579,006</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1,579,006</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周颖余</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0.39%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1,050,000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1,050,000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1,050,000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88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368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gridSpan w:val="10"/>
            <w:vMerge w:val="restart"/>
            <w:tcBorders>
              <w:top w:val="single" w:sz="4" w:space="0" w:color="000000"/>
              <w:left w:val="single" w:sz="10" w:space="0" w:color="D2D2D2"/>
              <w:right w:val="single" w:sz="4" w:space="0" w:color="000000"/>
            </w:tcBorders>
          </w:tcPr>
          <w:p>
            <w:pPr>
              <w:pStyle w:val="TableParagraph"/>
              <w:spacing w:line="316" w:lineRule="auto" w:before="51"/>
              <w:ind w:left="15" w:right="87" w:firstLine="360"/>
              <w:jc w:val="left"/>
              <w:rPr>
                <w:rFonts w:ascii="宋体" w:hAnsi="宋体" w:cs="宋体" w:eastAsia="宋体" w:hint="default"/>
                <w:sz w:val="18"/>
                <w:szCs w:val="18"/>
              </w:rPr>
            </w:pPr>
            <w:r>
              <w:rPr>
                <w:rFonts w:ascii="宋体" w:hAnsi="宋体" w:cs="宋体" w:eastAsia="宋体" w:hint="default"/>
                <w:sz w:val="18"/>
                <w:szCs w:val="18"/>
              </w:rPr>
              <w:t>上述股东之间，不存在公司已知的关联关系，亦不存在公司已知的一 致行动人关系。</w:t>
            </w:r>
          </w:p>
        </w:tc>
      </w:tr>
      <w:tr>
        <w:trPr>
          <w:trHeight w:val="392" w:hRule="exact"/>
        </w:trPr>
        <w:tc>
          <w:tcPr>
            <w:tcW w:w="368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82" w:type="dxa"/>
            <w:gridSpan w:val="10"/>
            <w:vMerge/>
            <w:tcBorders>
              <w:left w:val="single" w:sz="10" w:space="0" w:color="D2D2D2"/>
              <w:right w:val="single" w:sz="4" w:space="0" w:color="000000"/>
            </w:tcBorders>
          </w:tcPr>
          <w:p>
            <w:pPr/>
          </w:p>
        </w:tc>
      </w:tr>
      <w:tr>
        <w:trPr>
          <w:trHeight w:val="161" w:hRule="exact"/>
        </w:trPr>
        <w:tc>
          <w:tcPr>
            <w:tcW w:w="368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gridSpan w:val="10"/>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530"/>
        <w:gridCol w:w="1559"/>
        <w:gridCol w:w="1417"/>
        <w:gridCol w:w="1062"/>
      </w:tblGrid>
      <w:tr>
        <w:trPr>
          <w:trHeight w:val="402" w:hRule="exact"/>
        </w:trPr>
        <w:tc>
          <w:tcPr>
            <w:tcW w:w="5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3" w:right="53"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4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553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2"/>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10,313,068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10,313,068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2,782,600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2,782,600</w:t>
            </w:r>
          </w:p>
        </w:tc>
      </w:tr>
      <w:tr>
        <w:trPr>
          <w:trHeight w:val="5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95"/>
              <w:jc w:val="left"/>
              <w:rPr>
                <w:rFonts w:ascii="宋体" w:hAnsi="宋体" w:cs="宋体" w:eastAsia="宋体" w:hint="default"/>
                <w:sz w:val="18"/>
                <w:szCs w:val="18"/>
              </w:rPr>
            </w:pPr>
            <w:r>
              <w:rPr>
                <w:rFonts w:ascii="宋体" w:hAnsi="宋体" w:cs="宋体" w:eastAsia="宋体" w:hint="default"/>
                <w:sz w:val="18"/>
                <w:szCs w:val="18"/>
              </w:rPr>
              <w:t>兴业银行股份有限公司－广发中证百度百发策略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指数型证券投资 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2,286,456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2,286,456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中国银行－海富通股票证券投资基金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2,265,404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2,265,404</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交通银行－普天收益证券投资基金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2,000,079</w:t>
            </w:r>
          </w:p>
        </w:tc>
      </w:tr>
      <w:tr>
        <w:trPr>
          <w:trHeight w:val="5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7"/>
              <w:jc w:val="left"/>
              <w:rPr>
                <w:rFonts w:ascii="宋体" w:hAnsi="宋体" w:cs="宋体" w:eastAsia="宋体" w:hint="default"/>
                <w:sz w:val="18"/>
                <w:szCs w:val="18"/>
              </w:rPr>
            </w:pPr>
            <w:r>
              <w:rPr>
                <w:rFonts w:ascii="宋体" w:hAnsi="宋体" w:cs="宋体" w:eastAsia="宋体" w:hint="default"/>
                <w:sz w:val="18"/>
                <w:szCs w:val="18"/>
              </w:rPr>
              <w:t>中国建设银行股份有限公司－摩根士丹利华鑫多因子精选策略混合型 证券投资基金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1,609,266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1,609,266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长安基金－光大银行－长安瑞阳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号分级资产管理计划</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1,579,006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1,579,006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周颖余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03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firstLine="360"/>
              <w:jc w:val="left"/>
              <w:rPr>
                <w:rFonts w:ascii="宋体" w:hAnsi="宋体" w:cs="宋体" w:eastAsia="宋体" w:hint="default"/>
                <w:sz w:val="18"/>
                <w:szCs w:val="18"/>
              </w:rPr>
            </w:pPr>
            <w:r>
              <w:rPr>
                <w:rFonts w:ascii="宋体" w:hAnsi="宋体" w:cs="宋体" w:eastAsia="宋体" w:hint="default"/>
                <w:sz w:val="18"/>
                <w:szCs w:val="18"/>
              </w:rPr>
              <w:t>上述股份之间，不存在公司已知的关联关系， 亦不存在公司已知的一致行动人关系。</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w:t>
            </w:r>
            <w:r>
              <w:rPr>
                <w:rFonts w:ascii="宋体" w:hAnsi="宋体" w:cs="宋体" w:eastAsia="宋体" w:hint="default"/>
                <w:spacing w:val="1"/>
                <w:sz w:val="18"/>
                <w:szCs w:val="18"/>
              </w:rPr>
              <w:t>股</w:t>
            </w:r>
            <w:r>
              <w:rPr>
                <w:rFonts w:ascii="宋体" w:hAnsi="宋体" w:cs="宋体" w:eastAsia="宋体" w:hint="default"/>
                <w:sz w:val="18"/>
                <w:szCs w:val="18"/>
              </w:rPr>
              <w:t>股东参与融资融券业务情况说明（如有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0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前十大股东中周颖余参与融资融券业务。</w:t>
            </w:r>
          </w:p>
        </w:tc>
      </w:tr>
    </w:tbl>
    <w:p>
      <w:pPr>
        <w:pStyle w:val="BodyText"/>
        <w:spacing w:line="240" w:lineRule="auto" w:before="51"/>
        <w:ind w:left="51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2399"/>
        <w:gridCol w:w="1700"/>
        <w:gridCol w:w="1558"/>
        <w:gridCol w:w="1914"/>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57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2"/>
              <w:jc w:val="left"/>
              <w:rPr>
                <w:rFonts w:ascii="宋体" w:hAnsi="宋体" w:cs="宋体" w:eastAsia="宋体" w:hint="default"/>
                <w:sz w:val="18"/>
                <w:szCs w:val="18"/>
              </w:rPr>
            </w:pPr>
            <w:r>
              <w:rPr>
                <w:rFonts w:ascii="宋体" w:hAnsi="宋体" w:cs="宋体" w:eastAsia="宋体" w:hint="default"/>
                <w:sz w:val="18"/>
                <w:szCs w:val="18"/>
              </w:rPr>
              <w:t>大丰市东润投资管理有 限公司</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72281206-X</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78"/>
              <w:jc w:val="left"/>
              <w:rPr>
                <w:rFonts w:ascii="宋体" w:hAnsi="宋体" w:cs="宋体" w:eastAsia="宋体" w:hint="default"/>
                <w:sz w:val="18"/>
                <w:szCs w:val="18"/>
              </w:rPr>
            </w:pPr>
            <w:r>
              <w:rPr>
                <w:rFonts w:ascii="宋体" w:hAnsi="宋体" w:cs="宋体" w:eastAsia="宋体" w:hint="default"/>
                <w:sz w:val="18"/>
                <w:szCs w:val="18"/>
              </w:rPr>
              <w:t>投资业务；投资管理咨 询服务。</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5"/>
        <w:ind w:left="514" w:right="0"/>
        <w:jc w:val="left"/>
      </w:pPr>
      <w:r>
        <w:rPr/>
        <w:t>控股股东报告期内变更</w:t>
      </w:r>
    </w:p>
    <w:p>
      <w:pPr>
        <w:pStyle w:val="BodyText"/>
        <w:spacing w:line="338" w:lineRule="auto" w:before="117"/>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4" w:right="8052"/>
        <w:jc w:val="left"/>
      </w:pPr>
      <w:r>
        <w:rPr/>
        <w:t>实际控制人性质：境内自然人 实际控制人类型：自然人</w:t>
      </w:r>
    </w:p>
    <w:p>
      <w:pPr>
        <w:spacing w:after="0" w:line="360" w:lineRule="auto"/>
        <w:jc w:val="left"/>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3311"/>
        <w:gridCol w:w="3848"/>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03" w:firstLine="360"/>
              <w:jc w:val="both"/>
              <w:rPr>
                <w:rFonts w:ascii="宋体" w:hAnsi="宋体" w:cs="宋体" w:eastAsia="宋体" w:hint="default"/>
                <w:sz w:val="18"/>
                <w:szCs w:val="18"/>
              </w:rPr>
            </w:pPr>
            <w:r>
              <w:rPr>
                <w:rFonts w:ascii="宋体" w:hAnsi="宋体" w:cs="宋体" w:eastAsia="宋体" w:hint="default"/>
                <w:sz w:val="18"/>
                <w:szCs w:val="18"/>
              </w:rPr>
              <w:t>本公司董事长、总经理；兼任大丰市东润投资管理有限公司、上海丰东热处理工程有 限公司、青岛丰东热处理有限公司、重庆丰东热处理工程有限公司、南京丰东热处理工程 有限公司、天津丰东热处理有限公司、北京丰东建通工业炉科技有限公司、盐城高周波热 炼有限公司、盐城丰东祺耀工业炉有限公司、广州鑫润丰东热处理有限公司、江苏石川岛 丰东真空技术有限公司董事长，广州丰东热炼有限公司副董事长，常州鑫润丰东热处理工 程有限公司董事，株式会社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理事。</w:t>
            </w:r>
          </w:p>
        </w:tc>
      </w:tr>
      <w:tr>
        <w:trPr>
          <w:trHeight w:val="57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12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3" w:right="0"/>
              <w:jc w:val="left"/>
              <w:rPr>
                <w:rFonts w:ascii="宋体" w:hAnsi="宋体" w:cs="宋体" w:eastAsia="宋体" w:hint="default"/>
                <w:sz w:val="18"/>
                <w:szCs w:val="18"/>
              </w:rPr>
            </w:pPr>
            <w:r>
              <w:rPr>
                <w:rFonts w:ascii="宋体" w:hAnsi="宋体" w:cs="宋体" w:eastAsia="宋体" w:hint="default"/>
                <w:sz w:val="18"/>
                <w:szCs w:val="18"/>
              </w:rPr>
              <w:t>本公司实际控制人朱文明除通过大丰市东润投资管理有限公司控股丰东股份外，过去</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年内未曾控股其他境内外上市公司。</w:t>
            </w:r>
          </w:p>
        </w:tc>
      </w:tr>
    </w:tbl>
    <w:p>
      <w:pPr>
        <w:pStyle w:val="BodyText"/>
        <w:spacing w:line="240" w:lineRule="auto" w:before="51"/>
        <w:ind w:left="514" w:right="0"/>
        <w:jc w:val="left"/>
      </w:pPr>
      <w:r>
        <w:rPr/>
        <w:t>实际控制人报告期内变更</w:t>
      </w:r>
    </w:p>
    <w:p>
      <w:pPr>
        <w:pStyle w:val="BodyText"/>
        <w:spacing w:line="348" w:lineRule="auto" w:before="11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4"/>
          <w:szCs w:val="14"/>
        </w:rPr>
      </w:pPr>
    </w:p>
    <w:p>
      <w:pPr>
        <w:spacing w:line="2160" w:lineRule="exact"/>
        <w:ind w:left="3743"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1558578" cy="1371600"/>
            <wp:effectExtent l="0" t="0" r="0" b="0"/>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27" cstate="print"/>
                    <a:stretch>
                      <a:fillRect/>
                    </a:stretch>
                  </pic:blipFill>
                  <pic:spPr>
                    <a:xfrm>
                      <a:off x="0" y="0"/>
                      <a:ext cx="1558578" cy="1371600"/>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5"/>
        <w:rPr>
          <w:rFonts w:ascii="宋体" w:hAnsi="宋体" w:cs="宋体" w:eastAsia="宋体" w:hint="default"/>
          <w:sz w:val="17"/>
          <w:szCs w:val="17"/>
        </w:rPr>
      </w:pPr>
    </w:p>
    <w:p>
      <w:pPr>
        <w:pStyle w:val="BodyText"/>
        <w:spacing w:line="240" w:lineRule="auto"/>
        <w:ind w:right="0"/>
        <w:jc w:val="left"/>
      </w:pPr>
      <w:r>
        <w:rPr/>
        <w:t>实际控制人通过信托或其他资产管理方式控制公司</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4"/>
        <w:gridCol w:w="2127"/>
        <w:gridCol w:w="1560"/>
        <w:gridCol w:w="1274"/>
        <w:gridCol w:w="276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8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河田一喜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9"/>
              <w:jc w:val="both"/>
              <w:rPr>
                <w:rFonts w:ascii="宋体" w:hAnsi="宋体" w:cs="宋体" w:eastAsia="宋体" w:hint="default"/>
                <w:sz w:val="18"/>
                <w:szCs w:val="18"/>
              </w:rPr>
            </w:pPr>
            <w:r>
              <w:rPr>
                <w:rFonts w:ascii="宋体" w:hAnsi="宋体" w:cs="宋体" w:eastAsia="宋体" w:hint="default"/>
                <w:sz w:val="18"/>
                <w:szCs w:val="18"/>
              </w:rPr>
              <w:t>专业从事金属热处理设备的制造和 销售、金属机械器具及消耗品的制 造与销售、金属热处理加工等</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566"/>
        <w:gridCol w:w="568"/>
        <w:gridCol w:w="425"/>
        <w:gridCol w:w="1560"/>
        <w:gridCol w:w="1559"/>
        <w:gridCol w:w="568"/>
        <w:gridCol w:w="709"/>
        <w:gridCol w:w="566"/>
        <w:gridCol w:w="568"/>
        <w:gridCol w:w="641"/>
      </w:tblGrid>
      <w:tr>
        <w:trPr>
          <w:trHeight w:val="128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46"/>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98" w:right="99"/>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79"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98" w:right="97"/>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4" w:lineRule="auto"/>
              <w:ind w:left="135" w:right="43"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
              <w:ind w:left="45"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70"/>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90"/>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90"/>
              <w:jc w:val="left"/>
              <w:rPr>
                <w:rFonts w:ascii="宋体" w:hAnsi="宋体" w:cs="宋体" w:eastAsia="宋体" w:hint="default"/>
                <w:sz w:val="18"/>
                <w:szCs w:val="18"/>
              </w:rPr>
            </w:pPr>
            <w:r>
              <w:rPr>
                <w:rFonts w:ascii="宋体" w:hAnsi="宋体" w:cs="宋体" w:eastAsia="宋体" w:hint="default"/>
                <w:sz w:val="18"/>
                <w:szCs w:val="18"/>
              </w:rPr>
              <w:t>董事 副总经理 营销总监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9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0"/>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陈国民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964"/>
        <w:gridCol w:w="361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退休</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left="154"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Heading5"/>
        <w:spacing w:line="240" w:lineRule="auto" w:before="115"/>
        <w:ind w:left="539" w:right="0"/>
        <w:jc w:val="left"/>
        <w:rPr>
          <w:b w:val="0"/>
          <w:bCs w:val="0"/>
        </w:rPr>
      </w:pPr>
      <w:r>
        <w:rPr>
          <w:rFonts w:ascii="Times New Roman" w:hAnsi="Times New Roman" w:cs="Times New Roman" w:eastAsia="Times New Roman" w:hint="default"/>
        </w:rPr>
        <w:t>1</w:t>
      </w:r>
      <w:r>
        <w:rPr/>
        <w:t>、现任董事专业背景、主要工作经历以及目前在公司的主要职责</w:t>
      </w:r>
      <w:r>
        <w:rPr>
          <w:b w:val="0"/>
          <w:bCs w:val="0"/>
        </w:rPr>
      </w:r>
    </w:p>
    <w:p>
      <w:pPr>
        <w:spacing w:line="240" w:lineRule="auto" w:before="0"/>
        <w:rPr>
          <w:rFonts w:ascii="宋体" w:hAnsi="宋体" w:cs="宋体" w:eastAsia="宋体" w:hint="default"/>
          <w:b/>
          <w:bCs/>
          <w:sz w:val="14"/>
          <w:szCs w:val="14"/>
        </w:rPr>
      </w:pPr>
    </w:p>
    <w:p>
      <w:pPr>
        <w:pStyle w:val="BodyText"/>
        <w:spacing w:line="314" w:lineRule="auto"/>
        <w:ind w:left="153" w:right="1130" w:firstLine="361"/>
        <w:jc w:val="both"/>
      </w:pPr>
      <w:r>
        <w:rPr>
          <w:rFonts w:ascii="宋体" w:hAnsi="宋体" w:cs="宋体" w:eastAsia="宋体" w:hint="default"/>
          <w:b/>
          <w:bCs/>
          <w:spacing w:val="-2"/>
        </w:rPr>
        <w:t>朱文明先生</w:t>
      </w:r>
      <w:r>
        <w:rPr>
          <w:spacing w:val="-2"/>
        </w:rPr>
        <w:t>，中国国籍，</w:t>
      </w:r>
      <w:r>
        <w:rPr>
          <w:rFonts w:ascii="Times New Roman" w:hAnsi="Times New Roman" w:cs="Times New Roman" w:eastAsia="Times New Roman" w:hint="default"/>
          <w:spacing w:val="-2"/>
        </w:rPr>
        <w:t>1967</w:t>
      </w:r>
      <w:r>
        <w:rPr>
          <w:spacing w:val="-2"/>
        </w:rPr>
        <w:t>年出生，本科学历。现任本公司董事长、总经理；兼任大丰市东润投资管理有限公司、上</w:t>
      </w:r>
      <w:r>
        <w:rPr/>
        <w:t> </w:t>
      </w:r>
      <w:r>
        <w:rPr>
          <w:spacing w:val="-2"/>
        </w:rPr>
        <w:t>海丰东热处理工程有限公司、青岛丰东热处理有限公司、重庆丰东热处理工程有限公司、南京丰东热处理工程有限公司、天</w:t>
      </w:r>
      <w:r>
        <w:rPr>
          <w:spacing w:val="-65"/>
        </w:rPr>
        <w:t> </w:t>
      </w:r>
      <w:r>
        <w:rPr>
          <w:spacing w:val="-65"/>
        </w:rPr>
      </w:r>
      <w:r>
        <w:rPr>
          <w:spacing w:val="-2"/>
        </w:rPr>
        <w:t>津丰东热处理有限公司、北京丰东建通工业炉科技有限公司、盐城高周波热炼有限公司、盐城丰东祺耀工业炉有限公司、广</w:t>
      </w:r>
      <w:r>
        <w:rPr>
          <w:spacing w:val="-66"/>
        </w:rPr>
        <w:t> </w:t>
      </w:r>
      <w:r>
        <w:rPr>
          <w:spacing w:val="-66"/>
        </w:rPr>
      </w:r>
      <w:r>
        <w:rPr>
          <w:spacing w:val="-2"/>
        </w:rPr>
        <w:t>州鑫润丰东热处理有限公司、江苏石川岛丰东真空技术有限公司董事长，广州丰东热炼有限公司副董事长，常州鑫润丰东热</w:t>
      </w:r>
      <w:r>
        <w:rPr>
          <w:spacing w:val="-66"/>
        </w:rPr>
        <w:t> </w:t>
      </w:r>
      <w:r>
        <w:rPr>
          <w:spacing w:val="-66"/>
        </w:rPr>
      </w:r>
      <w:r>
        <w:rPr/>
        <w:t>处理工程有限公司董事，株式会社</w:t>
      </w:r>
      <w:r>
        <w:rPr>
          <w:rFonts w:ascii="宋体" w:hAnsi="宋体" w:cs="宋体" w:eastAsia="宋体" w:hint="default"/>
        </w:rPr>
        <w:t>ISI</w:t>
      </w:r>
      <w:r>
        <w:rPr/>
        <w:t>理事。社会职务：中国机械工程学会热处理分会副理事长、盐城市党代表、盐城市工</w:t>
      </w:r>
      <w:r>
        <w:rPr>
          <w:spacing w:val="-83"/>
        </w:rPr>
        <w:t> </w:t>
      </w:r>
      <w:r>
        <w:rPr>
          <w:spacing w:val="-83"/>
        </w:rPr>
      </w:r>
      <w:r>
        <w:rPr/>
        <w:t>商联副会长。</w:t>
      </w:r>
    </w:p>
    <w:p>
      <w:pPr>
        <w:pStyle w:val="BodyText"/>
        <w:spacing w:line="309" w:lineRule="auto" w:before="140"/>
        <w:ind w:left="153" w:right="1131" w:firstLine="361"/>
        <w:jc w:val="both"/>
      </w:pPr>
      <w:r>
        <w:rPr>
          <w:rFonts w:ascii="宋体" w:hAnsi="宋体" w:cs="宋体" w:eastAsia="宋体" w:hint="default"/>
          <w:b/>
          <w:bCs/>
          <w:spacing w:val="-2"/>
        </w:rPr>
        <w:t>河田一喜先生</w:t>
      </w:r>
      <w:r>
        <w:rPr>
          <w:spacing w:val="-2"/>
        </w:rPr>
        <w:t>，日本国籍，</w:t>
      </w:r>
      <w:r>
        <w:rPr>
          <w:rFonts w:ascii="Times New Roman" w:hAnsi="Times New Roman" w:cs="Times New Roman" w:eastAsia="Times New Roman" w:hint="default"/>
          <w:spacing w:val="-2"/>
        </w:rPr>
        <w:t>1954</w:t>
      </w:r>
      <w:r>
        <w:rPr>
          <w:spacing w:val="-2"/>
        </w:rPr>
        <w:t>年出生，大学学历。历任日本东方工程株式会社课长、次长、部长、取缔役。现任日本</w:t>
      </w:r>
      <w:r>
        <w:rPr/>
        <w:t> </w:t>
      </w:r>
      <w:r>
        <w:rPr>
          <w:spacing w:val="-2"/>
        </w:rPr>
        <w:t>东方工程株式会社代表取缔役、社长、本公司副董事长；兼任盐城丰东特种炉业有限公司、天津丰东热处理有限公司副董事</w:t>
      </w:r>
      <w:r>
        <w:rPr>
          <w:spacing w:val="-66"/>
        </w:rPr>
        <w:t> </w:t>
      </w:r>
      <w:r>
        <w:rPr>
          <w:spacing w:val="-66"/>
        </w:rPr>
      </w:r>
      <w:r>
        <w:rPr/>
        <w:t>长。</w:t>
      </w:r>
    </w:p>
    <w:p>
      <w:pPr>
        <w:pStyle w:val="BodyText"/>
        <w:spacing w:line="314" w:lineRule="auto" w:before="144"/>
        <w:ind w:left="153" w:right="1130" w:firstLine="361"/>
        <w:jc w:val="both"/>
      </w:pPr>
      <w:r>
        <w:rPr>
          <w:rFonts w:ascii="宋体" w:hAnsi="宋体" w:cs="宋体" w:eastAsia="宋体" w:hint="default"/>
          <w:b/>
          <w:bCs/>
        </w:rPr>
        <w:t>向建华先生</w:t>
      </w:r>
      <w:r>
        <w:rPr/>
        <w:t>，中国国籍，</w:t>
      </w:r>
      <w:r>
        <w:rPr>
          <w:rFonts w:ascii="Times New Roman" w:hAnsi="Times New Roman" w:cs="Times New Roman" w:eastAsia="Times New Roman" w:hint="default"/>
        </w:rPr>
        <w:t>1966</w:t>
      </w:r>
      <w:r>
        <w:rPr/>
        <w:t>年出生，研究生学历</w:t>
      </w:r>
      <w:r>
        <w:rPr>
          <w:rFonts w:ascii="Times New Roman" w:hAnsi="Times New Roman" w:cs="Times New Roman" w:eastAsia="Times New Roman" w:hint="default"/>
        </w:rPr>
        <w:t>,</w:t>
      </w:r>
      <w:r>
        <w:rPr/>
        <w:t>高级工程师。现任本公司副董事长、副总经理；兼任江苏丰东热处 </w:t>
      </w:r>
      <w:r>
        <w:rPr>
          <w:spacing w:val="-2"/>
        </w:rPr>
        <w:t>理及表面改性工程技术研究有限公司、盐城丰东特种炉业有限公司、潍坊丰东热处理有限公司董事长；兼任大丰市东润投资</w:t>
      </w:r>
      <w:r>
        <w:rPr>
          <w:spacing w:val="-66"/>
        </w:rPr>
        <w:t> </w:t>
      </w:r>
      <w:r>
        <w:rPr>
          <w:spacing w:val="-66"/>
        </w:rPr>
      </w:r>
      <w:r>
        <w:rPr>
          <w:spacing w:val="-2"/>
        </w:rPr>
        <w:t>管理有限公司、上海丰东热处理工程有限公司、青岛丰东热处理有限公司、盐城松立电器有限公司、盐城明华电气安装有限</w:t>
      </w:r>
      <w:r>
        <w:rPr>
          <w:spacing w:val="-66"/>
        </w:rPr>
        <w:t> </w:t>
      </w:r>
      <w:r>
        <w:rPr>
          <w:spacing w:val="-66"/>
        </w:rPr>
      </w:r>
      <w:r>
        <w:rPr>
          <w:spacing w:val="-2"/>
        </w:rPr>
        <w:t>公司董事，南京东旭投资管理合伙企业（有限合伙）执行合伙人。社会职务：中国热处理行业协会副理事长、全国热处理标</w:t>
      </w:r>
      <w:r>
        <w:rPr>
          <w:spacing w:val="-68"/>
        </w:rPr>
        <w:t> </w:t>
      </w:r>
      <w:r>
        <w:rPr>
          <w:spacing w:val="-68"/>
        </w:rPr>
      </w:r>
      <w:r>
        <w:rPr/>
        <w:t>准化技术委员会副主任委员、江苏省机械工程学会热处理专业委员会副主任委员、南京航空航天大学兼职教授。</w:t>
      </w:r>
    </w:p>
    <w:p>
      <w:pPr>
        <w:pStyle w:val="BodyText"/>
        <w:spacing w:line="309" w:lineRule="auto" w:before="140"/>
        <w:ind w:left="153" w:right="1130" w:firstLine="361"/>
        <w:jc w:val="both"/>
      </w:pPr>
      <w:r>
        <w:rPr>
          <w:rFonts w:ascii="宋体" w:hAnsi="宋体" w:cs="宋体" w:eastAsia="宋体" w:hint="default"/>
          <w:b/>
          <w:bCs/>
          <w:spacing w:val="-2"/>
        </w:rPr>
        <w:t>王毅先生</w:t>
      </w:r>
      <w:r>
        <w:rPr>
          <w:spacing w:val="-2"/>
        </w:rPr>
        <w:t>，中国国籍，</w:t>
      </w:r>
      <w:r>
        <w:rPr>
          <w:rFonts w:ascii="Times New Roman" w:hAnsi="Times New Roman" w:cs="Times New Roman" w:eastAsia="Times New Roman" w:hint="default"/>
          <w:spacing w:val="-2"/>
        </w:rPr>
        <w:t>1967</w:t>
      </w:r>
      <w:r>
        <w:rPr>
          <w:spacing w:val="-2"/>
        </w:rPr>
        <w:t>年出生，大专学历。现任本公司董事、副总经理、营销总监；兼任常州鑫润丰东热处理工程</w:t>
      </w:r>
      <w:r>
        <w:rPr/>
        <w:t> </w:t>
      </w:r>
      <w:r>
        <w:rPr>
          <w:spacing w:val="-2"/>
        </w:rPr>
        <w:t>有限公司董事长，重庆丰东热处理工程有限公司、盐城高周波热炼有限公司、北京丰东建通工业炉科技有限公司、江苏石川</w:t>
      </w:r>
      <w:r>
        <w:rPr>
          <w:spacing w:val="-66"/>
        </w:rPr>
        <w:t> </w:t>
      </w:r>
      <w:r>
        <w:rPr>
          <w:spacing w:val="-66"/>
        </w:rPr>
      </w:r>
      <w:r>
        <w:rPr/>
        <w:t>岛丰东真空技术有限公司董事。</w:t>
      </w:r>
    </w:p>
    <w:p>
      <w:pPr>
        <w:pStyle w:val="BodyText"/>
        <w:spacing w:line="312" w:lineRule="auto" w:before="144"/>
        <w:ind w:left="153" w:right="1130" w:firstLine="361"/>
        <w:jc w:val="both"/>
      </w:pPr>
      <w:r>
        <w:rPr>
          <w:rFonts w:ascii="宋体" w:hAnsi="宋体" w:cs="宋体" w:eastAsia="宋体" w:hint="default"/>
          <w:b/>
          <w:bCs/>
          <w:spacing w:val="-2"/>
        </w:rPr>
        <w:t>徐仕俊先生</w:t>
      </w:r>
      <w:r>
        <w:rPr>
          <w:spacing w:val="-2"/>
        </w:rPr>
        <w:t>，中国国籍，</w:t>
      </w:r>
      <w:r>
        <w:rPr>
          <w:rFonts w:ascii="Times New Roman" w:hAnsi="Times New Roman" w:cs="Times New Roman" w:eastAsia="Times New Roman" w:hint="default"/>
          <w:spacing w:val="-2"/>
        </w:rPr>
        <w:t>1967</w:t>
      </w:r>
      <w:r>
        <w:rPr>
          <w:spacing w:val="-2"/>
        </w:rPr>
        <w:t>年出生，大专学历，会计师职称。现任本公司董事、财务总监；兼任上海丰东热处理工程</w:t>
      </w:r>
      <w:r>
        <w:rPr/>
        <w:t> </w:t>
      </w:r>
      <w:r>
        <w:rPr>
          <w:spacing w:val="-2"/>
        </w:rPr>
        <w:t>有限公司、青岛丰东热处理有限公司、重庆丰东热处理工程有限公司、天津丰东热处理有限公司、盐城丰东特种炉业有限公</w:t>
      </w:r>
      <w:r>
        <w:rPr>
          <w:spacing w:val="-65"/>
        </w:rPr>
        <w:t> </w:t>
      </w:r>
      <w:r>
        <w:rPr>
          <w:spacing w:val="-65"/>
        </w:rPr>
      </w:r>
      <w:r>
        <w:rPr>
          <w:spacing w:val="-2"/>
        </w:rPr>
        <w:t>司、盐城高周波热炼有限公司、广州丰东热炼有限公司、江苏丰东热处理及表面改性工程技术研究有限公司、潍坊丰东热处</w:t>
      </w:r>
      <w:r>
        <w:rPr>
          <w:spacing w:val="-66"/>
        </w:rPr>
        <w:t> </w:t>
      </w:r>
      <w:r>
        <w:rPr>
          <w:spacing w:val="-66"/>
        </w:rPr>
      </w:r>
      <w:r>
        <w:rPr/>
        <w:t>理有限公司监事和南京丰东热处理工程有限公司董事。</w:t>
      </w:r>
    </w:p>
    <w:p>
      <w:pPr>
        <w:pStyle w:val="BodyText"/>
        <w:spacing w:line="309" w:lineRule="auto" w:before="142"/>
        <w:ind w:left="153" w:right="1130" w:firstLine="361"/>
        <w:jc w:val="both"/>
      </w:pPr>
      <w:r>
        <w:rPr>
          <w:rFonts w:ascii="宋体" w:hAnsi="宋体" w:cs="宋体" w:eastAsia="宋体" w:hint="default"/>
          <w:b/>
          <w:bCs/>
          <w:spacing w:val="-2"/>
        </w:rPr>
        <w:t>郜翀先生，</w:t>
      </w:r>
      <w:r>
        <w:rPr>
          <w:spacing w:val="-2"/>
        </w:rPr>
        <w:t>中国国籍，</w:t>
      </w:r>
      <w:r>
        <w:rPr>
          <w:rFonts w:ascii="Times New Roman" w:hAnsi="Times New Roman" w:cs="Times New Roman" w:eastAsia="Times New Roman" w:hint="default"/>
          <w:spacing w:val="-2"/>
        </w:rPr>
        <w:t>1969</w:t>
      </w:r>
      <w:r>
        <w:rPr>
          <w:spacing w:val="-2"/>
        </w:rPr>
        <w:t>年出生，中共党员，研究生学历。现任江苏沿海创新资本管理有限公司董事、副总裁，江苏</w:t>
      </w:r>
      <w:r>
        <w:rPr/>
        <w:t> </w:t>
      </w:r>
      <w:r>
        <w:rPr>
          <w:spacing w:val="-2"/>
        </w:rPr>
        <w:t>高投邦盛创业投资合伙企业总经理；担任本公司、江苏鼎胜新能源材料股份有限公司董事以及南京越博动力系统股份有限公</w:t>
      </w:r>
      <w:r>
        <w:rPr>
          <w:spacing w:val="-64"/>
        </w:rPr>
        <w:t> </w:t>
      </w:r>
      <w:r>
        <w:rPr>
          <w:spacing w:val="-64"/>
        </w:rPr>
      </w:r>
      <w:r>
        <w:rPr/>
        <w:t>司监事。</w:t>
      </w:r>
    </w:p>
    <w:p>
      <w:pPr>
        <w:pStyle w:val="BodyText"/>
        <w:spacing w:line="312" w:lineRule="auto" w:before="144"/>
        <w:ind w:left="153" w:right="1129" w:firstLine="361"/>
        <w:jc w:val="both"/>
      </w:pPr>
      <w:r>
        <w:rPr>
          <w:rFonts w:ascii="宋体" w:hAnsi="宋体" w:cs="宋体" w:eastAsia="宋体" w:hint="default"/>
          <w:b/>
          <w:bCs/>
          <w:spacing w:val="-2"/>
        </w:rPr>
        <w:t>周友梅先生</w:t>
      </w:r>
      <w:r>
        <w:rPr>
          <w:spacing w:val="-2"/>
        </w:rPr>
        <w:t>，中国国籍，</w:t>
      </w:r>
      <w:r>
        <w:rPr>
          <w:rFonts w:ascii="Times New Roman" w:hAnsi="Times New Roman" w:cs="Times New Roman" w:eastAsia="Times New Roman" w:hint="default"/>
          <w:spacing w:val="-2"/>
        </w:rPr>
        <w:t>1960</w:t>
      </w:r>
      <w:r>
        <w:rPr>
          <w:spacing w:val="-2"/>
        </w:rPr>
        <w:t>年出生，民建会员，研究生学历。现任南京财经大学会计学院教授、硕士研究生导师；民</w:t>
      </w:r>
      <w:r>
        <w:rPr/>
        <w:t> </w:t>
      </w:r>
      <w:r>
        <w:rPr>
          <w:spacing w:val="-2"/>
        </w:rPr>
        <w:t>建中央经济委员会委员，中国对外经济贸易会计学会副会长，江苏省资产评估协会副会长，江苏省对外经济贸易会计学会副</w:t>
      </w:r>
      <w:r>
        <w:rPr>
          <w:spacing w:val="-66"/>
        </w:rPr>
        <w:t> </w:t>
      </w:r>
      <w:r>
        <w:rPr>
          <w:spacing w:val="-66"/>
        </w:rPr>
      </w:r>
      <w:r>
        <w:rPr>
          <w:spacing w:val="-2"/>
        </w:rPr>
        <w:t>会长，中国内部审计学会学术委员会委员、中国资产评估协会理事；担任本公司、江苏舜天股份有限公司以及芜湖亚夏汽车</w:t>
      </w:r>
      <w:r>
        <w:rPr>
          <w:spacing w:val="-66"/>
        </w:rPr>
        <w:t> </w:t>
      </w:r>
      <w:r>
        <w:rPr>
          <w:spacing w:val="-66"/>
        </w:rPr>
      </w:r>
      <w:r>
        <w:rPr/>
        <w:t>股份有限公司独立董事。</w:t>
      </w:r>
    </w:p>
    <w:p>
      <w:pPr>
        <w:pStyle w:val="BodyText"/>
        <w:spacing w:line="300" w:lineRule="auto" w:before="142"/>
        <w:ind w:left="154" w:right="1131" w:firstLine="361"/>
        <w:jc w:val="both"/>
      </w:pPr>
      <w:r>
        <w:rPr>
          <w:rFonts w:ascii="宋体" w:hAnsi="宋体" w:cs="宋体" w:eastAsia="宋体" w:hint="default"/>
          <w:b/>
          <w:bCs/>
          <w:spacing w:val="-2"/>
        </w:rPr>
        <w:t>成志明先生</w:t>
      </w:r>
      <w:r>
        <w:rPr>
          <w:spacing w:val="-2"/>
        </w:rPr>
        <w:t>，中国国籍，</w:t>
      </w:r>
      <w:r>
        <w:rPr>
          <w:rFonts w:ascii="Times New Roman" w:hAnsi="Times New Roman" w:cs="Times New Roman" w:eastAsia="Times New Roman" w:hint="default"/>
          <w:spacing w:val="-2"/>
        </w:rPr>
        <w:t>1962</w:t>
      </w:r>
      <w:r>
        <w:rPr>
          <w:spacing w:val="-2"/>
        </w:rPr>
        <w:t>年出生，管理学博士，教授。现担任南京大学商学院教授；南京东方智业管理顾问有限公</w:t>
      </w:r>
      <w:r>
        <w:rPr/>
        <w:t> 司首席顾问；江苏省管理咨询协会名誉会长，中企联管理咨询委员会副主任；担任本公司独立董事。</w:t>
      </w:r>
    </w:p>
    <w:p>
      <w:pPr>
        <w:pStyle w:val="BodyText"/>
        <w:spacing w:line="300" w:lineRule="auto" w:before="151"/>
        <w:ind w:left="153" w:right="1131" w:firstLine="361"/>
        <w:jc w:val="both"/>
      </w:pPr>
      <w:r>
        <w:rPr>
          <w:rFonts w:ascii="宋体" w:hAnsi="宋体" w:cs="宋体" w:eastAsia="宋体" w:hint="default"/>
          <w:b/>
          <w:bCs/>
          <w:spacing w:val="-2"/>
        </w:rPr>
        <w:t>朱东先生，</w:t>
      </w:r>
      <w:r>
        <w:rPr>
          <w:spacing w:val="-2"/>
        </w:rPr>
        <w:t>中国国籍，</w:t>
      </w:r>
      <w:r>
        <w:rPr>
          <w:rFonts w:ascii="Times New Roman" w:hAnsi="Times New Roman" w:cs="Times New Roman" w:eastAsia="Times New Roman" w:hint="default"/>
          <w:spacing w:val="-2"/>
        </w:rPr>
        <w:t>1968</w:t>
      </w:r>
      <w:r>
        <w:rPr>
          <w:spacing w:val="-2"/>
        </w:rPr>
        <w:t>年出生，研究生学历。现任国浩律师（南京）事务所高级合伙人，本公司独立董事；无锡仲</w:t>
      </w:r>
      <w:r>
        <w:rPr/>
        <w:t> 裁委员会仲裁员。</w:t>
      </w:r>
    </w:p>
    <w:p>
      <w:pPr>
        <w:spacing w:line="432" w:lineRule="exact" w:before="16"/>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、现任监事专业背景、主要工作经历以及目前在公司的主要职责</w:t>
      </w:r>
      <w:r>
        <w:rPr>
          <w:rFonts w:ascii="宋体" w:hAnsi="宋体" w:cs="宋体" w:eastAsia="宋体" w:hint="default"/>
          <w:b/>
          <w:bCs/>
          <w:w w:val="99"/>
          <w:sz w:val="18"/>
          <w:szCs w:val="18"/>
        </w:rPr>
        <w:t> </w:t>
      </w:r>
      <w:r>
        <w:rPr>
          <w:rFonts w:ascii="宋体" w:hAnsi="宋体" w:cs="宋体" w:eastAsia="宋体" w:hint="default"/>
          <w:b/>
          <w:bCs/>
          <w:spacing w:val="-2"/>
          <w:sz w:val="18"/>
          <w:szCs w:val="18"/>
        </w:rPr>
        <w:t>张广仁先生</w:t>
      </w:r>
      <w:r>
        <w:rPr>
          <w:rFonts w:ascii="宋体" w:hAnsi="宋体" w:cs="宋体" w:eastAsia="宋体" w:hint="default"/>
          <w:spacing w:val="-2"/>
          <w:sz w:val="18"/>
          <w:szCs w:val="18"/>
        </w:rPr>
        <w:t>，中国国籍，</w:t>
      </w:r>
      <w:r>
        <w:rPr>
          <w:rFonts w:ascii="Times New Roman" w:hAnsi="Times New Roman" w:cs="Times New Roman" w:eastAsia="Times New Roman" w:hint="default"/>
          <w:spacing w:val="-2"/>
          <w:sz w:val="18"/>
          <w:szCs w:val="18"/>
        </w:rPr>
        <w:t>1938</w:t>
      </w:r>
      <w:r>
        <w:rPr>
          <w:rFonts w:ascii="宋体" w:hAnsi="宋体" w:cs="宋体" w:eastAsia="宋体" w:hint="default"/>
          <w:spacing w:val="-2"/>
          <w:sz w:val="18"/>
          <w:szCs w:val="18"/>
        </w:rPr>
        <w:t>年出生，拥有日本永久居留权，本科学历。现任日本和华株式会社代表取缔役、社长、本</w:t>
      </w:r>
    </w:p>
    <w:p>
      <w:pPr>
        <w:pStyle w:val="BodyText"/>
        <w:spacing w:line="439" w:lineRule="auto" w:before="15"/>
        <w:ind w:left="515" w:right="3547" w:hanging="362"/>
        <w:jc w:val="left"/>
      </w:pPr>
      <w:r>
        <w:rPr/>
        <w:t>公司监事会主席；兼任天津丰东热处理有限公司董事。 </w:t>
      </w:r>
      <w:r>
        <w:rPr>
          <w:rFonts w:ascii="宋体" w:hAnsi="宋体" w:cs="宋体" w:eastAsia="宋体" w:hint="default"/>
          <w:b/>
          <w:bCs/>
        </w:rPr>
        <w:t>朱小军先生</w:t>
      </w:r>
      <w:r>
        <w:rPr/>
        <w:t>，中国国籍，</w:t>
      </w:r>
      <w:r>
        <w:rPr>
          <w:rFonts w:ascii="Times New Roman" w:hAnsi="Times New Roman" w:cs="Times New Roman" w:eastAsia="Times New Roman" w:hint="default"/>
        </w:rPr>
        <w:t>1975</w:t>
      </w:r>
      <w:r>
        <w:rPr/>
        <w:t>年出生，本科学历。现任本公司销售总监、本公司监事。</w:t>
      </w:r>
    </w:p>
    <w:p>
      <w:pPr>
        <w:spacing w:after="0" w:line="439" w:lineRule="auto"/>
        <w:jc w:val="left"/>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left="154" w:right="1129" w:firstLine="361"/>
        <w:jc w:val="both"/>
      </w:pPr>
      <w:r>
        <w:rPr>
          <w:rFonts w:ascii="宋体" w:hAnsi="宋体" w:cs="宋体" w:eastAsia="宋体" w:hint="default"/>
          <w:b/>
          <w:bCs/>
          <w:spacing w:val="-1"/>
        </w:rPr>
        <w:t>许红明女士</w:t>
      </w:r>
      <w:r>
        <w:rPr>
          <w:spacing w:val="-1"/>
        </w:rPr>
        <w:t>，中国国籍，</w:t>
      </w:r>
      <w:r>
        <w:rPr>
          <w:rFonts w:ascii="Times New Roman" w:hAnsi="Times New Roman" w:cs="Times New Roman" w:eastAsia="Times New Roman" w:hint="default"/>
          <w:spacing w:val="-1"/>
        </w:rPr>
        <w:t>1969</w:t>
      </w:r>
      <w:r>
        <w:rPr>
          <w:spacing w:val="-1"/>
        </w:rPr>
        <w:t>年出生，本科学历，会计师、注册税务师、国际注册内部审计师（</w:t>
      </w:r>
      <w:r>
        <w:rPr>
          <w:rFonts w:ascii="Times New Roman" w:hAnsi="Times New Roman" w:cs="Times New Roman" w:eastAsia="Times New Roman" w:hint="default"/>
          <w:spacing w:val="-1"/>
        </w:rPr>
        <w:t>CIA</w:t>
      </w:r>
      <w:r>
        <w:rPr>
          <w:spacing w:val="-1"/>
        </w:rPr>
        <w:t>）。现任本公司内</w:t>
      </w:r>
      <w:r>
        <w:rPr/>
        <w:t> </w:t>
      </w:r>
      <w:r>
        <w:rPr>
          <w:spacing w:val="-2"/>
        </w:rPr>
        <w:t>部审计部部长、本公司职工代表监事，兼任北京丰东建通工业炉科技有限公司、盐城丰东祺耀工业炉有限公司、广州鑫润丰</w:t>
      </w:r>
      <w:r>
        <w:rPr>
          <w:spacing w:val="-66"/>
        </w:rPr>
        <w:t> </w:t>
      </w:r>
      <w:r>
        <w:rPr>
          <w:spacing w:val="-66"/>
        </w:rPr>
      </w:r>
      <w:r>
        <w:rPr/>
        <w:t>东热处理有限公司、常州鑫润丰东热处理工程有限公司监事。</w:t>
      </w:r>
    </w:p>
    <w:p>
      <w:pPr>
        <w:spacing w:line="415" w:lineRule="auto" w:before="144"/>
        <w:ind w:left="515" w:right="4093"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、现任高级管理人员专业背景、主要工作经历以及目前在公司的主要职责</w:t>
      </w:r>
      <w:r>
        <w:rPr>
          <w:rFonts w:ascii="宋体" w:hAnsi="宋体" w:cs="宋体" w:eastAsia="宋体" w:hint="default"/>
          <w:b/>
          <w:bCs/>
          <w:spacing w:val="28"/>
          <w:w w:val="95"/>
          <w:sz w:val="18"/>
          <w:szCs w:val="18"/>
        </w:rPr>
        <w:t> </w:t>
      </w:r>
      <w:r>
        <w:rPr>
          <w:rFonts w:ascii="宋体" w:hAnsi="宋体" w:cs="宋体" w:eastAsia="宋体" w:hint="default"/>
          <w:b/>
          <w:bCs/>
          <w:spacing w:val="28"/>
          <w:w w:val="95"/>
          <w:sz w:val="18"/>
          <w:szCs w:val="18"/>
        </w:rPr>
      </w:r>
      <w:r>
        <w:rPr>
          <w:rFonts w:ascii="宋体" w:hAnsi="宋体" w:cs="宋体" w:eastAsia="宋体" w:hint="default"/>
          <w:b/>
          <w:bCs/>
          <w:sz w:val="18"/>
          <w:szCs w:val="18"/>
        </w:rPr>
        <w:t>朱文明先生</w:t>
      </w:r>
      <w:r>
        <w:rPr>
          <w:rFonts w:ascii="宋体" w:hAnsi="宋体" w:cs="宋体" w:eastAsia="宋体" w:hint="default"/>
          <w:sz w:val="18"/>
          <w:szCs w:val="18"/>
        </w:rPr>
        <w:t>，总经理，详见本节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部分。 </w:t>
      </w:r>
      <w:r>
        <w:rPr>
          <w:rFonts w:ascii="宋体" w:hAnsi="宋体" w:cs="宋体" w:eastAsia="宋体" w:hint="default"/>
          <w:b/>
          <w:bCs/>
          <w:sz w:val="18"/>
          <w:szCs w:val="18"/>
        </w:rPr>
        <w:t>向建华先生</w:t>
      </w:r>
      <w:r>
        <w:rPr>
          <w:rFonts w:ascii="宋体" w:hAnsi="宋体" w:cs="宋体" w:eastAsia="宋体" w:hint="default"/>
          <w:sz w:val="18"/>
          <w:szCs w:val="18"/>
        </w:rPr>
        <w:t>，副总经理，详见本节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p>
      <w:pPr>
        <w:pStyle w:val="BodyText"/>
        <w:spacing w:line="309" w:lineRule="auto" w:before="37"/>
        <w:ind w:left="153" w:right="1131" w:firstLine="361"/>
        <w:jc w:val="both"/>
      </w:pPr>
      <w:r>
        <w:rPr>
          <w:rFonts w:ascii="宋体" w:hAnsi="宋体" w:cs="宋体" w:eastAsia="宋体" w:hint="default"/>
          <w:b/>
          <w:bCs/>
          <w:spacing w:val="-2"/>
        </w:rPr>
        <w:t>塚田幸弘先生</w:t>
      </w:r>
      <w:r>
        <w:rPr>
          <w:spacing w:val="-2"/>
        </w:rPr>
        <w:t>，日本国籍，</w:t>
      </w:r>
      <w:r>
        <w:rPr>
          <w:rFonts w:ascii="Times New Roman" w:hAnsi="Times New Roman" w:cs="Times New Roman" w:eastAsia="Times New Roman" w:hint="default"/>
          <w:spacing w:val="-2"/>
        </w:rPr>
        <w:t>1958</w:t>
      </w:r>
      <w:r>
        <w:rPr>
          <w:spacing w:val="-2"/>
        </w:rPr>
        <w:t>年出生，大学学历。历任日本东方工程株式会社生产部、技术部、海外营业部课长、次</w:t>
      </w:r>
      <w:r>
        <w:rPr/>
        <w:t> </w:t>
      </w:r>
      <w:r>
        <w:rPr>
          <w:spacing w:val="-2"/>
        </w:rPr>
        <w:t>长。现任日本东方工程株式会社海外营业部次长、本公司副总经理；兼任上海丰东热处理工程有限公司、盐城丰东特种炉业</w:t>
      </w:r>
      <w:r>
        <w:rPr>
          <w:spacing w:val="-66"/>
        </w:rPr>
        <w:t> </w:t>
      </w:r>
      <w:r>
        <w:rPr>
          <w:spacing w:val="-66"/>
        </w:rPr>
      </w:r>
      <w:r>
        <w:rPr/>
        <w:t>有限公司、天津丰东热处理有限公司董事。</w:t>
      </w:r>
    </w:p>
    <w:p>
      <w:pPr>
        <w:pStyle w:val="BodyText"/>
        <w:spacing w:line="300" w:lineRule="auto" w:before="144"/>
        <w:ind w:left="154" w:right="1131" w:firstLine="361"/>
        <w:jc w:val="both"/>
      </w:pPr>
      <w:r>
        <w:rPr>
          <w:rFonts w:ascii="宋体" w:hAnsi="宋体" w:cs="宋体" w:eastAsia="宋体" w:hint="default"/>
          <w:b/>
          <w:bCs/>
          <w:spacing w:val="-2"/>
        </w:rPr>
        <w:t>张建新先生</w:t>
      </w:r>
      <w:r>
        <w:rPr>
          <w:spacing w:val="-2"/>
        </w:rPr>
        <w:t>，中国国籍，</w:t>
      </w:r>
      <w:r>
        <w:rPr>
          <w:rFonts w:ascii="Times New Roman" w:hAnsi="Times New Roman" w:cs="Times New Roman" w:eastAsia="Times New Roman" w:hint="default"/>
          <w:spacing w:val="-2"/>
        </w:rPr>
        <w:t>1961</w:t>
      </w:r>
      <w:r>
        <w:rPr>
          <w:spacing w:val="-2"/>
        </w:rPr>
        <w:t>年出生，大专学历。现任本公司副总经理；兼任上海丰东热处理工程有限公司董事、总经</w:t>
      </w:r>
      <w:r>
        <w:rPr/>
        <w:t> 理；大丰市东润投资管理有限公司董事。</w:t>
      </w:r>
    </w:p>
    <w:p>
      <w:pPr>
        <w:pStyle w:val="BodyText"/>
        <w:spacing w:line="300" w:lineRule="auto" w:before="151"/>
        <w:ind w:left="153" w:right="1130" w:firstLine="361"/>
        <w:jc w:val="both"/>
      </w:pPr>
      <w:r>
        <w:rPr>
          <w:rFonts w:ascii="宋体" w:hAnsi="宋体" w:cs="宋体" w:eastAsia="宋体" w:hint="default"/>
          <w:b/>
          <w:bCs/>
          <w:spacing w:val="-2"/>
        </w:rPr>
        <w:t>房莉莉女士</w:t>
      </w:r>
      <w:r>
        <w:rPr>
          <w:spacing w:val="-2"/>
        </w:rPr>
        <w:t>，中国国籍，</w:t>
      </w:r>
      <w:r>
        <w:rPr>
          <w:rFonts w:ascii="Times New Roman" w:hAnsi="Times New Roman" w:cs="Times New Roman" w:eastAsia="Times New Roman" w:hint="default"/>
          <w:spacing w:val="-2"/>
        </w:rPr>
        <w:t>1980</w:t>
      </w:r>
      <w:r>
        <w:rPr>
          <w:spacing w:val="-2"/>
        </w:rPr>
        <w:t>年出生，本科学历。历任公司证券部助理、职工代表监事。现任本公司副总经理、董事会</w:t>
      </w:r>
      <w:r>
        <w:rPr/>
        <w:t> 秘书，兼任证券部部长。</w:t>
      </w:r>
    </w:p>
    <w:p>
      <w:pPr>
        <w:pStyle w:val="BodyText"/>
        <w:spacing w:line="432" w:lineRule="exact" w:before="16"/>
        <w:ind w:left="515" w:right="0"/>
        <w:jc w:val="left"/>
      </w:pPr>
      <w:r>
        <w:rPr>
          <w:rFonts w:ascii="宋体" w:hAnsi="宋体" w:cs="宋体" w:eastAsia="宋体" w:hint="default"/>
          <w:b/>
          <w:bCs/>
        </w:rPr>
        <w:t>徐仕俊先生</w:t>
      </w:r>
      <w:r>
        <w:rPr/>
        <w:t>，财务总监，详见本节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 </w:t>
      </w:r>
      <w:r>
        <w:rPr>
          <w:rFonts w:ascii="宋体" w:hAnsi="宋体" w:cs="宋体" w:eastAsia="宋体" w:hint="default"/>
          <w:b/>
          <w:bCs/>
          <w:spacing w:val="-2"/>
        </w:rPr>
        <w:t>韩伯群先生，</w:t>
      </w:r>
      <w:r>
        <w:rPr>
          <w:spacing w:val="-2"/>
        </w:rPr>
        <w:t>中国国籍，</w:t>
      </w:r>
      <w:r>
        <w:rPr>
          <w:rFonts w:ascii="Times New Roman" w:hAnsi="Times New Roman" w:cs="Times New Roman" w:eastAsia="Times New Roman" w:hint="default"/>
          <w:spacing w:val="-2"/>
        </w:rPr>
        <w:t>1969</w:t>
      </w:r>
      <w:r>
        <w:rPr>
          <w:spacing w:val="-2"/>
        </w:rPr>
        <w:t>年出生，研究生学历，高级工程师。现任本公司总工程师、总师办主任；兼任江苏丰东热</w:t>
      </w:r>
    </w:p>
    <w:p>
      <w:pPr>
        <w:pStyle w:val="BodyText"/>
        <w:spacing w:line="441" w:lineRule="auto" w:before="15"/>
        <w:ind w:right="2653" w:hanging="360"/>
        <w:jc w:val="left"/>
      </w:pPr>
      <w:r>
        <w:rPr/>
        <w:t>处理及表面改性工程技术研究有限公司、潍坊丰东热处理有限公司董事。社会职务：盐城市人大代表。 在股东单位任职情况</w:t>
      </w:r>
    </w:p>
    <w:p>
      <w:pPr>
        <w:pStyle w:val="BodyText"/>
        <w:spacing w:line="214"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2895"/>
        <w:gridCol w:w="992"/>
        <w:gridCol w:w="1560"/>
        <w:gridCol w:w="1559"/>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在其他单位任职情况</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3261"/>
        <w:gridCol w:w="992"/>
        <w:gridCol w:w="1560"/>
        <w:gridCol w:w="1559"/>
        <w:gridCol w:w="1345"/>
      </w:tblGrid>
      <w:tr>
        <w:trPr>
          <w:trHeight w:val="57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261"/>
        <w:gridCol w:w="992"/>
        <w:gridCol w:w="1560"/>
        <w:gridCol w:w="1559"/>
        <w:gridCol w:w="1345"/>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6"/>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盐城松立电器有限公司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盐城明华电气安装有限公司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南京东旭投资管理合伙企业（有限合伙）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6"/>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1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江苏沿海创新资本管理有限公司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419"/>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261"/>
        <w:gridCol w:w="992"/>
        <w:gridCol w:w="1560"/>
        <w:gridCol w:w="1559"/>
        <w:gridCol w:w="1345"/>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江苏高投邦盛创业投资合伙企业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江苏鼎胜新能源材料股份有限公司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南京越博动力系统股份有限公司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南京财经大学会计学院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芜湖亚夏汽车股份有限公司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江苏舜天股份有限公司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南京大学商学院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国浩律师（南京）事务所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419"/>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6"/>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514"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6"/>
        <w:ind w:left="153" w:right="1139" w:firstLine="360"/>
        <w:jc w:val="both"/>
      </w:pPr>
      <w:r>
        <w:rPr>
          <w:rFonts w:ascii="Times New Roman" w:hAnsi="Times New Roman" w:cs="Times New Roman" w:eastAsia="Times New Roman" w:hint="default"/>
        </w:rPr>
        <w:t>1</w:t>
      </w:r>
      <w:r>
        <w:rPr/>
        <w:t>、董事、监事、高级管理人员报酬的决策程序：《第三届董事、监事津贴方案》经公司第三届董事会第二次会议审议 并提交</w:t>
      </w:r>
      <w:r>
        <w:rPr>
          <w:rFonts w:ascii="Times New Roman" w:hAnsi="Times New Roman" w:cs="Times New Roman" w:eastAsia="Times New Roman" w:hint="default"/>
        </w:rPr>
        <w:t>2013</w:t>
      </w:r>
      <w:r>
        <w:rPr/>
        <w:t>年度股东大会审议通过；高级管理人员</w:t>
      </w:r>
      <w:r>
        <w:rPr>
          <w:rFonts w:ascii="Times New Roman" w:hAnsi="Times New Roman" w:cs="Times New Roman" w:eastAsia="Times New Roman" w:hint="default"/>
        </w:rPr>
        <w:t>2015</w:t>
      </w:r>
      <w:r>
        <w:rPr/>
        <w:t>年度报酬经公司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日召开的董事会薪酬委员会会议同意， 并提交公司第三届董事会第十三次会议审议通过。</w:t>
      </w:r>
    </w:p>
    <w:p>
      <w:pPr>
        <w:pStyle w:val="BodyText"/>
        <w:spacing w:line="300" w:lineRule="auto" w:before="70"/>
        <w:ind w:left="153" w:right="1130" w:firstLine="360"/>
        <w:jc w:val="both"/>
      </w:pPr>
      <w:r>
        <w:rPr>
          <w:rFonts w:ascii="Times New Roman" w:hAnsi="Times New Roman" w:cs="Times New Roman" w:eastAsia="Times New Roman" w:hint="default"/>
        </w:rPr>
        <w:t>2</w:t>
      </w:r>
      <w:r>
        <w:rPr/>
        <w:t>、董事、监事、高级管理人员报酬的确定依据：独立董事薪酬是公司根据独立董事实际工作开展情况结合当前市场实 </w:t>
      </w:r>
      <w:r>
        <w:rPr>
          <w:spacing w:val="-2"/>
        </w:rPr>
        <w:t>际确定。高级管理人员的报酬是根据公司《高级管理人员薪酬管理制度》的相关规定，结合公司</w:t>
      </w:r>
      <w:r>
        <w:rPr>
          <w:rFonts w:ascii="Times New Roman" w:hAnsi="Times New Roman" w:cs="Times New Roman" w:eastAsia="Times New Roman" w:hint="default"/>
          <w:spacing w:val="-2"/>
        </w:rPr>
        <w:t>2015</w:t>
      </w:r>
      <w:r>
        <w:rPr>
          <w:spacing w:val="-2"/>
        </w:rPr>
        <w:t>年度经营结果和公司高</w:t>
      </w:r>
      <w:r>
        <w:rPr>
          <w:spacing w:val="-62"/>
        </w:rPr>
        <w:t> </w:t>
      </w:r>
      <w:r>
        <w:rPr/>
        <w:t>级管理人员在完成年度经营目标所承担的具体岗位职责确定的。</w:t>
      </w:r>
    </w:p>
    <w:p>
      <w:pPr>
        <w:pStyle w:val="BodyText"/>
        <w:spacing w:line="302" w:lineRule="auto" w:before="70"/>
        <w:ind w:left="154" w:right="1140" w:firstLine="360"/>
        <w:jc w:val="both"/>
      </w:pPr>
      <w:r>
        <w:rPr>
          <w:rFonts w:ascii="Times New Roman" w:hAnsi="Times New Roman" w:cs="Times New Roman" w:eastAsia="Times New Roman" w:hint="default"/>
        </w:rPr>
        <w:t>3</w:t>
      </w:r>
      <w:r>
        <w:rPr/>
        <w:t>、董事、监事、高级管理人员报酬的实际支付情况：独立董事报酬每月按标准支付到个人账户；高级管理人员报酬根 据月度考核结果按月发放。</w:t>
      </w:r>
    </w:p>
    <w:p>
      <w:pPr>
        <w:spacing w:after="0" w:line="302" w:lineRule="auto"/>
        <w:jc w:val="both"/>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2411"/>
        <w:gridCol w:w="850"/>
        <w:gridCol w:w="934"/>
        <w:gridCol w:w="1368"/>
        <w:gridCol w:w="1367"/>
        <w:gridCol w:w="1367"/>
      </w:tblGrid>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8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46.98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董事、副总经理、营销总监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45.02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36.01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49.78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23.77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陈国民</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29.96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412.55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公司董事、监事、高级管理人员报告期内被授予的股权激励情况</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0" w:right="8690"/>
        <w:jc w:val="center"/>
        <w:rPr>
          <w:b w:val="0"/>
          <w:bCs w:val="0"/>
        </w:rPr>
      </w:pPr>
      <w:bookmarkStart w:name="五、公司员工情况" w:id="123"/>
      <w:bookmarkEnd w:id="123"/>
      <w:r>
        <w:rPr>
          <w:b w:val="0"/>
          <w:bCs w:val="0"/>
        </w:rPr>
      </w:r>
      <w:r>
        <w:rPr/>
        <w:t>五、公司员工情况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、截至本报告期末，公司在册员工总数为</w:t>
      </w:r>
      <w:r>
        <w:rPr>
          <w:rFonts w:ascii="Times New Roman" w:hAnsi="Times New Roman" w:cs="Times New Roman" w:eastAsia="Times New Roman" w:hint="default"/>
        </w:rPr>
        <w:t>1,035</w:t>
      </w:r>
      <w:r>
        <w:rPr/>
        <w:t>人，需公司承担费用的离退休人员为</w:t>
      </w:r>
      <w:r>
        <w:rPr>
          <w:rFonts w:ascii="Times New Roman" w:hAnsi="Times New Roman" w:cs="Times New Roman" w:eastAsia="Times New Roman" w:hint="default"/>
        </w:rPr>
        <w:t>0</w:t>
      </w:r>
      <w:r>
        <w:rPr/>
        <w:t>，其中各类人员构成如下：</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1</w:t>
      </w:r>
      <w:r>
        <w:rPr/>
        <w:t>）员工专业情况</w:t>
      </w:r>
    </w:p>
    <w:p>
      <w:pPr>
        <w:spacing w:line="240" w:lineRule="auto" w:before="1"/>
        <w:rPr>
          <w:rFonts w:ascii="宋体" w:hAnsi="宋体" w:cs="宋体" w:eastAsia="宋体" w:hint="default"/>
          <w:sz w:val="13"/>
          <w:szCs w:val="13"/>
        </w:rPr>
      </w:pPr>
    </w:p>
    <w:tbl>
      <w:tblPr>
        <w:tblW w:w="0" w:type="auto"/>
        <w:jc w:val="left"/>
        <w:tblInd w:w="1965" w:type="dxa"/>
        <w:tblLayout w:type="fixed"/>
        <w:tblCellMar>
          <w:top w:w="0" w:type="dxa"/>
          <w:left w:w="0" w:type="dxa"/>
          <w:bottom w:w="0" w:type="dxa"/>
          <w:right w:w="0" w:type="dxa"/>
        </w:tblCellMar>
        <w:tblLook w:val="01E0"/>
      </w:tblPr>
      <w:tblGrid>
        <w:gridCol w:w="2085"/>
        <w:gridCol w:w="1712"/>
        <w:gridCol w:w="2210"/>
      </w:tblGrid>
      <w:tr>
        <w:trPr>
          <w:trHeight w:val="340" w:hRule="exact"/>
        </w:trPr>
        <w:tc>
          <w:tcPr>
            <w:tcW w:w="2085"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21"/>
              <w:ind w:right="73"/>
              <w:jc w:val="center"/>
              <w:rPr>
                <w:rFonts w:ascii="宋体" w:hAnsi="宋体" w:cs="宋体" w:eastAsia="宋体" w:hint="default"/>
                <w:sz w:val="18"/>
                <w:szCs w:val="18"/>
              </w:rPr>
            </w:pPr>
            <w:r>
              <w:rPr>
                <w:rFonts w:ascii="宋体" w:hAnsi="宋体" w:cs="宋体" w:eastAsia="宋体" w:hint="default"/>
                <w:b/>
                <w:bCs/>
                <w:sz w:val="18"/>
                <w:szCs w:val="18"/>
              </w:rPr>
              <w:t>分工</w:t>
            </w:r>
            <w:r>
              <w:rPr>
                <w:rFonts w:ascii="宋体" w:hAnsi="宋体" w:cs="宋体" w:eastAsia="宋体" w:hint="default"/>
                <w:sz w:val="18"/>
                <w:szCs w:val="18"/>
              </w:rPr>
            </w:r>
          </w:p>
        </w:tc>
        <w:tc>
          <w:tcPr>
            <w:tcW w:w="1712"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21"/>
              <w:ind w:right="604"/>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210"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21"/>
              <w:ind w:left="223"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4" w:hRule="exact"/>
        </w:trPr>
        <w:tc>
          <w:tcPr>
            <w:tcW w:w="2085"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76"/>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712"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651"/>
              <w:jc w:val="right"/>
              <w:rPr>
                <w:rFonts w:ascii="Times New Roman" w:hAnsi="Times New Roman" w:cs="Times New Roman" w:eastAsia="Times New Roman" w:hint="default"/>
                <w:sz w:val="18"/>
                <w:szCs w:val="18"/>
              </w:rPr>
            </w:pPr>
            <w:r>
              <w:rPr>
                <w:rFonts w:ascii="Times New Roman"/>
                <w:sz w:val="18"/>
              </w:rPr>
              <w:t>591</w:t>
            </w:r>
          </w:p>
        </w:tc>
        <w:tc>
          <w:tcPr>
            <w:tcW w:w="2210" w:type="dxa"/>
            <w:tcBorders>
              <w:top w:val="single" w:sz="10" w:space="0" w:color="000000"/>
              <w:left w:val="nil" w:sz="6" w:space="0" w:color="auto"/>
              <w:bottom w:val="nil" w:sz="6" w:space="0" w:color="auto"/>
              <w:right w:val="nil" w:sz="6" w:space="0" w:color="auto"/>
            </w:tcBorders>
          </w:tcPr>
          <w:p>
            <w:pPr>
              <w:pStyle w:val="TableParagraph"/>
              <w:spacing w:line="240" w:lineRule="auto" w:before="55"/>
              <w:ind w:left="225" w:right="0"/>
              <w:jc w:val="center"/>
              <w:rPr>
                <w:rFonts w:ascii="Times New Roman" w:hAnsi="Times New Roman" w:cs="Times New Roman" w:eastAsia="Times New Roman" w:hint="default"/>
                <w:sz w:val="18"/>
                <w:szCs w:val="18"/>
              </w:rPr>
            </w:pPr>
            <w:r>
              <w:rPr>
                <w:rFonts w:ascii="Times New Roman"/>
                <w:sz w:val="18"/>
              </w:rPr>
              <w:t>57.10%</w:t>
            </w:r>
          </w:p>
        </w:tc>
      </w:tr>
      <w:tr>
        <w:trPr>
          <w:trHeight w:val="332"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6"/>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51"/>
              <w:jc w:val="right"/>
              <w:rPr>
                <w:rFonts w:ascii="Times New Roman" w:hAnsi="Times New Roman" w:cs="Times New Roman" w:eastAsia="Times New Roman" w:hint="default"/>
                <w:sz w:val="18"/>
                <w:szCs w:val="18"/>
              </w:rPr>
            </w:pPr>
            <w:r>
              <w:rPr>
                <w:rFonts w:ascii="Times New Roman"/>
                <w:sz w:val="18"/>
              </w:rPr>
              <w:t>198</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25" w:right="0"/>
              <w:jc w:val="center"/>
              <w:rPr>
                <w:rFonts w:ascii="Times New Roman" w:hAnsi="Times New Roman" w:cs="Times New Roman" w:eastAsia="Times New Roman" w:hint="default"/>
                <w:sz w:val="18"/>
                <w:szCs w:val="18"/>
              </w:rPr>
            </w:pPr>
            <w:r>
              <w:rPr>
                <w:rFonts w:ascii="Times New Roman"/>
                <w:sz w:val="18"/>
              </w:rPr>
              <w:t>19.13%</w:t>
            </w:r>
          </w:p>
        </w:tc>
      </w:tr>
      <w:tr>
        <w:trPr>
          <w:trHeight w:val="332"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51"/>
              <w:jc w:val="right"/>
              <w:rPr>
                <w:rFonts w:ascii="Times New Roman" w:hAnsi="Times New Roman" w:cs="Times New Roman" w:eastAsia="Times New Roman" w:hint="default"/>
                <w:sz w:val="18"/>
                <w:szCs w:val="18"/>
              </w:rPr>
            </w:pPr>
            <w:r>
              <w:rPr>
                <w:rFonts w:ascii="Times New Roman"/>
                <w:sz w:val="18"/>
              </w:rPr>
              <w:t>177</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25" w:right="0"/>
              <w:jc w:val="center"/>
              <w:rPr>
                <w:rFonts w:ascii="Times New Roman" w:hAnsi="Times New Roman" w:cs="Times New Roman" w:eastAsia="Times New Roman" w:hint="default"/>
                <w:sz w:val="18"/>
                <w:szCs w:val="18"/>
              </w:rPr>
            </w:pPr>
            <w:r>
              <w:rPr>
                <w:rFonts w:ascii="Times New Roman"/>
                <w:sz w:val="18"/>
              </w:rPr>
              <w:t>17.10%</w:t>
            </w:r>
          </w:p>
        </w:tc>
      </w:tr>
      <w:tr>
        <w:trPr>
          <w:trHeight w:val="332"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6"/>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5"/>
              <w:jc w:val="right"/>
              <w:rPr>
                <w:rFonts w:ascii="Times New Roman" w:hAnsi="Times New Roman" w:cs="Times New Roman" w:eastAsia="Times New Roman" w:hint="default"/>
                <w:sz w:val="18"/>
                <w:szCs w:val="18"/>
              </w:rPr>
            </w:pPr>
            <w:r>
              <w:rPr>
                <w:rFonts w:ascii="Times New Roman"/>
                <w:sz w:val="18"/>
              </w:rPr>
              <w:t>34</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24" w:right="0"/>
              <w:jc w:val="center"/>
              <w:rPr>
                <w:rFonts w:ascii="Times New Roman" w:hAnsi="Times New Roman" w:cs="Times New Roman" w:eastAsia="Times New Roman" w:hint="default"/>
                <w:sz w:val="18"/>
                <w:szCs w:val="18"/>
              </w:rPr>
            </w:pPr>
            <w:r>
              <w:rPr>
                <w:rFonts w:ascii="Times New Roman"/>
                <w:sz w:val="18"/>
              </w:rPr>
              <w:t>3.29%</w:t>
            </w:r>
          </w:p>
        </w:tc>
      </w:tr>
      <w:tr>
        <w:trPr>
          <w:trHeight w:val="332"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6"/>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5"/>
              <w:jc w:val="right"/>
              <w:rPr>
                <w:rFonts w:ascii="Times New Roman" w:hAnsi="Times New Roman" w:cs="Times New Roman" w:eastAsia="Times New Roman" w:hint="default"/>
                <w:sz w:val="18"/>
                <w:szCs w:val="18"/>
              </w:rPr>
            </w:pPr>
            <w:r>
              <w:rPr>
                <w:rFonts w:ascii="Times New Roman"/>
                <w:sz w:val="18"/>
              </w:rPr>
              <w:t>35</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24" w:right="0"/>
              <w:jc w:val="center"/>
              <w:rPr>
                <w:rFonts w:ascii="Times New Roman" w:hAnsi="Times New Roman" w:cs="Times New Roman" w:eastAsia="Times New Roman" w:hint="default"/>
                <w:sz w:val="18"/>
                <w:szCs w:val="18"/>
              </w:rPr>
            </w:pPr>
            <w:r>
              <w:rPr>
                <w:rFonts w:ascii="Times New Roman"/>
                <w:sz w:val="18"/>
              </w:rPr>
              <w:t>3.38%</w:t>
            </w:r>
          </w:p>
        </w:tc>
      </w:tr>
      <w:tr>
        <w:trPr>
          <w:trHeight w:val="336" w:hRule="exact"/>
        </w:trPr>
        <w:tc>
          <w:tcPr>
            <w:tcW w:w="2085" w:type="dxa"/>
            <w:tcBorders>
              <w:top w:val="nil" w:sz="6" w:space="0" w:color="auto"/>
              <w:left w:val="nil" w:sz="6" w:space="0" w:color="auto"/>
              <w:bottom w:val="single" w:sz="6" w:space="0" w:color="000000"/>
              <w:right w:val="nil" w:sz="6" w:space="0" w:color="auto"/>
            </w:tcBorders>
          </w:tcPr>
          <w:p>
            <w:pPr>
              <w:pStyle w:val="TableParagraph"/>
              <w:spacing w:line="240" w:lineRule="auto" w:before="16"/>
              <w:ind w:right="76"/>
              <w:jc w:val="center"/>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584"/>
              <w:jc w:val="right"/>
              <w:rPr>
                <w:rFonts w:ascii="Times New Roman" w:hAnsi="Times New Roman" w:cs="Times New Roman" w:eastAsia="Times New Roman" w:hint="default"/>
                <w:sz w:val="18"/>
                <w:szCs w:val="18"/>
              </w:rPr>
            </w:pPr>
            <w:r>
              <w:rPr>
                <w:rFonts w:ascii="Times New Roman"/>
                <w:sz w:val="18"/>
              </w:rPr>
              <w:t>1,035</w:t>
            </w:r>
          </w:p>
        </w:tc>
        <w:tc>
          <w:tcPr>
            <w:tcW w:w="2210"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left="224"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1"/>
        <w:rPr>
          <w:rFonts w:ascii="宋体" w:hAnsi="宋体" w:cs="宋体" w:eastAsia="宋体" w:hint="default"/>
          <w:sz w:val="29"/>
          <w:szCs w:val="29"/>
        </w:rPr>
      </w:pPr>
    </w:p>
    <w:p>
      <w:pPr>
        <w:spacing w:line="3623" w:lineRule="exact"/>
        <w:ind w:left="2082"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671266" cy="2301049"/>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28" cstate="print"/>
                    <a:stretch>
                      <a:fillRect/>
                    </a:stretch>
                  </pic:blipFill>
                  <pic:spPr>
                    <a:xfrm>
                      <a:off x="0" y="0"/>
                      <a:ext cx="3671266" cy="2301049"/>
                    </a:xfrm>
                    <a:prstGeom prst="rect">
                      <a:avLst/>
                    </a:prstGeom>
                  </pic:spPr>
                </pic:pic>
              </a:graphicData>
            </a:graphic>
          </wp:inline>
        </w:drawing>
      </w:r>
      <w:r>
        <w:rPr>
          <w:rFonts w:ascii="宋体" w:hAnsi="宋体" w:cs="宋体" w:eastAsia="宋体" w:hint="default"/>
          <w:position w:val="-71"/>
          <w:sz w:val="20"/>
          <w:szCs w:val="20"/>
        </w:rPr>
      </w:r>
    </w:p>
    <w:p>
      <w:pPr>
        <w:pStyle w:val="BodyText"/>
        <w:spacing w:line="240" w:lineRule="auto" w:before="72"/>
        <w:ind w:right="0"/>
        <w:jc w:val="left"/>
      </w:pPr>
      <w:r>
        <w:rPr/>
        <w:t>（</w:t>
      </w:r>
      <w:r>
        <w:rPr>
          <w:rFonts w:ascii="Times New Roman" w:hAnsi="Times New Roman" w:cs="Times New Roman" w:eastAsia="Times New Roman" w:hint="default"/>
        </w:rPr>
        <w:t>2</w:t>
      </w:r>
      <w:r>
        <w:rPr/>
        <w:t>）员工教育程度情况</w:t>
      </w:r>
    </w:p>
    <w:p>
      <w:pPr>
        <w:spacing w:line="240" w:lineRule="auto" w:before="7"/>
        <w:rPr>
          <w:rFonts w:ascii="宋体" w:hAnsi="宋体" w:cs="宋体" w:eastAsia="宋体" w:hint="default"/>
          <w:sz w:val="13"/>
          <w:szCs w:val="13"/>
        </w:rPr>
      </w:pPr>
    </w:p>
    <w:tbl>
      <w:tblPr>
        <w:tblW w:w="0" w:type="auto"/>
        <w:jc w:val="left"/>
        <w:tblInd w:w="1949" w:type="dxa"/>
        <w:tblLayout w:type="fixed"/>
        <w:tblCellMar>
          <w:top w:w="0" w:type="dxa"/>
          <w:left w:w="0" w:type="dxa"/>
          <w:bottom w:w="0" w:type="dxa"/>
          <w:right w:w="0" w:type="dxa"/>
        </w:tblCellMar>
        <w:tblLook w:val="01E0"/>
      </w:tblPr>
      <w:tblGrid>
        <w:gridCol w:w="2140"/>
        <w:gridCol w:w="1677"/>
        <w:gridCol w:w="2232"/>
      </w:tblGrid>
      <w:tr>
        <w:trPr>
          <w:trHeight w:val="334" w:hRule="exact"/>
        </w:trPr>
        <w:tc>
          <w:tcPr>
            <w:tcW w:w="2140"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right="123"/>
              <w:jc w:val="center"/>
              <w:rPr>
                <w:rFonts w:ascii="宋体" w:hAnsi="宋体" w:cs="宋体" w:eastAsia="宋体" w:hint="default"/>
                <w:sz w:val="18"/>
                <w:szCs w:val="18"/>
              </w:rPr>
            </w:pPr>
            <w:r>
              <w:rPr>
                <w:rFonts w:ascii="宋体" w:hAnsi="宋体" w:cs="宋体" w:eastAsia="宋体" w:hint="default"/>
                <w:b/>
                <w:bCs/>
                <w:sz w:val="18"/>
                <w:szCs w:val="18"/>
              </w:rPr>
              <w:t>受教育程度</w:t>
            </w:r>
            <w:r>
              <w:rPr>
                <w:rFonts w:ascii="宋体" w:hAnsi="宋体" w:cs="宋体" w:eastAsia="宋体" w:hint="default"/>
                <w:sz w:val="18"/>
                <w:szCs w:val="18"/>
              </w:rPr>
            </w:r>
          </w:p>
        </w:tc>
        <w:tc>
          <w:tcPr>
            <w:tcW w:w="1677"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right="60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232"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left="211"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3" w:hRule="exact"/>
        </w:trPr>
        <w:tc>
          <w:tcPr>
            <w:tcW w:w="2140"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124"/>
              <w:jc w:val="center"/>
              <w:rPr>
                <w:rFonts w:ascii="宋体" w:hAnsi="宋体" w:cs="宋体" w:eastAsia="宋体" w:hint="default"/>
                <w:sz w:val="18"/>
                <w:szCs w:val="18"/>
              </w:rPr>
            </w:pPr>
            <w:r>
              <w:rPr>
                <w:rFonts w:ascii="宋体" w:hAnsi="宋体" w:cs="宋体" w:eastAsia="宋体" w:hint="default"/>
                <w:sz w:val="18"/>
                <w:szCs w:val="18"/>
              </w:rPr>
              <w:t>博士</w:t>
            </w:r>
          </w:p>
        </w:tc>
        <w:tc>
          <w:tcPr>
            <w:tcW w:w="1677"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left="90" w:right="0"/>
              <w:jc w:val="center"/>
              <w:rPr>
                <w:rFonts w:ascii="Times New Roman" w:hAnsi="Times New Roman" w:cs="Times New Roman" w:eastAsia="Times New Roman" w:hint="default"/>
                <w:sz w:val="18"/>
                <w:szCs w:val="18"/>
              </w:rPr>
            </w:pPr>
            <w:r>
              <w:rPr>
                <w:rFonts w:ascii="Times New Roman"/>
                <w:sz w:val="18"/>
              </w:rPr>
              <w:t>1</w:t>
            </w:r>
          </w:p>
        </w:tc>
        <w:tc>
          <w:tcPr>
            <w:tcW w:w="2232"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left="214" w:right="0"/>
              <w:jc w:val="center"/>
              <w:rPr>
                <w:rFonts w:ascii="Times New Roman" w:hAnsi="Times New Roman" w:cs="Times New Roman" w:eastAsia="Times New Roman" w:hint="default"/>
                <w:sz w:val="18"/>
                <w:szCs w:val="18"/>
              </w:rPr>
            </w:pPr>
            <w:r>
              <w:rPr>
                <w:rFonts w:ascii="Times New Roman"/>
                <w:sz w:val="18"/>
              </w:rPr>
              <w:t>0.10%</w:t>
            </w:r>
          </w:p>
        </w:tc>
      </w:tr>
      <w:tr>
        <w:trPr>
          <w:trHeight w:val="332"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center"/>
              <w:rPr>
                <w:rFonts w:ascii="宋体" w:hAnsi="宋体" w:cs="宋体" w:eastAsia="宋体" w:hint="default"/>
                <w:sz w:val="18"/>
                <w:szCs w:val="18"/>
              </w:rPr>
            </w:pPr>
            <w:r>
              <w:rPr>
                <w:rFonts w:ascii="宋体" w:hAnsi="宋体" w:cs="宋体" w:eastAsia="宋体" w:hint="default"/>
                <w:sz w:val="18"/>
                <w:szCs w:val="18"/>
              </w:rPr>
              <w:t>硕士</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01"/>
              <w:jc w:val="right"/>
              <w:rPr>
                <w:rFonts w:ascii="Times New Roman" w:hAnsi="Times New Roman" w:cs="Times New Roman" w:eastAsia="Times New Roman" w:hint="default"/>
                <w:sz w:val="18"/>
                <w:szCs w:val="18"/>
              </w:rPr>
            </w:pPr>
            <w:r>
              <w:rPr>
                <w:rFonts w:ascii="Times New Roman"/>
                <w:sz w:val="18"/>
              </w:rPr>
              <w:t>12</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4" w:right="0"/>
              <w:jc w:val="center"/>
              <w:rPr>
                <w:rFonts w:ascii="Times New Roman" w:hAnsi="Times New Roman" w:cs="Times New Roman" w:eastAsia="Times New Roman" w:hint="default"/>
                <w:sz w:val="18"/>
                <w:szCs w:val="18"/>
              </w:rPr>
            </w:pPr>
            <w:r>
              <w:rPr>
                <w:rFonts w:ascii="Times New Roman"/>
                <w:sz w:val="18"/>
              </w:rPr>
              <w:t>1.16%</w:t>
            </w:r>
          </w:p>
        </w:tc>
      </w:tr>
      <w:tr>
        <w:trPr>
          <w:trHeight w:val="332"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center"/>
              <w:rPr>
                <w:rFonts w:ascii="宋体" w:hAnsi="宋体" w:cs="宋体" w:eastAsia="宋体" w:hint="default"/>
                <w:sz w:val="18"/>
                <w:szCs w:val="18"/>
              </w:rPr>
            </w:pPr>
            <w:r>
              <w:rPr>
                <w:rFonts w:ascii="宋体" w:hAnsi="宋体" w:cs="宋体" w:eastAsia="宋体" w:hint="default"/>
                <w:sz w:val="18"/>
                <w:szCs w:val="18"/>
              </w:rPr>
              <w:t>本科</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56"/>
              <w:jc w:val="right"/>
              <w:rPr>
                <w:rFonts w:ascii="Times New Roman" w:hAnsi="Times New Roman" w:cs="Times New Roman" w:eastAsia="Times New Roman" w:hint="default"/>
                <w:sz w:val="18"/>
                <w:szCs w:val="18"/>
              </w:rPr>
            </w:pPr>
            <w:r>
              <w:rPr>
                <w:rFonts w:ascii="Times New Roman"/>
                <w:sz w:val="18"/>
              </w:rPr>
              <w:t>225</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3" w:right="0"/>
              <w:jc w:val="center"/>
              <w:rPr>
                <w:rFonts w:ascii="Times New Roman" w:hAnsi="Times New Roman" w:cs="Times New Roman" w:eastAsia="Times New Roman" w:hint="default"/>
                <w:sz w:val="18"/>
                <w:szCs w:val="18"/>
              </w:rPr>
            </w:pPr>
            <w:r>
              <w:rPr>
                <w:rFonts w:ascii="Times New Roman"/>
                <w:sz w:val="18"/>
              </w:rPr>
              <w:t>21.74%</w:t>
            </w:r>
          </w:p>
        </w:tc>
      </w:tr>
      <w:tr>
        <w:trPr>
          <w:trHeight w:val="332"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4"/>
              <w:jc w:val="center"/>
              <w:rPr>
                <w:rFonts w:ascii="宋体" w:hAnsi="宋体" w:cs="宋体" w:eastAsia="宋体" w:hint="default"/>
                <w:sz w:val="18"/>
                <w:szCs w:val="18"/>
              </w:rPr>
            </w:pPr>
            <w:r>
              <w:rPr>
                <w:rFonts w:ascii="宋体" w:hAnsi="宋体" w:cs="宋体" w:eastAsia="宋体" w:hint="default"/>
                <w:sz w:val="18"/>
                <w:szCs w:val="18"/>
              </w:rPr>
              <w:t>大专</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56"/>
              <w:jc w:val="right"/>
              <w:rPr>
                <w:rFonts w:ascii="Times New Roman" w:hAnsi="Times New Roman" w:cs="Times New Roman" w:eastAsia="Times New Roman" w:hint="default"/>
                <w:sz w:val="18"/>
                <w:szCs w:val="18"/>
              </w:rPr>
            </w:pPr>
            <w:r>
              <w:rPr>
                <w:rFonts w:ascii="Times New Roman"/>
                <w:sz w:val="18"/>
              </w:rPr>
              <w:t>247</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3" w:right="0"/>
              <w:jc w:val="center"/>
              <w:rPr>
                <w:rFonts w:ascii="Times New Roman" w:hAnsi="Times New Roman" w:cs="Times New Roman" w:eastAsia="Times New Roman" w:hint="default"/>
                <w:sz w:val="18"/>
                <w:szCs w:val="18"/>
              </w:rPr>
            </w:pPr>
            <w:r>
              <w:rPr>
                <w:rFonts w:ascii="Times New Roman"/>
                <w:sz w:val="18"/>
              </w:rPr>
              <w:t>23.86%</w:t>
            </w:r>
          </w:p>
        </w:tc>
      </w:tr>
      <w:tr>
        <w:trPr>
          <w:trHeight w:val="332"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56"/>
              <w:jc w:val="right"/>
              <w:rPr>
                <w:rFonts w:ascii="Times New Roman" w:hAnsi="Times New Roman" w:cs="Times New Roman" w:eastAsia="Times New Roman" w:hint="default"/>
                <w:sz w:val="18"/>
                <w:szCs w:val="18"/>
              </w:rPr>
            </w:pPr>
            <w:r>
              <w:rPr>
                <w:rFonts w:ascii="Times New Roman"/>
                <w:sz w:val="18"/>
              </w:rPr>
              <w:t>550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3" w:right="0"/>
              <w:jc w:val="center"/>
              <w:rPr>
                <w:rFonts w:ascii="Times New Roman" w:hAnsi="Times New Roman" w:cs="Times New Roman" w:eastAsia="Times New Roman" w:hint="default"/>
                <w:sz w:val="18"/>
                <w:szCs w:val="18"/>
              </w:rPr>
            </w:pPr>
            <w:r>
              <w:rPr>
                <w:rFonts w:ascii="Times New Roman"/>
                <w:sz w:val="18"/>
              </w:rPr>
              <w:t>53.14%</w:t>
            </w:r>
          </w:p>
        </w:tc>
      </w:tr>
      <w:tr>
        <w:trPr>
          <w:trHeight w:val="336" w:hRule="exact"/>
        </w:trPr>
        <w:tc>
          <w:tcPr>
            <w:tcW w:w="2140"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124"/>
              <w:jc w:val="center"/>
              <w:rPr>
                <w:rFonts w:ascii="宋体" w:hAnsi="宋体" w:cs="宋体" w:eastAsia="宋体" w:hint="default"/>
                <w:sz w:val="18"/>
                <w:szCs w:val="18"/>
              </w:rPr>
            </w:pPr>
            <w:r>
              <w:rPr>
                <w:rFonts w:ascii="宋体" w:hAnsi="宋体" w:cs="宋体" w:eastAsia="宋体" w:hint="default"/>
                <w:sz w:val="18"/>
                <w:szCs w:val="18"/>
              </w:rPr>
              <w:t>合计</w:t>
            </w:r>
          </w:p>
        </w:tc>
        <w:tc>
          <w:tcPr>
            <w:tcW w:w="1677"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587"/>
              <w:jc w:val="right"/>
              <w:rPr>
                <w:rFonts w:ascii="Times New Roman" w:hAnsi="Times New Roman" w:cs="Times New Roman" w:eastAsia="Times New Roman" w:hint="default"/>
                <w:sz w:val="18"/>
                <w:szCs w:val="18"/>
              </w:rPr>
            </w:pPr>
            <w:r>
              <w:rPr>
                <w:rFonts w:ascii="Times New Roman"/>
                <w:sz w:val="18"/>
              </w:rPr>
              <w:t>1,035</w:t>
            </w:r>
          </w:p>
        </w:tc>
        <w:tc>
          <w:tcPr>
            <w:tcW w:w="2232"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left="214"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15"/>
          <w:szCs w:val="15"/>
        </w:rPr>
      </w:pPr>
    </w:p>
    <w:p>
      <w:pPr>
        <w:spacing w:line="3255" w:lineRule="exact"/>
        <w:ind w:left="2145"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589822" cy="2066925"/>
            <wp:effectExtent l="0" t="0" r="0" b="0"/>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29" cstate="print"/>
                    <a:stretch>
                      <a:fillRect/>
                    </a:stretch>
                  </pic:blipFill>
                  <pic:spPr>
                    <a:xfrm>
                      <a:off x="0" y="0"/>
                      <a:ext cx="3589822" cy="206692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6"/>
        <w:rPr>
          <w:rFonts w:ascii="宋体" w:hAnsi="宋体" w:cs="宋体" w:eastAsia="宋体" w:hint="default"/>
          <w:sz w:val="13"/>
          <w:szCs w:val="13"/>
        </w:rPr>
      </w:pPr>
    </w:p>
    <w:p>
      <w:pPr>
        <w:pStyle w:val="BodyText"/>
        <w:spacing w:line="240" w:lineRule="auto" w:before="44"/>
        <w:ind w:left="153" w:right="0"/>
        <w:jc w:val="left"/>
      </w:pPr>
      <w:r>
        <w:rPr/>
        <w:t>（</w:t>
      </w:r>
      <w:r>
        <w:rPr>
          <w:rFonts w:ascii="Times New Roman" w:hAnsi="Times New Roman" w:cs="Times New Roman" w:eastAsia="Times New Roman" w:hint="default"/>
        </w:rPr>
        <w:t>3</w:t>
      </w:r>
      <w:r>
        <w:rPr/>
        <w:t>）员工年龄构成情况</w:t>
      </w:r>
    </w:p>
    <w:p>
      <w:pPr>
        <w:spacing w:line="240" w:lineRule="auto" w:before="2"/>
        <w:rPr>
          <w:rFonts w:ascii="宋体" w:hAnsi="宋体" w:cs="宋体" w:eastAsia="宋体" w:hint="default"/>
          <w:sz w:val="13"/>
          <w:szCs w:val="13"/>
        </w:rPr>
      </w:pPr>
    </w:p>
    <w:tbl>
      <w:tblPr>
        <w:tblW w:w="0" w:type="auto"/>
        <w:jc w:val="left"/>
        <w:tblInd w:w="1949" w:type="dxa"/>
        <w:tblLayout w:type="fixed"/>
        <w:tblCellMar>
          <w:top w:w="0" w:type="dxa"/>
          <w:left w:w="0" w:type="dxa"/>
          <w:bottom w:w="0" w:type="dxa"/>
          <w:right w:w="0" w:type="dxa"/>
        </w:tblCellMar>
        <w:tblLook w:val="01E0"/>
      </w:tblPr>
      <w:tblGrid>
        <w:gridCol w:w="2095"/>
        <w:gridCol w:w="1722"/>
        <w:gridCol w:w="2232"/>
      </w:tblGrid>
      <w:tr>
        <w:trPr>
          <w:trHeight w:val="338" w:hRule="exact"/>
        </w:trPr>
        <w:tc>
          <w:tcPr>
            <w:tcW w:w="2095"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20"/>
              <w:ind w:left="645" w:right="0"/>
              <w:jc w:val="left"/>
              <w:rPr>
                <w:rFonts w:ascii="宋体" w:hAnsi="宋体" w:cs="宋体" w:eastAsia="宋体" w:hint="default"/>
                <w:sz w:val="18"/>
                <w:szCs w:val="18"/>
              </w:rPr>
            </w:pPr>
            <w:r>
              <w:rPr>
                <w:rFonts w:ascii="宋体" w:hAnsi="宋体" w:cs="宋体" w:eastAsia="宋体" w:hint="default"/>
                <w:b/>
                <w:bCs/>
                <w:sz w:val="18"/>
                <w:szCs w:val="18"/>
              </w:rPr>
              <w:t>年龄区间</w:t>
            </w:r>
            <w:r>
              <w:rPr>
                <w:rFonts w:ascii="宋体" w:hAnsi="宋体" w:cs="宋体" w:eastAsia="宋体" w:hint="default"/>
                <w:sz w:val="18"/>
                <w:szCs w:val="18"/>
              </w:rPr>
            </w:r>
          </w:p>
        </w:tc>
        <w:tc>
          <w:tcPr>
            <w:tcW w:w="1722"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20"/>
              <w:ind w:right="60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232"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20"/>
              <w:ind w:left="211"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35" w:hRule="exact"/>
        </w:trPr>
        <w:tc>
          <w:tcPr>
            <w:tcW w:w="209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left="6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1722"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656"/>
              <w:jc w:val="right"/>
              <w:rPr>
                <w:rFonts w:ascii="Times New Roman" w:hAnsi="Times New Roman" w:cs="Times New Roman" w:eastAsia="Times New Roman" w:hint="default"/>
                <w:sz w:val="18"/>
                <w:szCs w:val="18"/>
              </w:rPr>
            </w:pPr>
            <w:r>
              <w:rPr>
                <w:rFonts w:ascii="Times New Roman"/>
                <w:sz w:val="18"/>
              </w:rPr>
              <w:t>137</w:t>
            </w:r>
          </w:p>
        </w:tc>
        <w:tc>
          <w:tcPr>
            <w:tcW w:w="2232"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213" w:right="0"/>
              <w:jc w:val="center"/>
              <w:rPr>
                <w:rFonts w:ascii="Times New Roman" w:hAnsi="Times New Roman" w:cs="Times New Roman" w:eastAsia="Times New Roman" w:hint="default"/>
                <w:sz w:val="18"/>
                <w:szCs w:val="18"/>
              </w:rPr>
            </w:pPr>
            <w:r>
              <w:rPr>
                <w:rFonts w:ascii="Times New Roman"/>
                <w:sz w:val="18"/>
              </w:rPr>
              <w:t>13.24%</w:t>
            </w:r>
          </w:p>
        </w:tc>
      </w:tr>
      <w:tr>
        <w:trPr>
          <w:trHeight w:val="332"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6"/>
              <w:jc w:val="right"/>
              <w:rPr>
                <w:rFonts w:ascii="Times New Roman" w:hAnsi="Times New Roman" w:cs="Times New Roman" w:eastAsia="Times New Roman" w:hint="default"/>
                <w:sz w:val="18"/>
                <w:szCs w:val="18"/>
              </w:rPr>
            </w:pPr>
            <w:r>
              <w:rPr>
                <w:rFonts w:ascii="Times New Roman"/>
                <w:sz w:val="18"/>
              </w:rPr>
              <w:t>317</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3" w:right="0"/>
              <w:jc w:val="center"/>
              <w:rPr>
                <w:rFonts w:ascii="Times New Roman" w:hAnsi="Times New Roman" w:cs="Times New Roman" w:eastAsia="Times New Roman" w:hint="default"/>
                <w:sz w:val="18"/>
                <w:szCs w:val="18"/>
              </w:rPr>
            </w:pPr>
            <w:r>
              <w:rPr>
                <w:rFonts w:ascii="Times New Roman"/>
                <w:sz w:val="18"/>
              </w:rPr>
              <w:t>30.63%</w:t>
            </w:r>
          </w:p>
        </w:tc>
      </w:tr>
      <w:tr>
        <w:trPr>
          <w:trHeight w:val="332"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30-40</w:t>
            </w:r>
            <w:r>
              <w:rPr>
                <w:rFonts w:ascii="宋体" w:hAnsi="宋体" w:cs="宋体" w:eastAsia="宋体" w:hint="default"/>
                <w:sz w:val="18"/>
                <w:szCs w:val="18"/>
              </w:rPr>
              <w:t>岁</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6"/>
              <w:jc w:val="right"/>
              <w:rPr>
                <w:rFonts w:ascii="Times New Roman" w:hAnsi="Times New Roman" w:cs="Times New Roman" w:eastAsia="Times New Roman" w:hint="default"/>
                <w:sz w:val="18"/>
                <w:szCs w:val="18"/>
              </w:rPr>
            </w:pPr>
            <w:r>
              <w:rPr>
                <w:rFonts w:ascii="Times New Roman"/>
                <w:sz w:val="18"/>
              </w:rPr>
              <w:t>229</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3" w:right="0"/>
              <w:jc w:val="center"/>
              <w:rPr>
                <w:rFonts w:ascii="Times New Roman" w:hAnsi="Times New Roman" w:cs="Times New Roman" w:eastAsia="Times New Roman" w:hint="default"/>
                <w:sz w:val="18"/>
                <w:szCs w:val="18"/>
              </w:rPr>
            </w:pPr>
            <w:r>
              <w:rPr>
                <w:rFonts w:ascii="Times New Roman"/>
                <w:sz w:val="18"/>
              </w:rPr>
              <w:t>22.12%</w:t>
            </w:r>
          </w:p>
        </w:tc>
      </w:tr>
      <w:tr>
        <w:trPr>
          <w:trHeight w:val="332"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6"/>
              <w:jc w:val="right"/>
              <w:rPr>
                <w:rFonts w:ascii="Times New Roman" w:hAnsi="Times New Roman" w:cs="Times New Roman" w:eastAsia="Times New Roman" w:hint="default"/>
                <w:sz w:val="18"/>
                <w:szCs w:val="18"/>
              </w:rPr>
            </w:pPr>
            <w:r>
              <w:rPr>
                <w:rFonts w:ascii="Times New Roman"/>
                <w:sz w:val="18"/>
              </w:rPr>
              <w:t>352</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3" w:right="0"/>
              <w:jc w:val="center"/>
              <w:rPr>
                <w:rFonts w:ascii="Times New Roman" w:hAnsi="Times New Roman" w:cs="Times New Roman" w:eastAsia="Times New Roman" w:hint="default"/>
                <w:sz w:val="18"/>
                <w:szCs w:val="18"/>
              </w:rPr>
            </w:pPr>
            <w:r>
              <w:rPr>
                <w:rFonts w:ascii="Times New Roman"/>
                <w:sz w:val="18"/>
              </w:rPr>
              <w:t>34.01%</w:t>
            </w:r>
          </w:p>
        </w:tc>
      </w:tr>
      <w:tr>
        <w:trPr>
          <w:trHeight w:val="335" w:hRule="exact"/>
        </w:trPr>
        <w:tc>
          <w:tcPr>
            <w:tcW w:w="2095" w:type="dxa"/>
            <w:tcBorders>
              <w:top w:val="nil" w:sz="6" w:space="0" w:color="auto"/>
              <w:left w:val="nil" w:sz="6" w:space="0" w:color="auto"/>
              <w:bottom w:val="single" w:sz="6" w:space="0" w:color="000000"/>
              <w:right w:val="nil" w:sz="6" w:space="0" w:color="auto"/>
            </w:tcBorders>
          </w:tcPr>
          <w:p>
            <w:pPr>
              <w:pStyle w:val="TableParagraph"/>
              <w:spacing w:line="240" w:lineRule="auto" w:before="15"/>
              <w:ind w:right="79"/>
              <w:jc w:val="center"/>
              <w:rPr>
                <w:rFonts w:ascii="宋体" w:hAnsi="宋体" w:cs="宋体" w:eastAsia="宋体" w:hint="default"/>
                <w:sz w:val="18"/>
                <w:szCs w:val="18"/>
              </w:rPr>
            </w:pPr>
            <w:r>
              <w:rPr>
                <w:rFonts w:ascii="宋体" w:hAnsi="宋体" w:cs="宋体" w:eastAsia="宋体" w:hint="default"/>
                <w:sz w:val="18"/>
                <w:szCs w:val="18"/>
              </w:rPr>
              <w:t>合计</w:t>
            </w:r>
          </w:p>
        </w:tc>
        <w:tc>
          <w:tcPr>
            <w:tcW w:w="1722" w:type="dxa"/>
            <w:tcBorders>
              <w:top w:val="nil" w:sz="6" w:space="0" w:color="auto"/>
              <w:left w:val="nil" w:sz="6" w:space="0" w:color="auto"/>
              <w:bottom w:val="single" w:sz="6" w:space="0" w:color="000000"/>
              <w:right w:val="nil" w:sz="6" w:space="0" w:color="auto"/>
            </w:tcBorders>
          </w:tcPr>
          <w:p>
            <w:pPr>
              <w:pStyle w:val="TableParagraph"/>
              <w:spacing w:line="240" w:lineRule="auto" w:before="55"/>
              <w:ind w:right="587"/>
              <w:jc w:val="right"/>
              <w:rPr>
                <w:rFonts w:ascii="Times New Roman" w:hAnsi="Times New Roman" w:cs="Times New Roman" w:eastAsia="Times New Roman" w:hint="default"/>
                <w:sz w:val="18"/>
                <w:szCs w:val="18"/>
              </w:rPr>
            </w:pPr>
            <w:r>
              <w:rPr>
                <w:rFonts w:ascii="Times New Roman"/>
                <w:sz w:val="18"/>
              </w:rPr>
              <w:t>1,035</w:t>
            </w:r>
          </w:p>
        </w:tc>
        <w:tc>
          <w:tcPr>
            <w:tcW w:w="2232" w:type="dxa"/>
            <w:tcBorders>
              <w:top w:val="nil" w:sz="6" w:space="0" w:color="auto"/>
              <w:left w:val="nil" w:sz="6" w:space="0" w:color="auto"/>
              <w:bottom w:val="single" w:sz="6" w:space="0" w:color="000000"/>
              <w:right w:val="nil" w:sz="6" w:space="0" w:color="auto"/>
            </w:tcBorders>
          </w:tcPr>
          <w:p>
            <w:pPr>
              <w:pStyle w:val="TableParagraph"/>
              <w:spacing w:line="240" w:lineRule="auto" w:before="55"/>
              <w:ind w:left="214"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6"/>
          <w:szCs w:val="26"/>
        </w:rPr>
      </w:pPr>
    </w:p>
    <w:p>
      <w:pPr>
        <w:spacing w:line="3382" w:lineRule="exact"/>
        <w:ind w:left="2406"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3493337" cy="2147887"/>
            <wp:effectExtent l="0" t="0" r="0" b="0"/>
            <wp:docPr id="23" name="image16.png" descr=""/>
            <wp:cNvGraphicFramePr>
              <a:graphicFrameLocks noChangeAspect="1"/>
            </wp:cNvGraphicFramePr>
            <a:graphic>
              <a:graphicData uri="http://schemas.openxmlformats.org/drawingml/2006/picture">
                <pic:pic>
                  <pic:nvPicPr>
                    <pic:cNvPr id="24" name="image16.png"/>
                    <pic:cNvPicPr/>
                  </pic:nvPicPr>
                  <pic:blipFill>
                    <a:blip r:embed="rId30" cstate="print"/>
                    <a:stretch>
                      <a:fillRect/>
                    </a:stretch>
                  </pic:blipFill>
                  <pic:spPr>
                    <a:xfrm>
                      <a:off x="0" y="0"/>
                      <a:ext cx="3493337" cy="2147887"/>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6"/>
        <w:rPr>
          <w:rFonts w:ascii="宋体" w:hAnsi="宋体" w:cs="宋体" w:eastAsia="宋体" w:hint="default"/>
          <w:sz w:val="8"/>
          <w:szCs w:val="8"/>
        </w:rPr>
      </w:pPr>
    </w:p>
    <w:p>
      <w:pPr>
        <w:pStyle w:val="BodyText"/>
        <w:spacing w:line="240" w:lineRule="auto" w:before="44"/>
        <w:ind w:right="0"/>
        <w:jc w:val="left"/>
      </w:pPr>
      <w:r>
        <w:rPr>
          <w:rFonts w:ascii="Times New Roman" w:hAnsi="Times New Roman" w:cs="Times New Roman" w:eastAsia="Times New Roman" w:hint="default"/>
        </w:rPr>
        <w:t>2</w:t>
      </w:r>
      <w:r>
        <w:rPr/>
        <w:t>、薪酬政策</w:t>
      </w:r>
    </w:p>
    <w:p>
      <w:pPr>
        <w:spacing w:line="240" w:lineRule="auto" w:before="8"/>
        <w:rPr>
          <w:rFonts w:ascii="宋体" w:hAnsi="宋体" w:cs="宋体" w:eastAsia="宋体" w:hint="default"/>
          <w:sz w:val="10"/>
          <w:szCs w:val="10"/>
        </w:rPr>
      </w:pPr>
    </w:p>
    <w:p>
      <w:pPr>
        <w:pStyle w:val="BodyText"/>
        <w:spacing w:line="240" w:lineRule="auto" w:before="44"/>
        <w:ind w:right="0"/>
        <w:jc w:val="left"/>
      </w:pPr>
      <w:r>
        <w:rPr/>
        <w:t>公司员工薪酬由基本工资、绩效工资构成，公司独立董事薪酬根据股东大会确定的标准发放。</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pStyle w:val="BodyText"/>
        <w:spacing w:line="420" w:lineRule="atLeast"/>
        <w:ind w:right="1118"/>
        <w:jc w:val="left"/>
      </w:pPr>
      <w:r>
        <w:rPr>
          <w:rFonts w:ascii="Times New Roman" w:hAnsi="Times New Roman" w:cs="Times New Roman" w:eastAsia="Times New Roman" w:hint="default"/>
        </w:rPr>
        <w:t>3</w:t>
      </w:r>
      <w:r>
        <w:rPr/>
        <w:t>、培训计划 </w:t>
      </w:r>
      <w:r>
        <w:rPr>
          <w:spacing w:val="-2"/>
        </w:rPr>
        <w:t>为提高公司员工整体素质和工作效率，公司人力资源部根据各部门提交的年度培训计划统筹组织安排培训，培训内容主</w:t>
      </w:r>
    </w:p>
    <w:p>
      <w:pPr>
        <w:pStyle w:val="BodyText"/>
        <w:spacing w:line="441" w:lineRule="auto" w:before="76"/>
        <w:ind w:right="2113" w:hanging="360"/>
        <w:jc w:val="left"/>
      </w:pPr>
      <w:r>
        <w:rPr/>
        <w:pict>
          <v:shape style="position:absolute;margin-left:56.459999pt;margin-top:42.481728pt;width:479.2pt;height:121.1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7,886.91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39.67</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r>
                </w:tbl>
                <w:p>
                  <w:pPr/>
                </w:p>
              </w:txbxContent>
            </v:textbox>
            <w10:wrap type="none"/>
          </v:shape>
        </w:pict>
      </w:r>
      <w:r>
        <w:rPr/>
        <w:t>要包含但不限于员工素质、职业技能、生产安全、质量环境管理体系、内部控制制度、企业文化等各个方面。 企业薪酬成本情况</w:t>
      </w:r>
    </w:p>
    <w:p>
      <w:pPr>
        <w:spacing w:after="0" w:line="441" w:lineRule="auto"/>
        <w:jc w:val="left"/>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24"/>
      <w:bookmarkEnd w:id="124"/>
      <w:r>
        <w:rPr>
          <w:b w:val="0"/>
          <w:bCs w:val="0"/>
        </w:rPr>
      </w:r>
      <w:bookmarkStart w:name="_bookmark8" w:id="125"/>
      <w:bookmarkEnd w:id="12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6"/>
      <w:bookmarkEnd w:id="12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0" w:firstLine="357"/>
        <w:jc w:val="left"/>
      </w:pPr>
      <w:r>
        <w:rPr>
          <w:spacing w:val="-2"/>
        </w:rPr>
        <w:t>报告期内，公司及公司董事、监事、高级管理人员严格按照《公司法》、《证券法》、《上市公司治理准则》、《深圳</w:t>
      </w:r>
      <w:r>
        <w:rPr/>
        <w:t> </w:t>
      </w:r>
      <w:r>
        <w:rPr>
          <w:spacing w:val="-4"/>
        </w:rPr>
        <w:t>证券交易所股票上市规则》、《深圳证券交易所中小企业板上市公司规范运作指引》等法律法规、规范性文件和《公司章程》</w:t>
      </w:r>
      <w:r>
        <w:rPr>
          <w:spacing w:val="-44"/>
        </w:rPr>
        <w:t> </w:t>
      </w:r>
      <w:r>
        <w:rPr>
          <w:spacing w:val="-44"/>
        </w:rPr>
      </w:r>
      <w:r>
        <w:rPr/>
        <w:t>的有关规定，不断完善公司的法人治理结构，健全内部管理，促进公司规范运作，提高公司治理水平。</w:t>
      </w:r>
    </w:p>
    <w:p>
      <w:pPr>
        <w:pStyle w:val="BodyText"/>
        <w:spacing w:line="316" w:lineRule="auto" w:before="139"/>
        <w:ind w:left="153" w:right="1033" w:firstLine="357"/>
        <w:jc w:val="left"/>
      </w:pPr>
      <w:r>
        <w:rPr>
          <w:spacing w:val="-2"/>
        </w:rPr>
        <w:t>截至报告期末，公司治理的实际情况基本符合中国证监会发布的有关上市公司治理的规范性文件的要求。公司将坚持以</w:t>
      </w:r>
      <w:r>
        <w:rPr/>
        <w:t> 相关法律法规为准绳，不断完善公司治理制度，自觉履行信息披露义务，做好投资者关系管理工作，切实维护投资者利益， 不断提升公司规范运作水平。</w:t>
      </w:r>
    </w:p>
    <w:p>
      <w:pPr>
        <w:pStyle w:val="BodyText"/>
        <w:spacing w:line="240" w:lineRule="auto" w:before="139"/>
        <w:ind w:left="511" w:right="0"/>
        <w:jc w:val="left"/>
      </w:pPr>
      <w:r>
        <w:rPr/>
        <w:t>截至本报告期末公司已建立的各项制度名称及公开信息披露情况如下表：</w:t>
      </w:r>
    </w:p>
    <w:p>
      <w:pPr>
        <w:spacing w:line="240" w:lineRule="auto" w:before="3"/>
        <w:rPr>
          <w:rFonts w:ascii="宋体" w:hAnsi="宋体" w:cs="宋体" w:eastAsia="宋体" w:hint="default"/>
          <w:sz w:val="14"/>
          <w:szCs w:val="14"/>
        </w:rPr>
      </w:pPr>
    </w:p>
    <w:tbl>
      <w:tblPr>
        <w:tblW w:w="0" w:type="auto"/>
        <w:jc w:val="left"/>
        <w:tblInd w:w="266" w:type="dxa"/>
        <w:tblLayout w:type="fixed"/>
        <w:tblCellMar>
          <w:top w:w="0" w:type="dxa"/>
          <w:left w:w="0" w:type="dxa"/>
          <w:bottom w:w="0" w:type="dxa"/>
          <w:right w:w="0" w:type="dxa"/>
        </w:tblCellMar>
        <w:tblLook w:val="01E0"/>
      </w:tblPr>
      <w:tblGrid>
        <w:gridCol w:w="708"/>
        <w:gridCol w:w="5718"/>
        <w:gridCol w:w="2976"/>
      </w:tblGrid>
      <w:tr>
        <w:trPr>
          <w:trHeight w:val="342"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最新披露时间</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董事会薪酬委员会议事规则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董事会秘书工作制度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关联交易决策制度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财务管理办法</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子公司综合管理制度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对外担保制度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控股股东、实际控制人行为规范</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独立董事年报工作流程</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董事、监事和高级管理人员持有和买卖本公司股票管理制度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募集资金使用管理办法</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高级管理人员薪酬管理制度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266" w:type="dxa"/>
        <w:tblLayout w:type="fixed"/>
        <w:tblCellMar>
          <w:top w:w="0" w:type="dxa"/>
          <w:left w:w="0" w:type="dxa"/>
          <w:bottom w:w="0" w:type="dxa"/>
          <w:right w:w="0" w:type="dxa"/>
        </w:tblCellMar>
        <w:tblLook w:val="01E0"/>
      </w:tblPr>
      <w:tblGrid>
        <w:gridCol w:w="708"/>
        <w:gridCol w:w="5718"/>
        <w:gridCol w:w="2976"/>
      </w:tblGrid>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27</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审计委员会年报工作制度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28</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29</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30</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31</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内部问责制度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32</w:t>
            </w:r>
          </w:p>
        </w:tc>
        <w:tc>
          <w:tcPr>
            <w:tcW w:w="5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利润分配管理制度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报告期末，公司未收到被监管部门采取行政监管措施的有关文件。</w:t>
      </w:r>
    </w:p>
    <w:p>
      <w:pPr>
        <w:pStyle w:val="BodyText"/>
        <w:spacing w:line="400" w:lineRule="auto" w:before="136"/>
        <w:ind w:right="0" w:firstLine="1"/>
        <w:jc w:val="left"/>
      </w:pPr>
      <w:r>
        <w:rPr>
          <w:rFonts w:ascii="宋体" w:hAnsi="宋体" w:cs="宋体" w:eastAsia="宋体" w:hint="default"/>
          <w:b/>
          <w:bCs/>
        </w:rPr>
        <w:t>（一）关于股东与股东大会</w:t>
      </w:r>
      <w:r>
        <w:rPr>
          <w:rFonts w:ascii="宋体" w:hAnsi="宋体" w:cs="宋体" w:eastAsia="宋体" w:hint="default"/>
          <w:b/>
          <w:bCs/>
          <w:w w:val="99"/>
        </w:rPr>
        <w:t> </w:t>
      </w:r>
      <w:r>
        <w:rPr>
          <w:spacing w:val="-2"/>
        </w:rPr>
        <w:t>公司能够根据《公司法》、《证券法》、《上市公司股东大会规则》及公司《股东大会议事规则》等规定和要求，规范</w:t>
      </w:r>
    </w:p>
    <w:p>
      <w:pPr>
        <w:pStyle w:val="BodyText"/>
        <w:spacing w:line="181" w:lineRule="exact"/>
        <w:ind w:left="153" w:right="0"/>
        <w:jc w:val="left"/>
      </w:pPr>
      <w:r>
        <w:rPr/>
        <w:t>股东大会的召集、召开、表决程序，确保各股东享有平等地位，充分行使自己的权利。在实施选举董事、监事表决程序时采</w:t>
      </w:r>
    </w:p>
    <w:p>
      <w:pPr>
        <w:pStyle w:val="BodyText"/>
        <w:spacing w:line="240" w:lineRule="auto" w:before="64"/>
        <w:ind w:left="153" w:right="0"/>
        <w:jc w:val="left"/>
      </w:pPr>
      <w:r>
        <w:rPr/>
        <w:t>取累积投票制，让各股东充分行使自己的权利。</w:t>
      </w:r>
    </w:p>
    <w:p>
      <w:pPr>
        <w:pStyle w:val="BodyText"/>
        <w:spacing w:line="369" w:lineRule="auto" w:before="125"/>
        <w:ind w:right="0" w:firstLine="1"/>
        <w:jc w:val="left"/>
      </w:pPr>
      <w:r>
        <w:rPr>
          <w:rFonts w:ascii="宋体" w:hAnsi="宋体" w:cs="宋体" w:eastAsia="宋体" w:hint="default"/>
          <w:b/>
          <w:bCs/>
        </w:rPr>
        <w:t>（二）关于控股股东与公司</w:t>
      </w:r>
      <w:r>
        <w:rPr>
          <w:rFonts w:ascii="宋体" w:hAnsi="宋体" w:cs="宋体" w:eastAsia="宋体" w:hint="default"/>
          <w:b/>
          <w:bCs/>
          <w:w w:val="99"/>
        </w:rPr>
        <w:t> </w:t>
      </w:r>
      <w:r>
        <w:rPr>
          <w:spacing w:val="-2"/>
        </w:rPr>
        <w:t>公司控股股东行为规范，能依法行使其权利，并承担相应义务，没有直接或间接干预公司的决策和经营活动。公司具有</w:t>
      </w:r>
    </w:p>
    <w:p>
      <w:pPr>
        <w:pStyle w:val="BodyText"/>
        <w:spacing w:line="203" w:lineRule="exact"/>
        <w:ind w:left="153" w:right="0"/>
        <w:jc w:val="left"/>
      </w:pPr>
      <w:r>
        <w:rPr/>
        <w:t>独立的业务、经营能力和完备的运营体系，公司业务、人员、资产、机构、财务独立，公司董事会、监事会和内部机构能够</w:t>
      </w:r>
    </w:p>
    <w:p>
      <w:pPr>
        <w:pStyle w:val="BodyText"/>
        <w:spacing w:line="240" w:lineRule="auto" w:before="64"/>
        <w:ind w:left="153" w:right="0"/>
        <w:jc w:val="left"/>
      </w:pPr>
      <w:r>
        <w:rPr/>
        <w:t>独立运作。</w:t>
      </w:r>
    </w:p>
    <w:p>
      <w:pPr>
        <w:pStyle w:val="BodyText"/>
        <w:spacing w:line="369" w:lineRule="auto" w:before="125"/>
        <w:ind w:right="0" w:firstLine="1"/>
        <w:jc w:val="left"/>
      </w:pPr>
      <w:r>
        <w:rPr>
          <w:rFonts w:ascii="宋体" w:hAnsi="宋体" w:cs="宋体" w:eastAsia="宋体" w:hint="default"/>
          <w:b/>
          <w:bCs/>
        </w:rPr>
        <w:t>（三）关于董事与董事会</w:t>
      </w:r>
      <w:r>
        <w:rPr>
          <w:rFonts w:ascii="宋体" w:hAnsi="宋体" w:cs="宋体" w:eastAsia="宋体" w:hint="default"/>
          <w:b/>
          <w:bCs/>
          <w:w w:val="99"/>
        </w:rPr>
        <w:t> </w:t>
      </w:r>
      <w:r>
        <w:rPr>
          <w:spacing w:val="-2"/>
        </w:rPr>
        <w:t>公司目前董事会成员</w:t>
      </w:r>
      <w:r>
        <w:rPr>
          <w:rFonts w:ascii="Times New Roman" w:hAnsi="Times New Roman" w:cs="Times New Roman" w:eastAsia="Times New Roman" w:hint="default"/>
          <w:spacing w:val="-2"/>
        </w:rPr>
        <w:t>9</w:t>
      </w:r>
      <w:r>
        <w:rPr>
          <w:spacing w:val="-2"/>
        </w:rPr>
        <w:t>人，其中独立董事</w:t>
      </w:r>
      <w:r>
        <w:rPr>
          <w:rFonts w:ascii="Times New Roman" w:hAnsi="Times New Roman" w:cs="Times New Roman" w:eastAsia="Times New Roman" w:hint="default"/>
          <w:spacing w:val="-2"/>
        </w:rPr>
        <w:t>3</w:t>
      </w:r>
      <w:r>
        <w:rPr>
          <w:spacing w:val="-2"/>
        </w:rPr>
        <w:t>人，公司董事会人数和人员构成符合法律、法规的要求。董事会按照《董事会</w:t>
      </w:r>
    </w:p>
    <w:p>
      <w:pPr>
        <w:pStyle w:val="BodyText"/>
        <w:spacing w:line="180" w:lineRule="exact"/>
        <w:ind w:left="153" w:right="0"/>
        <w:jc w:val="left"/>
      </w:pPr>
      <w:r>
        <w:rPr/>
        <w:t>议事规则》召开会议，执行股东大会决议并依法行使职权；公司全体董事能够按照《董事会议事规则》等的要求认真履行勤</w:t>
      </w:r>
    </w:p>
    <w:p>
      <w:pPr>
        <w:pStyle w:val="BodyText"/>
        <w:spacing w:line="297" w:lineRule="auto" w:before="64"/>
        <w:ind w:left="153" w:right="1130"/>
        <w:jc w:val="both"/>
      </w:pPr>
      <w:r>
        <w:rPr/>
        <w:t>勉尽责的义务，行使《公司章程》赋予的职权，按时出席董事会和股东大会，熟悉有关法律法规；公司的</w:t>
      </w:r>
      <w:r>
        <w:rPr>
          <w:rFonts w:ascii="Times New Roman" w:hAnsi="Times New Roman" w:cs="Times New Roman" w:eastAsia="Times New Roman" w:hint="default"/>
        </w:rPr>
        <w:t>3</w:t>
      </w:r>
      <w:r>
        <w:rPr/>
        <w:t>位独立董事在工 </w:t>
      </w:r>
      <w:r>
        <w:rPr>
          <w:spacing w:val="-2"/>
        </w:rPr>
        <w:t>作中保持充分的独立性，积极参加董事会会议，认真审议各项议案，对相关事项发表了独立意见，切实维护公司和中小股东</w:t>
      </w:r>
      <w:r>
        <w:rPr>
          <w:spacing w:val="-66"/>
        </w:rPr>
        <w:t> </w:t>
      </w:r>
      <w:r>
        <w:rPr>
          <w:spacing w:val="-66"/>
        </w:rPr>
      </w:r>
      <w:r>
        <w:rPr/>
        <w:t>的利益。</w:t>
      </w:r>
    </w:p>
    <w:p>
      <w:pPr>
        <w:pStyle w:val="BodyText"/>
        <w:spacing w:line="367" w:lineRule="auto" w:before="82"/>
        <w:ind w:right="1123" w:firstLine="1"/>
        <w:jc w:val="left"/>
      </w:pPr>
      <w:r>
        <w:rPr>
          <w:rFonts w:ascii="宋体" w:hAnsi="宋体" w:cs="宋体" w:eastAsia="宋体" w:hint="default"/>
          <w:b/>
          <w:bCs/>
        </w:rPr>
        <w:t>（四）关于监事与监事会</w:t>
      </w:r>
      <w:r>
        <w:rPr>
          <w:rFonts w:ascii="宋体" w:hAnsi="宋体" w:cs="宋体" w:eastAsia="宋体" w:hint="default"/>
          <w:b/>
          <w:bCs/>
          <w:w w:val="99"/>
        </w:rPr>
        <w:t> </w:t>
      </w:r>
      <w:r>
        <w:rPr/>
        <w:t>公司监事会由</w:t>
      </w:r>
      <w:r>
        <w:rPr>
          <w:rFonts w:ascii="Times New Roman" w:hAnsi="Times New Roman" w:cs="Times New Roman" w:eastAsia="Times New Roman" w:hint="default"/>
        </w:rPr>
        <w:t>3</w:t>
      </w:r>
      <w:r>
        <w:rPr/>
        <w:t>名监事组成，非职工代表监事</w:t>
      </w:r>
      <w:r>
        <w:rPr>
          <w:rFonts w:ascii="Times New Roman" w:hAnsi="Times New Roman" w:cs="Times New Roman" w:eastAsia="Times New Roman" w:hint="default"/>
        </w:rPr>
        <w:t>2</w:t>
      </w:r>
      <w:r>
        <w:rPr/>
        <w:t>人、职工代表监事</w:t>
      </w:r>
      <w:r>
        <w:rPr>
          <w:rFonts w:ascii="Times New Roman" w:hAnsi="Times New Roman" w:cs="Times New Roman" w:eastAsia="Times New Roman" w:hint="default"/>
        </w:rPr>
        <w:t>1</w:t>
      </w:r>
      <w:r>
        <w:rPr/>
        <w:t>人，监事人数和人员构成符合法律、法规的要求。公</w:t>
      </w:r>
    </w:p>
    <w:p>
      <w:pPr>
        <w:pStyle w:val="BodyText"/>
        <w:spacing w:line="182" w:lineRule="exact"/>
        <w:ind w:left="153" w:right="0"/>
        <w:jc w:val="left"/>
      </w:pPr>
      <w:r>
        <w:rPr>
          <w:spacing w:val="-4"/>
        </w:rPr>
        <w:t>司监事会严格按照《公司章程》及《监事会议事规则》等相关规定召集召开监事会。各监事按时出席监事会，认真履行职责，</w:t>
      </w:r>
    </w:p>
    <w:p>
      <w:pPr>
        <w:pStyle w:val="BodyText"/>
        <w:spacing w:line="240" w:lineRule="auto" w:before="64"/>
        <w:ind w:left="153" w:right="0"/>
        <w:jc w:val="left"/>
      </w:pPr>
      <w:r>
        <w:rPr>
          <w:spacing w:val="-4"/>
        </w:rPr>
        <w:t>能够本着对股东负责的精神，对公司重大事项、关联交易、财务状况等进行监督并发表意见，维护了公司及股东的合法权益。</w:t>
      </w:r>
    </w:p>
    <w:p>
      <w:pPr>
        <w:spacing w:line="369" w:lineRule="auto" w:before="125"/>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（五）关于信息披露与透明度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公司严格按照有关法律法规及公司《信息披露管理制度》、《投资者关系管理制度》的要求，加强信息披露事务管理，</w:t>
      </w:r>
    </w:p>
    <w:p>
      <w:pPr>
        <w:pStyle w:val="BodyText"/>
        <w:spacing w:line="203" w:lineRule="exact"/>
        <w:ind w:left="154" w:right="0"/>
        <w:jc w:val="left"/>
      </w:pPr>
      <w:r>
        <w:rPr/>
        <w:t>履行信息披露义务。公司指定董事会秘书为公司信息披露工作、投资者关系管理负责人，负责公司的信息披露与投资者关系</w:t>
      </w:r>
    </w:p>
    <w:p>
      <w:pPr>
        <w:pStyle w:val="BodyText"/>
        <w:spacing w:line="300" w:lineRule="auto" w:before="64"/>
        <w:ind w:left="153" w:right="1118"/>
        <w:jc w:val="left"/>
      </w:pPr>
      <w:r>
        <w:rPr>
          <w:spacing w:val="-2"/>
        </w:rPr>
        <w:t>的管理工作；公司证券部为公司信息披露事务的日常工作部门。公司注重与投资者沟通交流，开通了投资者电话专线、专用</w:t>
      </w:r>
      <w:r>
        <w:rPr>
          <w:spacing w:val="-66"/>
        </w:rPr>
        <w:t> </w:t>
      </w:r>
      <w:r>
        <w:rPr>
          <w:spacing w:val="-66"/>
        </w:rPr>
      </w:r>
      <w:r>
        <w:rPr>
          <w:spacing w:val="-2"/>
        </w:rPr>
        <w:t>电子信箱，接待投资者和调研机构的来访和咨询，认真、及时回复深交所互动平台投资者的提问，确保公司所有股东能够以</w:t>
      </w:r>
      <w:r>
        <w:rPr>
          <w:spacing w:val="-66"/>
        </w:rPr>
        <w:t> </w:t>
      </w:r>
      <w:r>
        <w:rPr>
          <w:spacing w:val="-66"/>
        </w:rPr>
      </w:r>
      <w:r>
        <w:rPr/>
        <w:t>平等的机会获得信息。公司上市后指定《证券时报》等报刊和巨潮资讯网（</w:t>
      </w:r>
      <w:hyperlink r:id="rId19">
        <w:r>
          <w:rPr>
            <w:rFonts w:ascii="Times New Roman" w:hAnsi="Times New Roman" w:cs="Times New Roman" w:eastAsia="Times New Roman" w:hint="default"/>
          </w:rPr>
          <w:t>www.cninfo.com.cn</w:t>
        </w:r>
      </w:hyperlink>
      <w:r>
        <w:rPr/>
        <w:t>）为公司信息披露的报纸和</w:t>
      </w:r>
      <w:r>
        <w:rPr>
          <w:w w:val="99"/>
        </w:rPr>
        <w:t> </w:t>
      </w:r>
      <w:r>
        <w:rPr/>
        <w:t>网站。</w:t>
      </w:r>
    </w:p>
    <w:p>
      <w:pPr>
        <w:pStyle w:val="BodyText"/>
        <w:spacing w:line="369" w:lineRule="auto" w:before="80"/>
        <w:ind w:right="0" w:firstLine="1"/>
        <w:jc w:val="left"/>
      </w:pPr>
      <w:r>
        <w:rPr>
          <w:rFonts w:ascii="宋体" w:hAnsi="宋体" w:cs="宋体" w:eastAsia="宋体" w:hint="default"/>
          <w:b/>
          <w:bCs/>
        </w:rPr>
        <w:t>（六）关于相关利益者</w:t>
      </w:r>
      <w:r>
        <w:rPr>
          <w:rFonts w:ascii="宋体" w:hAnsi="宋体" w:cs="宋体" w:eastAsia="宋体" w:hint="default"/>
          <w:b/>
          <w:bCs/>
          <w:w w:val="99"/>
        </w:rPr>
        <w:t> </w:t>
      </w:r>
      <w:r>
        <w:rPr>
          <w:spacing w:val="-4"/>
        </w:rPr>
        <w:t>公司能够充分尊重和维护相关利益者的合法权益，积极与相关利益者合作，加强与各方的沟通和交流，实现公司、股东、</w:t>
      </w:r>
    </w:p>
    <w:p>
      <w:pPr>
        <w:pStyle w:val="BodyText"/>
        <w:spacing w:line="204" w:lineRule="exact"/>
        <w:ind w:left="153" w:right="0"/>
        <w:jc w:val="left"/>
      </w:pPr>
      <w:r>
        <w:rPr/>
        <w:t>员工、社会等各方利益的和谐发展，以推动公司持续、稳健发展。</w:t>
      </w:r>
    </w:p>
    <w:p>
      <w:pPr>
        <w:pStyle w:val="BodyText"/>
        <w:spacing w:line="304" w:lineRule="auto" w:before="125"/>
        <w:ind w:left="154" w:right="1050" w:firstLine="360"/>
        <w:jc w:val="both"/>
      </w:pPr>
      <w:r>
        <w:rPr/>
        <w:t>公司治理的实际情况与中国证监会有关上市公司治理的规范性文件要求基本符合。公司治理是一项系统而长期的工程， 需要不断持续改进，公司愿意接受各方监督，不断完善公司治理制度体系，加强内控制度的执行，促进公司健康稳健发展， 提高公司整体竞争力。</w:t>
      </w:r>
    </w:p>
    <w:p>
      <w:pPr>
        <w:spacing w:line="369" w:lineRule="auto" w:before="77"/>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（七）关于绩效评价与激励约束机制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公司建立了公正、透明、有效的董事、监事和高级管理人员的绩效评价标准和激励约束机制，公司高级管理人员的聘任</w:t>
      </w:r>
    </w:p>
    <w:p>
      <w:pPr>
        <w:pStyle w:val="BodyText"/>
        <w:spacing w:line="204" w:lineRule="exact"/>
        <w:ind w:left="154" w:right="0"/>
        <w:jc w:val="left"/>
      </w:pPr>
      <w:r>
        <w:rPr/>
        <w:t>公开、透明，严格按照有关法律法规的规定进行。公司未来还将探索更多形式的激励方式，形成多层次的综合激励机制，完</w:t>
      </w:r>
    </w:p>
    <w:p>
      <w:pPr>
        <w:pStyle w:val="BodyText"/>
        <w:spacing w:line="240" w:lineRule="auto" w:before="64"/>
        <w:ind w:left="154" w:right="0"/>
        <w:jc w:val="left"/>
      </w:pPr>
      <w:r>
        <w:rPr/>
        <w:t>善绩效评价标准，更好地调动管理人员的工作积极性，吸引和稳定优秀管理人才和技术、业务骨干。</w:t>
      </w:r>
    </w:p>
    <w:p>
      <w:pPr>
        <w:spacing w:after="0" w:line="240" w:lineRule="auto"/>
        <w:jc w:val="left"/>
        <w:sectPr>
          <w:pgSz w:w="11910" w:h="16840"/>
          <w:pgMar w:header="768" w:footer="979" w:top="1100" w:bottom="1160" w:left="980" w:right="0"/>
        </w:sectPr>
      </w:pPr>
    </w:p>
    <w:p>
      <w:pPr>
        <w:spacing w:line="240" w:lineRule="auto" w:before="5"/>
        <w:rPr>
          <w:rFonts w:ascii="宋体" w:hAnsi="宋体" w:cs="宋体" w:eastAsia="宋体" w:hint="default"/>
          <w:sz w:val="23"/>
          <w:szCs w:val="23"/>
        </w:rPr>
      </w:pPr>
    </w:p>
    <w:p>
      <w:pPr>
        <w:pStyle w:val="BodyText"/>
        <w:spacing w:line="240" w:lineRule="auto" w:before="44"/>
        <w:ind w:left="514" w:right="0"/>
        <w:jc w:val="left"/>
      </w:pPr>
      <w:r>
        <w:rPr/>
        <w:t>公司治理的实际状况与中国证监会发布的有关上市公司治理的规范性文件是否存在重大差异</w:t>
      </w:r>
    </w:p>
    <w:p>
      <w:pPr>
        <w:pStyle w:val="BodyText"/>
        <w:spacing w:line="340" w:lineRule="auto" w:before="86"/>
        <w:ind w:right="3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7"/>
      <w:bookmarkEnd w:id="127"/>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9"/>
          <w:szCs w:val="29"/>
        </w:rPr>
      </w:pPr>
    </w:p>
    <w:p>
      <w:pPr>
        <w:pStyle w:val="BodyText"/>
        <w:spacing w:line="326" w:lineRule="auto"/>
        <w:ind w:left="153" w:right="1132" w:firstLine="360"/>
        <w:jc w:val="both"/>
      </w:pPr>
      <w:r>
        <w:rPr>
          <w:spacing w:val="-2"/>
        </w:rPr>
        <w:t>公司自设立以来，严格按照《公司法》、《公司章程》及其他法律法规的要求规范运作，公司与控股股东大丰市东润投</w:t>
      </w:r>
      <w:r>
        <w:rPr/>
        <w:t> </w:t>
      </w:r>
      <w:r>
        <w:rPr>
          <w:spacing w:val="-2"/>
        </w:rPr>
        <w:t>资管理有限公司在业务、人员、资产、机构、财务上完全分开，拥有独立完整的供应、生产和销售业务系统，具有面向市场</w:t>
      </w:r>
      <w:r>
        <w:rPr>
          <w:spacing w:val="-72"/>
        </w:rPr>
        <w:t> </w:t>
      </w:r>
      <w:r>
        <w:rPr>
          <w:spacing w:val="-72"/>
        </w:rPr>
      </w:r>
      <w:r>
        <w:rPr>
          <w:spacing w:val="-2"/>
        </w:rPr>
        <w:t>自主生产经营能力。同时公司控股股东大丰市东润投资管理有限公司未以任何形式占用公司的货币资金或其他资产，不存在</w:t>
      </w:r>
      <w:r>
        <w:rPr>
          <w:spacing w:val="-64"/>
        </w:rPr>
        <w:t> </w:t>
      </w:r>
      <w:r>
        <w:rPr>
          <w:spacing w:val="-64"/>
        </w:rPr>
      </w:r>
      <w:r>
        <w:rPr/>
        <w:t>为其提供担保的情况。</w:t>
      </w:r>
    </w:p>
    <w:p>
      <w:pPr>
        <w:pStyle w:val="BodyText"/>
        <w:spacing w:line="364" w:lineRule="auto" w:before="59"/>
        <w:ind w:right="0" w:firstLine="1"/>
        <w:jc w:val="left"/>
      </w:pPr>
      <w:r>
        <w:rPr>
          <w:rFonts w:ascii="宋体" w:hAnsi="宋体" w:cs="宋体" w:eastAsia="宋体" w:hint="default"/>
          <w:b/>
          <w:bCs/>
        </w:rPr>
        <w:t>（一）业务独立情况</w:t>
      </w:r>
      <w:r>
        <w:rPr>
          <w:rFonts w:ascii="宋体" w:hAnsi="宋体" w:cs="宋体" w:eastAsia="宋体" w:hint="default"/>
          <w:b/>
          <w:bCs/>
          <w:w w:val="99"/>
        </w:rPr>
        <w:t> </w:t>
      </w:r>
      <w:r>
        <w:rPr>
          <w:spacing w:val="-2"/>
        </w:rPr>
        <w:t>公司主要从事的业务为热处理设备的研发、生产、销售及售后服务，以及为机械制造企业提供金属零件的专业热处理加</w:t>
      </w:r>
    </w:p>
    <w:p>
      <w:pPr>
        <w:pStyle w:val="BodyText"/>
        <w:spacing w:line="328" w:lineRule="auto"/>
        <w:ind w:left="154" w:right="0"/>
        <w:jc w:val="left"/>
      </w:pPr>
      <w:r>
        <w:rPr>
          <w:spacing w:val="-2"/>
        </w:rPr>
        <w:t>工服务。本公司及公司控股的下属子公司拥有独立的生产及辅助生产系统、采购和销售系统以及独立的研发体系。公司自主</w:t>
      </w:r>
      <w:r>
        <w:rPr>
          <w:spacing w:val="-66"/>
        </w:rPr>
        <w:t> </w:t>
      </w:r>
      <w:r>
        <w:rPr>
          <w:spacing w:val="-66"/>
        </w:rPr>
      </w:r>
      <w:r>
        <w:rPr/>
        <w:t>经营，业务不依赖于控股股东，也不存在与控股股东之间的同业竞争与关联交易。</w:t>
      </w:r>
    </w:p>
    <w:p>
      <w:pPr>
        <w:pStyle w:val="BodyText"/>
        <w:spacing w:line="364" w:lineRule="auto" w:before="58"/>
        <w:ind w:left="514" w:right="0" w:firstLine="1"/>
        <w:jc w:val="left"/>
      </w:pPr>
      <w:r>
        <w:rPr>
          <w:rFonts w:ascii="宋体" w:hAnsi="宋体" w:cs="宋体" w:eastAsia="宋体" w:hint="default"/>
          <w:b/>
          <w:bCs/>
        </w:rPr>
        <w:t>（二）人员独立情况</w:t>
      </w:r>
      <w:r>
        <w:rPr>
          <w:rFonts w:ascii="宋体" w:hAnsi="宋体" w:cs="宋体" w:eastAsia="宋体" w:hint="default"/>
          <w:b/>
          <w:bCs/>
          <w:w w:val="99"/>
        </w:rPr>
        <w:t> </w:t>
      </w:r>
      <w:r>
        <w:rPr>
          <w:spacing w:val="-2"/>
        </w:rPr>
        <w:t>公司在劳动、人事及工资管理等方面完全独立。公司高级管理人员均专职在公司工作并领取薪酬，未在控股股东单位担</w:t>
      </w:r>
    </w:p>
    <w:p>
      <w:pPr>
        <w:pStyle w:val="BodyText"/>
        <w:spacing w:line="326" w:lineRule="auto"/>
        <w:ind w:left="154" w:right="0"/>
        <w:jc w:val="left"/>
      </w:pPr>
      <w:r>
        <w:rPr>
          <w:spacing w:val="-2"/>
        </w:rPr>
        <w:t>任除董事、监事以外的其他职务，未在控股股东单位领取薪酬。公司董事、监事及高级管理人员的任职，均严格按照《公司</w:t>
      </w:r>
      <w:r>
        <w:rPr>
          <w:spacing w:val="-68"/>
        </w:rPr>
        <w:t> </w:t>
      </w:r>
      <w:r>
        <w:rPr>
          <w:spacing w:val="-68"/>
        </w:rPr>
      </w:r>
      <w:r>
        <w:rPr>
          <w:spacing w:val="-4"/>
        </w:rPr>
        <w:t>法》、《公司章程》等规定的程序推选和任免，不存在控股股东超越公司股东大会、董事会和《公司章程》的规定，对董事、</w:t>
      </w:r>
      <w:r>
        <w:rPr>
          <w:spacing w:val="-49"/>
        </w:rPr>
        <w:t> </w:t>
      </w:r>
      <w:r>
        <w:rPr>
          <w:spacing w:val="-49"/>
        </w:rPr>
      </w:r>
      <w:r>
        <w:rPr/>
        <w:t>监事及高级管理人员作出人事任免决定的情形。</w:t>
      </w:r>
    </w:p>
    <w:p>
      <w:pPr>
        <w:pStyle w:val="BodyText"/>
        <w:spacing w:line="364" w:lineRule="auto" w:before="59"/>
        <w:ind w:left="514" w:right="0" w:firstLine="1"/>
        <w:jc w:val="left"/>
      </w:pPr>
      <w:r>
        <w:rPr>
          <w:rFonts w:ascii="宋体" w:hAnsi="宋体" w:cs="宋体" w:eastAsia="宋体" w:hint="default"/>
          <w:b/>
          <w:bCs/>
        </w:rPr>
        <w:t>（三）资产独立情况</w:t>
      </w:r>
      <w:r>
        <w:rPr>
          <w:rFonts w:ascii="宋体" w:hAnsi="宋体" w:cs="宋体" w:eastAsia="宋体" w:hint="default"/>
          <w:b/>
          <w:bCs/>
          <w:w w:val="99"/>
        </w:rPr>
        <w:t> </w:t>
      </w:r>
      <w:r>
        <w:rPr>
          <w:spacing w:val="-2"/>
        </w:rPr>
        <w:t>公司拥有独立完整的研发、采购、生产、销售系统及辅助生产设施，拥有与业务及生产经营相关的房产、生产经营设备</w:t>
      </w:r>
    </w:p>
    <w:p>
      <w:pPr>
        <w:pStyle w:val="BodyText"/>
        <w:spacing w:line="326" w:lineRule="auto"/>
        <w:ind w:left="154" w:right="0"/>
        <w:jc w:val="left"/>
      </w:pPr>
      <w:r>
        <w:rPr>
          <w:spacing w:val="-2"/>
        </w:rPr>
        <w:t>等固定资产和土地使用权、商标、专利、专有技术等无形资产，独立于控股股东及其他发起人。公司不存在控股股东违规占</w:t>
      </w:r>
      <w:r>
        <w:rPr>
          <w:spacing w:val="-66"/>
        </w:rPr>
        <w:t> </w:t>
      </w:r>
      <w:r>
        <w:rPr>
          <w:spacing w:val="-66"/>
        </w:rPr>
      </w:r>
      <w:r>
        <w:rPr>
          <w:spacing w:val="-4"/>
        </w:rPr>
        <w:t>用本公司资金、资产和其他资源的情形，不存在以承包、委托经营、租赁或其他类似方式依赖控股股东进行生产经营的情况。</w:t>
      </w:r>
      <w:r>
        <w:rPr>
          <w:spacing w:val="-46"/>
        </w:rPr>
        <w:t> </w:t>
      </w:r>
      <w:r>
        <w:rPr>
          <w:spacing w:val="-46"/>
        </w:rPr>
      </w:r>
      <w:r>
        <w:rPr/>
        <w:t>公司原材料采购和产品销售均由本公司独立面向市场自主完成，未依赖控股股东，产购销系统独立完整。</w:t>
      </w:r>
    </w:p>
    <w:p>
      <w:pPr>
        <w:pStyle w:val="BodyText"/>
        <w:spacing w:line="364" w:lineRule="auto" w:before="59"/>
        <w:ind w:left="514" w:right="0" w:firstLine="1"/>
        <w:jc w:val="left"/>
      </w:pPr>
      <w:r>
        <w:rPr>
          <w:rFonts w:ascii="宋体" w:hAnsi="宋体" w:cs="宋体" w:eastAsia="宋体" w:hint="default"/>
          <w:b/>
          <w:bCs/>
        </w:rPr>
        <w:t>（四）机构独立情况</w:t>
      </w:r>
      <w:r>
        <w:rPr>
          <w:rFonts w:ascii="宋体" w:hAnsi="宋体" w:cs="宋体" w:eastAsia="宋体" w:hint="default"/>
          <w:b/>
          <w:bCs/>
          <w:w w:val="99"/>
        </w:rPr>
        <w:t> </w:t>
      </w:r>
      <w:r>
        <w:rPr>
          <w:spacing w:val="-6"/>
        </w:rPr>
        <w:t>公司建立健全了包括股东大会、董事会、监事会、总经理办公会相互制衡的法人治理结构，并严格按照《公司法》、《公</w:t>
      </w:r>
    </w:p>
    <w:p>
      <w:pPr>
        <w:pStyle w:val="BodyText"/>
        <w:spacing w:line="309" w:lineRule="auto"/>
        <w:ind w:left="153" w:right="1033"/>
        <w:jc w:val="left"/>
      </w:pPr>
      <w:r>
        <w:rPr/>
        <w:t>司章程》等规定履行各自的职责；公司根据生产经营管理需要设置了完全独立于控股股东的</w:t>
      </w:r>
      <w:r>
        <w:rPr>
          <w:rFonts w:ascii="Times New Roman" w:hAnsi="Times New Roman" w:cs="Times New Roman" w:eastAsia="Times New Roman" w:hint="default"/>
        </w:rPr>
        <w:t>16</w:t>
      </w:r>
      <w:r>
        <w:rPr/>
        <w:t>个职能部门的内部组织机构。 公司独立行使经营管理职权，与控股股东之间不存在机构混同的情形。</w:t>
      </w:r>
    </w:p>
    <w:p>
      <w:pPr>
        <w:pStyle w:val="BodyText"/>
        <w:spacing w:line="364" w:lineRule="auto" w:before="72"/>
        <w:ind w:right="1213" w:firstLine="1"/>
        <w:jc w:val="left"/>
      </w:pPr>
      <w:r>
        <w:rPr>
          <w:rFonts w:ascii="宋体" w:hAnsi="宋体" w:cs="宋体" w:eastAsia="宋体" w:hint="default"/>
          <w:b/>
          <w:bCs/>
        </w:rPr>
        <w:t>（五）财务独立情况</w:t>
      </w:r>
      <w:r>
        <w:rPr>
          <w:rFonts w:ascii="宋体" w:hAnsi="宋体" w:cs="宋体" w:eastAsia="宋体" w:hint="default"/>
          <w:b/>
          <w:bCs/>
          <w:w w:val="99"/>
        </w:rPr>
        <w:t> </w:t>
      </w:r>
      <w:r>
        <w:rPr/>
        <w:t>公司设立了独立于控股股东及其他发起人的财务会计部门和内部审计部门，建立了独立的会计核算体系和财务管理制</w:t>
      </w:r>
    </w:p>
    <w:p>
      <w:pPr>
        <w:pStyle w:val="BodyText"/>
        <w:spacing w:line="326" w:lineRule="auto"/>
        <w:ind w:left="153" w:right="1131"/>
        <w:jc w:val="both"/>
      </w:pPr>
      <w:r>
        <w:rPr>
          <w:spacing w:val="-2"/>
        </w:rPr>
        <w:t>度。公司独立核算对外采购、对外销售等经济业务，以独立法人的地位对外编制会计报表。公司独立作出财务决策，独立在</w:t>
      </w:r>
      <w:r>
        <w:rPr>
          <w:spacing w:val="-66"/>
        </w:rPr>
        <w:t> </w:t>
      </w:r>
      <w:r>
        <w:rPr>
          <w:spacing w:val="-66"/>
        </w:rPr>
      </w:r>
      <w:r>
        <w:rPr>
          <w:spacing w:val="-2"/>
        </w:rPr>
        <w:t>银行开户，依法独立进行纳税申报和履行纳税义务。公司独立对外签订合同，不受股东和关联方的影响。公司不存在为控股</w:t>
      </w:r>
      <w:r>
        <w:rPr>
          <w:spacing w:val="-66"/>
        </w:rPr>
        <w:t> </w:t>
      </w:r>
      <w:r>
        <w:rPr>
          <w:spacing w:val="-66"/>
        </w:rPr>
      </w:r>
      <w:r>
        <w:rPr/>
        <w:t>股东提供担保，也不存在将本公司的借款转借给控股股东及其他发起人使用的情形。</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28"/>
      <w:bookmarkEnd w:id="128"/>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四、报告期内召开的年度股东大会和临时股东大会的有关情况" w:id="129"/>
      <w:bookmarkEnd w:id="129"/>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0"/>
      <w:bookmarkEnd w:id="13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559"/>
        <w:gridCol w:w="1560"/>
        <w:gridCol w:w="21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2" w:right="44"/>
              <w:jc w:val="both"/>
              <w:rPr>
                <w:rFonts w:ascii="Times New Roman" w:hAnsi="Times New Roman" w:cs="Times New Roman" w:eastAsia="Times New Roman" w:hint="default"/>
                <w:sz w:val="18"/>
                <w:szCs w:val="18"/>
              </w:rPr>
            </w:pPr>
            <w:hyperlink r:id="rId31">
              <w:r>
                <w:rPr>
                  <w:rFonts w:ascii="Times New Roman"/>
                  <w:sz w:val="18"/>
                </w:rPr>
                <w:t>http://www.cninfo.com.cn/cn</w:t>
              </w:r>
            </w:hyperlink>
            <w:r>
              <w:rPr>
                <w:rFonts w:ascii="Times New Roman"/>
                <w:sz w:val="18"/>
              </w:rPr>
              <w:t> info-new/disclosure/szse_sm</w:t>
            </w:r>
            <w:r>
              <w:rPr>
                <w:rFonts w:ascii="Times New Roman"/>
                <w:w w:val="99"/>
                <w:sz w:val="18"/>
              </w:rPr>
              <w:t> </w:t>
            </w:r>
            <w:r>
              <w:rPr>
                <w:rFonts w:ascii="Times New Roman"/>
                <w:sz w:val="18"/>
              </w:rPr>
              <w:t>e/bulletin_detail/true/120081</w:t>
            </w:r>
            <w:r>
              <w:rPr>
                <w:rFonts w:ascii="Times New Roman"/>
                <w:sz w:val="18"/>
              </w:rPr>
              <w:t> 2277?announceTime=2015-0 </w:t>
            </w:r>
            <w:r>
              <w:rPr>
                <w:rFonts w:ascii="Times New Roman"/>
                <w:spacing w:val="-4"/>
                <w:sz w:val="18"/>
              </w:rPr>
              <w:t>4-11</w:t>
            </w:r>
            <w:r>
              <w:rPr>
                <w:rFonts w:ascii="Times New Roman"/>
                <w:sz w:val="18"/>
              </w:rPr>
            </w:r>
          </w:p>
        </w:tc>
      </w:tr>
      <w:tr>
        <w:trPr>
          <w:trHeight w:val="12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2"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2" w:right="44"/>
              <w:jc w:val="both"/>
              <w:rPr>
                <w:rFonts w:ascii="Times New Roman" w:hAnsi="Times New Roman" w:cs="Times New Roman" w:eastAsia="Times New Roman" w:hint="default"/>
                <w:sz w:val="18"/>
                <w:szCs w:val="18"/>
              </w:rPr>
            </w:pPr>
            <w:hyperlink r:id="rId31">
              <w:r>
                <w:rPr>
                  <w:rFonts w:ascii="Times New Roman"/>
                  <w:sz w:val="18"/>
                </w:rPr>
                <w:t>http://www.cninfo.com.cn/cn</w:t>
              </w:r>
            </w:hyperlink>
            <w:r>
              <w:rPr>
                <w:rFonts w:ascii="Times New Roman"/>
                <w:sz w:val="18"/>
              </w:rPr>
              <w:t> info-new/disclosure/szse_sm</w:t>
            </w:r>
            <w:r>
              <w:rPr>
                <w:rFonts w:ascii="Times New Roman"/>
                <w:w w:val="99"/>
                <w:sz w:val="18"/>
              </w:rPr>
              <w:t> </w:t>
            </w:r>
            <w:r>
              <w:rPr>
                <w:rFonts w:ascii="Times New Roman"/>
                <w:sz w:val="18"/>
              </w:rPr>
              <w:t>e/bulletin_detail/true/120175</w:t>
            </w:r>
            <w:r>
              <w:rPr>
                <w:rFonts w:ascii="Times New Roman"/>
                <w:w w:val="99"/>
                <w:sz w:val="18"/>
              </w:rPr>
              <w:t> </w:t>
            </w:r>
            <w:r>
              <w:rPr>
                <w:rFonts w:ascii="Times New Roman"/>
                <w:sz w:val="18"/>
              </w:rPr>
              <w:t>9644?announceTime=2015-1</w:t>
            </w:r>
            <w:r>
              <w:rPr>
                <w:rFonts w:ascii="Times New Roman"/>
                <w:w w:val="99"/>
                <w:sz w:val="18"/>
              </w:rPr>
              <w:t> </w:t>
            </w:r>
            <w:r>
              <w:rPr>
                <w:rFonts w:ascii="Times New Roman"/>
                <w:sz w:val="18"/>
              </w:rPr>
              <w:t>1-10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1"/>
      <w:bookmarkEnd w:id="13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2"/>
      <w:bookmarkEnd w:id="132"/>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3"/>
      <w:bookmarkEnd w:id="13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独立董事对公司有关事项提出异议的情况" w:id="134"/>
      <w:bookmarkEnd w:id="13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独立董事对公司有关事项是否提出异议</w:t>
      </w:r>
    </w:p>
    <w:p>
      <w:pPr>
        <w:pStyle w:val="BodyText"/>
        <w:spacing w:line="340" w:lineRule="auto" w:before="116"/>
        <w:ind w:right="6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35"/>
      <w:bookmarkEnd w:id="13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独立董事对公司有关建议是否被采纳</w:t>
      </w:r>
    </w:p>
    <w:p>
      <w:pPr>
        <w:pStyle w:val="BodyText"/>
        <w:spacing w:line="338" w:lineRule="auto" w:before="116"/>
        <w:ind w:right="6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2"/>
        <w:ind w:left="511" w:right="0"/>
        <w:jc w:val="left"/>
      </w:pPr>
      <w:r>
        <w:rPr>
          <w:rFonts w:ascii="Times New Roman" w:hAnsi="Times New Roman" w:cs="Times New Roman" w:eastAsia="Times New Roman" w:hint="default"/>
        </w:rPr>
        <w:t>2015</w:t>
      </w:r>
      <w:r>
        <w:rPr/>
        <w:t>年度，独立董事对公司进行了多次实地现场考察，了解公司的生产经营情况和财务状况；独立董事通过电话和邮件</w:t>
      </w:r>
    </w:p>
    <w:p>
      <w:pPr>
        <w:spacing w:after="0" w:line="240" w:lineRule="auto"/>
        <w:jc w:val="left"/>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153" w:right="1131"/>
        <w:jc w:val="both"/>
      </w:pPr>
      <w:r>
        <w:rPr>
          <w:spacing w:val="-2"/>
        </w:rPr>
        <w:t>积极与公司其他董事、高管人员及相关工作人员保持密切联系，时刻关注国际经济形势以及外部市场变化对公司经营状况的</w:t>
      </w:r>
      <w:r>
        <w:rPr>
          <w:spacing w:val="-64"/>
        </w:rPr>
        <w:t> </w:t>
      </w:r>
      <w:r>
        <w:rPr>
          <w:spacing w:val="-64"/>
        </w:rPr>
      </w:r>
      <w:r>
        <w:rPr>
          <w:spacing w:val="-2"/>
        </w:rPr>
        <w:t>影响，关注传媒、网络有关公司的相关报道，及时获悉公司各重大事项的进展情况，定期审阅公司提供的信息报告，及时了</w:t>
      </w:r>
      <w:r>
        <w:rPr>
          <w:spacing w:val="-66"/>
        </w:rPr>
        <w:t> </w:t>
      </w:r>
      <w:r>
        <w:rPr>
          <w:spacing w:val="-66"/>
        </w:rPr>
      </w:r>
      <w:r>
        <w:rPr>
          <w:spacing w:val="-2"/>
        </w:rPr>
        <w:t>解掌握公司经营与发展情况，深入探讨公司经营发展中的机遇与挑战，及时提示风险。本年度重点关注公司的募投项目进展</w:t>
      </w:r>
      <w:r>
        <w:rPr>
          <w:spacing w:val="-66"/>
        </w:rPr>
        <w:t> </w:t>
      </w:r>
      <w:r>
        <w:rPr>
          <w:spacing w:val="-66"/>
        </w:rPr>
      </w:r>
      <w:r>
        <w:rPr>
          <w:spacing w:val="-2"/>
        </w:rPr>
        <w:t>情况、主营业务经营状况和产业转型方向等，掌握公司的运行动态，在充分掌握实际情况的基础上提出相关意见与建议，为</w:t>
      </w:r>
      <w:r>
        <w:rPr>
          <w:spacing w:val="-67"/>
        </w:rPr>
        <w:t> </w:t>
      </w:r>
      <w:r>
        <w:rPr>
          <w:spacing w:val="-67"/>
        </w:rPr>
      </w:r>
      <w:r>
        <w:rPr/>
        <w:t>独立董事对董事会各项议案的审议表决、对重大事项发表独立意见提供了有力的支持。</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36"/>
      <w:bookmarkEnd w:id="13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0" w:firstLine="360"/>
        <w:jc w:val="both"/>
      </w:pPr>
      <w:r>
        <w:rPr>
          <w:spacing w:val="-2"/>
        </w:rPr>
        <w:t>公司董事会下设四个专门委员会，分别为审计委员会、战略委员会、提名委员会、薪酬委员会。</w:t>
      </w:r>
      <w:r>
        <w:rPr>
          <w:rFonts w:ascii="Times New Roman" w:hAnsi="Times New Roman" w:cs="Times New Roman" w:eastAsia="Times New Roman" w:hint="default"/>
          <w:spacing w:val="-2"/>
        </w:rPr>
        <w:t>2015</w:t>
      </w:r>
      <w:r>
        <w:rPr>
          <w:spacing w:val="-2"/>
        </w:rPr>
        <w:t>年各专门委员会本</w:t>
      </w:r>
      <w:r>
        <w:rPr/>
        <w:t> </w:t>
      </w:r>
      <w:r>
        <w:rPr>
          <w:spacing w:val="-2"/>
        </w:rPr>
        <w:t>着勤勉尽责的原则，按照有关法律法规、规范性文件及公司各专门委员会工作细则的有关规定开展相关工作，报告期内，各</w:t>
      </w:r>
      <w:r>
        <w:rPr>
          <w:spacing w:val="-65"/>
        </w:rPr>
        <w:t> </w:t>
      </w:r>
      <w:r>
        <w:rPr>
          <w:spacing w:val="-65"/>
        </w:rPr>
      </w:r>
      <w:r>
        <w:rPr/>
        <w:t>专门委员会履职情况如下：</w:t>
      </w:r>
    </w:p>
    <w:p>
      <w:pPr>
        <w:spacing w:line="300" w:lineRule="auto" w:before="84"/>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、董事会审计委员会履职情况</w:t>
      </w:r>
      <w:r>
        <w:rPr>
          <w:rFonts w:ascii="宋体" w:hAnsi="宋体" w:cs="宋体" w:eastAsia="宋体" w:hint="default"/>
          <w:b/>
          <w:bCs/>
          <w:w w:val="99"/>
          <w:sz w:val="18"/>
          <w:szCs w:val="18"/>
        </w:rPr>
        <w:t> </w:t>
      </w:r>
      <w:r>
        <w:rPr>
          <w:rFonts w:ascii="宋体" w:hAnsi="宋体" w:cs="宋体" w:eastAsia="宋体" w:hint="default"/>
          <w:sz w:val="18"/>
          <w:szCs w:val="18"/>
        </w:rPr>
        <w:t>审计委员会根据有关规定积极开展相关工作，认真履行职责。报告期内，审计委员会共召开了</w:t>
      </w:r>
      <w:r>
        <w:rPr>
          <w:rFonts w:ascii="Times New Roman" w:hAnsi="Times New Roman" w:cs="Times New Roman" w:eastAsia="Times New Roman" w:hint="default"/>
          <w:sz w:val="18"/>
          <w:szCs w:val="18"/>
        </w:rPr>
        <w:t>6</w:t>
      </w:r>
      <w:r>
        <w:rPr>
          <w:rFonts w:ascii="宋体" w:hAnsi="宋体" w:cs="宋体" w:eastAsia="宋体" w:hint="default"/>
          <w:sz w:val="18"/>
          <w:szCs w:val="18"/>
        </w:rPr>
        <w:t>次会议，审议了公司内</w:t>
      </w:r>
    </w:p>
    <w:p>
      <w:pPr>
        <w:pStyle w:val="BodyText"/>
        <w:spacing w:line="316" w:lineRule="auto" w:before="13"/>
        <w:ind w:left="153" w:right="0"/>
        <w:jc w:val="left"/>
      </w:pPr>
      <w:r>
        <w:rPr>
          <w:spacing w:val="-2"/>
        </w:rPr>
        <w:t>部审计部提交的各项内部审计报告，听取了内部审计部年度工作总结和工作计划安排；对公司年度审计、外部审计机构的聘</w:t>
      </w:r>
      <w:r>
        <w:rPr>
          <w:spacing w:val="-66"/>
        </w:rPr>
        <w:t> </w:t>
      </w:r>
      <w:r>
        <w:rPr>
          <w:spacing w:val="-66"/>
        </w:rPr>
      </w:r>
      <w:r>
        <w:rPr/>
        <w:t>任等事项给予合理的建议；对财务报告、募集资金使用、内部控制建设等情况进行审核。</w:t>
      </w:r>
    </w:p>
    <w:p>
      <w:pPr>
        <w:spacing w:line="300" w:lineRule="auto" w:before="79"/>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、董事会战略委员会履职情况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报告期内，战略委员会召开了</w:t>
      </w:r>
      <w:r>
        <w:rPr>
          <w:rFonts w:ascii="Times New Roman" w:hAnsi="Times New Roman" w:cs="Times New Roman" w:eastAsia="Times New Roman" w:hint="default"/>
          <w:sz w:val="18"/>
          <w:szCs w:val="18"/>
        </w:rPr>
        <w:t>3</w:t>
      </w:r>
      <w:r>
        <w:rPr>
          <w:rFonts w:ascii="宋体" w:hAnsi="宋体" w:cs="宋体" w:eastAsia="宋体" w:hint="default"/>
          <w:sz w:val="18"/>
          <w:szCs w:val="18"/>
        </w:rPr>
        <w:t>次会议，讨论了公司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年度发展战略和投资计划，为公司下一步发展指明方向；审议</w:t>
      </w:r>
    </w:p>
    <w:p>
      <w:pPr>
        <w:pStyle w:val="BodyText"/>
        <w:spacing w:line="240" w:lineRule="auto" w:before="13"/>
        <w:ind w:left="154" w:right="0"/>
        <w:jc w:val="both"/>
      </w:pPr>
      <w:r>
        <w:rPr/>
        <w:t>了收购并增资扩股常州市鑫润热处理有限公司、增资株式会社</w:t>
      </w:r>
      <w:r>
        <w:rPr>
          <w:rFonts w:ascii="Times New Roman" w:hAnsi="Times New Roman" w:cs="Times New Roman" w:eastAsia="Times New Roman" w:hint="default"/>
        </w:rPr>
        <w:t>ISI</w:t>
      </w:r>
      <w:r>
        <w:rPr/>
        <w:t>等投资事项。</w:t>
      </w:r>
    </w:p>
    <w:p>
      <w:pPr>
        <w:spacing w:line="300" w:lineRule="auto" w:before="123"/>
        <w:ind w:left="513" w:right="625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、董事会提名委员会履职情况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报告期内，公司未有董事、高级管理人员更替事项。</w:t>
      </w:r>
    </w:p>
    <w:p>
      <w:pPr>
        <w:spacing w:line="300" w:lineRule="auto" w:before="91"/>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、董事会薪酬委员会履职情况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报告期内，薪酬委员会召开了</w:t>
      </w:r>
      <w:r>
        <w:rPr>
          <w:rFonts w:ascii="Times New Roman" w:hAnsi="Times New Roman" w:cs="Times New Roman" w:eastAsia="Times New Roman" w:hint="default"/>
          <w:sz w:val="18"/>
          <w:szCs w:val="18"/>
        </w:rPr>
        <w:t>1</w:t>
      </w:r>
      <w:r>
        <w:rPr>
          <w:rFonts w:ascii="宋体" w:hAnsi="宋体" w:cs="宋体" w:eastAsia="宋体" w:hint="default"/>
          <w:sz w:val="18"/>
          <w:szCs w:val="18"/>
        </w:rPr>
        <w:t>次会议，对现任的董事、高级管理人员的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年度实际发放薪酬进行了审核，认为公司</w:t>
      </w:r>
    </w:p>
    <w:p>
      <w:pPr>
        <w:pStyle w:val="BodyText"/>
        <w:spacing w:line="240" w:lineRule="auto" w:before="13"/>
        <w:ind w:left="153" w:right="0"/>
        <w:jc w:val="both"/>
      </w:pPr>
      <w:r>
        <w:rPr/>
        <w:t>现任董事、高级管理人员的薪酬相对合理，符合公司发展现状。</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七、监事会工作情况" w:id="137"/>
      <w:bookmarkEnd w:id="13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38"/>
      <w:bookmarkEnd w:id="13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0" w:firstLine="360"/>
        <w:jc w:val="both"/>
      </w:pPr>
      <w:r>
        <w:rPr>
          <w:spacing w:val="-2"/>
        </w:rPr>
        <w:t>高级管理人员实行年薪制，依据行业及地区薪酬水平、个人岗位职责、公司经营效益等因素确定。结合公司实际经营业</w:t>
      </w:r>
      <w:r>
        <w:rPr/>
        <w:t> </w:t>
      </w:r>
      <w:r>
        <w:rPr>
          <w:spacing w:val="-2"/>
        </w:rPr>
        <w:t>绩和高级管理人员的履职情况进行绩效考核，并根据考核情况核发年度绩效薪酬。</w:t>
      </w:r>
      <w:r>
        <w:rPr>
          <w:rFonts w:ascii="Times New Roman" w:hAnsi="Times New Roman" w:cs="Times New Roman" w:eastAsia="Times New Roman" w:hint="default"/>
          <w:spacing w:val="-2"/>
        </w:rPr>
        <w:t>2015</w:t>
      </w:r>
      <w:r>
        <w:rPr>
          <w:spacing w:val="-2"/>
        </w:rPr>
        <w:t>年度高级管理人员的考核均为良好以</w:t>
      </w:r>
      <w:r>
        <w:rPr>
          <w:spacing w:val="-59"/>
        </w:rPr>
        <w:t> </w:t>
      </w:r>
      <w:r>
        <w:rPr/>
        <w:t>上。</w:t>
      </w:r>
    </w:p>
    <w:p>
      <w:pPr>
        <w:pStyle w:val="BodyText"/>
        <w:spacing w:line="240" w:lineRule="auto" w:before="64"/>
        <w:ind w:left="514" w:right="0"/>
        <w:jc w:val="left"/>
      </w:pPr>
      <w:r>
        <w:rPr>
          <w:rFonts w:ascii="Times New Roman" w:hAnsi="Times New Roman" w:cs="Times New Roman" w:eastAsia="Times New Roman" w:hint="default"/>
        </w:rPr>
        <w:t>2015</w:t>
      </w:r>
      <w:r>
        <w:rPr/>
        <w:t>年度公司未实行股权激励计划。</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内部控制评价报告" w:id="139"/>
      <w:bookmarkEnd w:id="13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0"/>
      <w:bookmarkEnd w:id="14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r>
        <w:rPr/>
        <w:pict>
          <v:group style="position:absolute;margin-left:177.440002pt;margin-top:655.059998pt;width:356.35pt;height:20.8pt;mso-position-horizontal-relative:page;mso-position-vertical-relative:page;z-index:-832624" coordorigin="3549,13101" coordsize="7127,416">
            <v:group style="position:absolute;left:3561;top:13113;width:2;height:392" coordorigin="3561,13113" coordsize="2,392">
              <v:shape style="position:absolute;left:3561;top:13113;width:2;height:392" coordorigin="3561,13113" coordsize="0,392" path="m3561,13113l3561,13504e" filled="false" stroked="true" strokeweight="1.2pt" strokecolor="#ffffff">
                <v:path arrowok="t"/>
              </v:shape>
            </v:group>
            <v:group style="position:absolute;left:3573;top:13113;width:7103;height:392" coordorigin="3573,13113" coordsize="7103,392">
              <v:shape style="position:absolute;left:3573;top:13113;width:7103;height:392" coordorigin="3573,13113" coordsize="7103,392" path="m3573,13504l10675,13504,10675,13113,3573,13113,3573,13504xe" filled="true" fillcolor="#ffffff" stroked="false">
                <v:path arrowok="t"/>
                <v:fill type="solid"/>
              </v:shape>
            </v:group>
            <w10:wrap type="none"/>
          </v:group>
        </w:pict>
      </w:r>
      <w:r>
        <w:rPr/>
        <w:pict>
          <v:group style="position:absolute;margin-left:177.440002pt;margin-top:695.26001pt;width:356.35pt;height:20.8pt;mso-position-horizontal-relative:page;mso-position-vertical-relative:page;z-index:-832600" coordorigin="3549,13905" coordsize="7127,416">
            <v:group style="position:absolute;left:3561;top:13917;width:2;height:392" coordorigin="3561,13917" coordsize="2,392">
              <v:shape style="position:absolute;left:3561;top:13917;width:2;height:392" coordorigin="3561,13917" coordsize="0,392" path="m3561,13917l3561,14309e" filled="false" stroked="true" strokeweight="1.2pt" strokecolor="#ffffff">
                <v:path arrowok="t"/>
              </v:shape>
            </v:group>
            <v:group style="position:absolute;left:3573;top:13917;width:7103;height:392" coordorigin="3573,13917" coordsize="7103,392">
              <v:shape style="position:absolute;left:3573;top:13917;width:7103;height:392" coordorigin="3573,13917" coordsize="7103,392" path="m3573,14309l10675,14309,10675,13917,3573,13917,3573,14309xe" filled="true" fillcolor="#ffffff" stroked="false">
                <v:path arrowok="t"/>
                <v:fill type="solid"/>
              </v:shape>
            </v:group>
            <w10:wrap type="none"/>
          </v:group>
        </w:pict>
      </w:r>
    </w:p>
    <w:p>
      <w:pPr>
        <w:pStyle w:val="Heading3"/>
        <w:spacing w:line="240" w:lineRule="auto" w:before="35"/>
        <w:ind w:right="0"/>
        <w:jc w:val="left"/>
        <w:rPr>
          <w:b w:val="0"/>
          <w:bCs w:val="0"/>
        </w:rPr>
      </w:pPr>
      <w:bookmarkStart w:name="2、内控自我评价报告" w:id="141"/>
      <w:bookmarkEnd w:id="14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784"/>
        <w:gridCol w:w="3335"/>
        <w:gridCol w:w="3051"/>
      </w:tblGrid>
      <w:tr>
        <w:trPr>
          <w:trHeight w:val="402"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70"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570"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25"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9" w:type="dxa"/>
            <w:gridSpan w:val="2"/>
            <w:vMerge w:val="restart"/>
            <w:tcBorders>
              <w:top w:val="single" w:sz="4" w:space="0" w:color="000000"/>
              <w:left w:val="single" w:sz="9" w:space="0" w:color="D2D2D2"/>
              <w:right w:val="single" w:sz="4" w:space="0" w:color="000000"/>
            </w:tcBorders>
          </w:tcPr>
          <w:p>
            <w:pPr>
              <w:pStyle w:val="TableParagraph"/>
              <w:spacing w:line="237" w:lineRule="auto" w:before="23"/>
              <w:ind w:left="28"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、重大缺陷：单独缺陷或连同其他缺陷导致不能及 </w:t>
            </w:r>
            <w:r>
              <w:rPr>
                <w:rFonts w:ascii="宋体" w:hAnsi="宋体" w:cs="宋体" w:eastAsia="宋体" w:hint="default"/>
                <w:spacing w:val="-4"/>
                <w:sz w:val="18"/>
                <w:szCs w:val="18"/>
              </w:rPr>
              <w:t>时防止或发现并纠正财务报告中的重大错报。出现下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列情形的，认定为重大缺陷：</w:t>
            </w:r>
          </w:p>
          <w:p>
            <w:pPr>
              <w:pStyle w:val="TableParagraph"/>
              <w:spacing w:line="245" w:lineRule="exact" w:before="4"/>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p>
          <w:p>
            <w:pPr>
              <w:pStyle w:val="TableParagraph"/>
              <w:spacing w:line="240" w:lineRule="exact"/>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）董事、监事和高级管理人员舞弊行为；</w:t>
            </w:r>
          </w:p>
          <w:p>
            <w:pPr>
              <w:pStyle w:val="TableParagraph"/>
              <w:spacing w:line="240" w:lineRule="exact" w:before="13"/>
              <w:ind w:left="28"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）外部审计发现当期财务报告存在重大错报，公 司在运行过程中未能发现该错报；</w:t>
            </w:r>
          </w:p>
          <w:p>
            <w:pPr>
              <w:pStyle w:val="TableParagraph"/>
              <w:spacing w:line="240" w:lineRule="exact"/>
              <w:ind w:left="28" w:right="2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）已经发现并报告给管理层的重大缺陷在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 未加以改正；</w:t>
            </w:r>
          </w:p>
          <w:p>
            <w:pPr>
              <w:pStyle w:val="TableParagraph"/>
              <w:spacing w:line="240" w:lineRule="exact"/>
              <w:ind w:left="28"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）公司审计委员会和内部审计部对内部控制的监 督无效；</w:t>
            </w:r>
          </w:p>
          <w:p>
            <w:pPr>
              <w:pStyle w:val="TableParagraph"/>
              <w:spacing w:line="240" w:lineRule="exact"/>
              <w:ind w:left="28"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）其他可能影响报表使用者正确判断的缺陷。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、重要缺陷：单独缺陷或连同其他缺陷导致不能及 时防止或发现并纠正财务报告中虽然未达到和超过 重要性水平，仍应引起管理层重视的错报。</w:t>
            </w:r>
          </w:p>
          <w:p>
            <w:pPr>
              <w:pStyle w:val="TableParagraph"/>
              <w:spacing w:line="240" w:lineRule="exact"/>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、一般缺陷：不构成重大缺陷或重要缺陷的其他内 部控制缺陷。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pacing w:val="-4"/>
                <w:sz w:val="18"/>
                <w:szCs w:val="18"/>
              </w:rPr>
              <w:t>出现以下情形的，认定为重大缺陷，其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他情形按影响程度分别确定为重要缺 陷或一般缺陷。</w:t>
            </w:r>
          </w:p>
          <w:p>
            <w:pPr>
              <w:pStyle w:val="TableParagraph"/>
              <w:spacing w:line="240" w:lineRule="exact" w:before="19"/>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）违犯国家法律、法规或规范性文 </w:t>
            </w:r>
            <w:r>
              <w:rPr>
                <w:rFonts w:ascii="宋体" w:hAnsi="宋体" w:cs="宋体" w:eastAsia="宋体" w:hint="default"/>
                <w:spacing w:val="-4"/>
                <w:sz w:val="18"/>
                <w:szCs w:val="18"/>
              </w:rPr>
              <w:t>件，被相关部门处罚，造成较大社会影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w:t>
            </w:r>
          </w:p>
          <w:p>
            <w:pPr>
              <w:pStyle w:val="TableParagraph"/>
              <w:spacing w:line="240" w:lineRule="exact"/>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）涉及公司生产经营的重要业务制 度控制缺失或失效，影响重大决策；</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）媒体负面报道频现；</w:t>
            </w:r>
          </w:p>
          <w:p>
            <w:pPr>
              <w:pStyle w:val="TableParagraph"/>
              <w:spacing w:line="240" w:lineRule="exact" w:before="13"/>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）信息披露内部控制失效，导致公 司被监管部门公开谴责；</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）重大或重要缺陷不能得到整改；</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）其他对公司影响重大的情形。</w:t>
            </w:r>
          </w:p>
        </w:tc>
      </w:tr>
      <w:tr>
        <w:trPr>
          <w:trHeight w:val="320"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119" w:type="dxa"/>
            <w:gridSpan w:val="2"/>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925"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9" w:type="dxa"/>
            <w:gridSpan w:val="2"/>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705"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9" w:type="dxa"/>
            <w:gridSpan w:val="2"/>
            <w:vMerge w:val="restart"/>
            <w:tcBorders>
              <w:top w:val="single" w:sz="4" w:space="0" w:color="000000"/>
              <w:left w:val="single" w:sz="9" w:space="0" w:color="D2D2D2"/>
              <w:right w:val="single" w:sz="4" w:space="0" w:color="000000"/>
            </w:tcBorders>
          </w:tcPr>
          <w:p>
            <w:pPr>
              <w:pStyle w:val="TableParagraph"/>
              <w:spacing w:line="245" w:lineRule="exact" w:before="2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、营业收入潜在错报</w:t>
            </w:r>
          </w:p>
          <w:p>
            <w:pPr>
              <w:pStyle w:val="TableParagraph"/>
              <w:spacing w:line="241" w:lineRule="exact"/>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≦错报</w:t>
            </w:r>
          </w:p>
          <w:p>
            <w:pPr>
              <w:pStyle w:val="TableParagraph"/>
              <w:spacing w:line="240" w:lineRule="exact" w:before="13"/>
              <w:ind w:left="28"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）重要缺陷：营业收入总额的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≦错报﹤营业</w:t>
            </w:r>
            <w:r>
              <w:rPr>
                <w:rFonts w:ascii="宋体" w:hAnsi="宋体" w:cs="宋体" w:eastAsia="宋体" w:hint="default"/>
                <w:spacing w:val="-86"/>
                <w:sz w:val="18"/>
                <w:szCs w:val="18"/>
              </w:rPr>
              <w:t> </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exact"/>
              <w:ind w:left="28" w:right="5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2</w:t>
            </w:r>
            <w:r>
              <w:rPr>
                <w:rFonts w:ascii="宋体" w:hAnsi="宋体" w:cs="宋体" w:eastAsia="宋体" w:hint="default"/>
                <w:sz w:val="18"/>
                <w:szCs w:val="18"/>
              </w:rPr>
              <w:t>、利润总额潜在错报</w:t>
            </w:r>
          </w:p>
          <w:p>
            <w:pPr>
              <w:pStyle w:val="TableParagraph"/>
              <w:spacing w:line="226" w:lineRule="exact"/>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p>
          <w:p>
            <w:pPr>
              <w:pStyle w:val="TableParagraph"/>
              <w:spacing w:line="240" w:lineRule="exact" w:before="13"/>
              <w:ind w:left="28"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≦错报﹤利润总额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exact" w:before="39"/>
              <w:ind w:left="28" w:right="99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3</w:t>
            </w:r>
            <w:r>
              <w:rPr>
                <w:rFonts w:ascii="宋体" w:hAnsi="宋体" w:cs="宋体" w:eastAsia="宋体" w:hint="default"/>
                <w:sz w:val="18"/>
                <w:szCs w:val="18"/>
              </w:rPr>
              <w:t>、总资产潜在错报</w:t>
            </w:r>
          </w:p>
          <w:p>
            <w:pPr>
              <w:pStyle w:val="TableParagraph"/>
              <w:spacing w:line="226" w:lineRule="exact"/>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240" w:lineRule="exact" w:before="13"/>
              <w:ind w:left="28"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31"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exact"/>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、重大缺陷：直接财产损失金额在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4"/>
                <w:sz w:val="18"/>
                <w:szCs w:val="18"/>
              </w:rPr>
              <w:t>万元以上，对公司造成较大负面影响并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以公告形式对外披露；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、重要缺陷：直接财产损失金额在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万元），受国</w:t>
            </w:r>
            <w:r>
              <w:rPr>
                <w:rFonts w:ascii="宋体" w:hAnsi="宋体" w:cs="宋体" w:eastAsia="宋体" w:hint="default"/>
                <w:sz w:val="18"/>
                <w:szCs w:val="18"/>
              </w:rPr>
              <w:t> </w:t>
            </w:r>
            <w:r>
              <w:rPr>
                <w:rFonts w:ascii="宋体" w:hAnsi="宋体" w:cs="宋体" w:eastAsia="宋体" w:hint="default"/>
                <w:spacing w:val="-4"/>
                <w:sz w:val="18"/>
                <w:szCs w:val="18"/>
              </w:rPr>
              <w:t>家政府部门处罚，但未对公司造成负面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、一般缺陷：直接财产损失金额在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240" w:lineRule="exact"/>
              <w:ind w:left="22" w:right="20"/>
              <w:jc w:val="both"/>
              <w:rPr>
                <w:rFonts w:ascii="宋体" w:hAnsi="宋体" w:cs="宋体" w:eastAsia="宋体" w:hint="default"/>
                <w:sz w:val="18"/>
                <w:szCs w:val="18"/>
              </w:rPr>
            </w:pPr>
            <w:r>
              <w:rPr>
                <w:rFonts w:ascii="宋体" w:hAnsi="宋体" w:cs="宋体" w:eastAsia="宋体" w:hint="default"/>
                <w:sz w:val="18"/>
                <w:szCs w:val="18"/>
              </w:rPr>
              <w:t>万元以下（含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万元），受省级（含</w:t>
            </w:r>
            <w:r>
              <w:rPr>
                <w:rFonts w:ascii="宋体" w:hAnsi="宋体" w:cs="宋体" w:eastAsia="宋体" w:hint="default"/>
                <w:sz w:val="18"/>
                <w:szCs w:val="18"/>
              </w:rPr>
              <w:t> </w:t>
            </w:r>
            <w:r>
              <w:rPr>
                <w:rFonts w:ascii="宋体" w:hAnsi="宋体" w:cs="宋体" w:eastAsia="宋体" w:hint="default"/>
                <w:spacing w:val="-4"/>
                <w:sz w:val="18"/>
                <w:szCs w:val="18"/>
              </w:rPr>
              <w:t>省级）以下政府部门处罚，未对公司造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成负面影响。</w:t>
            </w:r>
          </w:p>
        </w:tc>
      </w:tr>
      <w:tr>
        <w:trPr>
          <w:trHeight w:val="320"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119" w:type="dxa"/>
            <w:gridSpan w:val="2"/>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704"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9" w:type="dxa"/>
            <w:gridSpan w:val="2"/>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17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784"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335" w:type="dxa"/>
            <w:tcBorders>
              <w:top w:val="single" w:sz="4" w:space="0" w:color="000000"/>
              <w:left w:val="nil" w:sz="6" w:space="0" w:color="auto"/>
              <w:bottom w:val="single" w:sz="4" w:space="0" w:color="000000"/>
              <w:right w:val="nil" w:sz="6" w:space="0" w:color="auto"/>
            </w:tcBorders>
          </w:tcPr>
          <w:p>
            <w:pPr/>
          </w:p>
        </w:tc>
        <w:tc>
          <w:tcPr>
            <w:tcW w:w="3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17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784"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335" w:type="dxa"/>
            <w:tcBorders>
              <w:top w:val="single" w:sz="4" w:space="0" w:color="000000"/>
              <w:left w:val="nil" w:sz="6" w:space="0" w:color="auto"/>
              <w:bottom w:val="single" w:sz="4" w:space="0" w:color="000000"/>
              <w:right w:val="nil" w:sz="6" w:space="0" w:color="auto"/>
            </w:tcBorders>
          </w:tcPr>
          <w:p>
            <w:pPr/>
          </w:p>
        </w:tc>
        <w:tc>
          <w:tcPr>
            <w:tcW w:w="3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left="154" w:right="0"/>
        <w:jc w:val="left"/>
        <w:rPr>
          <w:b w:val="0"/>
          <w:bCs w:val="0"/>
        </w:rPr>
      </w:pPr>
      <w:bookmarkStart w:name="十、内部控制审计报告或鉴证报告" w:id="142"/>
      <w:bookmarkEnd w:id="14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内部控制审计报告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firstLine="360"/>
              <w:jc w:val="left"/>
              <w:rPr>
                <w:rFonts w:ascii="宋体" w:hAnsi="宋体" w:cs="宋体" w:eastAsia="宋体" w:hint="default"/>
                <w:sz w:val="18"/>
                <w:szCs w:val="18"/>
              </w:rPr>
            </w:pPr>
            <w:r>
              <w:rPr>
                <w:rFonts w:ascii="宋体" w:hAnsi="宋体" w:cs="宋体" w:eastAsia="宋体" w:hint="default"/>
                <w:sz w:val="18"/>
                <w:szCs w:val="18"/>
              </w:rPr>
              <w:t>我们认为，丰东股份于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会计师事务所是否出具非标准意见的内部控制审计报告</w:t>
      </w:r>
    </w:p>
    <w:p>
      <w:pPr>
        <w:pStyle w:val="BodyText"/>
        <w:spacing w:line="338" w:lineRule="auto" w:before="116"/>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68"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十节 财务报告" w:id="143"/>
      <w:bookmarkEnd w:id="143"/>
      <w:r>
        <w:rPr>
          <w:b w:val="0"/>
          <w:bCs w:val="0"/>
        </w:rPr>
      </w:r>
      <w:bookmarkStart w:name="_bookmark9" w:id="144"/>
      <w:bookmarkEnd w:id="144"/>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5"/>
      <w:bookmarkEnd w:id="14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冯家俊、郑珮</w:t>
            </w:r>
          </w:p>
        </w:tc>
      </w:tr>
    </w:tbl>
    <w:p>
      <w:pPr>
        <w:spacing w:line="240" w:lineRule="auto" w:before="8"/>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68"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3"/>
          <w:szCs w:val="13"/>
        </w:rPr>
      </w:pPr>
    </w:p>
    <w:p>
      <w:pPr>
        <w:pStyle w:val="Heading5"/>
        <w:spacing w:line="240" w:lineRule="auto"/>
        <w:ind w:left="153" w:right="0"/>
        <w:jc w:val="left"/>
        <w:rPr>
          <w:b w:val="0"/>
          <w:bCs w:val="0"/>
        </w:rPr>
      </w:pPr>
      <w:r>
        <w:rPr>
          <w:w w:val="95"/>
        </w:rPr>
        <w:t>江苏丰东热技术股份有限公司全体股东：</w:t>
      </w:r>
      <w:r>
        <w:rPr>
          <w:b w:val="0"/>
          <w:bCs w:val="0"/>
        </w:rPr>
      </w:r>
    </w:p>
    <w:p>
      <w:pPr>
        <w:pStyle w:val="Heading3"/>
        <w:spacing w:line="240" w:lineRule="auto" w:before="35"/>
        <w:ind w:left="153"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0" w:bottom="280" w:left="980" w:right="0"/>
          <w:cols w:num="2" w:equalWidth="0">
            <w:col w:w="3404" w:space="783"/>
            <w:col w:w="6743"/>
          </w:cols>
        </w:sectPr>
      </w:pPr>
    </w:p>
    <w:p>
      <w:pPr>
        <w:spacing w:line="240" w:lineRule="auto" w:before="8"/>
        <w:rPr>
          <w:rFonts w:ascii="宋体" w:hAnsi="宋体" w:cs="宋体" w:eastAsia="宋体" w:hint="default"/>
          <w:b/>
          <w:bCs/>
          <w:sz w:val="13"/>
          <w:szCs w:val="13"/>
        </w:rPr>
      </w:pPr>
    </w:p>
    <w:p>
      <w:pPr>
        <w:pStyle w:val="Heading4"/>
        <w:spacing w:line="271" w:lineRule="auto" w:before="38"/>
        <w:ind w:right="1168" w:firstLine="420"/>
        <w:jc w:val="both"/>
      </w:pPr>
      <w:r>
        <w:rPr/>
        <w:t>我们审计了后附的江苏丰东热技术股份有限公司</w:t>
      </w:r>
      <w:r>
        <w:rPr>
          <w:rFonts w:ascii="Times New Roman" w:hAnsi="Times New Roman" w:cs="Times New Roman" w:eastAsia="Times New Roman" w:hint="default"/>
        </w:rPr>
        <w:t>(</w:t>
      </w:r>
      <w:r>
        <w:rPr/>
        <w:t>以下简称“丰东股份”</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w w:val="100"/>
        </w:rPr>
        <w:t> </w:t>
      </w:r>
      <w:r>
        <w:rPr>
          <w:spacing w:val="-1"/>
        </w:rPr>
        <w:t>的合并及公司资产负债表，</w:t>
      </w:r>
      <w:r>
        <w:rPr>
          <w:rFonts w:ascii="Times New Roman" w:hAnsi="Times New Roman" w:cs="Times New Roman" w:eastAsia="Times New Roman" w:hint="default"/>
          <w:spacing w:val="-1"/>
        </w:rPr>
        <w:t>2015</w:t>
      </w:r>
      <w:r>
        <w:rPr>
          <w:spacing w:val="-1"/>
        </w:rPr>
        <w:t>年度的合并及公司利润表、合并及公司现金流量表、合并所有者权益变动表及</w:t>
      </w:r>
      <w:r>
        <w:rPr>
          <w:spacing w:val="-60"/>
        </w:rPr>
        <w:t> </w:t>
      </w:r>
      <w:r>
        <w:rPr>
          <w:spacing w:val="-60"/>
        </w:rPr>
      </w:r>
      <w:r>
        <w:rPr/>
        <w:t>公司所有者权益变动表以及财务报表附注。</w:t>
      </w:r>
    </w:p>
    <w:p>
      <w:pPr>
        <w:pStyle w:val="Heading5"/>
        <w:spacing w:line="240" w:lineRule="auto" w:before="159"/>
        <w:ind w:left="153" w:right="0"/>
        <w:jc w:val="left"/>
        <w:rPr>
          <w:b w:val="0"/>
          <w:bCs w:val="0"/>
        </w:rPr>
      </w:pPr>
      <w:r>
        <w:rPr/>
        <w:t>一、管理层对财务报表的责任</w:t>
      </w:r>
      <w:r>
        <w:rPr>
          <w:b w:val="0"/>
          <w:bCs w:val="0"/>
        </w:rPr>
      </w:r>
    </w:p>
    <w:p>
      <w:pPr>
        <w:spacing w:line="240" w:lineRule="auto" w:before="10"/>
        <w:rPr>
          <w:rFonts w:ascii="宋体" w:hAnsi="宋体" w:cs="宋体" w:eastAsia="宋体" w:hint="default"/>
          <w:b/>
          <w:bCs/>
          <w:sz w:val="13"/>
          <w:szCs w:val="13"/>
        </w:rPr>
      </w:pPr>
    </w:p>
    <w:p>
      <w:pPr>
        <w:pStyle w:val="Heading4"/>
        <w:spacing w:line="271" w:lineRule="auto"/>
        <w:ind w:right="1131" w:firstLine="482"/>
        <w:jc w:val="both"/>
      </w:pPr>
      <w:r>
        <w:rPr>
          <w:spacing w:val="-3"/>
        </w:rPr>
        <w:t>编制和公允列报财务报表是丰东股份管理层的责任，这种责任包括：</w:t>
      </w:r>
      <w:r>
        <w:rPr>
          <w:rFonts w:ascii="Times New Roman" w:hAnsi="Times New Roman" w:cs="Times New Roman" w:eastAsia="Times New Roman" w:hint="default"/>
          <w:spacing w:val="-3"/>
        </w:rPr>
        <w:t>(1)</w:t>
      </w:r>
      <w:r>
        <w:rPr>
          <w:spacing w:val="-3"/>
        </w:rPr>
        <w:t>按照企业会计准则的规定编制合并</w:t>
      </w:r>
      <w:r>
        <w:rPr>
          <w:w w:val="100"/>
        </w:rPr>
        <w:t> </w:t>
      </w:r>
      <w:r>
        <w:rPr>
          <w:spacing w:val="-1"/>
        </w:rPr>
        <w:t>及公司财务报表，并使其实现公允反映；</w:t>
      </w:r>
      <w:r>
        <w:rPr>
          <w:rFonts w:ascii="Times New Roman" w:hAnsi="Times New Roman" w:cs="Times New Roman" w:eastAsia="Times New Roman" w:hint="default"/>
          <w:spacing w:val="-1"/>
        </w:rPr>
        <w:t>(2)</w:t>
      </w:r>
      <w:r>
        <w:rPr>
          <w:spacing w:val="-1"/>
        </w:rPr>
        <w:t>设计、执行和维护必要的内部控制，以使财务报表不存在由于舞弊</w:t>
      </w:r>
      <w:r>
        <w:rPr>
          <w:spacing w:val="-62"/>
        </w:rPr>
        <w:t> </w:t>
      </w:r>
      <w:r>
        <w:rPr>
          <w:spacing w:val="-62"/>
        </w:rPr>
      </w:r>
      <w:r>
        <w:rPr/>
        <w:t>或错误导致的重大错报。</w:t>
      </w:r>
    </w:p>
    <w:p>
      <w:pPr>
        <w:pStyle w:val="Heading4"/>
        <w:spacing w:line="432" w:lineRule="exact" w:before="31"/>
        <w:ind w:left="573" w:right="0" w:hanging="420"/>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w:t>
      </w:r>
    </w:p>
    <w:p>
      <w:pPr>
        <w:pStyle w:val="Heading4"/>
        <w:spacing w:line="288" w:lineRule="auto"/>
        <w:ind w:right="0"/>
        <w:jc w:val="left"/>
      </w:pPr>
      <w:r>
        <w:rPr>
          <w:spacing w:val="-1"/>
        </w:rPr>
        <w:t>定执行了审计工作。中国注册会计师审计准则要求我们遵守中国注册会计师职业道德守则，计划和执行审计工</w:t>
      </w:r>
      <w:r>
        <w:rPr>
          <w:spacing w:val="-63"/>
        </w:rPr>
        <w:t> </w:t>
      </w:r>
      <w:r>
        <w:rPr>
          <w:spacing w:val="-63"/>
        </w:rPr>
      </w:r>
      <w:r>
        <w:rPr/>
        <w:t>作以对财务报表是否不存在重大错报获取合理保证。</w:t>
      </w:r>
    </w:p>
    <w:p>
      <w:pPr>
        <w:pStyle w:val="Heading4"/>
        <w:spacing w:line="285" w:lineRule="auto" w:before="48"/>
        <w:ind w:right="1148" w:firstLine="420"/>
        <w:jc w:val="both"/>
      </w:pPr>
      <w:r>
        <w:rPr>
          <w:spacing w:val="-1"/>
        </w:rPr>
        <w:t>审计工作涉及实施审计程序，以获取有关财务报表金额和披露的审计证据。选择的审计程序取决于注册会</w:t>
      </w:r>
      <w:r>
        <w:rPr>
          <w:w w:val="100"/>
        </w:rPr>
        <w:t> </w:t>
      </w:r>
      <w:r>
        <w:rPr>
          <w:spacing w:val="-1"/>
        </w:rPr>
        <w:t>计师的判断，包括对由于舞弊或错误导致的财务报表重大错报风险的评估。在进行风险评估时，注册会计师考</w:t>
      </w:r>
      <w:r>
        <w:rPr>
          <w:spacing w:val="-61"/>
        </w:rPr>
        <w:t> </w:t>
      </w:r>
      <w:r>
        <w:rPr>
          <w:spacing w:val="-61"/>
        </w:rPr>
      </w:r>
      <w:r>
        <w:rPr>
          <w:spacing w:val="-1"/>
        </w:rPr>
        <w:t>虑与财务报表编制和公允列报相关的内部控制，以设计恰当的审计程序。审计工作还包括评价管理层选用会计</w:t>
      </w:r>
      <w:r>
        <w:rPr>
          <w:spacing w:val="-63"/>
        </w:rPr>
        <w:t> </w:t>
      </w:r>
      <w:r>
        <w:rPr>
          <w:spacing w:val="-63"/>
        </w:rPr>
      </w:r>
      <w:r>
        <w:rPr/>
        <w:t>政策的恰当性和作出会计估计的合理性，以及评价财务报表的总体列报。</w:t>
      </w:r>
    </w:p>
    <w:p>
      <w:pPr>
        <w:pStyle w:val="Heading4"/>
        <w:spacing w:line="396" w:lineRule="auto" w:before="53"/>
        <w:ind w:right="2293" w:firstLine="420"/>
        <w:jc w:val="left"/>
        <w:rPr>
          <w:rFonts w:ascii="宋体" w:hAnsi="宋体" w:cs="宋体" w:eastAsia="宋体" w:hint="default"/>
        </w:rPr>
      </w:pPr>
      <w:r>
        <w:rPr>
          <w:spacing w:val="-1"/>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rPr>
      </w:r>
    </w:p>
    <w:p>
      <w:pPr>
        <w:pStyle w:val="Heading4"/>
        <w:spacing w:line="240" w:lineRule="auto" w:before="40"/>
        <w:ind w:left="573" w:right="0"/>
        <w:jc w:val="left"/>
      </w:pPr>
      <w:r>
        <w:rPr/>
        <w:t>我们认为，丰东股份财务报表在所有重大方面按照企业会计准则的规定编制，公允反映了丰东股份</w:t>
      </w:r>
      <w:r>
        <w:rPr>
          <w:rFonts w:ascii="Times New Roman" w:hAnsi="Times New Roman" w:cs="Times New Roman" w:eastAsia="Times New Roman" w:hint="default"/>
        </w:rPr>
        <w:t>2015</w:t>
      </w:r>
      <w:r>
        <w:rPr/>
        <w:t>年</w:t>
      </w:r>
    </w:p>
    <w:p>
      <w:pPr>
        <w:pStyle w:val="Heading4"/>
        <w:tabs>
          <w:tab w:pos="5277" w:val="left" w:leader="none"/>
          <w:tab w:pos="7278" w:val="left" w:leader="none"/>
        </w:tabs>
        <w:spacing w:line="573" w:lineRule="auto" w:before="36"/>
        <w:ind w:left="553" w:right="2569" w:hanging="400"/>
        <w:jc w:val="left"/>
      </w:pP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日的合并及公司财务状况以及</w:t>
      </w:r>
      <w:r>
        <w:rPr>
          <w:rFonts w:ascii="Times New Roman" w:hAnsi="Times New Roman" w:cs="Times New Roman" w:eastAsia="Times New Roman" w:hint="default"/>
          <w:spacing w:val="-1"/>
        </w:rPr>
        <w:t>2015</w:t>
      </w:r>
      <w:r>
        <w:rPr>
          <w:spacing w:val="-1"/>
        </w:rPr>
        <w:t>年度的合并及公司经营成果和合并及公司现金流量。</w:t>
      </w:r>
      <w:r>
        <w:rPr>
          <w:spacing w:val="-66"/>
        </w:rPr>
        <w:t> </w:t>
      </w:r>
      <w:r>
        <w:rPr>
          <w:spacing w:val="-66"/>
        </w:rPr>
      </w:r>
      <w:r>
        <w:rPr>
          <w:spacing w:val="-1"/>
        </w:rPr>
        <w:t>众华会计师事务所（特殊普通合伙）</w:t>
        <w:tab/>
        <w:t>中国注册会计师</w:t>
        <w:tab/>
        <w:t>冯家俊</w:t>
      </w:r>
    </w:p>
    <w:p>
      <w:pPr>
        <w:pStyle w:val="Heading4"/>
        <w:tabs>
          <w:tab w:pos="7315" w:val="left" w:leader="none"/>
          <w:tab w:pos="7716" w:val="left" w:leader="none"/>
        </w:tabs>
        <w:spacing w:line="240" w:lineRule="auto" w:before="84"/>
        <w:ind w:left="5286" w:right="0"/>
        <w:jc w:val="left"/>
      </w:pPr>
      <w:r>
        <w:rPr>
          <w:spacing w:val="-1"/>
        </w:rPr>
        <w:t>中国注册会计师</w:t>
        <w:tab/>
      </w:r>
      <w:r>
        <w:rPr/>
        <w:t>郑</w:t>
        <w:tab/>
        <w:t>珮</w:t>
      </w:r>
    </w:p>
    <w:p>
      <w:pPr>
        <w:spacing w:line="240" w:lineRule="auto" w:before="9"/>
        <w:rPr>
          <w:rFonts w:ascii="宋体" w:hAnsi="宋体" w:cs="宋体" w:eastAsia="宋体" w:hint="default"/>
          <w:sz w:val="27"/>
          <w:szCs w:val="27"/>
        </w:rPr>
      </w:pPr>
    </w:p>
    <w:p>
      <w:pPr>
        <w:pStyle w:val="Heading4"/>
        <w:tabs>
          <w:tab w:pos="5325" w:val="left" w:leader="none"/>
        </w:tabs>
        <w:spacing w:line="240" w:lineRule="auto"/>
        <w:ind w:left="1037" w:right="0"/>
        <w:jc w:val="left"/>
      </w:pPr>
      <w:r>
        <w:rPr>
          <w:spacing w:val="-1"/>
        </w:rPr>
        <w:t>中国，上海</w:t>
        <w:tab/>
        <w:t>二〇一六年三月五日</w:t>
      </w:r>
    </w:p>
    <w:p>
      <w:pPr>
        <w:spacing w:after="0" w:line="240" w:lineRule="auto"/>
        <w:jc w:val="left"/>
        <w:sectPr>
          <w:type w:val="continuous"/>
          <w:pgSz w:w="11910" w:h="16840"/>
          <w:pgMar w:top="0" w:bottom="28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0"/>
        <w:jc w:val="left"/>
        <w:rPr>
          <w:b w:val="0"/>
          <w:bCs w:val="0"/>
        </w:rPr>
      </w:pPr>
      <w:bookmarkStart w:name="二、财务报表" w:id="146"/>
      <w:bookmarkEnd w:id="14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7"/>
      <w:bookmarkEnd w:id="14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68" w:footer="979" w:top="1100" w:bottom="1160" w:left="980" w:right="0"/>
        </w:sectPr>
      </w:pPr>
    </w:p>
    <w:p>
      <w:pPr>
        <w:pStyle w:val="BodyText"/>
        <w:spacing w:line="240" w:lineRule="auto" w:before="44"/>
        <w:ind w:left="153" w:right="-19"/>
        <w:jc w:val="left"/>
      </w:pPr>
      <w:r>
        <w:rPr/>
        <w:t>编制单位：江苏丰东热技术股份有限公司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0" w:bottom="28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191,596,057.06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222,060,206.93</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34,598,272.08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20,323,143.49</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136,157,538.86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141,110,483.83</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13,679,084.20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15,127,102.85</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8,554,511.05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6,167,122.06</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168,813,489.54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193,150,255.92</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692,592.56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2,138,655.22</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554,091,545.35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600,076,970.30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22,124,374.50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5,064,131.00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98,848,428.76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91,617,710.83</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233,935,808.92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216,606,512.84</w:t>
            </w: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27,699,887.37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23,573,670.14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46,823,553.62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48,108,024.44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5,919,293.97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5,919,293.97</w:t>
            </w: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1,863,259.55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2,155,583.63</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8,321,875.78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8,123,956.42</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445,536,482.47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401,168,883.27</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999,628,027.82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1,001,245,853.57</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66,040,419.06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57,146,755.98</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85,810,985.36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128,951,494.84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9,047,769.56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7,009,152.98</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3,726,875.23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6,797,835.44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62,791.67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63,645.84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1,219,500.00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1,019,500.00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2,770,562.81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3,291,202.83</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214,678,903.69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224,779,587.91</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19,642,891.97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12,625,234.24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759,836.76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778,912.20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20,402,728.73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42,404,146.44</w:t>
            </w: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235,081,632.42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267,183,734.35</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268,000,000.00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210,201,931.90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210,377,110.32</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27,866,884.60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24,948,823.31</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190,305,315.14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167,422,340.28</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696,374,131.64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670,748,273.91</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68,172,263.76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63,313,845.31</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764,546,395.40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734,062,119.22</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999,628,027.82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1,001,245,853.57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法定代表人：朱文明</w:t>
        <w:tab/>
        <w:t>主管会计工作负责人：徐仕俊</w:t>
        <w:tab/>
        <w:t>会计机构负责人：徐仕俊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8"/>
      <w:bookmarkEnd w:id="14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134,801,759.44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146,560,761.31</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23,374,692.42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10,384,797.75</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85,569,468.92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86,238,167.10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16,961,733.96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14,030,882.88</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2,120,000.00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11,090,719.91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9,739,094.33</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121,112,951.09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158,701,006.45</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692,592.56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2,138,655.22</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395,723,918.30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427,793,365.04</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218"/>
        <w:gridCol w:w="2285"/>
        <w:gridCol w:w="2054"/>
      </w:tblGrid>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17,060,243.50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309,656,006.33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306,355,027.99</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84,015,076.70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93,551,542.60</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21,039,097.71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21,472,079.59</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3,109,783.98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3,195,944.13</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434,880,208.22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424,574,594.31</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830,604,126.52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852,367,959.35</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35,513,201.02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36,750,080.04</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71,527,285.80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118,439,679.53</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4,808,945.59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3,669,488.81</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960,978.62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1,817,104.08</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62,791.67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63,645.84</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1,149,584.29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1,494,892.14</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153,022,786.99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172,734,890.44</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5"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16,692,891.97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10,885,234.24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16,692,891.97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39,885,234.24</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169,715,678.96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212,620,124.68</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268,000,000.00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211,266,227.30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211,266,227.30</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27,866,884.60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24,948,823.31</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153,755,335.66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135,532,784.06</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660,888,447.56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639,747,834.67</w:t>
            </w:r>
          </w:p>
        </w:tc>
      </w:tr>
      <w:tr>
        <w:trPr>
          <w:trHeight w:val="32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830,604,126.52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852,367,959.35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49"/>
      <w:bookmarkEnd w:id="14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96"/>
              <w:jc w:val="right"/>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434,809,121.88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367,175,382.04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434,809,121.88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367,175,382.04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404,562,091.68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341,561,362.35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305,933,166.36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252,129,423.85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6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2,949,961.73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3,824,725.31</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23,178,576.70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16,856,846.05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68,144,782.56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65,637,581.04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1,179,596.21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604,911.74</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3,176,008.12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2,507,874.36</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5,373,757.85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7,601,617.63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4,712,175.25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7,517,141.43</w:t>
            </w:r>
          </w:p>
        </w:tc>
      </w:tr>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35,620,788.05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33,215,637.32</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9,783,192.98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10,539,431.28</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130,090.49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1,857,421.75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1,228,411.42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1,189,284.65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29,083.59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96,222.22</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44,175,569.61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42,565,783.95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8,537,193.43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7,668,185.24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35,638,376.18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34,897,598.71</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33,841,036.15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32,733,440.80</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1,797,340.03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2,164,157.91</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35,638,376.18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34,897,598.71</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33,841,036.15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32,733,440.80</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1,797,340.03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2,164,157.91</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0.12</w:t>
            </w:r>
          </w:p>
        </w:tc>
      </w:tr>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0.12</w:t>
            </w:r>
          </w:p>
        </w:tc>
      </w:tr>
    </w:tbl>
    <w:p>
      <w:pPr>
        <w:pStyle w:val="BodyText"/>
        <w:tabs>
          <w:tab w:pos="3574" w:val="left" w:leader="none"/>
          <w:tab w:pos="7715" w:val="left" w:leader="none"/>
        </w:tabs>
        <w:spacing w:line="588" w:lineRule="auto" w:before="51"/>
        <w:ind w:left="153"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法定代表人：朱文明</w:t>
        <w:tab/>
        <w:t>主管会计工作负责人：徐仕俊</w:t>
        <w:tab/>
        <w:t>会计机构负责人：徐仕俊</w:t>
      </w:r>
    </w:p>
    <w:p>
      <w:pPr>
        <w:spacing w:after="0" w:line="588"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4" w:right="0"/>
        <w:jc w:val="left"/>
        <w:rPr>
          <w:b w:val="0"/>
          <w:bCs w:val="0"/>
        </w:rPr>
      </w:pPr>
      <w:bookmarkStart w:name="4、母公司利润表" w:id="150"/>
      <w:bookmarkEnd w:id="15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243,002,256.08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2"/>
                <w:sz w:val="18"/>
              </w:rPr>
              <w:t>188,920,111.47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186,580,944.89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141,547,445.55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1,217,298.81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1,778,127.90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14,905,583.78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11,376,994.55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29,176,636.21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30,828,638.44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765,809.33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w w:val="95"/>
                <w:sz w:val="18"/>
              </w:rPr>
              <w:t>-329,688.26</w:t>
            </w:r>
            <w:r>
              <w:rPr>
                <w:rFonts w:ascii="Times New Roman"/>
                <w:sz w:val="18"/>
              </w:rPr>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1,768,681.66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1,990,086.36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16,590,965.71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19,311,458.84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4,862,915.66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5,329,160.68</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25,178,267.11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21,039,965.77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7,396,865.90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10,000,636.94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19,395.83</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870,023.47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924,307.01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24,746.39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56,825.24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31,705,109.54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30,116,295.70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2,524,496.65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2,157,647.61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29,180,612.89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27,958,648.09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11" w:right="16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29,180,612.89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27,958,648.09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4" w:right="0"/>
        <w:jc w:val="left"/>
        <w:rPr>
          <w:b w:val="0"/>
          <w:bCs w:val="0"/>
        </w:rPr>
      </w:pPr>
      <w:bookmarkStart w:name="5、合并现金流量表" w:id="151"/>
      <w:bookmarkEnd w:id="15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456,848,953.84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458,489,400.84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2,449,539.31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4,257,718.36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15,263,614.62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8,328,138.68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474,562,107.77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471,075,257.88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261,302,210.35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268,984,488.78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89,379,328.19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78,588,656.19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41,341,928.34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46,686,087.62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43,177,022.34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43,153,998.15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435,200,489.22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437,413,230.74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39,361,618.55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33,662,027.14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3,007,400.00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4,320,600.00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4,565,669.97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4,736,634.36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4,371,102.68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107,404.96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11,944,172.65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9,164,639.32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43,837,780.03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69,223,483.43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22,760,243.50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2,654,131.00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66,598,023.53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71,877,614.43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-54,653,850.88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-62,712,975.11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27,678,065.00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84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27,678,065.00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53,500,000.00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41,300,000.00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81,178,065.00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12,372,407.36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17,493,906.95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84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569,860.00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569,860.00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56,372,407.36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36,493,906.95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-15,072,407.36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44,684,158.05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-99,510.18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w w:val="95"/>
                <w:sz w:val="18"/>
              </w:rPr>
              <w:t>-83,366.99</w:t>
            </w:r>
            <w:r>
              <w:rPr>
                <w:rFonts w:ascii="Times New Roman"/>
                <w:sz w:val="18"/>
              </w:rPr>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-30,464,149.87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15,549,843.09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222,060,206.93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206,510,363.84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191,596,057.06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222,060,206.93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母公司现金流量表" w:id="152"/>
      <w:bookmarkEnd w:id="15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222,567,022.53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278,843,668.96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1,642,284.78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3,110,002.86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13,879,867.00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6,258,428.38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238,089,174.31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288,212,100.20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180,510,324.28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216,883,151.22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24,720,979.16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27,999,139.39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15,197,610.75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20,414,277.44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12,447,129.51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13,231,926.95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232,876,043.70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278,528,495.00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5,213,130.61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9,683,605.20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3,007,400.00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4,320,600.00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13,862,587.37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17,477,298.16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4,171,729.13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23,500.00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21,041,716.50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21,821,398.16</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4,294,304.02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10,884,210.42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22,760,243.50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40,617,735.00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27,054,547.52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51,501,945.42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-6,012,831.02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-29,680,547.26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10,218,231.98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15,307,870.01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40,218,231.98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15,807,870.01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-10,718,231.98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22,192,129.99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-241,069.48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-63,124.54</w:t>
            </w:r>
            <w:r>
              <w:rPr>
                <w:rFonts w:ascii="Times New Roman"/>
                <w:sz w:val="18"/>
              </w:rPr>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-11,759,001.87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2,132,063.39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146,560,761.31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144,428,697.92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134,801,759.44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146,560,761.31</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53"/>
      <w:bookmarkEnd w:id="15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43"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25"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208"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18"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30"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1"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38"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5"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3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52"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210,377</w:t>
            </w:r>
          </w:p>
          <w:p>
            <w:pPr>
              <w:pStyle w:val="TableParagraph"/>
              <w:spacing w:line="240" w:lineRule="auto" w:before="34"/>
              <w:ind w:left="98" w:right="0"/>
              <w:jc w:val="left"/>
              <w:rPr>
                <w:rFonts w:ascii="Times New Roman" w:hAnsi="Times New Roman" w:cs="Times New Roman" w:eastAsia="Times New Roman" w:hint="default"/>
                <w:sz w:val="18"/>
                <w:szCs w:val="18"/>
              </w:rPr>
            </w:pPr>
            <w:r>
              <w:rPr>
                <w:rFonts w:ascii="Times New Roman"/>
                <w:sz w:val="18"/>
              </w:rPr>
              <w:t>,110.32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24,948,</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823.31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167,422</w:t>
            </w:r>
          </w:p>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,340.28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63,313,</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845.31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734,062</w:t>
            </w:r>
          </w:p>
          <w:p>
            <w:pPr>
              <w:pStyle w:val="TableParagraph"/>
              <w:spacing w:line="240" w:lineRule="auto" w:before="34"/>
              <w:ind w:left="92" w:right="0"/>
              <w:jc w:val="left"/>
              <w:rPr>
                <w:rFonts w:ascii="Times New Roman" w:hAnsi="Times New Roman" w:cs="Times New Roman" w:eastAsia="Times New Roman" w:hint="default"/>
                <w:sz w:val="18"/>
                <w:szCs w:val="18"/>
              </w:rPr>
            </w:pPr>
            <w:r>
              <w:rPr>
                <w:rFonts w:ascii="Times New Roman"/>
                <w:sz w:val="18"/>
              </w:rPr>
              <w:t>,119.22</w:t>
            </w:r>
          </w:p>
        </w:tc>
      </w:tr>
      <w:tr>
        <w:trPr>
          <w:trHeight w:val="320" w:hRule="exact"/>
        </w:trPr>
        <w:tc>
          <w:tcPr>
            <w:tcW w:w="1438" w:type="dxa"/>
            <w:tcBorders>
              <w:top w:val="nil" w:sz="6" w:space="0" w:color="auto"/>
              <w:left w:val="single" w:sz="13" w:space="0" w:color="D2D2D2"/>
              <w:bottom w:val="nil" w:sz="6" w:space="0" w:color="auto"/>
              <w:right w:val="single" w:sz="13" w:space="0" w:color="D2D2D2"/>
            </w:tcBorders>
          </w:tcPr>
          <w:p>
            <w:pPr>
              <w:pStyle w:val="TableParagraph"/>
              <w:spacing w:line="240" w:lineRule="auto" w:before="21"/>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245"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3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210,377</w:t>
            </w:r>
          </w:p>
          <w:p>
            <w:pPr>
              <w:pStyle w:val="TableParagraph"/>
              <w:spacing w:line="240" w:lineRule="auto" w:before="34"/>
              <w:ind w:left="98" w:right="0"/>
              <w:jc w:val="left"/>
              <w:rPr>
                <w:rFonts w:ascii="Times New Roman" w:hAnsi="Times New Roman" w:cs="Times New Roman" w:eastAsia="Times New Roman" w:hint="default"/>
                <w:sz w:val="18"/>
                <w:szCs w:val="18"/>
              </w:rPr>
            </w:pPr>
            <w:r>
              <w:rPr>
                <w:rFonts w:ascii="Times New Roman"/>
                <w:sz w:val="18"/>
              </w:rPr>
              <w:t>,110.32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24,948,</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823.31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167,422</w:t>
            </w:r>
          </w:p>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,340.28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63,313,</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845.31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734,062</w:t>
            </w:r>
          </w:p>
          <w:p>
            <w:pPr>
              <w:pStyle w:val="TableParagraph"/>
              <w:spacing w:line="240" w:lineRule="auto" w:before="34"/>
              <w:ind w:left="92" w:right="0"/>
              <w:jc w:val="left"/>
              <w:rPr>
                <w:rFonts w:ascii="Times New Roman" w:hAnsi="Times New Roman" w:cs="Times New Roman" w:eastAsia="Times New Roman" w:hint="default"/>
                <w:sz w:val="18"/>
                <w:szCs w:val="18"/>
              </w:rPr>
            </w:pPr>
            <w:r>
              <w:rPr>
                <w:rFonts w:ascii="Times New Roman"/>
                <w:sz w:val="18"/>
              </w:rPr>
              <w:t>,119.22</w:t>
            </w:r>
          </w:p>
        </w:tc>
      </w:tr>
      <w:tr>
        <w:trPr>
          <w:trHeight w:val="320" w:hRule="exact"/>
        </w:trPr>
        <w:tc>
          <w:tcPr>
            <w:tcW w:w="1438" w:type="dxa"/>
            <w:tcBorders>
              <w:top w:val="nil" w:sz="6" w:space="0" w:color="auto"/>
              <w:left w:val="single" w:sz="13" w:space="0" w:color="D2D2D2"/>
              <w:bottom w:val="nil" w:sz="6" w:space="0" w:color="auto"/>
              <w:right w:val="single" w:sz="13" w:space="0" w:color="D2D2D2"/>
            </w:tcBorders>
          </w:tcPr>
          <w:p>
            <w:pPr>
              <w:pStyle w:val="TableParagraph"/>
              <w:spacing w:line="240" w:lineRule="auto" w:before="21"/>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245"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-175,17</w:t>
            </w:r>
          </w:p>
          <w:p>
            <w:pPr>
              <w:pStyle w:val="TableParagraph"/>
              <w:spacing w:line="240" w:lineRule="auto" w:before="34"/>
              <w:ind w:left="317" w:right="0"/>
              <w:jc w:val="left"/>
              <w:rPr>
                <w:rFonts w:ascii="Times New Roman" w:hAnsi="Times New Roman" w:cs="Times New Roman" w:eastAsia="Times New Roman" w:hint="default"/>
                <w:sz w:val="18"/>
                <w:szCs w:val="18"/>
              </w:rPr>
            </w:pPr>
            <w:r>
              <w:rPr>
                <w:rFonts w:ascii="Times New Roman"/>
                <w:sz w:val="18"/>
              </w:rPr>
              <w:t>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2,918,0</w:t>
            </w:r>
          </w:p>
          <w:p>
            <w:pPr>
              <w:pStyle w:val="TableParagraph"/>
              <w:spacing w:line="240" w:lineRule="auto" w:before="34"/>
              <w:ind w:left="204" w:right="0"/>
              <w:jc w:val="center"/>
              <w:rPr>
                <w:rFonts w:ascii="Times New Roman" w:hAnsi="Times New Roman" w:cs="Times New Roman" w:eastAsia="Times New Roman" w:hint="default"/>
                <w:sz w:val="18"/>
                <w:szCs w:val="18"/>
              </w:rPr>
            </w:pPr>
            <w:r>
              <w:rPr>
                <w:rFonts w:ascii="Times New Roman"/>
                <w:sz w:val="18"/>
              </w:rPr>
              <w:t>61.29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22,882,</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974.86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4,858,4</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18.45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30,484,</w:t>
            </w:r>
          </w:p>
          <w:p>
            <w:pPr>
              <w:pStyle w:val="TableParagraph"/>
              <w:spacing w:line="240" w:lineRule="auto" w:before="34"/>
              <w:ind w:left="130" w:right="0"/>
              <w:jc w:val="left"/>
              <w:rPr>
                <w:rFonts w:ascii="Times New Roman" w:hAnsi="Times New Roman" w:cs="Times New Roman" w:eastAsia="Times New Roman" w:hint="default"/>
                <w:sz w:val="18"/>
                <w:szCs w:val="18"/>
              </w:rPr>
            </w:pPr>
            <w:r>
              <w:rPr>
                <w:rFonts w:ascii="Times New Roman"/>
                <w:sz w:val="18"/>
              </w:rPr>
              <w:t>276.18</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33,841,</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036.15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 w:right="0"/>
              <w:jc w:val="center"/>
              <w:rPr>
                <w:rFonts w:ascii="Times New Roman" w:hAnsi="Times New Roman" w:cs="Times New Roman" w:eastAsia="Times New Roman" w:hint="default"/>
                <w:sz w:val="18"/>
                <w:szCs w:val="18"/>
              </w:rPr>
            </w:pPr>
            <w:r>
              <w:rPr>
                <w:rFonts w:ascii="Times New Roman"/>
                <w:sz w:val="18"/>
              </w:rPr>
              <w:t>1,797,3</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40.03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 w:right="0"/>
              <w:jc w:val="left"/>
              <w:rPr>
                <w:rFonts w:ascii="Times New Roman" w:hAnsi="Times New Roman" w:cs="Times New Roman" w:eastAsia="Times New Roman" w:hint="default"/>
                <w:sz w:val="18"/>
                <w:szCs w:val="18"/>
              </w:rPr>
            </w:pPr>
            <w:r>
              <w:rPr>
                <w:rFonts w:ascii="Times New Roman"/>
                <w:sz w:val="18"/>
              </w:rPr>
              <w:t>35,638,</w:t>
            </w:r>
          </w:p>
          <w:p>
            <w:pPr>
              <w:pStyle w:val="TableParagraph"/>
              <w:spacing w:line="240" w:lineRule="auto" w:before="34"/>
              <w:ind w:left="130" w:right="0"/>
              <w:jc w:val="left"/>
              <w:rPr>
                <w:rFonts w:ascii="Times New Roman" w:hAnsi="Times New Roman" w:cs="Times New Roman" w:eastAsia="Times New Roman" w:hint="default"/>
                <w:sz w:val="18"/>
                <w:szCs w:val="18"/>
              </w:rPr>
            </w:pPr>
            <w:r>
              <w:rPr>
                <w:rFonts w:ascii="Times New Roman"/>
                <w:sz w:val="18"/>
              </w:rPr>
              <w:t>376.18</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 w:right="0"/>
              <w:jc w:val="left"/>
              <w:rPr>
                <w:rFonts w:ascii="Times New Roman" w:hAnsi="Times New Roman" w:cs="Times New Roman" w:eastAsia="Times New Roman" w:hint="default"/>
                <w:sz w:val="18"/>
                <w:szCs w:val="18"/>
              </w:rPr>
            </w:pPr>
            <w:r>
              <w:rPr>
                <w:rFonts w:ascii="Times New Roman"/>
                <w:sz w:val="18"/>
              </w:rPr>
              <w:t>-175,17</w:t>
            </w:r>
          </w:p>
          <w:p>
            <w:pPr>
              <w:pStyle w:val="TableParagraph"/>
              <w:spacing w:line="240" w:lineRule="auto" w:before="34"/>
              <w:ind w:left="317" w:right="0"/>
              <w:jc w:val="left"/>
              <w:rPr>
                <w:rFonts w:ascii="Times New Roman" w:hAnsi="Times New Roman" w:cs="Times New Roman" w:eastAsia="Times New Roman" w:hint="default"/>
                <w:sz w:val="18"/>
                <w:szCs w:val="18"/>
              </w:rPr>
            </w:pPr>
            <w:r>
              <w:rPr>
                <w:rFonts w:ascii="Times New Roman"/>
                <w:sz w:val="18"/>
              </w:rPr>
              <w:t>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 w:right="0"/>
              <w:jc w:val="center"/>
              <w:rPr>
                <w:rFonts w:ascii="Times New Roman" w:hAnsi="Times New Roman" w:cs="Times New Roman" w:eastAsia="Times New Roman" w:hint="default"/>
                <w:sz w:val="18"/>
                <w:szCs w:val="18"/>
              </w:rPr>
            </w:pPr>
            <w:r>
              <w:rPr>
                <w:rFonts w:ascii="Times New Roman"/>
                <w:sz w:val="18"/>
              </w:rPr>
              <w:t>3,982,5</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78.42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1" w:right="0"/>
              <w:jc w:val="center"/>
              <w:rPr>
                <w:rFonts w:ascii="Times New Roman" w:hAnsi="Times New Roman" w:cs="Times New Roman" w:eastAsia="Times New Roman" w:hint="default"/>
                <w:sz w:val="18"/>
                <w:szCs w:val="18"/>
              </w:rPr>
            </w:pPr>
            <w:r>
              <w:rPr>
                <w:rFonts w:ascii="Times New Roman"/>
                <w:sz w:val="18"/>
              </w:rPr>
              <w:t>3,807,4</w:t>
            </w:r>
          </w:p>
          <w:p>
            <w:pPr>
              <w:pStyle w:val="TableParagraph"/>
              <w:spacing w:line="240" w:lineRule="auto" w:before="34"/>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34"/>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34"/>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 w:right="0"/>
              <w:jc w:val="left"/>
              <w:rPr>
                <w:rFonts w:ascii="Times New Roman" w:hAnsi="Times New Roman" w:cs="Times New Roman" w:eastAsia="Times New Roman" w:hint="default"/>
                <w:sz w:val="18"/>
                <w:szCs w:val="18"/>
              </w:rPr>
            </w:pPr>
            <w:r>
              <w:rPr>
                <w:rFonts w:ascii="Times New Roman"/>
                <w:sz w:val="18"/>
              </w:rPr>
              <w:t>-175,17</w:t>
            </w:r>
          </w:p>
          <w:p>
            <w:pPr>
              <w:pStyle w:val="TableParagraph"/>
              <w:spacing w:line="240" w:lineRule="auto" w:before="34"/>
              <w:ind w:left="317" w:right="0"/>
              <w:jc w:val="left"/>
              <w:rPr>
                <w:rFonts w:ascii="Times New Roman" w:hAnsi="Times New Roman" w:cs="Times New Roman" w:eastAsia="Times New Roman" w:hint="default"/>
                <w:sz w:val="18"/>
                <w:szCs w:val="18"/>
              </w:rPr>
            </w:pPr>
            <w:r>
              <w:rPr>
                <w:rFonts w:ascii="Times New Roman"/>
                <w:sz w:val="18"/>
              </w:rPr>
              <w:t>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 w:right="0"/>
              <w:jc w:val="center"/>
              <w:rPr>
                <w:rFonts w:ascii="Times New Roman" w:hAnsi="Times New Roman" w:cs="Times New Roman" w:eastAsia="Times New Roman" w:hint="default"/>
                <w:sz w:val="18"/>
                <w:szCs w:val="18"/>
              </w:rPr>
            </w:pPr>
            <w:r>
              <w:rPr>
                <w:rFonts w:ascii="Times New Roman"/>
                <w:sz w:val="18"/>
              </w:rPr>
              <w:t>3,182,5</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78.42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1" w:right="0"/>
              <w:jc w:val="center"/>
              <w:rPr>
                <w:rFonts w:ascii="Times New Roman" w:hAnsi="Times New Roman" w:cs="Times New Roman" w:eastAsia="Times New Roman" w:hint="default"/>
                <w:sz w:val="18"/>
                <w:szCs w:val="18"/>
              </w:rPr>
            </w:pPr>
            <w:r>
              <w:rPr>
                <w:rFonts w:ascii="Times New Roman"/>
                <w:sz w:val="18"/>
              </w:rPr>
              <w:t>3,007,4</w:t>
            </w:r>
          </w:p>
          <w:p>
            <w:pPr>
              <w:pStyle w:val="TableParagraph"/>
              <w:spacing w:line="240" w:lineRule="auto" w:before="34"/>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9" w:right="0"/>
              <w:jc w:val="center"/>
              <w:rPr>
                <w:rFonts w:ascii="Times New Roman" w:hAnsi="Times New Roman" w:cs="Times New Roman" w:eastAsia="Times New Roman" w:hint="default"/>
                <w:sz w:val="18"/>
                <w:szCs w:val="18"/>
              </w:rPr>
            </w:pPr>
            <w:r>
              <w:rPr>
                <w:rFonts w:ascii="Times New Roman"/>
                <w:sz w:val="18"/>
              </w:rPr>
              <w:t>2,918,0</w:t>
            </w:r>
          </w:p>
          <w:p>
            <w:pPr>
              <w:pStyle w:val="TableParagraph"/>
              <w:spacing w:line="240" w:lineRule="auto" w:before="34"/>
              <w:ind w:left="204" w:right="0"/>
              <w:jc w:val="center"/>
              <w:rPr>
                <w:rFonts w:ascii="Times New Roman" w:hAnsi="Times New Roman" w:cs="Times New Roman" w:eastAsia="Times New Roman" w:hint="default"/>
                <w:sz w:val="18"/>
                <w:szCs w:val="18"/>
              </w:rPr>
            </w:pPr>
            <w:r>
              <w:rPr>
                <w:rFonts w:ascii="Times New Roman"/>
                <w:sz w:val="18"/>
              </w:rPr>
              <w:t>61.29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-10,958,</w:t>
            </w:r>
          </w:p>
          <w:p>
            <w:pPr>
              <w:pStyle w:val="TableParagraph"/>
              <w:spacing w:line="240" w:lineRule="auto" w:before="34"/>
              <w:ind w:left="113" w:right="0"/>
              <w:jc w:val="center"/>
              <w:rPr>
                <w:rFonts w:ascii="Times New Roman" w:hAnsi="Times New Roman" w:cs="Times New Roman" w:eastAsia="Times New Roman" w:hint="default"/>
                <w:sz w:val="18"/>
                <w:szCs w:val="18"/>
              </w:rPr>
            </w:pPr>
            <w:r>
              <w:rPr>
                <w:rFonts w:ascii="Times New Roman"/>
                <w:sz w:val="18"/>
              </w:rPr>
              <w:t>061.29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 w:right="0"/>
              <w:jc w:val="left"/>
              <w:rPr>
                <w:rFonts w:ascii="Times New Roman" w:hAnsi="Times New Roman" w:cs="Times New Roman" w:eastAsia="Times New Roman" w:hint="default"/>
                <w:sz w:val="18"/>
                <w:szCs w:val="18"/>
              </w:rPr>
            </w:pPr>
            <w:r>
              <w:rPr>
                <w:rFonts w:ascii="Times New Roman"/>
                <w:sz w:val="18"/>
              </w:rPr>
              <w:t>-921,50</w:t>
            </w:r>
          </w:p>
          <w:p>
            <w:pPr>
              <w:pStyle w:val="TableParagraph"/>
              <w:spacing w:line="240" w:lineRule="auto" w:before="34"/>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-8,961,5</w:t>
            </w:r>
          </w:p>
          <w:p>
            <w:pPr>
              <w:pStyle w:val="TableParagraph"/>
              <w:spacing w:line="240" w:lineRule="auto" w:before="34"/>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9" w:right="0"/>
              <w:jc w:val="center"/>
              <w:rPr>
                <w:rFonts w:ascii="Times New Roman" w:hAnsi="Times New Roman" w:cs="Times New Roman" w:eastAsia="Times New Roman" w:hint="default"/>
                <w:sz w:val="18"/>
                <w:szCs w:val="18"/>
              </w:rPr>
            </w:pPr>
            <w:r>
              <w:rPr>
                <w:rFonts w:ascii="Times New Roman"/>
                <w:sz w:val="18"/>
              </w:rPr>
              <w:t>2,918,0</w:t>
            </w:r>
          </w:p>
          <w:p>
            <w:pPr>
              <w:pStyle w:val="TableParagraph"/>
              <w:spacing w:line="240" w:lineRule="auto" w:before="34"/>
              <w:ind w:left="204" w:right="0"/>
              <w:jc w:val="center"/>
              <w:rPr>
                <w:rFonts w:ascii="Times New Roman" w:hAnsi="Times New Roman" w:cs="Times New Roman" w:eastAsia="Times New Roman" w:hint="default"/>
                <w:sz w:val="18"/>
                <w:szCs w:val="18"/>
              </w:rPr>
            </w:pPr>
            <w:r>
              <w:rPr>
                <w:rFonts w:ascii="Times New Roman"/>
                <w:sz w:val="18"/>
              </w:rPr>
              <w:t>61.29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-2,918,0</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61.29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-8,040,0</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 w:right="0"/>
              <w:jc w:val="left"/>
              <w:rPr>
                <w:rFonts w:ascii="Times New Roman" w:hAnsi="Times New Roman" w:cs="Times New Roman" w:eastAsia="Times New Roman" w:hint="default"/>
                <w:sz w:val="18"/>
                <w:szCs w:val="18"/>
              </w:rPr>
            </w:pPr>
            <w:r>
              <w:rPr>
                <w:rFonts w:ascii="Times New Roman"/>
                <w:sz w:val="18"/>
              </w:rPr>
              <w:t>-921,50</w:t>
            </w:r>
          </w:p>
          <w:p>
            <w:pPr>
              <w:pStyle w:val="TableParagraph"/>
              <w:spacing w:line="240" w:lineRule="auto" w:before="34"/>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-8,961,5</w:t>
            </w:r>
          </w:p>
          <w:p>
            <w:pPr>
              <w:pStyle w:val="TableParagraph"/>
              <w:spacing w:line="240" w:lineRule="auto" w:before="34"/>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 w:right="0"/>
              <w:jc w:val="left"/>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210,201</w:t>
            </w:r>
          </w:p>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,931.90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27,866,</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884.60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190,305</w:t>
            </w:r>
          </w:p>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,315.14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68,172,</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263.76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764,546</w:t>
            </w:r>
          </w:p>
          <w:p>
            <w:pPr>
              <w:pStyle w:val="TableParagraph"/>
              <w:spacing w:line="240" w:lineRule="auto" w:before="34"/>
              <w:ind w:left="85" w:right="0"/>
              <w:jc w:val="left"/>
              <w:rPr>
                <w:rFonts w:ascii="Times New Roman" w:hAnsi="Times New Roman" w:cs="Times New Roman" w:eastAsia="Times New Roman" w:hint="default"/>
                <w:sz w:val="18"/>
                <w:szCs w:val="18"/>
              </w:rPr>
            </w:pPr>
            <w:r>
              <w:rPr>
                <w:rFonts w:ascii="Times New Roman"/>
                <w:sz w:val="18"/>
              </w:rPr>
              <w:t>,395.40</w:t>
            </w:r>
          </w:p>
        </w:tc>
      </w:tr>
    </w:tbl>
    <w:p>
      <w:pPr>
        <w:spacing w:after="0" w:line="240" w:lineRule="auto"/>
        <w:jc w:val="lef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44"/>
        <w:ind w:left="154" w:right="0"/>
        <w:jc w:val="left"/>
      </w:pPr>
      <w:r>
        <w:rPr/>
        <w:t>上期金额</w:t>
      </w:r>
    </w:p>
    <w:p>
      <w:pPr>
        <w:spacing w:line="240" w:lineRule="auto" w:before="9"/>
        <w:rPr>
          <w:rFonts w:ascii="宋体" w:hAnsi="宋体" w:cs="宋体" w:eastAsia="宋体" w:hint="default"/>
          <w:sz w:val="11"/>
          <w:szCs w:val="11"/>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0"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0"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7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16"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23" w:lineRule="exact"/>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156" w:lineRule="exact"/>
              <w:ind w:left="50"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before="76"/>
              <w:ind w:left="50"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tcBorders>
              <w:left w:val="single" w:sz="4" w:space="0" w:color="000000"/>
              <w:right w:val="single" w:sz="4" w:space="0" w:color="000000"/>
            </w:tcBorders>
            <w:shd w:val="clear" w:color="auto" w:fill="D2D2D2"/>
          </w:tcPr>
          <w:p>
            <w:pPr/>
          </w:p>
        </w:tc>
      </w:tr>
      <w:tr>
        <w:trPr>
          <w:trHeight w:val="122"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57"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val="restart"/>
            <w:tcBorders>
              <w:top w:val="single" w:sz="52" w:space="0" w:color="D2D2D2"/>
              <w:left w:val="single" w:sz="23" w:space="0" w:color="D2D2D2"/>
              <w:right w:val="single" w:sz="9" w:space="0" w:color="D2D2D2"/>
            </w:tcBorders>
          </w:tcPr>
          <w:p>
            <w:pPr>
              <w:pStyle w:val="TableParagraph"/>
              <w:spacing w:line="240" w:lineRule="auto" w:before="8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33"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23" w:space="0" w:color="D2D2D2"/>
              <w:right w:val="single" w:sz="9" w:space="0" w:color="D2D2D2"/>
            </w:tcBorders>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23" w:space="0" w:color="D2D2D2"/>
              <w:bottom w:val="single" w:sz="48" w:space="0" w:color="D2D2D2"/>
              <w:right w:val="single" w:sz="9" w:space="0" w:color="D2D2D2"/>
            </w:tcBorders>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6"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64"/>
              <w:ind w:left="28" w:right="0"/>
              <w:jc w:val="left"/>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33"/>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8" w:space="0" w:color="D2D2D2"/>
              <w:left w:val="single" w:sz="4" w:space="0" w:color="000000"/>
              <w:right w:val="single" w:sz="4" w:space="0" w:color="000000"/>
            </w:tcBorders>
          </w:tcPr>
          <w:p>
            <w:pPr/>
          </w:p>
        </w:tc>
        <w:tc>
          <w:tcPr>
            <w:tcW w:w="665" w:type="dxa"/>
            <w:vMerge w:val="restart"/>
            <w:tcBorders>
              <w:top w:val="single" w:sz="51" w:space="0" w:color="D2D2D2"/>
              <w:left w:val="single" w:sz="4" w:space="0" w:color="000000"/>
              <w:right w:val="single" w:sz="4" w:space="0" w:color="000000"/>
            </w:tcBorders>
          </w:tcPr>
          <w:p>
            <w:pPr>
              <w:pStyle w:val="TableParagraph"/>
              <w:spacing w:line="240" w:lineRule="auto" w:before="125"/>
              <w:ind w:left="47" w:right="0"/>
              <w:jc w:val="left"/>
              <w:rPr>
                <w:rFonts w:ascii="Times New Roman" w:hAnsi="Times New Roman" w:cs="Times New Roman" w:eastAsia="Times New Roman" w:hint="default"/>
                <w:sz w:val="18"/>
                <w:szCs w:val="18"/>
              </w:rPr>
            </w:pPr>
            <w:r>
              <w:rPr>
                <w:rFonts w:ascii="Times New Roman"/>
                <w:sz w:val="18"/>
              </w:rPr>
              <w:t>209,482</w:t>
            </w:r>
          </w:p>
          <w:p>
            <w:pPr>
              <w:pStyle w:val="TableParagraph"/>
              <w:spacing w:line="240" w:lineRule="auto" w:before="33"/>
              <w:ind w:left="92" w:right="0"/>
              <w:jc w:val="left"/>
              <w:rPr>
                <w:rFonts w:ascii="Times New Roman" w:hAnsi="Times New Roman" w:cs="Times New Roman" w:eastAsia="Times New Roman" w:hint="default"/>
                <w:sz w:val="18"/>
                <w:szCs w:val="18"/>
              </w:rPr>
            </w:pPr>
            <w:r>
              <w:rPr>
                <w:rFonts w:ascii="Times New Roman"/>
                <w:sz w:val="18"/>
              </w:rPr>
              <w:t>,266.23</w:t>
            </w:r>
          </w:p>
        </w:tc>
        <w:tc>
          <w:tcPr>
            <w:tcW w:w="665" w:type="dxa"/>
            <w:vMerge w:val="restart"/>
            <w:tcBorders>
              <w:top w:val="single" w:sz="51" w:space="0" w:color="D2D2D2"/>
              <w:left w:val="single" w:sz="4" w:space="0" w:color="000000"/>
              <w:right w:val="single" w:sz="4" w:space="0" w:color="000000"/>
            </w:tcBorders>
          </w:tcPr>
          <w:p>
            <w:pPr/>
          </w:p>
        </w:tc>
        <w:tc>
          <w:tcPr>
            <w:tcW w:w="665" w:type="dxa"/>
            <w:vMerge w:val="restart"/>
            <w:tcBorders>
              <w:top w:val="single" w:sz="51" w:space="0" w:color="D2D2D2"/>
              <w:left w:val="single" w:sz="4" w:space="0" w:color="000000"/>
              <w:right w:val="single" w:sz="4" w:space="0" w:color="000000"/>
            </w:tcBorders>
          </w:tcPr>
          <w:p>
            <w:pPr/>
          </w:p>
        </w:tc>
        <w:tc>
          <w:tcPr>
            <w:tcW w:w="665" w:type="dxa"/>
            <w:vMerge w:val="restart"/>
            <w:tcBorders>
              <w:top w:val="single" w:sz="51" w:space="0" w:color="D2D2D2"/>
              <w:left w:val="single" w:sz="4" w:space="0" w:color="000000"/>
              <w:right w:val="single" w:sz="4" w:space="0" w:color="000000"/>
            </w:tcBorders>
          </w:tcPr>
          <w:p>
            <w:pPr/>
          </w:p>
        </w:tc>
        <w:tc>
          <w:tcPr>
            <w:tcW w:w="665" w:type="dxa"/>
            <w:vMerge w:val="restart"/>
            <w:tcBorders>
              <w:top w:val="single" w:sz="51" w:space="0" w:color="D2D2D2"/>
              <w:left w:val="single" w:sz="4" w:space="0" w:color="000000"/>
              <w:right w:val="single" w:sz="4" w:space="0" w:color="000000"/>
            </w:tcBorders>
          </w:tcPr>
          <w:p>
            <w:pPr>
              <w:pStyle w:val="TableParagraph"/>
              <w:spacing w:line="240" w:lineRule="auto" w:before="125"/>
              <w:ind w:left="91" w:right="0"/>
              <w:jc w:val="left"/>
              <w:rPr>
                <w:rFonts w:ascii="Times New Roman" w:hAnsi="Times New Roman" w:cs="Times New Roman" w:eastAsia="Times New Roman" w:hint="default"/>
                <w:sz w:val="18"/>
                <w:szCs w:val="18"/>
              </w:rPr>
            </w:pPr>
            <w:r>
              <w:rPr>
                <w:rFonts w:ascii="Times New Roman"/>
                <w:sz w:val="18"/>
              </w:rPr>
              <w:t>22,152,</w:t>
            </w:r>
          </w:p>
          <w:p>
            <w:pPr>
              <w:pStyle w:val="TableParagraph"/>
              <w:spacing w:line="240" w:lineRule="auto" w:before="33"/>
              <w:ind w:left="136" w:right="0"/>
              <w:jc w:val="left"/>
              <w:rPr>
                <w:rFonts w:ascii="Times New Roman" w:hAnsi="Times New Roman" w:cs="Times New Roman" w:eastAsia="Times New Roman" w:hint="default"/>
                <w:sz w:val="18"/>
                <w:szCs w:val="18"/>
              </w:rPr>
            </w:pPr>
            <w:r>
              <w:rPr>
                <w:rFonts w:ascii="Times New Roman"/>
                <w:sz w:val="18"/>
              </w:rPr>
              <w:t>958.50</w:t>
            </w:r>
          </w:p>
        </w:tc>
        <w:tc>
          <w:tcPr>
            <w:tcW w:w="665" w:type="dxa"/>
            <w:vMerge w:val="restart"/>
            <w:tcBorders>
              <w:top w:val="single" w:sz="51" w:space="0" w:color="D2D2D2"/>
              <w:left w:val="single" w:sz="4" w:space="0" w:color="000000"/>
              <w:right w:val="single" w:sz="4" w:space="0" w:color="000000"/>
            </w:tcBorders>
          </w:tcPr>
          <w:p>
            <w:pPr/>
          </w:p>
        </w:tc>
        <w:tc>
          <w:tcPr>
            <w:tcW w:w="678" w:type="dxa"/>
            <w:vMerge w:val="restart"/>
            <w:tcBorders>
              <w:top w:val="single" w:sz="51" w:space="0" w:color="D2D2D2"/>
              <w:left w:val="single" w:sz="4" w:space="0" w:color="000000"/>
              <w:right w:val="single" w:sz="4" w:space="0" w:color="000000"/>
            </w:tcBorders>
          </w:tcPr>
          <w:p>
            <w:pPr>
              <w:pStyle w:val="TableParagraph"/>
              <w:spacing w:line="240" w:lineRule="auto" w:before="125"/>
              <w:ind w:left="59" w:right="0"/>
              <w:jc w:val="left"/>
              <w:rPr>
                <w:rFonts w:ascii="Times New Roman" w:hAnsi="Times New Roman" w:cs="Times New Roman" w:eastAsia="Times New Roman" w:hint="default"/>
                <w:sz w:val="18"/>
                <w:szCs w:val="18"/>
              </w:rPr>
            </w:pPr>
            <w:r>
              <w:rPr>
                <w:rFonts w:ascii="Times New Roman"/>
                <w:sz w:val="18"/>
              </w:rPr>
              <w:t>150,884</w:t>
            </w:r>
          </w:p>
          <w:p>
            <w:pPr>
              <w:pStyle w:val="TableParagraph"/>
              <w:spacing w:line="240" w:lineRule="auto" w:before="33"/>
              <w:ind w:left="104" w:right="0"/>
              <w:jc w:val="left"/>
              <w:rPr>
                <w:rFonts w:ascii="Times New Roman" w:hAnsi="Times New Roman" w:cs="Times New Roman" w:eastAsia="Times New Roman" w:hint="default"/>
                <w:sz w:val="18"/>
                <w:szCs w:val="18"/>
              </w:rPr>
            </w:pPr>
            <w:r>
              <w:rPr>
                <w:rFonts w:ascii="Times New Roman"/>
                <w:sz w:val="18"/>
              </w:rPr>
              <w:t>,764.29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29,863,</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568.33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680,383</w:t>
            </w:r>
          </w:p>
          <w:p>
            <w:pPr>
              <w:pStyle w:val="TableParagraph"/>
              <w:spacing w:line="240" w:lineRule="auto" w:before="33"/>
              <w:ind w:left="85" w:right="0"/>
              <w:jc w:val="left"/>
              <w:rPr>
                <w:rFonts w:ascii="Times New Roman" w:hAnsi="Times New Roman" w:cs="Times New Roman" w:eastAsia="Times New Roman" w:hint="default"/>
                <w:sz w:val="18"/>
                <w:szCs w:val="18"/>
              </w:rPr>
            </w:pPr>
            <w:r>
              <w:rPr>
                <w:rFonts w:ascii="Times New Roman"/>
                <w:sz w:val="18"/>
              </w:rPr>
              <w:t>,557.35</w:t>
            </w:r>
          </w:p>
        </w:tc>
      </w:tr>
      <w:tr>
        <w:trPr>
          <w:trHeight w:val="319" w:hRule="exact"/>
        </w:trPr>
        <w:tc>
          <w:tcPr>
            <w:tcW w:w="1427" w:type="dxa"/>
            <w:tcBorders>
              <w:top w:val="nil" w:sz="6" w:space="0" w:color="auto"/>
              <w:left w:val="single" w:sz="13" w:space="0" w:color="D2D2D2"/>
              <w:bottom w:val="nil" w:sz="6" w:space="0" w:color="auto"/>
              <w:right w:val="single" w:sz="13" w:space="0" w:color="D2D2D2"/>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245"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64"/>
              <w:ind w:left="28" w:right="0"/>
              <w:jc w:val="left"/>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33"/>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209,482</w:t>
            </w:r>
          </w:p>
          <w:p>
            <w:pPr>
              <w:pStyle w:val="TableParagraph"/>
              <w:spacing w:line="240" w:lineRule="auto" w:before="33"/>
              <w:ind w:left="92" w:right="0"/>
              <w:jc w:val="left"/>
              <w:rPr>
                <w:rFonts w:ascii="Times New Roman" w:hAnsi="Times New Roman" w:cs="Times New Roman" w:eastAsia="Times New Roman" w:hint="default"/>
                <w:sz w:val="18"/>
                <w:szCs w:val="18"/>
              </w:rPr>
            </w:pPr>
            <w:r>
              <w:rPr>
                <w:rFonts w:ascii="Times New Roman"/>
                <w:sz w:val="18"/>
              </w:rPr>
              <w:t>,266.23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22,152,</w:t>
            </w:r>
          </w:p>
          <w:p>
            <w:pPr>
              <w:pStyle w:val="TableParagraph"/>
              <w:spacing w:line="240" w:lineRule="auto" w:before="33"/>
              <w:ind w:left="136" w:right="0"/>
              <w:jc w:val="left"/>
              <w:rPr>
                <w:rFonts w:ascii="Times New Roman" w:hAnsi="Times New Roman" w:cs="Times New Roman" w:eastAsia="Times New Roman" w:hint="default"/>
                <w:sz w:val="18"/>
                <w:szCs w:val="18"/>
              </w:rPr>
            </w:pPr>
            <w:r>
              <w:rPr>
                <w:rFonts w:ascii="Times New Roman"/>
                <w:sz w:val="18"/>
              </w:rPr>
              <w:t>958.50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150,884</w:t>
            </w:r>
          </w:p>
          <w:p>
            <w:pPr>
              <w:pStyle w:val="TableParagraph"/>
              <w:spacing w:line="240" w:lineRule="auto" w:before="33"/>
              <w:ind w:left="104" w:right="0"/>
              <w:jc w:val="left"/>
              <w:rPr>
                <w:rFonts w:ascii="Times New Roman" w:hAnsi="Times New Roman" w:cs="Times New Roman" w:eastAsia="Times New Roman" w:hint="default"/>
                <w:sz w:val="18"/>
                <w:szCs w:val="18"/>
              </w:rPr>
            </w:pPr>
            <w:r>
              <w:rPr>
                <w:rFonts w:ascii="Times New Roman"/>
                <w:sz w:val="18"/>
              </w:rPr>
              <w:t>,764.29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29,863,</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568.33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680,383</w:t>
            </w:r>
          </w:p>
          <w:p>
            <w:pPr>
              <w:pStyle w:val="TableParagraph"/>
              <w:spacing w:line="240" w:lineRule="auto" w:before="33"/>
              <w:ind w:left="85" w:right="0"/>
              <w:jc w:val="left"/>
              <w:rPr>
                <w:rFonts w:ascii="Times New Roman" w:hAnsi="Times New Roman" w:cs="Times New Roman" w:eastAsia="Times New Roman" w:hint="default"/>
                <w:sz w:val="18"/>
                <w:szCs w:val="18"/>
              </w:rPr>
            </w:pPr>
            <w:r>
              <w:rPr>
                <w:rFonts w:ascii="Times New Roman"/>
                <w:sz w:val="18"/>
              </w:rPr>
              <w:t>,557.35</w:t>
            </w:r>
          </w:p>
        </w:tc>
      </w:tr>
      <w:tr>
        <w:trPr>
          <w:trHeight w:val="319" w:hRule="exact"/>
        </w:trPr>
        <w:tc>
          <w:tcPr>
            <w:tcW w:w="1427" w:type="dxa"/>
            <w:tcBorders>
              <w:top w:val="nil" w:sz="6" w:space="0" w:color="auto"/>
              <w:left w:val="single" w:sz="13" w:space="0" w:color="D2D2D2"/>
              <w:bottom w:val="nil" w:sz="6" w:space="0" w:color="auto"/>
              <w:right w:val="single" w:sz="13" w:space="0" w:color="D2D2D2"/>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245"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81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894,844</w:t>
            </w:r>
          </w:p>
          <w:p>
            <w:pPr>
              <w:pStyle w:val="TableParagraph"/>
              <w:spacing w:line="240" w:lineRule="auto" w:before="33"/>
              <w:ind w:left="408"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3"/>
              <w:ind w:left="203" w:right="0"/>
              <w:jc w:val="center"/>
              <w:rPr>
                <w:rFonts w:ascii="Times New Roman" w:hAnsi="Times New Roman" w:cs="Times New Roman" w:eastAsia="Times New Roman" w:hint="default"/>
                <w:sz w:val="18"/>
                <w:szCs w:val="18"/>
              </w:rPr>
            </w:pPr>
            <w:r>
              <w:rPr>
                <w:rFonts w:ascii="Times New Roman"/>
                <w:sz w:val="18"/>
              </w:rPr>
              <w:t>64.81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16,537,</w:t>
            </w:r>
          </w:p>
          <w:p>
            <w:pPr>
              <w:pStyle w:val="TableParagraph"/>
              <w:spacing w:line="240" w:lineRule="auto" w:before="33"/>
              <w:ind w:left="149" w:right="0"/>
              <w:jc w:val="left"/>
              <w:rPr>
                <w:rFonts w:ascii="Times New Roman" w:hAnsi="Times New Roman" w:cs="Times New Roman" w:eastAsia="Times New Roman" w:hint="default"/>
                <w:sz w:val="18"/>
                <w:szCs w:val="18"/>
              </w:rPr>
            </w:pPr>
            <w:r>
              <w:rPr>
                <w:rFonts w:ascii="Times New Roman"/>
                <w:sz w:val="18"/>
              </w:rPr>
              <w:t>575.99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33,450,</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276.98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53,678,</w:t>
            </w:r>
          </w:p>
          <w:p>
            <w:pPr>
              <w:pStyle w:val="TableParagraph"/>
              <w:spacing w:line="240" w:lineRule="auto" w:before="33"/>
              <w:ind w:left="130" w:right="0"/>
              <w:jc w:val="left"/>
              <w:rPr>
                <w:rFonts w:ascii="Times New Roman" w:hAnsi="Times New Roman" w:cs="Times New Roman" w:eastAsia="Times New Roman" w:hint="default"/>
                <w:sz w:val="18"/>
                <w:szCs w:val="18"/>
              </w:rPr>
            </w:pPr>
            <w:r>
              <w:rPr>
                <w:rFonts w:ascii="Times New Roman"/>
                <w:sz w:val="18"/>
              </w:rPr>
              <w:t>561.87</w:t>
            </w: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Times New Roman" w:hAnsi="Times New Roman" w:cs="Times New Roman" w:eastAsia="Times New Roman" w:hint="default"/>
                <w:sz w:val="18"/>
                <w:szCs w:val="18"/>
              </w:rPr>
            </w:pPr>
            <w:r>
              <w:rPr>
                <w:rFonts w:ascii="Times New Roman"/>
                <w:sz w:val="18"/>
              </w:rPr>
              <w:t>32,733,</w:t>
            </w:r>
          </w:p>
          <w:p>
            <w:pPr>
              <w:pStyle w:val="TableParagraph"/>
              <w:spacing w:line="240" w:lineRule="auto" w:before="33"/>
              <w:ind w:left="149" w:right="0"/>
              <w:jc w:val="left"/>
              <w:rPr>
                <w:rFonts w:ascii="Times New Roman" w:hAnsi="Times New Roman" w:cs="Times New Roman" w:eastAsia="Times New Roman" w:hint="default"/>
                <w:sz w:val="18"/>
                <w:szCs w:val="18"/>
              </w:rPr>
            </w:pPr>
            <w:r>
              <w:rPr>
                <w:rFonts w:ascii="Times New Roman"/>
                <w:sz w:val="18"/>
              </w:rPr>
              <w:t>440.80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 w:right="0"/>
              <w:jc w:val="center"/>
              <w:rPr>
                <w:rFonts w:ascii="Times New Roman" w:hAnsi="Times New Roman" w:cs="Times New Roman" w:eastAsia="Times New Roman" w:hint="default"/>
                <w:sz w:val="18"/>
                <w:szCs w:val="18"/>
              </w:rPr>
            </w:pPr>
            <w:r>
              <w:rPr>
                <w:rFonts w:ascii="Times New Roman"/>
                <w:sz w:val="18"/>
              </w:rPr>
              <w:t>2,164,1</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57.91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 w:right="0"/>
              <w:jc w:val="left"/>
              <w:rPr>
                <w:rFonts w:ascii="Times New Roman" w:hAnsi="Times New Roman" w:cs="Times New Roman" w:eastAsia="Times New Roman" w:hint="default"/>
                <w:sz w:val="18"/>
                <w:szCs w:val="18"/>
              </w:rPr>
            </w:pPr>
            <w:r>
              <w:rPr>
                <w:rFonts w:ascii="Times New Roman"/>
                <w:sz w:val="18"/>
              </w:rPr>
              <w:t>34,897,</w:t>
            </w:r>
          </w:p>
          <w:p>
            <w:pPr>
              <w:pStyle w:val="TableParagraph"/>
              <w:spacing w:line="240" w:lineRule="auto" w:before="33"/>
              <w:ind w:left="130" w:right="0"/>
              <w:jc w:val="left"/>
              <w:rPr>
                <w:rFonts w:ascii="Times New Roman" w:hAnsi="Times New Roman" w:cs="Times New Roman" w:eastAsia="Times New Roman" w:hint="default"/>
                <w:sz w:val="18"/>
                <w:szCs w:val="18"/>
              </w:rPr>
            </w:pPr>
            <w:r>
              <w:rPr>
                <w:rFonts w:ascii="Times New Roman"/>
                <w:sz w:val="18"/>
              </w:rPr>
              <w:t>598.71</w:t>
            </w: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 w:right="0"/>
              <w:jc w:val="left"/>
              <w:rPr>
                <w:rFonts w:ascii="Times New Roman" w:hAnsi="Times New Roman" w:cs="Times New Roman" w:eastAsia="Times New Roman" w:hint="default"/>
                <w:sz w:val="18"/>
                <w:szCs w:val="18"/>
              </w:rPr>
            </w:pPr>
            <w:r>
              <w:rPr>
                <w:rFonts w:ascii="Times New Roman"/>
                <w:sz w:val="18"/>
              </w:rPr>
              <w:t>894,844</w:t>
            </w:r>
          </w:p>
          <w:p>
            <w:pPr>
              <w:pStyle w:val="TableParagraph"/>
              <w:spacing w:line="240" w:lineRule="auto" w:before="33"/>
              <w:ind w:left="408"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9" w:right="0"/>
              <w:jc w:val="left"/>
              <w:rPr>
                <w:rFonts w:ascii="Times New Roman" w:hAnsi="Times New Roman" w:cs="Times New Roman" w:eastAsia="Times New Roman" w:hint="default"/>
                <w:sz w:val="18"/>
                <w:szCs w:val="18"/>
              </w:rPr>
            </w:pPr>
            <w:r>
              <w:rPr>
                <w:rFonts w:ascii="Times New Roman"/>
                <w:sz w:val="18"/>
              </w:rPr>
              <w:t>31,855,</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979.07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 w:right="0"/>
              <w:jc w:val="left"/>
              <w:rPr>
                <w:rFonts w:ascii="Times New Roman" w:hAnsi="Times New Roman" w:cs="Times New Roman" w:eastAsia="Times New Roman" w:hint="default"/>
                <w:sz w:val="18"/>
                <w:szCs w:val="18"/>
              </w:rPr>
            </w:pPr>
            <w:r>
              <w:rPr>
                <w:rFonts w:ascii="Times New Roman"/>
                <w:sz w:val="18"/>
              </w:rPr>
              <w:t>32,750,</w:t>
            </w:r>
          </w:p>
          <w:p>
            <w:pPr>
              <w:pStyle w:val="TableParagraph"/>
              <w:spacing w:line="240" w:lineRule="auto" w:before="33"/>
              <w:ind w:left="130" w:right="0"/>
              <w:jc w:val="left"/>
              <w:rPr>
                <w:rFonts w:ascii="Times New Roman" w:hAnsi="Times New Roman" w:cs="Times New Roman" w:eastAsia="Times New Roman" w:hint="default"/>
                <w:sz w:val="18"/>
                <w:szCs w:val="18"/>
              </w:rPr>
            </w:pPr>
            <w:r>
              <w:rPr>
                <w:rFonts w:ascii="Times New Roman"/>
                <w:sz w:val="18"/>
              </w:rPr>
              <w:t>823.16</w:t>
            </w: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9" w:right="0"/>
              <w:jc w:val="left"/>
              <w:rPr>
                <w:rFonts w:ascii="Times New Roman" w:hAnsi="Times New Roman" w:cs="Times New Roman" w:eastAsia="Times New Roman" w:hint="default"/>
                <w:sz w:val="18"/>
                <w:szCs w:val="18"/>
              </w:rPr>
            </w:pPr>
            <w:r>
              <w:rPr>
                <w:rFonts w:ascii="Times New Roman"/>
                <w:sz w:val="18"/>
              </w:rPr>
              <w:t>27,678,</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065.00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 w:right="0"/>
              <w:jc w:val="left"/>
              <w:rPr>
                <w:rFonts w:ascii="Times New Roman" w:hAnsi="Times New Roman" w:cs="Times New Roman" w:eastAsia="Times New Roman" w:hint="default"/>
                <w:sz w:val="18"/>
                <w:szCs w:val="18"/>
              </w:rPr>
            </w:pPr>
            <w:r>
              <w:rPr>
                <w:rFonts w:ascii="Times New Roman"/>
                <w:sz w:val="18"/>
              </w:rPr>
              <w:t>27,678,</w:t>
            </w:r>
          </w:p>
          <w:p>
            <w:pPr>
              <w:pStyle w:val="TableParagraph"/>
              <w:spacing w:line="240" w:lineRule="auto" w:before="33"/>
              <w:ind w:left="130" w:right="0"/>
              <w:jc w:val="left"/>
              <w:rPr>
                <w:rFonts w:ascii="Times New Roman" w:hAnsi="Times New Roman" w:cs="Times New Roman" w:eastAsia="Times New Roman" w:hint="default"/>
                <w:sz w:val="18"/>
                <w:szCs w:val="18"/>
              </w:rPr>
            </w:pPr>
            <w:r>
              <w:rPr>
                <w:rFonts w:ascii="Times New Roman"/>
                <w:sz w:val="18"/>
              </w:rPr>
              <w:t>065.00</w:t>
            </w: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26"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4"/>
              <w:ind w:left="47" w:right="0"/>
              <w:jc w:val="left"/>
              <w:rPr>
                <w:rFonts w:ascii="Times New Roman" w:hAnsi="Times New Roman" w:cs="Times New Roman" w:eastAsia="Times New Roman" w:hint="default"/>
                <w:sz w:val="18"/>
                <w:szCs w:val="18"/>
              </w:rPr>
            </w:pPr>
            <w:r>
              <w:rPr>
                <w:rFonts w:ascii="Times New Roman"/>
                <w:sz w:val="18"/>
              </w:rPr>
              <w:t>894,844</w:t>
            </w:r>
          </w:p>
          <w:p>
            <w:pPr>
              <w:pStyle w:val="TableParagraph"/>
              <w:spacing w:line="240" w:lineRule="auto" w:before="33"/>
              <w:ind w:left="408" w:right="0"/>
              <w:jc w:val="left"/>
              <w:rPr>
                <w:rFonts w:ascii="Times New Roman" w:hAnsi="Times New Roman" w:cs="Times New Roman" w:eastAsia="Times New Roman" w:hint="default"/>
                <w:sz w:val="18"/>
                <w:szCs w:val="18"/>
              </w:rPr>
            </w:pPr>
            <w:r>
              <w:rPr>
                <w:rFonts w:ascii="Times New Roman"/>
                <w:sz w:val="18"/>
              </w:rPr>
              <w:t>.09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4"/>
              <w:ind w:left="57" w:right="0"/>
              <w:jc w:val="center"/>
              <w:rPr>
                <w:rFonts w:ascii="Times New Roman" w:hAnsi="Times New Roman" w:cs="Times New Roman" w:eastAsia="Times New Roman" w:hint="default"/>
                <w:sz w:val="18"/>
                <w:szCs w:val="18"/>
              </w:rPr>
            </w:pPr>
            <w:r>
              <w:rPr>
                <w:rFonts w:ascii="Times New Roman"/>
                <w:sz w:val="18"/>
              </w:rPr>
              <w:t>4,177,9</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14.07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4"/>
              <w:ind w:left="61" w:right="0"/>
              <w:jc w:val="center"/>
              <w:rPr>
                <w:rFonts w:ascii="Times New Roman" w:hAnsi="Times New Roman" w:cs="Times New Roman" w:eastAsia="Times New Roman" w:hint="default"/>
                <w:sz w:val="18"/>
                <w:szCs w:val="18"/>
              </w:rPr>
            </w:pPr>
            <w:r>
              <w:rPr>
                <w:rFonts w:ascii="Times New Roman"/>
                <w:sz w:val="18"/>
              </w:rPr>
              <w:t>5,072,7</w:t>
            </w:r>
          </w:p>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58.16</w:t>
            </w:r>
          </w:p>
        </w:tc>
      </w:tr>
      <w:tr>
        <w:trPr>
          <w:trHeight w:val="444"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26"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4"/>
              <w:ind w:left="67"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3"/>
              <w:ind w:left="203" w:right="0"/>
              <w:jc w:val="center"/>
              <w:rPr>
                <w:rFonts w:ascii="Times New Roman" w:hAnsi="Times New Roman" w:cs="Times New Roman" w:eastAsia="Times New Roman" w:hint="default"/>
                <w:sz w:val="18"/>
                <w:szCs w:val="18"/>
              </w:rPr>
            </w:pPr>
            <w:r>
              <w:rPr>
                <w:rFonts w:ascii="Times New Roman"/>
                <w:sz w:val="18"/>
              </w:rPr>
              <w:t>64.81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4"/>
              <w:ind w:left="20" w:right="0"/>
              <w:jc w:val="center"/>
              <w:rPr>
                <w:rFonts w:ascii="Times New Roman" w:hAnsi="Times New Roman" w:cs="Times New Roman" w:eastAsia="Times New Roman" w:hint="default"/>
                <w:sz w:val="18"/>
                <w:szCs w:val="18"/>
              </w:rPr>
            </w:pPr>
            <w:r>
              <w:rPr>
                <w:rFonts w:ascii="Times New Roman"/>
                <w:sz w:val="18"/>
              </w:rPr>
              <w:t>-16,195,</w:t>
            </w:r>
          </w:p>
          <w:p>
            <w:pPr>
              <w:pStyle w:val="TableParagraph"/>
              <w:spacing w:line="240" w:lineRule="auto" w:before="33"/>
              <w:ind w:left="126" w:right="0"/>
              <w:jc w:val="center"/>
              <w:rPr>
                <w:rFonts w:ascii="Times New Roman" w:hAnsi="Times New Roman" w:cs="Times New Roman" w:eastAsia="Times New Roman" w:hint="default"/>
                <w:sz w:val="18"/>
                <w:szCs w:val="18"/>
              </w:rPr>
            </w:pPr>
            <w:r>
              <w:rPr>
                <w:rFonts w:ascii="Times New Roman"/>
                <w:sz w:val="18"/>
              </w:rPr>
              <w:t>864.81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4"/>
              <w:ind w:left="64" w:right="0"/>
              <w:jc w:val="left"/>
              <w:rPr>
                <w:rFonts w:ascii="Times New Roman" w:hAnsi="Times New Roman" w:cs="Times New Roman" w:eastAsia="Times New Roman" w:hint="default"/>
                <w:sz w:val="18"/>
                <w:szCs w:val="18"/>
              </w:rPr>
            </w:pPr>
            <w:r>
              <w:rPr>
                <w:rFonts w:ascii="Times New Roman"/>
                <w:sz w:val="18"/>
              </w:rPr>
              <w:t>-569,86</w:t>
            </w:r>
          </w:p>
          <w:p>
            <w:pPr>
              <w:pStyle w:val="TableParagraph"/>
              <w:spacing w:line="240" w:lineRule="auto" w:before="33"/>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-13,969,</w:t>
            </w:r>
          </w:p>
          <w:p>
            <w:pPr>
              <w:pStyle w:val="TableParagraph"/>
              <w:spacing w:line="240" w:lineRule="auto" w:before="33"/>
              <w:ind w:left="107" w:right="0"/>
              <w:jc w:val="center"/>
              <w:rPr>
                <w:rFonts w:ascii="Times New Roman" w:hAnsi="Times New Roman" w:cs="Times New Roman" w:eastAsia="Times New Roman" w:hint="default"/>
                <w:sz w:val="18"/>
                <w:szCs w:val="18"/>
              </w:rPr>
            </w:pPr>
            <w:r>
              <w:rPr>
                <w:rFonts w:ascii="Times New Roman"/>
                <w:sz w:val="18"/>
              </w:rPr>
              <w:t>860.00</w:t>
            </w:r>
          </w:p>
        </w:tc>
      </w:tr>
      <w:tr>
        <w:trPr>
          <w:trHeight w:val="444"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70" w:hRule="exact"/>
        </w:trPr>
        <w:tc>
          <w:tcPr>
            <w:tcW w:w="1427" w:type="dxa"/>
            <w:tcBorders>
              <w:top w:val="single" w:sz="48" w:space="0" w:color="D2D2D2"/>
              <w:left w:val="single" w:sz="13" w:space="0" w:color="D2D2D2"/>
              <w:bottom w:val="single" w:sz="52" w:space="0" w:color="D2D2D2"/>
              <w:right w:val="single" w:sz="13" w:space="0" w:color="D2D2D2"/>
            </w:tcBorders>
          </w:tcPr>
          <w:p>
            <w:pPr>
              <w:pStyle w:val="TableParagraph"/>
              <w:spacing w:line="240" w:lineRule="auto" w:before="8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7"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3"/>
              <w:ind w:left="203" w:right="0"/>
              <w:jc w:val="center"/>
              <w:rPr>
                <w:rFonts w:ascii="Times New Roman" w:hAnsi="Times New Roman" w:cs="Times New Roman" w:eastAsia="Times New Roman" w:hint="default"/>
                <w:sz w:val="18"/>
                <w:szCs w:val="18"/>
              </w:rPr>
            </w:pPr>
            <w:r>
              <w:rPr>
                <w:rFonts w:ascii="Times New Roman"/>
                <w:sz w:val="18"/>
              </w:rPr>
              <w:t>64.81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3"/>
              <w:ind w:left="216" w:right="0"/>
              <w:jc w:val="center"/>
              <w:rPr>
                <w:rFonts w:ascii="Times New Roman" w:hAnsi="Times New Roman" w:cs="Times New Roman" w:eastAsia="Times New Roman" w:hint="default"/>
                <w:sz w:val="18"/>
                <w:szCs w:val="18"/>
              </w:rPr>
            </w:pPr>
            <w:r>
              <w:rPr>
                <w:rFonts w:ascii="Times New Roman"/>
                <w:sz w:val="18"/>
              </w:rPr>
              <w:t>64.81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33"/>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4" w:right="0"/>
              <w:jc w:val="left"/>
              <w:rPr>
                <w:rFonts w:ascii="Times New Roman" w:hAnsi="Times New Roman" w:cs="Times New Roman" w:eastAsia="Times New Roman" w:hint="default"/>
                <w:sz w:val="18"/>
                <w:szCs w:val="18"/>
              </w:rPr>
            </w:pPr>
            <w:r>
              <w:rPr>
                <w:rFonts w:ascii="Times New Roman"/>
                <w:sz w:val="18"/>
              </w:rPr>
              <w:t>-569,86</w:t>
            </w:r>
          </w:p>
          <w:p>
            <w:pPr>
              <w:pStyle w:val="TableParagraph"/>
              <w:spacing w:line="240" w:lineRule="auto" w:before="33"/>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18"/>
                <w:szCs w:val="18"/>
              </w:rPr>
            </w:pPr>
            <w:r>
              <w:rPr>
                <w:rFonts w:ascii="Times New Roman"/>
                <w:sz w:val="18"/>
              </w:rPr>
              <w:t>-13,969,</w:t>
            </w:r>
          </w:p>
          <w:p>
            <w:pPr>
              <w:pStyle w:val="TableParagraph"/>
              <w:spacing w:line="240" w:lineRule="auto" w:before="33"/>
              <w:ind w:left="107" w:right="0"/>
              <w:jc w:val="center"/>
              <w:rPr>
                <w:rFonts w:ascii="Times New Roman" w:hAnsi="Times New Roman" w:cs="Times New Roman" w:eastAsia="Times New Roman" w:hint="default"/>
                <w:sz w:val="18"/>
                <w:szCs w:val="18"/>
              </w:rPr>
            </w:pPr>
            <w:r>
              <w:rPr>
                <w:rFonts w:ascii="Times New Roman"/>
                <w:sz w:val="18"/>
              </w:rPr>
              <w:t>860.00</w:t>
            </w:r>
          </w:p>
        </w:tc>
      </w:tr>
      <w:tr>
        <w:trPr>
          <w:trHeight w:val="33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 w:right="0"/>
              <w:jc w:val="left"/>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3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210,377</w:t>
            </w:r>
          </w:p>
          <w:p>
            <w:pPr>
              <w:pStyle w:val="TableParagraph"/>
              <w:spacing w:line="240" w:lineRule="auto" w:before="34"/>
              <w:ind w:left="99" w:right="0"/>
              <w:jc w:val="left"/>
              <w:rPr>
                <w:rFonts w:ascii="Times New Roman" w:hAnsi="Times New Roman" w:cs="Times New Roman" w:eastAsia="Times New Roman" w:hint="default"/>
                <w:sz w:val="18"/>
                <w:szCs w:val="18"/>
              </w:rPr>
            </w:pPr>
            <w:r>
              <w:rPr>
                <w:rFonts w:ascii="Times New Roman"/>
                <w:sz w:val="18"/>
              </w:rPr>
              <w:t>,110.32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24,948,</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823.31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167,422</w:t>
            </w:r>
          </w:p>
          <w:p>
            <w:pPr>
              <w:pStyle w:val="TableParagraph"/>
              <w:spacing w:line="240" w:lineRule="auto" w:before="34"/>
              <w:ind w:left="104" w:right="0"/>
              <w:jc w:val="left"/>
              <w:rPr>
                <w:rFonts w:ascii="Times New Roman" w:hAnsi="Times New Roman" w:cs="Times New Roman" w:eastAsia="Times New Roman" w:hint="default"/>
                <w:sz w:val="18"/>
                <w:szCs w:val="18"/>
              </w:rPr>
            </w:pPr>
            <w:r>
              <w:rPr>
                <w:rFonts w:ascii="Times New Roman"/>
                <w:sz w:val="18"/>
              </w:rPr>
              <w:t>,340.28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63,313,</w:t>
            </w:r>
          </w:p>
          <w:p>
            <w:pPr>
              <w:pStyle w:val="TableParagraph"/>
              <w:spacing w:line="240" w:lineRule="auto" w:before="34"/>
              <w:ind w:left="124" w:right="0"/>
              <w:jc w:val="left"/>
              <w:rPr>
                <w:rFonts w:ascii="Times New Roman" w:hAnsi="Times New Roman" w:cs="Times New Roman" w:eastAsia="Times New Roman" w:hint="default"/>
                <w:sz w:val="18"/>
                <w:szCs w:val="18"/>
              </w:rPr>
            </w:pPr>
            <w:r>
              <w:rPr>
                <w:rFonts w:ascii="Times New Roman"/>
                <w:sz w:val="18"/>
              </w:rPr>
              <w:t>845.31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734,062</w:t>
            </w:r>
          </w:p>
          <w:p>
            <w:pPr>
              <w:pStyle w:val="TableParagraph"/>
              <w:spacing w:line="240" w:lineRule="auto" w:before="34"/>
              <w:ind w:left="92" w:right="0"/>
              <w:jc w:val="left"/>
              <w:rPr>
                <w:rFonts w:ascii="Times New Roman" w:hAnsi="Times New Roman" w:cs="Times New Roman" w:eastAsia="Times New Roman" w:hint="default"/>
                <w:sz w:val="18"/>
                <w:szCs w:val="18"/>
              </w:rPr>
            </w:pPr>
            <w:r>
              <w:rPr>
                <w:rFonts w:ascii="Times New Roman"/>
                <w:sz w:val="18"/>
              </w:rPr>
              <w:t>,119.22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母公司所有者权益变动表" w:id="154"/>
      <w:bookmarkEnd w:id="15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5"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9"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84"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9"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24,948,82</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3.31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 w:right="0"/>
              <w:jc w:val="left"/>
              <w:rPr>
                <w:rFonts w:ascii="Times New Roman" w:hAnsi="Times New Roman" w:cs="Times New Roman" w:eastAsia="Times New Roman" w:hint="default"/>
                <w:sz w:val="18"/>
                <w:szCs w:val="18"/>
              </w:rPr>
            </w:pPr>
            <w:r>
              <w:rPr>
                <w:rFonts w:ascii="Times New Roman"/>
                <w:sz w:val="18"/>
              </w:rPr>
              <w:t>135,532</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,784.06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 w:right="0"/>
              <w:jc w:val="left"/>
              <w:rPr>
                <w:rFonts w:ascii="Times New Roman" w:hAnsi="Times New Roman" w:cs="Times New Roman" w:eastAsia="Times New Roman" w:hint="default"/>
                <w:sz w:val="18"/>
                <w:szCs w:val="18"/>
              </w:rPr>
            </w:pPr>
            <w:r>
              <w:rPr>
                <w:rFonts w:ascii="Times New Roman"/>
                <w:sz w:val="18"/>
              </w:rPr>
              <w:t>639,747,8</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34.67</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24,948,82</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3.31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135,532</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,784.06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639,747,8</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34.67</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2,918,061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18,222,</w:t>
            </w:r>
          </w:p>
          <w:p>
            <w:pPr>
              <w:pStyle w:val="TableParagraph"/>
              <w:spacing w:line="240" w:lineRule="auto" w:before="34"/>
              <w:ind w:left="148" w:right="0"/>
              <w:jc w:val="left"/>
              <w:rPr>
                <w:rFonts w:ascii="Times New Roman" w:hAnsi="Times New Roman" w:cs="Times New Roman" w:eastAsia="Times New Roman" w:hint="default"/>
                <w:sz w:val="18"/>
                <w:szCs w:val="18"/>
              </w:rPr>
            </w:pPr>
            <w:r>
              <w:rPr>
                <w:rFonts w:ascii="Times New Roman"/>
                <w:sz w:val="18"/>
              </w:rPr>
              <w:t>551.60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21,140,61</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2.89</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sz w:val="18"/>
              </w:rPr>
              <w:t>29,180,</w:t>
            </w:r>
          </w:p>
          <w:p>
            <w:pPr>
              <w:pStyle w:val="TableParagraph"/>
              <w:spacing w:line="240" w:lineRule="auto" w:before="34"/>
              <w:ind w:left="148" w:right="0"/>
              <w:jc w:val="left"/>
              <w:rPr>
                <w:rFonts w:ascii="Times New Roman" w:hAnsi="Times New Roman" w:cs="Times New Roman" w:eastAsia="Times New Roman" w:hint="default"/>
                <w:sz w:val="18"/>
                <w:szCs w:val="18"/>
              </w:rPr>
            </w:pPr>
            <w:r>
              <w:rPr>
                <w:rFonts w:ascii="Times New Roman"/>
                <w:sz w:val="18"/>
              </w:rPr>
              <w:t>612.89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29,180,61</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2.89</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2,918,061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-10,958,</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061.29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-8,040,00</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2,918,061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-2,918,0</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61.29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center"/>
              <w:rPr>
                <w:rFonts w:ascii="Times New Roman" w:hAnsi="Times New Roman" w:cs="Times New Roman" w:eastAsia="Times New Roman" w:hint="default"/>
                <w:sz w:val="18"/>
                <w:szCs w:val="18"/>
              </w:rPr>
            </w:pPr>
            <w:r>
              <w:rPr>
                <w:rFonts w:ascii="Times New Roman"/>
                <w:sz w:val="18"/>
              </w:rPr>
              <w:t>-8,040,0</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 w:right="0"/>
              <w:jc w:val="left"/>
              <w:rPr>
                <w:rFonts w:ascii="Times New Roman" w:hAnsi="Times New Roman" w:cs="Times New Roman" w:eastAsia="Times New Roman" w:hint="default"/>
                <w:sz w:val="18"/>
                <w:szCs w:val="18"/>
              </w:rPr>
            </w:pPr>
            <w:r>
              <w:rPr>
                <w:rFonts w:ascii="Times New Roman"/>
                <w:sz w:val="18"/>
              </w:rPr>
              <w:t>-8,040,00</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27,866,88</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4.60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153,755</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,335.66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660,888,4</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47.56</w:t>
            </w: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left"/>
      </w:pPr>
      <w:r>
        <w:rPr/>
        <w:t>上期金额</w:t>
      </w:r>
    </w:p>
    <w:p>
      <w:pPr>
        <w:spacing w:line="240" w:lineRule="auto" w:before="10"/>
        <w:rPr>
          <w:rFonts w:ascii="宋体" w:hAnsi="宋体" w:cs="宋体" w:eastAsia="宋体" w:hint="default"/>
          <w:sz w:val="11"/>
          <w:szCs w:val="11"/>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4"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4"/>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4"/>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4"/>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4"/>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10"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8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70"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48" w:space="0" w:color="D2D2D2"/>
              <w:right w:val="single" w:sz="10" w:space="0" w:color="D2D2D2"/>
            </w:tcBorders>
          </w:tcPr>
          <w:p>
            <w:pPr>
              <w:pStyle w:val="TableParagraph"/>
              <w:spacing w:line="240" w:lineRule="auto" w:before="81"/>
              <w:ind w:right="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w w:val="95"/>
                <w:sz w:val="18"/>
                <w:szCs w:val="18"/>
                <w:shd w:fill="D2D2D2" w:color="auto" w:val="clear"/>
              </w:rPr>
              <w:t>一、上年期末余额</w:t>
            </w:r>
            <w:r>
              <w:rPr>
                <w:rFonts w:ascii="宋体" w:hAnsi="宋体" w:cs="宋体" w:eastAsia="宋体" w:hint="default"/>
                <w:spacing w:val="-7"/>
                <w:w w:val="95"/>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3"/>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22,152,95</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123,770</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,000.78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625,189,1</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86.58</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8" w:space="0" w:color="D2D2D2"/>
              <w:left w:val="single" w:sz="13" w:space="0" w:color="D2D2D2"/>
              <w:bottom w:val="single" w:sz="52" w:space="0" w:color="D2D2D2"/>
              <w:right w:val="single" w:sz="10" w:space="0" w:color="D2D2D2"/>
            </w:tcBorders>
          </w:tcPr>
          <w:p>
            <w:pPr>
              <w:pStyle w:val="TableParagraph"/>
              <w:spacing w:line="240" w:lineRule="auto" w:before="86"/>
              <w:ind w:right="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w w:val="95"/>
                <w:sz w:val="18"/>
                <w:szCs w:val="18"/>
                <w:shd w:fill="D2D2D2" w:color="auto" w:val="clear"/>
              </w:rPr>
              <w:t>二、本年期初余额</w:t>
            </w:r>
            <w:r>
              <w:rPr>
                <w:rFonts w:ascii="宋体" w:hAnsi="宋体" w:cs="宋体" w:eastAsia="宋体" w:hint="default"/>
                <w:spacing w:val="-7"/>
                <w:w w:val="95"/>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3"/>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22,152,95</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123,770</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,000.78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625,189,1</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86.58</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11,762,</w:t>
            </w:r>
          </w:p>
          <w:p>
            <w:pPr>
              <w:pStyle w:val="TableParagraph"/>
              <w:spacing w:line="240" w:lineRule="auto" w:before="33"/>
              <w:ind w:left="148" w:right="0"/>
              <w:jc w:val="left"/>
              <w:rPr>
                <w:rFonts w:ascii="Times New Roman" w:hAnsi="Times New Roman" w:cs="Times New Roman" w:eastAsia="Times New Roman" w:hint="default"/>
                <w:sz w:val="18"/>
                <w:szCs w:val="18"/>
              </w:rPr>
            </w:pPr>
            <w:r>
              <w:rPr>
                <w:rFonts w:ascii="Times New Roman"/>
                <w:sz w:val="18"/>
              </w:rPr>
              <w:t>783.28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14,558,64</w:t>
            </w:r>
          </w:p>
          <w:p>
            <w:pPr>
              <w:pStyle w:val="TableParagraph"/>
              <w:spacing w:line="240" w:lineRule="auto" w:before="33"/>
              <w:ind w:left="433" w:right="0"/>
              <w:jc w:val="left"/>
              <w:rPr>
                <w:rFonts w:ascii="Times New Roman" w:hAnsi="Times New Roman" w:cs="Times New Roman" w:eastAsia="Times New Roman" w:hint="default"/>
                <w:sz w:val="18"/>
                <w:szCs w:val="18"/>
              </w:rPr>
            </w:pPr>
            <w:r>
              <w:rPr>
                <w:rFonts w:ascii="Times New Roman"/>
                <w:sz w:val="18"/>
              </w:rPr>
              <w:t>8.09</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3"/>
              <w:ind w:left="148" w:right="0"/>
              <w:jc w:val="left"/>
              <w:rPr>
                <w:rFonts w:ascii="Times New Roman" w:hAnsi="Times New Roman" w:cs="Times New Roman" w:eastAsia="Times New Roman" w:hint="default"/>
                <w:sz w:val="18"/>
                <w:szCs w:val="18"/>
              </w:rPr>
            </w:pPr>
            <w:r>
              <w:rPr>
                <w:rFonts w:ascii="Times New Roman"/>
                <w:sz w:val="18"/>
              </w:rPr>
              <w:t>648.09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3"/>
              <w:ind w:left="433" w:right="0"/>
              <w:jc w:val="left"/>
              <w:rPr>
                <w:rFonts w:ascii="Times New Roman" w:hAnsi="Times New Roman" w:cs="Times New Roman" w:eastAsia="Times New Roman" w:hint="default"/>
                <w:sz w:val="18"/>
                <w:szCs w:val="18"/>
              </w:rPr>
            </w:pPr>
            <w:r>
              <w:rPr>
                <w:rFonts w:ascii="Times New Roman"/>
                <w:sz w:val="18"/>
              </w:rPr>
              <w:t>8.09</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-16,195,</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864.81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64.81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24,948,82</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3.31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135,532</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,784.06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639,747,8</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34.67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55"/>
      <w:bookmarkEnd w:id="155"/>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0" w:firstLine="360"/>
        <w:jc w:val="right"/>
      </w:pPr>
      <w:r>
        <w:rPr>
          <w:spacing w:val="-1"/>
        </w:rPr>
        <w:t>江苏丰东热技术股份有限公司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为境内公开发行</w:t>
      </w:r>
      <w:r>
        <w:rPr>
          <w:rFonts w:ascii="Times New Roman" w:hAnsi="Times New Roman" w:cs="Times New Roman" w:eastAsia="Times New Roman" w:hint="default"/>
          <w:spacing w:val="-1"/>
        </w:rPr>
        <w:t>A</w:t>
      </w:r>
      <w:r>
        <w:rPr>
          <w:spacing w:val="-1"/>
        </w:rPr>
        <w:t>股股票并在深圳证券交易所上市的股份有限公司。</w:t>
      </w:r>
      <w:r>
        <w:rPr/>
        <w:t> </w:t>
      </w:r>
      <w:r>
        <w:rPr>
          <w:spacing w:val="-5"/>
        </w:rPr>
        <w:t>经中国证券监督管理委员会《关于核准江苏丰东热技术股份有限公司首次公开发行股票的批复》（证监许可［</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1757</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w:t>
      </w:r>
      <w:r>
        <w:rPr>
          <w:spacing w:val="-1"/>
        </w:rPr>
        <w:t>的核准，公司向社会公开发行人民币普通股股票</w:t>
      </w:r>
      <w:r>
        <w:rPr>
          <w:rFonts w:ascii="Times New Roman" w:hAnsi="Times New Roman" w:cs="Times New Roman" w:eastAsia="Times New Roman" w:hint="default"/>
          <w:spacing w:val="-1"/>
        </w:rPr>
        <w:t>3,400</w:t>
      </w:r>
      <w:r>
        <w:rPr>
          <w:spacing w:val="-1"/>
        </w:rPr>
        <w:t>万股，每股面值壹元，每股发行价为人民币壹拾贰元，募集资金总</w:t>
      </w:r>
    </w:p>
    <w:p>
      <w:pPr>
        <w:pStyle w:val="BodyText"/>
        <w:spacing w:line="233" w:lineRule="exact"/>
        <w:ind w:left="0" w:right="1050"/>
        <w:jc w:val="right"/>
      </w:pPr>
      <w:r>
        <w:rPr/>
        <w:t>额为人民币肆亿零捌佰万元整。经深圳证券交易所《关于江苏丰东热技术股份有限公司人民币普通股股票上市交易的通知》</w:t>
      </w:r>
    </w:p>
    <w:p>
      <w:pPr>
        <w:pStyle w:val="BodyText"/>
        <w:spacing w:line="240" w:lineRule="auto" w:before="76"/>
        <w:ind w:left="0" w:right="1159"/>
        <w:jc w:val="right"/>
      </w:pPr>
      <w:r>
        <w:rPr>
          <w:w w:val="95"/>
        </w:rPr>
        <w:t>（深证上［</w:t>
      </w:r>
      <w:r>
        <w:rPr>
          <w:rFonts w:ascii="Times New Roman" w:hAnsi="Times New Roman" w:cs="Times New Roman" w:eastAsia="Times New Roman" w:hint="default"/>
          <w:w w:val="95"/>
        </w:rPr>
        <w:t>2010</w:t>
      </w:r>
      <w:r>
        <w:rPr>
          <w:w w:val="95"/>
        </w:rPr>
        <w:t>］</w:t>
      </w:r>
      <w:r>
        <w:rPr>
          <w:rFonts w:ascii="Times New Roman" w:hAnsi="Times New Roman" w:cs="Times New Roman" w:eastAsia="Times New Roman" w:hint="default"/>
          <w:w w:val="95"/>
        </w:rPr>
        <w:t>429</w:t>
      </w:r>
      <w:r>
        <w:rPr>
          <w:w w:val="95"/>
        </w:rPr>
        <w:t>号）同意，本公司发行的人民币普通股股票在深圳证券交易所上市，证券简称</w:t>
      </w:r>
      <w:r>
        <w:rPr>
          <w:rFonts w:ascii="Times New Roman" w:hAnsi="Times New Roman" w:cs="Times New Roman" w:eastAsia="Times New Roman" w:hint="default"/>
          <w:w w:val="95"/>
        </w:rPr>
        <w:t>“</w:t>
      </w:r>
      <w:r>
        <w:rPr>
          <w:w w:val="95"/>
        </w:rPr>
        <w:t>丰东股份</w:t>
      </w:r>
      <w:r>
        <w:rPr>
          <w:rFonts w:ascii="Times New Roman" w:hAnsi="Times New Roman" w:cs="Times New Roman" w:eastAsia="Times New Roman" w:hint="default"/>
          <w:w w:val="95"/>
        </w:rPr>
        <w:t>”</w:t>
      </w:r>
      <w:r>
        <w:rPr>
          <w:w w:val="95"/>
        </w:rPr>
        <w:t>，股票代码</w:t>
      </w:r>
    </w:p>
    <w:p>
      <w:pPr>
        <w:pStyle w:val="BodyText"/>
        <w:spacing w:line="240" w:lineRule="auto" w:before="64"/>
        <w:ind w:left="153" w:right="0"/>
        <w:jc w:val="left"/>
      </w:pPr>
      <w:r>
        <w:rPr>
          <w:rFonts w:ascii="Times New Roman" w:hAnsi="Times New Roman" w:cs="Times New Roman" w:eastAsia="Times New Roman" w:hint="default"/>
        </w:rPr>
        <w:t>“002530”</w:t>
      </w:r>
      <w:r>
        <w:rPr/>
        <w:t>。</w:t>
      </w:r>
    </w:p>
    <w:p>
      <w:pPr>
        <w:pStyle w:val="BodyText"/>
        <w:spacing w:line="307" w:lineRule="auto" w:before="101"/>
        <w:ind w:left="153" w:right="1031" w:firstLine="360"/>
        <w:jc w:val="left"/>
      </w:pPr>
      <w:r>
        <w:rPr>
          <w:spacing w:val="-2"/>
        </w:rPr>
        <w:t>根据财政部、国资委、证监会和全国社保基金理事会联合印发的《境内证券市场转持部分国有股充实全国社会保障基金</w:t>
      </w:r>
      <w:r>
        <w:rPr/>
        <w:t> </w:t>
      </w:r>
      <w:r>
        <w:rPr>
          <w:spacing w:val="-2"/>
        </w:rPr>
        <w:t>实施办法》文件规定及江苏省国资委《关于同意江苏丰东热技术股份有限公司国有股转持的批复》（苏国资复</w:t>
      </w:r>
      <w:r>
        <w:rPr>
          <w:rFonts w:ascii="Times New Roman" w:hAnsi="Times New Roman" w:cs="Times New Roman" w:eastAsia="Times New Roman" w:hint="default"/>
          <w:spacing w:val="-2"/>
        </w:rPr>
        <w:t>[2010]51</w:t>
      </w:r>
      <w:r>
        <w:rPr>
          <w:spacing w:val="-2"/>
        </w:rPr>
        <w:t>号），</w:t>
      </w:r>
      <w:r>
        <w:rPr>
          <w:spacing w:val="-87"/>
        </w:rPr>
        <w:t> </w:t>
      </w:r>
      <w:r>
        <w:rPr>
          <w:spacing w:val="-87"/>
        </w:rPr>
      </w:r>
      <w:r>
        <w:rPr/>
        <w:t>江苏高科技投资集团有限公司将持有的本公司</w:t>
      </w:r>
      <w:r>
        <w:rPr>
          <w:rFonts w:ascii="Times New Roman" w:hAnsi="Times New Roman" w:cs="Times New Roman" w:eastAsia="Times New Roman" w:hint="default"/>
        </w:rPr>
        <w:t>340</w:t>
      </w:r>
      <w:r>
        <w:rPr/>
        <w:t>万股股份（按本次发行</w:t>
      </w:r>
      <w:r>
        <w:rPr>
          <w:rFonts w:ascii="Times New Roman" w:hAnsi="Times New Roman" w:cs="Times New Roman" w:eastAsia="Times New Roman" w:hint="default"/>
        </w:rPr>
        <w:t>3,400</w:t>
      </w:r>
      <w:r>
        <w:rPr/>
        <w:t>万股的</w:t>
      </w:r>
      <w:r>
        <w:rPr>
          <w:rFonts w:ascii="Times New Roman" w:hAnsi="Times New Roman" w:cs="Times New Roman" w:eastAsia="Times New Roman" w:hint="default"/>
        </w:rPr>
        <w:t>10%</w:t>
      </w:r>
      <w:r>
        <w:rPr/>
        <w:t>计算）划转给全国社会保障基金理 事会。</w:t>
      </w:r>
    </w:p>
    <w:p>
      <w:pPr>
        <w:pStyle w:val="BodyText"/>
        <w:spacing w:line="300" w:lineRule="auto" w:before="65"/>
        <w:ind w:left="153" w:right="1109" w:firstLine="360"/>
        <w:jc w:val="both"/>
      </w:pPr>
      <w:r>
        <w:rPr/>
        <w:t>根据中华人民共和国财政部《关于回拨江苏丰东热技术股份有限公司部分国有股有关问题的通知》（财企</w:t>
      </w:r>
      <w:r>
        <w:rPr>
          <w:rFonts w:ascii="Times New Roman" w:hAnsi="Times New Roman" w:cs="Times New Roman" w:eastAsia="Times New Roman" w:hint="default"/>
        </w:rPr>
        <w:t>[2011]43</w:t>
      </w:r>
      <w:r>
        <w:rPr/>
        <w:t>号） </w:t>
      </w:r>
      <w:r>
        <w:rPr>
          <w:spacing w:val="-2"/>
        </w:rPr>
        <w:t>文件规定，江苏高科技投资集团有限公司原划转给全国社会保障基金理事会持有的本公司</w:t>
      </w:r>
      <w:r>
        <w:rPr>
          <w:rFonts w:ascii="Times New Roman" w:hAnsi="Times New Roman" w:cs="Times New Roman" w:eastAsia="Times New Roman" w:hint="default"/>
          <w:spacing w:val="-2"/>
        </w:rPr>
        <w:t>340</w:t>
      </w:r>
      <w:r>
        <w:rPr>
          <w:spacing w:val="-2"/>
        </w:rPr>
        <w:t>万股限售流通股于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rFonts w:ascii="Times New Roman" w:hAnsi="Times New Roman" w:cs="Times New Roman" w:eastAsia="Times New Roman" w:hint="default"/>
          <w:spacing w:val="-9"/>
        </w:rPr>
        <w:t> </w:t>
      </w:r>
      <w:r>
        <w:rPr/>
        <w:t>日回拨到江苏高科技投资集团有限公司的证券账户中。</w:t>
      </w:r>
    </w:p>
    <w:p>
      <w:pPr>
        <w:pStyle w:val="BodyText"/>
        <w:spacing w:line="240" w:lineRule="auto" w:before="71"/>
        <w:ind w:right="0"/>
        <w:jc w:val="left"/>
      </w:pPr>
      <w:r>
        <w:rPr/>
        <w:t>根据公司</w:t>
      </w:r>
      <w:r>
        <w:rPr>
          <w:rFonts w:ascii="Times New Roman" w:hAnsi="Times New Roman" w:cs="Times New Roman" w:eastAsia="Times New Roman" w:hint="default"/>
        </w:rPr>
        <w:t>2011</w:t>
      </w:r>
      <w:r>
        <w:rPr/>
        <w:t>年年度股东大会决议，本公司实施资本公积转增注册资本</w:t>
      </w:r>
      <w:r>
        <w:rPr>
          <w:rFonts w:ascii="Times New Roman" w:hAnsi="Times New Roman" w:cs="Times New Roman" w:eastAsia="Times New Roman" w:hint="default"/>
        </w:rPr>
        <w:t>134,000,000</w:t>
      </w:r>
      <w:r>
        <w:rPr/>
        <w:t>元，转增基准日为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p>
    <w:p>
      <w:pPr>
        <w:spacing w:after="0" w:line="240" w:lineRule="auto"/>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left="514" w:right="6972" w:hanging="360"/>
        <w:jc w:val="left"/>
      </w:pPr>
      <w:r>
        <w:rPr/>
        <w:t>转增后本公司注册资本为人民币</w:t>
      </w:r>
      <w:r>
        <w:rPr>
          <w:rFonts w:ascii="Times New Roman" w:hAnsi="Times New Roman" w:cs="Times New Roman" w:eastAsia="Times New Roman" w:hint="default"/>
        </w:rPr>
        <w:t>268,000,000</w:t>
      </w:r>
      <w:r>
        <w:rPr/>
        <w:t>元。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日的公司股权结构</w:t>
      </w:r>
    </w:p>
    <w:p>
      <w:pPr>
        <w:spacing w:line="240" w:lineRule="auto" w:before="1"/>
        <w:rPr>
          <w:rFonts w:ascii="宋体" w:hAnsi="宋体" w:cs="宋体" w:eastAsia="宋体" w:hint="default"/>
          <w:sz w:val="10"/>
          <w:szCs w:val="10"/>
        </w:rPr>
      </w:pPr>
    </w:p>
    <w:tbl>
      <w:tblPr>
        <w:tblW w:w="0" w:type="auto"/>
        <w:jc w:val="left"/>
        <w:tblInd w:w="474" w:type="dxa"/>
        <w:tblLayout w:type="fixed"/>
        <w:tblCellMar>
          <w:top w:w="0" w:type="dxa"/>
          <w:left w:w="0" w:type="dxa"/>
          <w:bottom w:w="0" w:type="dxa"/>
          <w:right w:w="0" w:type="dxa"/>
        </w:tblCellMar>
        <w:tblLook w:val="01E0"/>
      </w:tblPr>
      <w:tblGrid>
        <w:gridCol w:w="1894"/>
        <w:gridCol w:w="2211"/>
        <w:gridCol w:w="1782"/>
        <w:gridCol w:w="1915"/>
        <w:gridCol w:w="1197"/>
      </w:tblGrid>
      <w:tr>
        <w:trPr>
          <w:trHeight w:val="337" w:hRule="exact"/>
        </w:trPr>
        <w:tc>
          <w:tcPr>
            <w:tcW w:w="1894"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1"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6"/>
              <w:ind w:left="623" w:right="0"/>
              <w:jc w:val="left"/>
              <w:rPr>
                <w:rFonts w:ascii="宋体" w:hAnsi="宋体" w:cs="宋体" w:eastAsia="宋体" w:hint="default"/>
                <w:sz w:val="18"/>
                <w:szCs w:val="18"/>
              </w:rPr>
            </w:pPr>
            <w:r>
              <w:rPr>
                <w:rFonts w:ascii="宋体" w:hAnsi="宋体" w:cs="宋体" w:eastAsia="宋体" w:hint="default"/>
                <w:sz w:val="18"/>
                <w:szCs w:val="18"/>
              </w:rPr>
              <w:t>无限售流通股</w:t>
            </w:r>
          </w:p>
        </w:tc>
        <w:tc>
          <w:tcPr>
            <w:tcW w:w="1782"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6"/>
              <w:ind w:right="328"/>
              <w:jc w:val="center"/>
              <w:rPr>
                <w:rFonts w:ascii="宋体" w:hAnsi="宋体" w:cs="宋体" w:eastAsia="宋体" w:hint="default"/>
                <w:sz w:val="18"/>
                <w:szCs w:val="18"/>
              </w:rPr>
            </w:pPr>
            <w:r>
              <w:rPr>
                <w:rFonts w:ascii="宋体" w:hAnsi="宋体" w:cs="宋体" w:eastAsia="宋体" w:hint="default"/>
                <w:sz w:val="18"/>
                <w:szCs w:val="18"/>
              </w:rPr>
              <w:t>限售流通股</w:t>
            </w:r>
          </w:p>
        </w:tc>
        <w:tc>
          <w:tcPr>
            <w:tcW w:w="1915"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6"/>
              <w:ind w:left="6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7"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6"/>
              <w:ind w:left="2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41" w:hRule="exact"/>
        </w:trPr>
        <w:tc>
          <w:tcPr>
            <w:tcW w:w="1894"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2211"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273"/>
              <w:jc w:val="right"/>
              <w:rPr>
                <w:rFonts w:ascii="Times New Roman" w:hAnsi="Times New Roman" w:cs="Times New Roman" w:eastAsia="Times New Roman" w:hint="default"/>
                <w:sz w:val="18"/>
                <w:szCs w:val="18"/>
              </w:rPr>
            </w:pPr>
            <w:r>
              <w:rPr>
                <w:rFonts w:ascii="Times New Roman"/>
                <w:sz w:val="18"/>
              </w:rPr>
              <w:t>2,788,200</w:t>
            </w:r>
          </w:p>
        </w:tc>
        <w:tc>
          <w:tcPr>
            <w:tcW w:w="1782"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39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5"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285"/>
              <w:jc w:val="right"/>
              <w:rPr>
                <w:rFonts w:ascii="Times New Roman" w:hAnsi="Times New Roman" w:cs="Times New Roman" w:eastAsia="Times New Roman" w:hint="default"/>
                <w:sz w:val="18"/>
                <w:szCs w:val="18"/>
              </w:rPr>
            </w:pPr>
            <w:r>
              <w:rPr>
                <w:rFonts w:ascii="Times New Roman"/>
                <w:sz w:val="18"/>
              </w:rPr>
              <w:t>2,788,200</w:t>
            </w:r>
          </w:p>
        </w:tc>
        <w:tc>
          <w:tcPr>
            <w:tcW w:w="1197"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1.04</w:t>
            </w:r>
          </w:p>
        </w:tc>
      </w:tr>
      <w:tr>
        <w:trPr>
          <w:trHeight w:val="332"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3"/>
              <w:jc w:val="right"/>
              <w:rPr>
                <w:rFonts w:ascii="Times New Roman" w:hAnsi="Times New Roman" w:cs="Times New Roman" w:eastAsia="Times New Roman" w:hint="default"/>
                <w:sz w:val="18"/>
                <w:szCs w:val="18"/>
              </w:rPr>
            </w:pPr>
            <w:r>
              <w:rPr>
                <w:rFonts w:ascii="Times New Roman"/>
                <w:sz w:val="18"/>
              </w:rPr>
              <w:t>99,968,258</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5"/>
              <w:jc w:val="right"/>
              <w:rPr>
                <w:rFonts w:ascii="Times New Roman" w:hAnsi="Times New Roman" w:cs="Times New Roman" w:eastAsia="Times New Roman" w:hint="default"/>
                <w:sz w:val="18"/>
                <w:szCs w:val="18"/>
              </w:rPr>
            </w:pPr>
            <w:r>
              <w:rPr>
                <w:rFonts w:ascii="Times New Roman"/>
                <w:sz w:val="18"/>
              </w:rPr>
              <w:t>99,968,258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37.30</w:t>
            </w:r>
          </w:p>
        </w:tc>
      </w:tr>
      <w:tr>
        <w:trPr>
          <w:trHeight w:val="332"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3"/>
              <w:jc w:val="right"/>
              <w:rPr>
                <w:rFonts w:ascii="Times New Roman" w:hAnsi="Times New Roman" w:cs="Times New Roman" w:eastAsia="Times New Roman" w:hint="default"/>
                <w:sz w:val="18"/>
                <w:szCs w:val="18"/>
              </w:rPr>
            </w:pPr>
            <w:r>
              <w:rPr>
                <w:rFonts w:ascii="Times New Roman"/>
                <w:sz w:val="18"/>
              </w:rPr>
              <w:t>82,020,632</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5"/>
              <w:jc w:val="right"/>
              <w:rPr>
                <w:rFonts w:ascii="Times New Roman" w:hAnsi="Times New Roman" w:cs="Times New Roman" w:eastAsia="Times New Roman" w:hint="default"/>
                <w:sz w:val="18"/>
                <w:szCs w:val="18"/>
              </w:rPr>
            </w:pPr>
            <w:r>
              <w:rPr>
                <w:rFonts w:ascii="Times New Roman"/>
                <w:sz w:val="18"/>
              </w:rPr>
              <w:t>82,020,632</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30.60</w:t>
            </w:r>
          </w:p>
        </w:tc>
      </w:tr>
      <w:tr>
        <w:trPr>
          <w:trHeight w:val="332"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3"/>
              <w:jc w:val="right"/>
              <w:rPr>
                <w:rFonts w:ascii="Times New Roman" w:hAnsi="Times New Roman" w:cs="Times New Roman" w:eastAsia="Times New Roman" w:hint="default"/>
                <w:sz w:val="18"/>
                <w:szCs w:val="18"/>
              </w:rPr>
            </w:pPr>
            <w:r>
              <w:rPr>
                <w:rFonts w:ascii="Times New Roman"/>
                <w:sz w:val="18"/>
              </w:rPr>
              <w:t>63,913,552</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5"/>
              <w:jc w:val="right"/>
              <w:rPr>
                <w:rFonts w:ascii="Times New Roman" w:hAnsi="Times New Roman" w:cs="Times New Roman" w:eastAsia="Times New Roman" w:hint="default"/>
                <w:sz w:val="18"/>
                <w:szCs w:val="18"/>
              </w:rPr>
            </w:pPr>
            <w:r>
              <w:rPr>
                <w:rFonts w:ascii="Times New Roman"/>
                <w:sz w:val="18"/>
              </w:rPr>
              <w:t>63,913,552</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23.85</w:t>
            </w:r>
          </w:p>
        </w:tc>
      </w:tr>
      <w:tr>
        <w:trPr>
          <w:trHeight w:val="332"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3"/>
              <w:jc w:val="right"/>
              <w:rPr>
                <w:rFonts w:ascii="Times New Roman" w:hAnsi="Times New Roman" w:cs="Times New Roman" w:eastAsia="Times New Roman" w:hint="default"/>
                <w:sz w:val="18"/>
                <w:szCs w:val="18"/>
              </w:rPr>
            </w:pPr>
            <w:r>
              <w:rPr>
                <w:rFonts w:ascii="Times New Roman"/>
                <w:sz w:val="18"/>
              </w:rPr>
              <w:t>450,700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4"/>
              <w:jc w:val="right"/>
              <w:rPr>
                <w:rFonts w:ascii="Times New Roman" w:hAnsi="Times New Roman" w:cs="Times New Roman" w:eastAsia="Times New Roman" w:hint="default"/>
                <w:sz w:val="18"/>
                <w:szCs w:val="18"/>
              </w:rPr>
            </w:pPr>
            <w:r>
              <w:rPr>
                <w:rFonts w:ascii="Times New Roman"/>
                <w:sz w:val="18"/>
              </w:rPr>
              <w:t>450,700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0.17</w:t>
            </w:r>
          </w:p>
        </w:tc>
      </w:tr>
      <w:tr>
        <w:trPr>
          <w:trHeight w:val="332"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基金、理财产品</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3"/>
              <w:jc w:val="right"/>
              <w:rPr>
                <w:rFonts w:ascii="Times New Roman" w:hAnsi="Times New Roman" w:cs="Times New Roman" w:eastAsia="Times New Roman" w:hint="default"/>
                <w:sz w:val="18"/>
                <w:szCs w:val="18"/>
              </w:rPr>
            </w:pPr>
            <w:r>
              <w:rPr>
                <w:rFonts w:ascii="Times New Roman"/>
                <w:sz w:val="18"/>
              </w:rPr>
              <w:t>18,858,658</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5"/>
              <w:jc w:val="right"/>
              <w:rPr>
                <w:rFonts w:ascii="Times New Roman" w:hAnsi="Times New Roman" w:cs="Times New Roman" w:eastAsia="Times New Roman" w:hint="default"/>
                <w:sz w:val="18"/>
                <w:szCs w:val="18"/>
              </w:rPr>
            </w:pPr>
            <w:r>
              <w:rPr>
                <w:rFonts w:ascii="Times New Roman"/>
                <w:sz w:val="18"/>
              </w:rPr>
              <w:t>18,858,658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7.04</w:t>
            </w:r>
          </w:p>
        </w:tc>
      </w:tr>
      <w:tr>
        <w:trPr>
          <w:trHeight w:val="339" w:hRule="exact"/>
        </w:trPr>
        <w:tc>
          <w:tcPr>
            <w:tcW w:w="1894"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1"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273"/>
              <w:jc w:val="right"/>
              <w:rPr>
                <w:rFonts w:ascii="Times New Roman" w:hAnsi="Times New Roman" w:cs="Times New Roman" w:eastAsia="Times New Roman" w:hint="default"/>
                <w:sz w:val="18"/>
                <w:szCs w:val="18"/>
              </w:rPr>
            </w:pPr>
            <w:r>
              <w:rPr>
                <w:rFonts w:ascii="Times New Roman"/>
                <w:sz w:val="18"/>
              </w:rPr>
              <w:t>268,000,000</w:t>
            </w:r>
          </w:p>
        </w:tc>
        <w:tc>
          <w:tcPr>
            <w:tcW w:w="1782"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3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5"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285"/>
              <w:jc w:val="right"/>
              <w:rPr>
                <w:rFonts w:ascii="Times New Roman" w:hAnsi="Times New Roman" w:cs="Times New Roman" w:eastAsia="Times New Roman" w:hint="default"/>
                <w:sz w:val="18"/>
                <w:szCs w:val="18"/>
              </w:rPr>
            </w:pPr>
            <w:r>
              <w:rPr>
                <w:rFonts w:ascii="Times New Roman"/>
                <w:sz w:val="18"/>
              </w:rPr>
              <w:t>268,000,000</w:t>
            </w:r>
          </w:p>
        </w:tc>
        <w:tc>
          <w:tcPr>
            <w:tcW w:w="1197"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宋体" w:hAnsi="宋体" w:cs="宋体" w:eastAsia="宋体" w:hint="default"/>
          <w:sz w:val="9"/>
          <w:szCs w:val="9"/>
        </w:rPr>
      </w:pPr>
    </w:p>
    <w:p>
      <w:pPr>
        <w:pStyle w:val="BodyText"/>
        <w:spacing w:line="316" w:lineRule="auto" w:before="44"/>
        <w:ind w:left="154" w:right="0" w:firstLine="290"/>
        <w:jc w:val="left"/>
      </w:pPr>
      <w:r>
        <w:rPr>
          <w:spacing w:val="-1"/>
        </w:rPr>
        <w:t>公司主要经营范围：开发、生产热处理设备及其辅助设备并销售本公司自产产品；承接金属零件的热处理加工业务；提</w:t>
      </w:r>
      <w:r>
        <w:rPr/>
        <w:t> 供热处理设备的保修维修服务；提供专业热处理技术咨询服务；设备租赁。</w:t>
      </w:r>
    </w:p>
    <w:p>
      <w:pPr>
        <w:pStyle w:val="BodyText"/>
        <w:spacing w:line="357" w:lineRule="auto" w:before="139"/>
        <w:ind w:right="6433"/>
        <w:jc w:val="left"/>
      </w:pPr>
      <w:r>
        <w:rPr/>
        <w:t>本年度合并财务报表范围 江苏丰东热技术股份有限公司 上海丰东热处理工程有限公司 青岛丰东热处理有限公司 江苏丰东热处理及表面改性工程技术研究有限公司 盐城丰东特种炉业有限公司 重庆丰东热处理工程有限公司 南京丰东热处理工程有限公司 天津丰东热处理有限公司 北京丰东建通工业炉科技有限公司 长春丰东热处理有限公司</w:t>
      </w:r>
    </w:p>
    <w:p>
      <w:pPr>
        <w:pStyle w:val="BodyText"/>
        <w:spacing w:line="360" w:lineRule="auto" w:before="28"/>
        <w:ind w:right="8053"/>
        <w:jc w:val="left"/>
      </w:pPr>
      <w:r>
        <w:rPr/>
        <w:t>潍坊丰东热处理有限公司 盐城丰东祺耀工业炉有限公司 广州鑫润丰东热处理有限公司</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四、财务报表的编制基础" w:id="156"/>
      <w:bookmarkEnd w:id="15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57"/>
      <w:bookmarkEnd w:id="15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36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基本准则》和其他各项会计准则的规定</w:t>
      </w:r>
      <w:r>
        <w:rPr/>
        <w:t> 进行确认和计量，在此基础上编制财务报表。</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持续经营" w:id="158"/>
      <w:bookmarkEnd w:id="15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18" w:firstLine="36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个月内，本公司持续经营能力良好，不存在导致对本公司持续经营能力产生重大怀</w:t>
      </w:r>
      <w:r>
        <w:rPr/>
        <w:t> 疑的因素。</w:t>
      </w:r>
    </w:p>
    <w:p>
      <w:pPr>
        <w:spacing w:after="0" w:line="300" w:lineRule="auto"/>
        <w:jc w:val="left"/>
        <w:sectPr>
          <w:pgSz w:w="11910" w:h="16840"/>
          <w:pgMar w:header="768"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0"/>
        <w:jc w:val="both"/>
        <w:rPr>
          <w:b w:val="0"/>
          <w:bCs w:val="0"/>
        </w:rPr>
      </w:pPr>
      <w:bookmarkStart w:name="五、重要会计政策及会计估计" w:id="159"/>
      <w:bookmarkEnd w:id="15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873"/>
        <w:jc w:val="left"/>
      </w:pPr>
      <w:r>
        <w:rPr/>
        <w:t>具体会计政策和会计估计提示：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60"/>
      <w:bookmarkEnd w:id="16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60"/>
        <w:jc w:val="both"/>
      </w:pPr>
      <w:r>
        <w:rPr>
          <w:spacing w:val="-2"/>
        </w:rPr>
        <w:t>本公司所编制的财务报表符合企业会计准则的要求，真实、完整地反映了本公司的财务状况、经营成果、所有者权益变</w:t>
      </w:r>
      <w:r>
        <w:rPr/>
        <w:t> 动和现金流量等有关信息。</w:t>
      </w:r>
    </w:p>
    <w:p>
      <w:pPr>
        <w:spacing w:line="240" w:lineRule="auto" w:before="7"/>
        <w:rPr>
          <w:rFonts w:ascii="宋体" w:hAnsi="宋体" w:cs="宋体" w:eastAsia="宋体" w:hint="default"/>
          <w:sz w:val="22"/>
          <w:szCs w:val="22"/>
        </w:rPr>
      </w:pPr>
    </w:p>
    <w:p>
      <w:pPr>
        <w:spacing w:line="547" w:lineRule="auto" w:before="0"/>
        <w:ind w:left="513" w:right="7153" w:firstLine="62"/>
        <w:jc w:val="left"/>
        <w:rPr>
          <w:rFonts w:ascii="宋体" w:hAnsi="宋体" w:cs="宋体" w:eastAsia="宋体" w:hint="default"/>
          <w:sz w:val="21"/>
          <w:szCs w:val="21"/>
        </w:rPr>
      </w:pPr>
      <w:bookmarkStart w:name="2、会计期间" w:id="161"/>
      <w:bookmarkEnd w:id="1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会计期间自公历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62"/>
      <w:bookmarkEnd w:id="16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记账本位币" w:id="163"/>
      <w:bookmarkEnd w:id="16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记账本位币为人民币。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64"/>
      <w:bookmarkEnd w:id="16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514" w:right="1032"/>
        <w:jc w:val="left"/>
      </w:pPr>
      <w:r>
        <w:rPr/>
        <w:t>（</w:t>
      </w:r>
      <w:r>
        <w:rPr>
          <w:rFonts w:ascii="Times New Roman" w:hAnsi="Times New Roman" w:cs="Times New Roman" w:eastAsia="Times New Roman" w:hint="default"/>
        </w:rPr>
        <w:t>1</w:t>
      </w:r>
      <w:r>
        <w:rPr/>
        <w:t>）同一控制下的企业合并 参与合并的企业在合并前后均受同一方或相同的多方最终控制且该控制并非暂时性的，认定为同一控制下的企业合并。 </w:t>
      </w:r>
      <w:r>
        <w:rPr>
          <w:spacing w:val="-2"/>
        </w:rPr>
        <w:t>合并方以支付现金、转让非现金资产或承担债务方式作为合并对价的，在合并日按照被合并方所有者权益在最终控制方</w:t>
      </w:r>
    </w:p>
    <w:p>
      <w:pPr>
        <w:pStyle w:val="BodyText"/>
        <w:spacing w:line="319" w:lineRule="auto"/>
        <w:ind w:left="154" w:right="1132"/>
        <w:jc w:val="both"/>
      </w:pPr>
      <w:r>
        <w:rPr>
          <w:spacing w:val="-2"/>
        </w:rPr>
        <w:t>合并财务报表中的账面价值的份额作为长期股权投资的初始投资成本。长期股权投资初始投资成本与支付的现金、转让的非</w:t>
      </w:r>
      <w:r>
        <w:rPr>
          <w:spacing w:val="-64"/>
        </w:rPr>
        <w:t> </w:t>
      </w:r>
      <w:r>
        <w:rPr>
          <w:spacing w:val="-64"/>
        </w:rPr>
      </w:r>
      <w:r>
        <w:rPr/>
        <w:t>现金资产以及所承担债务账面价值之间的差额，调整资本公积；资本公积不足冲减的，调整留存收益。</w:t>
      </w:r>
    </w:p>
    <w:p>
      <w:pPr>
        <w:pStyle w:val="BodyText"/>
        <w:spacing w:line="319" w:lineRule="auto" w:before="56"/>
        <w:ind w:left="154" w:right="113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t>值总额之间的差额，调整资本公积；资本公积不足冲减的，调整留存收益。</w:t>
      </w:r>
    </w:p>
    <w:p>
      <w:pPr>
        <w:pStyle w:val="BodyText"/>
        <w:spacing w:line="240" w:lineRule="auto" w:before="56"/>
        <w:ind w:left="514" w:right="0"/>
        <w:jc w:val="left"/>
      </w:pPr>
      <w:r>
        <w:rPr/>
        <w:t>合并方为企业合并发生的审计、法律服务、评估咨询等中介费用以及其他相关管理费用，于发生时计入当期损益。</w:t>
      </w:r>
    </w:p>
    <w:p>
      <w:pPr>
        <w:pStyle w:val="BodyText"/>
        <w:spacing w:line="348" w:lineRule="auto" w:before="116"/>
        <w:ind w:right="1118"/>
        <w:jc w:val="left"/>
      </w:pPr>
      <w:r>
        <w:rPr/>
        <w:t>（</w:t>
      </w:r>
      <w:r>
        <w:rPr>
          <w:rFonts w:ascii="Times New Roman" w:hAnsi="Times New Roman" w:cs="Times New Roman" w:eastAsia="Times New Roman" w:hint="default"/>
        </w:rPr>
        <w:t>2</w:t>
      </w:r>
      <w:r>
        <w:rPr/>
        <w:t>）非同一控制下的企业合并 参与合并的各方在合并前后不受同一方或相同的多方最终控制的，认定为非同一控制下的企业合并。 </w:t>
      </w:r>
      <w:r>
        <w:rPr>
          <w:spacing w:val="-2"/>
        </w:rPr>
        <w:t>购买方通过一次交换交易实现的企业合并，合并成本为购买方在购买日为取得对被购买方的控制权而付出的资产、发生</w:t>
      </w:r>
    </w:p>
    <w:p>
      <w:pPr>
        <w:pStyle w:val="BodyText"/>
        <w:spacing w:line="319" w:lineRule="auto"/>
        <w:ind w:left="153" w:right="1130"/>
        <w:jc w:val="both"/>
      </w:pPr>
      <w:r>
        <w:rPr>
          <w:spacing w:val="-2"/>
        </w:rPr>
        <w:t>或承担的负债以及发行的权益性证券的公允价值。通过多次交换交易分步实现的企业合并，合并成本为每一单项交易成本之</w:t>
      </w:r>
      <w:r>
        <w:rPr>
          <w:spacing w:val="-63"/>
        </w:rPr>
        <w:t> </w:t>
      </w:r>
      <w:r>
        <w:rPr>
          <w:spacing w:val="-63"/>
        </w:rPr>
      </w:r>
      <w:r>
        <w:rPr>
          <w:spacing w:val="-2"/>
        </w:rPr>
        <w:t>和。购买方为企业合并发生的审计、法律服务、评估咨询等中介费用以及其他相关管理费用，于发生时计入当期损益；购买</w:t>
      </w:r>
      <w:r>
        <w:rPr>
          <w:spacing w:val="-66"/>
        </w:rPr>
        <w:t> </w:t>
      </w:r>
      <w:r>
        <w:rPr>
          <w:spacing w:val="-66"/>
        </w:rPr>
      </w:r>
      <w:r>
        <w:rPr/>
        <w:t>方作为合并对价发行的权益性证券或债务性证券的交易费用，计入权益性证券或债务性证券的初始确认金额。</w:t>
      </w:r>
    </w:p>
    <w:p>
      <w:pPr>
        <w:pStyle w:val="BodyText"/>
        <w:spacing w:line="319" w:lineRule="auto" w:before="56"/>
        <w:ind w:left="153" w:right="1131" w:firstLine="360"/>
        <w:jc w:val="both"/>
      </w:pPr>
      <w:r>
        <w:rPr>
          <w:spacing w:val="-2"/>
        </w:rPr>
        <w:t>购买方的合并成本和购买方在合并中取得的可辨认净资产按购买日的公允价值计量。合并成本大于合并中取得的被购买</w:t>
      </w:r>
      <w:r>
        <w:rPr/>
        <w:t> </w:t>
      </w:r>
      <w:r>
        <w:rPr>
          <w:spacing w:val="-2"/>
        </w:rPr>
        <w:t>方于购买日可辨认净资产公允价值份额的差额，确认为商誉；合并成本小于合并中取得的被购买方可辨认净资产公允价值份</w:t>
      </w:r>
      <w:r>
        <w:rPr>
          <w:spacing w:val="-64"/>
        </w:rPr>
        <w:t> </w:t>
      </w:r>
      <w:r>
        <w:rPr>
          <w:spacing w:val="-64"/>
        </w:rPr>
      </w:r>
      <w:r>
        <w:rPr/>
        <w:t>额的差额，计入当期损益。</w:t>
      </w:r>
    </w:p>
    <w:p>
      <w:pPr>
        <w:pStyle w:val="BodyText"/>
        <w:spacing w:line="240" w:lineRule="auto" w:before="58"/>
        <w:ind w:right="0"/>
        <w:jc w:val="left"/>
      </w:pPr>
      <w:r>
        <w:rPr/>
        <w:t>（</w:t>
      </w:r>
      <w:r>
        <w:rPr>
          <w:rFonts w:ascii="Times New Roman" w:hAnsi="Times New Roman" w:cs="Times New Roman" w:eastAsia="Times New Roman" w:hint="default"/>
        </w:rPr>
        <w:t>3</w:t>
      </w:r>
      <w:r>
        <w:rPr/>
        <w:t>）因追加投资等原因能够对非同一控制下的被投资单位实施控制的</w:t>
      </w:r>
    </w:p>
    <w:p>
      <w:pPr>
        <w:spacing w:after="0" w:line="240" w:lineRule="auto"/>
        <w:jc w:val="left"/>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312" w:lineRule="auto" w:before="44"/>
        <w:ind w:left="153" w:right="0" w:firstLine="360"/>
        <w:jc w:val="left"/>
      </w:pPr>
      <w:r>
        <w:rPr>
          <w:spacing w:val="-4"/>
        </w:rPr>
        <w:t>在编制个别财务报表时，按照原持有的股权投资账面价值加上新增投资成本之和，作为改按成本法核算的初始投资成本。</w:t>
      </w:r>
      <w:r>
        <w:rPr/>
        <w:t> </w:t>
      </w:r>
      <w:r>
        <w:rPr>
          <w:spacing w:val="-2"/>
        </w:rPr>
        <w:t>购买日之前持有的股权投资因采用权益法核算而确认的其他综合收益，在处置该项投资时采用与被投资单位直接处置相关资</w:t>
      </w:r>
      <w:r>
        <w:rPr>
          <w:spacing w:val="-64"/>
        </w:rPr>
        <w:t> </w:t>
      </w:r>
      <w:r>
        <w:rPr>
          <w:spacing w:val="-64"/>
        </w:rPr>
      </w:r>
      <w:r>
        <w:rPr>
          <w:spacing w:val="-2"/>
        </w:rPr>
        <w:t>产或负债相同的基础进行会计处理。购买日之前持有的股权投资按照《企业会计准则第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w:t>
      </w:r>
      <w:r>
        <w:rPr>
          <w:spacing w:val="-64"/>
        </w:rPr>
        <w:t> </w:t>
      </w:r>
      <w:r>
        <w:rPr>
          <w:spacing w:val="-64"/>
        </w:rPr>
      </w:r>
      <w:r>
        <w:rPr/>
        <w:t>关规定进行会计处理的，原计入其他综合收益的累计公允价值变动在改按成本法核算时转入当期损益。</w:t>
      </w:r>
    </w:p>
    <w:p>
      <w:pPr>
        <w:pStyle w:val="BodyText"/>
        <w:spacing w:line="319" w:lineRule="auto" w:before="61"/>
        <w:ind w:left="153"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t>关的其他综合收益等应当转为购买日所属当期收益。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65"/>
      <w:bookmarkEnd w:id="16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3"/>
        <w:jc w:val="left"/>
      </w:pPr>
      <w:r>
        <w:rPr/>
        <w:t>（</w:t>
      </w:r>
      <w:r>
        <w:rPr>
          <w:rFonts w:ascii="Times New Roman" w:hAnsi="Times New Roman" w:cs="Times New Roman" w:eastAsia="Times New Roman" w:hint="default"/>
        </w:rPr>
        <w:t>1</w:t>
      </w:r>
      <w:r>
        <w:rPr/>
        <w:t>）合并范围 合并财务报表的合并范围包括本公司及子公司。合并财务报表的合并范围以控制为基础予以确定。</w:t>
      </w:r>
    </w:p>
    <w:p>
      <w:pPr>
        <w:pStyle w:val="BodyText"/>
        <w:spacing w:line="338" w:lineRule="auto" w:before="40"/>
        <w:ind w:left="514" w:right="0"/>
        <w:jc w:val="left"/>
      </w:pPr>
      <w:r>
        <w:rPr/>
        <w:t>（</w:t>
      </w:r>
      <w:r>
        <w:rPr>
          <w:rFonts w:ascii="Times New Roman" w:hAnsi="Times New Roman" w:cs="Times New Roman" w:eastAsia="Times New Roman" w:hint="default"/>
        </w:rPr>
        <w:t>2</w:t>
      </w:r>
      <w:r>
        <w:rPr/>
        <w:t>）控制的依据 </w:t>
      </w:r>
      <w:r>
        <w:rPr>
          <w:spacing w:val="-2"/>
        </w:rPr>
        <w:t>投资方拥有对被投资方的权力，通过参与被投资方的相关活动而享有可变回报，并且有能力运用对被投资方的权力影响</w:t>
      </w:r>
    </w:p>
    <w:p>
      <w:pPr>
        <w:pStyle w:val="BodyText"/>
        <w:spacing w:line="240" w:lineRule="auto" w:before="4"/>
        <w:ind w:left="154" w:right="0"/>
        <w:jc w:val="left"/>
      </w:pPr>
      <w:r>
        <w:rPr/>
        <w:t>其回报金额，视为投资方控制被投资方。相关活动，系为对被投资方的回报产生重大影响的活动。</w:t>
      </w:r>
    </w:p>
    <w:p>
      <w:pPr>
        <w:pStyle w:val="BodyText"/>
        <w:spacing w:line="338" w:lineRule="auto" w:before="117"/>
        <w:ind w:left="514" w:right="0"/>
        <w:jc w:val="left"/>
      </w:pPr>
      <w:r>
        <w:rPr/>
        <w:t>（</w:t>
      </w:r>
      <w:r>
        <w:rPr>
          <w:rFonts w:ascii="Times New Roman" w:hAnsi="Times New Roman" w:cs="Times New Roman" w:eastAsia="Times New Roman" w:hint="default"/>
        </w:rPr>
        <w:t>3</w:t>
      </w:r>
      <w:r>
        <w:rPr/>
        <w:t>）决策者和代理人 </w:t>
      </w:r>
      <w:r>
        <w:rPr>
          <w:spacing w:val="-2"/>
        </w:rPr>
        <w:t>代理人仅代表主要责任人行使决策权，不控制被投资方。投资方将被投资方相关活动的决策权委托给代理人的，将该决</w:t>
      </w:r>
    </w:p>
    <w:p>
      <w:pPr>
        <w:pStyle w:val="BodyText"/>
        <w:spacing w:line="360" w:lineRule="auto" w:before="4"/>
        <w:ind w:right="2833" w:hanging="360"/>
        <w:jc w:val="left"/>
      </w:pPr>
      <w:r>
        <w:rPr/>
        <w:t>策权视为自身直接持有。 在确定决策者是否为代理人时，公司综合考虑该决策者与被投资方以及其他投资方之间的关系。 </w:t>
      </w:r>
      <w:r>
        <w:rPr>
          <w:rFonts w:ascii="Times New Roman" w:hAnsi="Times New Roman" w:cs="Times New Roman" w:eastAsia="Times New Roman" w:hint="default"/>
        </w:rPr>
        <w:t>a.</w:t>
      </w:r>
      <w:r>
        <w:rPr/>
        <w:t>存在单独一方拥有实质性权利可以无条件罢免决策者的，该决策者为代理人。</w:t>
      </w:r>
    </w:p>
    <w:p>
      <w:pPr>
        <w:pStyle w:val="BodyText"/>
        <w:spacing w:line="302" w:lineRule="auto" w:before="1"/>
        <w:ind w:left="153" w:right="1178" w:firstLine="360"/>
        <w:jc w:val="left"/>
      </w:pPr>
      <w:r>
        <w:rPr>
          <w:rFonts w:ascii="Times New Roman" w:hAnsi="Times New Roman" w:cs="Times New Roman" w:eastAsia="Times New Roman" w:hint="default"/>
        </w:rPr>
        <w:t>b.</w:t>
      </w:r>
      <w:r>
        <w:rPr/>
        <w:t>除</w:t>
      </w:r>
      <w:r>
        <w:rPr>
          <w:rFonts w:ascii="Times New Roman" w:hAnsi="Times New Roman" w:cs="Times New Roman" w:eastAsia="Times New Roman" w:hint="default"/>
        </w:rPr>
        <w:t>a</w:t>
      </w:r>
      <w:r>
        <w:rPr/>
        <w:t>以外的情况下，综合考虑决策者对被投资方的决策权范围、其他方享有的实质性权利、决策者的薪酬水平、决策 者因持有被投资方中的其他权益所承担可变回报的风险等相关因素进行判断。</w:t>
      </w:r>
    </w:p>
    <w:p>
      <w:pPr>
        <w:pStyle w:val="BodyText"/>
        <w:spacing w:line="340" w:lineRule="auto" w:before="69"/>
        <w:ind w:left="514" w:right="6972"/>
        <w:jc w:val="left"/>
      </w:pPr>
      <w:r>
        <w:rPr/>
        <w:t>（</w:t>
      </w:r>
      <w:r>
        <w:rPr>
          <w:rFonts w:ascii="Times New Roman" w:hAnsi="Times New Roman" w:cs="Times New Roman" w:eastAsia="Times New Roman" w:hint="default"/>
        </w:rPr>
        <w:t>4</w:t>
      </w:r>
      <w:r>
        <w:rPr/>
        <w:t>）投资性主体 当同时满足下列条件时，视为投资性主体：</w:t>
      </w:r>
    </w:p>
    <w:p>
      <w:pPr>
        <w:pStyle w:val="BodyText"/>
        <w:spacing w:line="338" w:lineRule="auto" w:before="40"/>
        <w:ind w:left="514" w:right="3597"/>
        <w:jc w:val="left"/>
      </w:pPr>
      <w:r>
        <w:rPr>
          <w:rFonts w:ascii="Times New Roman" w:hAnsi="Times New Roman" w:cs="Times New Roman" w:eastAsia="Times New Roman" w:hint="default"/>
        </w:rPr>
        <w:t>a.</w:t>
      </w:r>
      <w:r>
        <w:rPr/>
        <w:t>该公司是以向投资者提供投资管理服务为目的，从一个或多个投资者处获取资金； </w:t>
      </w:r>
      <w:r>
        <w:rPr>
          <w:rFonts w:ascii="Times New Roman" w:hAnsi="Times New Roman" w:cs="Times New Roman" w:eastAsia="Times New Roman" w:hint="default"/>
        </w:rPr>
        <w:t>b.</w:t>
      </w:r>
      <w:r>
        <w:rPr/>
        <w:t>公司的唯一经营目的，是通过资本增值、投资收益或两者兼有而让投资者获得回报； </w:t>
      </w:r>
      <w:r>
        <w:rPr>
          <w:rFonts w:ascii="Times New Roman" w:hAnsi="Times New Roman" w:cs="Times New Roman" w:eastAsia="Times New Roman" w:hint="default"/>
        </w:rPr>
        <w:t>c.</w:t>
      </w:r>
      <w:r>
        <w:rPr/>
        <w:t>该公司按照公允价值对几乎所有投资的业绩进行考量和评价。 属于投资性主体的，通常情况下符合下列所有特征：</w:t>
      </w:r>
    </w:p>
    <w:p>
      <w:pPr>
        <w:pStyle w:val="BodyText"/>
        <w:spacing w:line="338" w:lineRule="auto" w:before="42"/>
        <w:ind w:left="514" w:right="6837"/>
        <w:jc w:val="left"/>
      </w:pPr>
      <w:r>
        <w:rPr>
          <w:rFonts w:ascii="Times New Roman" w:hAnsi="Times New Roman" w:cs="Times New Roman" w:eastAsia="Times New Roman" w:hint="default"/>
        </w:rPr>
        <w:t>a.</w:t>
      </w:r>
      <w:r>
        <w:rPr/>
        <w:t>拥有一个以上投资； </w:t>
      </w:r>
      <w:r>
        <w:rPr>
          <w:rFonts w:ascii="Times New Roman" w:hAnsi="Times New Roman" w:cs="Times New Roman" w:eastAsia="Times New Roman" w:hint="default"/>
        </w:rPr>
        <w:t>b.</w:t>
      </w:r>
      <w:r>
        <w:rPr/>
        <w:t>拥有一个以上投资者； </w:t>
      </w:r>
      <w:r>
        <w:rPr>
          <w:rFonts w:ascii="Times New Roman" w:hAnsi="Times New Roman" w:cs="Times New Roman" w:eastAsia="Times New Roman" w:hint="default"/>
        </w:rPr>
        <w:t>c.</w:t>
      </w:r>
      <w:r>
        <w:rPr/>
        <w:t>投资者不是该主体的关联方； </w:t>
      </w:r>
      <w:r>
        <w:rPr>
          <w:rFonts w:ascii="Times New Roman" w:hAnsi="Times New Roman" w:cs="Times New Roman" w:eastAsia="Times New Roman" w:hint="default"/>
        </w:rPr>
        <w:t>d.</w:t>
      </w:r>
      <w:r>
        <w:rPr/>
        <w:t>其所有者权益以股权或类似权益方式存在。</w:t>
      </w:r>
    </w:p>
    <w:p>
      <w:pPr>
        <w:pStyle w:val="BodyText"/>
        <w:spacing w:line="302" w:lineRule="auto" w:before="20"/>
        <w:ind w:left="153" w:right="1273" w:firstLine="360"/>
        <w:jc w:val="left"/>
      </w:pPr>
      <w:r>
        <w:rPr/>
        <w:t>如果母公司是投资性主体，则母公司仅将为其投资活动提供相关服务的子公司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纳入合并范围并编制合并财务报 表；其他子公司不予以合并，母公司对其他子公司的投资按照公允价值计量且其变动计入当期损益。</w:t>
      </w:r>
    </w:p>
    <w:p>
      <w:pPr>
        <w:pStyle w:val="BodyText"/>
        <w:spacing w:line="319" w:lineRule="auto" w:before="68"/>
        <w:ind w:left="153" w:right="0" w:firstLine="360"/>
        <w:jc w:val="left"/>
      </w:pPr>
      <w:r>
        <w:rPr>
          <w:spacing w:val="-2"/>
        </w:rPr>
        <w:t>投资性主体的母公司本身不是投资性主体，则将其控制的全部主体，包括那些通过投资性主体所间接控制的主体，纳入</w:t>
      </w:r>
      <w:r>
        <w:rPr/>
        <w:t> 合并财务报表范围。</w:t>
      </w:r>
    </w:p>
    <w:p>
      <w:pPr>
        <w:pStyle w:val="BodyText"/>
        <w:spacing w:line="338" w:lineRule="auto" w:before="56"/>
        <w:ind w:right="1118"/>
        <w:jc w:val="left"/>
      </w:pPr>
      <w:r>
        <w:rPr/>
        <w:t>（</w:t>
      </w:r>
      <w:r>
        <w:rPr>
          <w:rFonts w:ascii="Times New Roman" w:hAnsi="Times New Roman" w:cs="Times New Roman" w:eastAsia="Times New Roman" w:hint="default"/>
        </w:rPr>
        <w:t>5</w:t>
      </w:r>
      <w:r>
        <w:rPr/>
        <w:t>）合并程序 </w:t>
      </w:r>
      <w:r>
        <w:rPr>
          <w:spacing w:val="-2"/>
        </w:rPr>
        <w:t>子公司所采用的会计政策或会计期间与本公司不一致的，按照本公司的会计政策或会计期间对子公司财务报表进行必要</w:t>
      </w:r>
    </w:p>
    <w:p>
      <w:pPr>
        <w:pStyle w:val="BodyText"/>
        <w:spacing w:line="357" w:lineRule="auto" w:before="4"/>
        <w:ind w:right="0" w:hanging="360"/>
        <w:jc w:val="left"/>
      </w:pPr>
      <w:r>
        <w:rPr/>
        <w:t>的调整；或者要求子公司按照本公司的会计政策或会计期间另行编报财务报表。 </w:t>
      </w:r>
      <w:r>
        <w:rPr>
          <w:spacing w:val="-4"/>
        </w:rPr>
        <w:t>合并资产负债表、合并利润表、合并现金流量表及合并所有者（股东）权益变动表分别以本公司和子公司的资产负债表、</w:t>
      </w:r>
    </w:p>
    <w:p>
      <w:pPr>
        <w:pStyle w:val="BodyText"/>
        <w:spacing w:line="224" w:lineRule="exact"/>
        <w:ind w:left="153" w:right="0"/>
        <w:jc w:val="left"/>
      </w:pPr>
      <w:r>
        <w:rPr/>
        <w:t>利润表、现金流量表及所有者（股东）权益变动表为基础，在抵销本公司与子公司、子公司相互之间发生的内部交易对合并</w:t>
      </w:r>
    </w:p>
    <w:p>
      <w:pPr>
        <w:spacing w:after="0" w:line="224" w:lineRule="exact"/>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0" w:hanging="360"/>
        <w:jc w:val="left"/>
      </w:pPr>
      <w:r>
        <w:rPr/>
        <w:t>资产负债表、合并利润表、合并现金流量表及合并所有者（股东）权益变动表的影响后，由本公司合并编制。 </w:t>
      </w:r>
      <w:r>
        <w:rPr>
          <w:spacing w:val="-2"/>
        </w:rPr>
        <w:t>本公司向子公司出售资产所发生的未实现内部交易损益，全额抵销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。子公司向本公司出</w:t>
      </w:r>
    </w:p>
    <w:p>
      <w:pPr>
        <w:pStyle w:val="BodyText"/>
        <w:spacing w:line="214" w:lineRule="exact"/>
        <w:ind w:left="153" w:right="0"/>
        <w:jc w:val="left"/>
      </w:pPr>
      <w:r>
        <w:rPr/>
        <w:t>售资产所发生的未实现内部交易损益，按照本公司对该子公司的分配比例在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w:t>
      </w:r>
    </w:p>
    <w:p>
      <w:pPr>
        <w:pStyle w:val="BodyText"/>
        <w:spacing w:line="302" w:lineRule="auto" w:before="63"/>
        <w:ind w:left="153" w:right="0"/>
        <w:jc w:val="left"/>
      </w:pPr>
      <w:r>
        <w:rPr>
          <w:spacing w:val="-2"/>
        </w:rPr>
        <w:t>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之间分配抵销。子公司之间出售资产所发生的未实现内部交易损益，应当按照本公司对出售方子公司的分配比例在</w:t>
      </w:r>
      <w:r>
        <w:rPr>
          <w:rFonts w:ascii="Times New Roman" w:hAnsi="Times New Roman" w:cs="Times New Roman" w:eastAsia="Times New Roman" w:hint="default"/>
          <w:spacing w:val="-2"/>
        </w:rPr>
        <w:t>“</w:t>
      </w:r>
      <w:r>
        <w:rPr>
          <w:spacing w:val="-2"/>
        </w:rPr>
        <w:t>归属</w:t>
      </w:r>
      <w:r>
        <w:rPr>
          <w:spacing w:val="-45"/>
        </w:rPr>
        <w:t> </w:t>
      </w:r>
      <w:r>
        <w:rPr/>
        <w:t>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00" w:lineRule="auto" w:before="50"/>
        <w:ind w:left="153" w:right="1131" w:firstLine="360"/>
        <w:jc w:val="both"/>
      </w:pPr>
      <w:r>
        <w:rPr/>
        <w:t>子公司所有者权益中不属于本公司的份额，作为少数股东权益，在合并资产负债表中所有者权益项目下以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 </w:t>
      </w:r>
      <w:r>
        <w:rPr>
          <w:spacing w:val="-2"/>
        </w:rPr>
        <w:t>子公司当期综合收益中属于少数股东权益的份额，在合并利润表中综合收益总额项目下以</w:t>
      </w:r>
      <w:r>
        <w:rPr>
          <w:rFonts w:ascii="Times New Roman" w:hAnsi="Times New Roman" w:cs="Times New Roman" w:eastAsia="Times New Roman" w:hint="default"/>
          <w:spacing w:val="-2"/>
        </w:rPr>
        <w:t>“</w:t>
      </w:r>
      <w:r>
        <w:rPr>
          <w:spacing w:val="-2"/>
        </w:rPr>
        <w:t>归属于少数股东的综合收益总额</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spacing w:val="-2"/>
        </w:rPr>
        <w:t>项目列示。有少数股东的，在合并所有者权益变动表中增加</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栏目，反映少数股东权益变动的情况。子公司少</w:t>
      </w:r>
      <w:r>
        <w:rPr>
          <w:spacing w:val="-44"/>
        </w:rPr>
        <w:t> </w:t>
      </w:r>
      <w:r>
        <w:rPr>
          <w:spacing w:val="-44"/>
        </w:rPr>
      </w:r>
      <w:r>
        <w:rPr/>
        <w:t>数股东分担的当期亏损超过了少数股东在该子公司期初所有者权益中所享有的份额的，其余额仍应当冲减少数股东权益。</w:t>
      </w:r>
    </w:p>
    <w:p>
      <w:pPr>
        <w:pStyle w:val="BodyText"/>
        <w:spacing w:line="319" w:lineRule="auto" w:before="70"/>
        <w:ind w:left="153" w:right="0" w:firstLine="360"/>
        <w:jc w:val="left"/>
      </w:pPr>
      <w:r>
        <w:rPr>
          <w:spacing w:val="-2"/>
        </w:rPr>
        <w:t>本公司在报告期内因同一控制下企业合并增加的子公司以及业务，编制合并资产负债表时，调整合并资产负债表的期初</w:t>
      </w:r>
      <w:r>
        <w:rPr/>
        <w:t> </w:t>
      </w:r>
      <w:r>
        <w:rPr>
          <w:spacing w:val="-2"/>
        </w:rPr>
        <w:t>数；编制合并利润表时，将该子公司以及业务合并当期期初至报告期末的收入、费用、利润纳入合并利润表；编制现金流量</w:t>
      </w:r>
      <w:r>
        <w:rPr>
          <w:spacing w:val="-66"/>
        </w:rPr>
        <w:t> </w:t>
      </w:r>
      <w:r>
        <w:rPr>
          <w:spacing w:val="-66"/>
        </w:rPr>
      </w:r>
      <w:r>
        <w:rPr>
          <w:spacing w:val="-4"/>
        </w:rPr>
        <w:t>表时，将该子公司以及业务合并当期期初至报告期末的现金流量纳入合并现金流量表；同时对比较报表的相关项目进行调整，</w:t>
      </w:r>
      <w:r>
        <w:rPr>
          <w:spacing w:val="-44"/>
        </w:rPr>
        <w:t> </w:t>
      </w:r>
      <w:r>
        <w:rPr>
          <w:spacing w:val="-44"/>
        </w:rPr>
      </w:r>
      <w:r>
        <w:rPr/>
        <w:t>视同合并后的报告主体自最终控制方开始控制时点起一直存在。</w:t>
      </w:r>
    </w:p>
    <w:p>
      <w:pPr>
        <w:pStyle w:val="BodyText"/>
        <w:spacing w:line="319" w:lineRule="auto" w:before="55"/>
        <w:ind w:left="154" w:right="1043" w:firstLine="360"/>
        <w:jc w:val="both"/>
      </w:pPr>
      <w:r>
        <w:rPr>
          <w:spacing w:val="-4"/>
        </w:rPr>
        <w:t>因非同一控制下企业合并或其他方式增加的子公司以及业务，编制合并资产负债表时，不调整合并资产负债表的期初数；</w:t>
      </w:r>
      <w:r>
        <w:rPr/>
        <w:t> 编制合并利润表时，将该子公司以及业务购买日至报告期末的收入、费用、利润纳入合并利润表；编制合并现金流量表时， 将该子公司购买日至报告期末的现金流量纳入合并现金流量表。</w:t>
      </w:r>
    </w:p>
    <w:p>
      <w:pPr>
        <w:pStyle w:val="BodyText"/>
        <w:spacing w:line="319" w:lineRule="auto" w:before="56"/>
        <w:ind w:left="154" w:right="0" w:firstLine="360"/>
        <w:jc w:val="left"/>
      </w:pPr>
      <w:r>
        <w:rPr>
          <w:spacing w:val="-4"/>
        </w:rPr>
        <w:t>本公司在报告期内处置子公司以及业务，编制合并资产负债表时，不调整合并资产负债表的期初数；编制合并利润表时，</w:t>
      </w:r>
      <w:r>
        <w:rPr/>
        <w:t> </w:t>
      </w:r>
      <w:r>
        <w:rPr>
          <w:spacing w:val="-2"/>
        </w:rPr>
        <w:t>将该子公司以及业务期初至处置日的收入、费用、利润纳入合并利润表；编制合并现金流量表时，将该子公司以及业务期初</w:t>
      </w:r>
      <w:r>
        <w:rPr>
          <w:spacing w:val="-66"/>
        </w:rPr>
        <w:t> </w:t>
      </w:r>
      <w:r>
        <w:rPr>
          <w:spacing w:val="-66"/>
        </w:rPr>
      </w:r>
      <w:r>
        <w:rPr/>
        <w:t>至处置日的现金流量纳入合并现金流量表。</w:t>
      </w:r>
    </w:p>
    <w:p>
      <w:pPr>
        <w:pStyle w:val="BodyText"/>
        <w:spacing w:line="240" w:lineRule="auto" w:before="56"/>
        <w:ind w:right="0"/>
        <w:jc w:val="left"/>
      </w:pPr>
      <w:r>
        <w:rPr/>
        <w:t>（</w:t>
      </w:r>
      <w:r>
        <w:rPr>
          <w:rFonts w:ascii="Times New Roman" w:hAnsi="Times New Roman" w:cs="Times New Roman" w:eastAsia="Times New Roman" w:hint="default"/>
        </w:rPr>
        <w:t>6</w:t>
      </w:r>
      <w:r>
        <w:rPr/>
        <w:t>）特殊交易会计处理</w:t>
      </w:r>
    </w:p>
    <w:p>
      <w:pPr>
        <w:pStyle w:val="BodyText"/>
        <w:spacing w:line="338" w:lineRule="auto" w:before="103"/>
        <w:ind w:left="514" w:right="0"/>
        <w:jc w:val="left"/>
      </w:pPr>
      <w:r>
        <w:rPr>
          <w:rFonts w:ascii="Times New Roman" w:hAnsi="Times New Roman" w:cs="Times New Roman" w:eastAsia="Times New Roman" w:hint="default"/>
        </w:rPr>
        <w:t>a.</w:t>
      </w:r>
      <w:r>
        <w:rPr/>
        <w:t>购买子公司少数股东拥有的子公司股权 </w:t>
      </w:r>
      <w:r>
        <w:rPr>
          <w:spacing w:val="-2"/>
        </w:rPr>
        <w:t>在合并财务报表中，因购买少数股权新取得的长期股权投资与按照新增持股比例计算应享有子公司自购买日或合并日开</w:t>
      </w:r>
    </w:p>
    <w:p>
      <w:pPr>
        <w:pStyle w:val="BodyText"/>
        <w:spacing w:line="338" w:lineRule="auto" w:before="4"/>
        <w:ind w:right="0" w:hanging="360"/>
        <w:jc w:val="left"/>
      </w:pPr>
      <w:r>
        <w:rPr/>
        <w:t>始持续计算的净资产份额之间的差额，调整资本公积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 </w:t>
      </w:r>
      <w:r>
        <w:rPr>
          <w:rFonts w:ascii="Times New Roman" w:hAnsi="Times New Roman" w:cs="Times New Roman" w:eastAsia="Times New Roman" w:hint="default"/>
        </w:rPr>
        <w:t>b.</w:t>
      </w:r>
      <w:r>
        <w:rPr/>
        <w:t>不丧失控制权的情况下处置对子公司长期股权投资 </w:t>
      </w:r>
      <w:r>
        <w:rPr>
          <w:spacing w:val="-2"/>
        </w:rPr>
        <w:t>在不丧失控制权的情况下部分处置对子公司的长期股权投资，在合并财务报表中，处置价款与处置长期股权投资相对应</w:t>
      </w:r>
    </w:p>
    <w:p>
      <w:pPr>
        <w:pStyle w:val="BodyText"/>
        <w:spacing w:line="302" w:lineRule="auto" w:before="2"/>
        <w:ind w:left="154" w:right="0"/>
        <w:jc w:val="left"/>
      </w:pPr>
      <w:r>
        <w:rPr>
          <w:spacing w:val="-1"/>
        </w:rPr>
        <w:t>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，资本公积</w:t>
      </w:r>
      <w:r>
        <w:rPr>
          <w:spacing w:val="-57"/>
        </w:rPr>
        <w:t> </w:t>
      </w:r>
      <w:r>
        <w:rPr>
          <w:spacing w:val="-57"/>
        </w:rPr>
      </w:r>
      <w:r>
        <w:rPr/>
        <w:t>不足冲减的，调整留存收益。</w:t>
      </w:r>
    </w:p>
    <w:p>
      <w:pPr>
        <w:pStyle w:val="BodyText"/>
        <w:spacing w:line="338" w:lineRule="auto" w:before="70"/>
        <w:ind w:left="514" w:right="0"/>
        <w:jc w:val="left"/>
      </w:pPr>
      <w:r>
        <w:rPr>
          <w:rFonts w:ascii="Times New Roman" w:hAnsi="Times New Roman" w:cs="Times New Roman" w:eastAsia="Times New Roman" w:hint="default"/>
        </w:rPr>
        <w:t>c.</w:t>
      </w:r>
      <w:r>
        <w:rPr/>
        <w:t>处置部分股权投资等原因丧失了对被投资方的控制权时，对于剩余股权的处理 </w:t>
      </w:r>
      <w:r>
        <w:rPr>
          <w:spacing w:val="-2"/>
        </w:rPr>
        <w:t>在编制合并财务报表时，对于剩余股权，按照其在丧失控制权日的公允价值进行重新计量。处置股权取得的对价与剩余</w:t>
      </w:r>
    </w:p>
    <w:p>
      <w:pPr>
        <w:pStyle w:val="BodyText"/>
        <w:spacing w:line="319" w:lineRule="auto" w:before="2"/>
        <w:ind w:left="154" w:right="1032"/>
        <w:jc w:val="left"/>
      </w:pPr>
      <w:r>
        <w:rPr/>
        <w:t>股权公允价值之和，减去按原持股比例计算应享有原有子公司自购买日或合并日开始持续计算的净资产的份额之间的差额， </w:t>
      </w:r>
      <w:r>
        <w:rPr>
          <w:spacing w:val="-2"/>
        </w:rPr>
        <w:t>计入丧失控制权当期的投资收益，同时冲减商誉。与原有子公司股权投资相关的其他综合收益等，在丧失控制权时转为当期</w:t>
      </w:r>
      <w:r>
        <w:rPr>
          <w:spacing w:val="-66"/>
        </w:rPr>
        <w:t> </w:t>
      </w:r>
      <w:r>
        <w:rPr>
          <w:spacing w:val="-66"/>
        </w:rPr>
      </w:r>
      <w:r>
        <w:rPr/>
        <w:t>投资收益。</w:t>
      </w:r>
    </w:p>
    <w:p>
      <w:pPr>
        <w:pStyle w:val="BodyText"/>
        <w:spacing w:line="338" w:lineRule="auto" w:before="56"/>
        <w:ind w:left="514" w:right="0"/>
        <w:jc w:val="left"/>
      </w:pPr>
      <w:r>
        <w:rPr>
          <w:rFonts w:ascii="Times New Roman" w:hAnsi="Times New Roman" w:cs="Times New Roman" w:eastAsia="Times New Roman" w:hint="default"/>
        </w:rPr>
        <w:t>d.</w:t>
      </w:r>
      <w:r>
        <w:rPr/>
        <w:t>企业通过多次交易分步处置对子公司股权投资直至丧失控制权，且该多次交易属于一揽子交易的处理 </w:t>
      </w:r>
      <w:r>
        <w:rPr>
          <w:spacing w:val="-2"/>
        </w:rPr>
        <w:t>处置对子公司股权投资直至丧失控制权的各项交易属于一揽子交易的，应当将各项交易作为一项处置子公司并丧失控制</w:t>
      </w:r>
    </w:p>
    <w:p>
      <w:pPr>
        <w:pStyle w:val="BodyText"/>
        <w:spacing w:line="319" w:lineRule="auto" w:before="2"/>
        <w:ind w:left="154" w:right="0"/>
        <w:jc w:val="left"/>
      </w:pPr>
      <w:r>
        <w:rPr>
          <w:spacing w:val="-2"/>
        </w:rPr>
        <w:t>权的交易进行会计处理；但是，在丧失控制权之前每一次处置价款与处置投资对应的享有该子公司净资产份额的差额，在合</w:t>
      </w:r>
      <w:r>
        <w:rPr>
          <w:spacing w:val="-66"/>
        </w:rPr>
        <w:t> </w:t>
      </w:r>
      <w:r>
        <w:rPr>
          <w:spacing w:val="-66"/>
        </w:rPr>
      </w:r>
      <w:r>
        <w:rPr/>
        <w:t>并财务报表中确认为其他综合收益，在丧失控制权时一并转入丧失控制权当期的损益。</w:t>
      </w:r>
    </w:p>
    <w:p>
      <w:pPr>
        <w:pStyle w:val="BodyText"/>
        <w:spacing w:line="357" w:lineRule="auto" w:before="56"/>
        <w:ind w:left="514" w:right="0"/>
        <w:jc w:val="left"/>
      </w:pPr>
      <w:r>
        <w:rPr/>
        <w:t>判断分步处置股权至丧失控制权过程的各项交易是否属于一揽子交易的原则如下： </w:t>
      </w:r>
      <w:r>
        <w:rPr>
          <w:spacing w:val="-2"/>
        </w:rPr>
        <w:t>处置对子公司股权投资的各项交易的条款、条件以及经济影响符合以下一种或多种情况，通常表明多次交易事项属于一</w:t>
      </w:r>
    </w:p>
    <w:p>
      <w:pPr>
        <w:pStyle w:val="BodyText"/>
        <w:spacing w:line="225" w:lineRule="exact"/>
        <w:ind w:left="154" w:right="0"/>
        <w:jc w:val="left"/>
      </w:pPr>
      <w:r>
        <w:rPr/>
        <w:t>揽子交易：</w:t>
      </w:r>
    </w:p>
    <w:p>
      <w:pPr>
        <w:pStyle w:val="BodyText"/>
        <w:spacing w:line="338" w:lineRule="auto" w:before="117"/>
        <w:ind w:left="514" w:right="5767"/>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w:t>
      </w:r>
    </w:p>
    <w:p>
      <w:pPr>
        <w:spacing w:after="0" w:line="338" w:lineRule="auto"/>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left="514" w:right="4857"/>
        <w:jc w:val="left"/>
      </w:pP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7、合营安排分类及共同经营会计处理方法" w:id="166"/>
      <w:bookmarkEnd w:id="16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4" w:right="7512"/>
        <w:jc w:val="left"/>
      </w:pPr>
      <w:r>
        <w:rPr/>
        <w:t>（</w:t>
      </w:r>
      <w:r>
        <w:rPr>
          <w:rFonts w:ascii="Times New Roman" w:hAnsi="Times New Roman" w:cs="Times New Roman" w:eastAsia="Times New Roman" w:hint="default"/>
        </w:rPr>
        <w:t>1</w:t>
      </w:r>
      <w:r>
        <w:rPr/>
        <w:t>）合营安排的分类 合营安排分为共同经营和合营企业。</w:t>
      </w:r>
    </w:p>
    <w:p>
      <w:pPr>
        <w:pStyle w:val="BodyText"/>
        <w:spacing w:line="343" w:lineRule="auto" w:before="40"/>
        <w:ind w:right="2293"/>
        <w:jc w:val="left"/>
      </w:pPr>
      <w:r>
        <w:rPr/>
        <w:t>（</w:t>
      </w:r>
      <w:r>
        <w:rPr>
          <w:rFonts w:ascii="Times New Roman" w:hAnsi="Times New Roman" w:cs="Times New Roman" w:eastAsia="Times New Roman" w:hint="default"/>
        </w:rPr>
        <w:t>2</w:t>
      </w:r>
      <w:r>
        <w:rPr/>
        <w:t>）共同经营参与方的会计处理 合营方确认其与共同经营中利益份额相关的下列项目，并按照相关企业会计准则的规定进行会计处理：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00" w:lineRule="auto" w:before="15"/>
        <w:ind w:left="153" w:right="1131" w:firstLine="360"/>
        <w:jc w:val="both"/>
      </w:pPr>
      <w:r>
        <w:rPr>
          <w:spacing w:val="-1"/>
        </w:rPr>
        <w:t>合营方向共同经营投出或出售资产等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，在该资产等由共同经营出售给第三方之前，仅确认因该</w:t>
      </w:r>
      <w:r>
        <w:rPr/>
        <w:t> 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 规定的资产减值损失的，合营方全额确认该损失。</w:t>
      </w:r>
    </w:p>
    <w:p>
      <w:pPr>
        <w:pStyle w:val="BodyText"/>
        <w:spacing w:line="300" w:lineRule="auto" w:before="71"/>
        <w:ind w:left="154" w:right="0" w:firstLine="360"/>
        <w:jc w:val="left"/>
      </w:pPr>
      <w:r>
        <w:rPr/>
        <w:t>合营方自共同经营购买资产等</w:t>
      </w:r>
      <w:r>
        <w:rPr>
          <w:rFonts w:ascii="Times New Roman" w:hAnsi="Times New Roman" w:cs="Times New Roman" w:eastAsia="Times New Roman" w:hint="default"/>
        </w:rPr>
        <w:t>(</w:t>
      </w:r>
      <w:r>
        <w:rPr/>
        <w:t>该资产构成业务的除外</w:t>
      </w:r>
      <w:r>
        <w:rPr>
          <w:rFonts w:ascii="Times New Roman" w:hAnsi="Times New Roman" w:cs="Times New Roman" w:eastAsia="Times New Roman" w:hint="default"/>
        </w:rPr>
        <w:t>)</w:t>
      </w:r>
      <w:r>
        <w:rPr/>
        <w:t>，在将该资产等出售给第三方之前，仅确认因该交易产生的损益 </w:t>
      </w:r>
      <w:r>
        <w:rPr>
          <w:spacing w:val="-2"/>
        </w:rPr>
        <w:t>中归属于共同经营其他参与方的部分。购入的资产发生符合《企业会计准则第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资产减值》等规定的资产减值损失的，</w:t>
      </w:r>
      <w:r>
        <w:rPr>
          <w:spacing w:val="-64"/>
        </w:rPr>
        <w:t> </w:t>
      </w:r>
      <w:r>
        <w:rPr>
          <w:spacing w:val="-64"/>
        </w:rPr>
      </w:r>
      <w:r>
        <w:rPr/>
        <w:t>合营方按其承担的份额确认该部分损失。</w:t>
      </w:r>
    </w:p>
    <w:p>
      <w:pPr>
        <w:pStyle w:val="BodyText"/>
        <w:spacing w:line="319" w:lineRule="auto" w:before="70"/>
        <w:ind w:left="154" w:right="1132" w:firstLine="360"/>
        <w:jc w:val="both"/>
      </w:pPr>
      <w:r>
        <w:rPr>
          <w:spacing w:val="-2"/>
        </w:rPr>
        <w:t>对共同经营不享有共同控制的参与方，如果享有该共同经营相关资产且承担该共同经营相关负债的，按照上述方法进行</w:t>
      </w:r>
      <w:r>
        <w:rPr/>
        <w:t> 会计处理；否则，按照相关企业会计准则的规定进行会计处理。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67"/>
      <w:bookmarkEnd w:id="16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1" w:firstLine="360"/>
        <w:jc w:val="both"/>
      </w:pPr>
      <w:r>
        <w:rPr>
          <w:spacing w:val="-2"/>
        </w:rPr>
        <w:t>列示于现金流量表中的现金是指库存现金及可随时用于支付的存款，现金等价物是指持有的期限短（一般指从购买日起</w:t>
      </w:r>
      <w:r>
        <w:rPr/>
        <w:t> 三个月内到期）、流动性强、易于转换为已知金额现金及价值变动风险很小的投资。</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68"/>
      <w:bookmarkEnd w:id="16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173"/>
        <w:jc w:val="left"/>
      </w:pPr>
      <w:r>
        <w:rPr/>
        <w:t>（</w:t>
      </w:r>
      <w:r>
        <w:rPr>
          <w:rFonts w:ascii="Times New Roman" w:hAnsi="Times New Roman" w:cs="Times New Roman" w:eastAsia="Times New Roman" w:hint="default"/>
        </w:rPr>
        <w:t>1</w:t>
      </w:r>
      <w:r>
        <w:rPr/>
        <w:t>）外币业务 外币业务按业务发生日的即期汇率将外币金额折算为人民币入账。</w:t>
      </w:r>
    </w:p>
    <w:p>
      <w:pPr>
        <w:pStyle w:val="BodyText"/>
        <w:spacing w:line="319" w:lineRule="auto" w:before="42"/>
        <w:ind w:left="153" w:right="1132" w:firstLine="360"/>
        <w:jc w:val="both"/>
      </w:pPr>
      <w:r>
        <w:rPr>
          <w:spacing w:val="-2"/>
        </w:rPr>
        <w:t>于资产负债表日，外币货币性项目采用资产负债表日的即期汇率折算为人民币，所产生的折算差额除了为购建或生产符</w:t>
      </w:r>
      <w:r>
        <w:rPr/>
        <w:t> </w:t>
      </w:r>
      <w:r>
        <w:rPr>
          <w:spacing w:val="-2"/>
        </w:rPr>
        <w:t>合资本化条件的资产而借入的外币借款产生的汇兑差额按资本化的原则处理外，直接计入当期损益。以历史成本计量的外币</w:t>
      </w:r>
      <w:r>
        <w:rPr>
          <w:spacing w:val="-64"/>
        </w:rPr>
        <w:t> </w:t>
      </w:r>
      <w:r>
        <w:rPr>
          <w:spacing w:val="-64"/>
        </w:rPr>
      </w:r>
      <w:r>
        <w:rPr/>
        <w:t>非货币性项目，于资产负债表日采用交易发生日的即期汇率折算。</w:t>
      </w:r>
    </w:p>
    <w:p>
      <w:pPr>
        <w:pStyle w:val="BodyText"/>
        <w:spacing w:line="338" w:lineRule="auto" w:before="56"/>
        <w:ind w:left="514" w:right="0"/>
        <w:jc w:val="left"/>
      </w:pPr>
      <w:r>
        <w:rPr/>
        <w:t>（</w:t>
      </w:r>
      <w:r>
        <w:rPr>
          <w:rFonts w:ascii="Times New Roman" w:hAnsi="Times New Roman" w:cs="Times New Roman" w:eastAsia="Times New Roman" w:hint="default"/>
        </w:rPr>
        <w:t>2</w:t>
      </w:r>
      <w:r>
        <w:rPr/>
        <w:t>）外币财务报表的折算 </w:t>
      </w:r>
      <w:r>
        <w:rPr>
          <w:spacing w:val="-2"/>
        </w:rPr>
        <w:t>以非记账本位币编制的资产负债表中的资产和负债项目，采用资产负债表日的即期汇率折算成记账本位币，所有者权益</w:t>
      </w:r>
    </w:p>
    <w:p>
      <w:pPr>
        <w:pStyle w:val="BodyText"/>
        <w:spacing w:line="319" w:lineRule="auto" w:before="2"/>
        <w:ind w:left="154" w:right="1132"/>
        <w:jc w:val="both"/>
      </w:pPr>
      <w:r>
        <w:rPr>
          <w:spacing w:val="-2"/>
        </w:rPr>
        <w:t>中除未分配利润项目外，其他项目采用发生时的即期汇率折算。以非记账本位币编制的利润表中的收入与费用项目，采用交</w:t>
      </w:r>
      <w:r>
        <w:rPr>
          <w:spacing w:val="-66"/>
        </w:rPr>
        <w:t> </w:t>
      </w:r>
      <w:r>
        <w:rPr>
          <w:spacing w:val="-66"/>
        </w:rPr>
      </w:r>
      <w:r>
        <w:rPr>
          <w:spacing w:val="-2"/>
        </w:rPr>
        <w:t>易发生日的即期汇率折算成记账本位币。上述折算产生的外币报表折算差额，在其他综合收益中核算。以非记账本位币编制</w:t>
      </w:r>
      <w:r>
        <w:rPr>
          <w:spacing w:val="-66"/>
        </w:rPr>
        <w:t> </w:t>
      </w:r>
      <w:r>
        <w:rPr>
          <w:spacing w:val="-66"/>
        </w:rPr>
      </w:r>
      <w:r>
        <w:rPr>
          <w:spacing w:val="-2"/>
        </w:rPr>
        <w:t>的现金流量表中各项目的现金流量采用现金流量发生日的即期汇率折算成记账本位币。汇率变动对现金的影响额，在现金流</w:t>
      </w:r>
      <w:r>
        <w:rPr>
          <w:spacing w:val="-64"/>
        </w:rPr>
        <w:t> </w:t>
      </w:r>
      <w:r>
        <w:rPr>
          <w:spacing w:val="-64"/>
        </w:rPr>
      </w:r>
      <w:r>
        <w:rPr/>
        <w:t>量表中单独列示。</w:t>
      </w:r>
    </w:p>
    <w:p>
      <w:pPr>
        <w:spacing w:after="0" w:line="319" w:lineRule="auto"/>
        <w:jc w:val="both"/>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0、金融工具" w:id="169"/>
      <w:bookmarkEnd w:id="16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352" w:lineRule="auto"/>
        <w:ind w:right="4993"/>
        <w:jc w:val="left"/>
      </w:pPr>
      <w:r>
        <w:rPr/>
        <w:t>（</w:t>
      </w:r>
      <w:r>
        <w:rPr>
          <w:rFonts w:ascii="Times New Roman" w:hAnsi="Times New Roman" w:cs="Times New Roman" w:eastAsia="Times New Roman" w:hint="default"/>
        </w:rPr>
        <w:t>1</w:t>
      </w:r>
      <w:r>
        <w:rPr/>
        <w:t>）</w:t>
      </w:r>
      <w:r>
        <w:rPr>
          <w:spacing w:val="-18"/>
        </w:rPr>
        <w:t> </w:t>
      </w:r>
      <w:r>
        <w:rPr/>
        <w:t>金融工具的确认和终止确认</w:t>
      </w:r>
      <w:r>
        <w:rPr/>
        <w:t> 本公司于成为金融工具合同的一方时确认一项金融资产或金融负债。 金融资产满足下列条件之一的，终止确认： </w:t>
      </w:r>
      <w:r>
        <w:rPr>
          <w:rFonts w:ascii="Times New Roman" w:hAnsi="Times New Roman" w:cs="Times New Roman" w:eastAsia="Times New Roman" w:hint="default"/>
        </w:rPr>
        <w:t>a.</w:t>
      </w:r>
      <w:r>
        <w:rPr/>
        <w:t>收取该金融资产现金流量的合同权利终止；</w:t>
      </w:r>
    </w:p>
    <w:p>
      <w:pPr>
        <w:pStyle w:val="BodyText"/>
        <w:spacing w:line="340" w:lineRule="auto" w:before="8"/>
        <w:ind w:left="514" w:right="2337"/>
        <w:jc w:val="left"/>
      </w:pPr>
      <w:r>
        <w:rPr>
          <w:rFonts w:ascii="Times New Roman" w:hAnsi="Times New Roman" w:cs="Times New Roman" w:eastAsia="Times New Roman" w:hint="default"/>
        </w:rPr>
        <w:t>b.</w:t>
      </w:r>
      <w:r>
        <w:rPr/>
        <w:t>该金融资产已转移，且符合《企业会计准则第</w:t>
      </w:r>
      <w:r>
        <w:rPr>
          <w:rFonts w:ascii="Times New Roman" w:hAnsi="Times New Roman" w:cs="Times New Roman" w:eastAsia="Times New Roman" w:hint="default"/>
        </w:rPr>
        <w:t>23</w:t>
      </w:r>
      <w:r>
        <w:rPr/>
        <w:t>号－金融资产转移》规定的金融资产终止确认条件。 金融负债的现时义务全部或部分已经解除的，终止确认该金融负债或其一部分。</w:t>
      </w:r>
    </w:p>
    <w:p>
      <w:pPr>
        <w:pStyle w:val="BodyText"/>
        <w:spacing w:line="338" w:lineRule="auto" w:before="119"/>
        <w:ind w:left="514" w:right="0"/>
        <w:jc w:val="left"/>
      </w:pPr>
      <w:r>
        <w:rPr/>
        <w:t>（</w:t>
      </w:r>
      <w:r>
        <w:rPr>
          <w:rFonts w:ascii="Times New Roman" w:hAnsi="Times New Roman" w:cs="Times New Roman" w:eastAsia="Times New Roman" w:hint="default"/>
        </w:rPr>
        <w:t>2</w:t>
      </w:r>
      <w:r>
        <w:rPr/>
        <w:t>）金融资产的分类 </w:t>
      </w:r>
      <w:r>
        <w:rPr>
          <w:spacing w:val="-2"/>
        </w:rPr>
        <w:t>金融资产于初始确认时分类为：以公允价值计量且其变动计入当期损益的金融资产、应收款项、可供出售金融资产和持</w:t>
      </w:r>
    </w:p>
    <w:p>
      <w:pPr>
        <w:pStyle w:val="BodyText"/>
        <w:spacing w:line="348" w:lineRule="auto" w:before="4"/>
        <w:ind w:right="1118" w:hanging="360"/>
        <w:jc w:val="left"/>
      </w:pPr>
      <w:r>
        <w:rPr/>
        <w:t>有至到期投资。金融资产的分类取决于本公司对金融资产的持有意图和持有能力。 </w:t>
      </w:r>
      <w:r>
        <w:rPr>
          <w:rFonts w:ascii="Times New Roman" w:hAnsi="Times New Roman" w:cs="Times New Roman" w:eastAsia="Times New Roman" w:hint="default"/>
        </w:rPr>
        <w:t>a.</w:t>
      </w:r>
      <w:r>
        <w:rPr/>
        <w:t>以公允价值计量且其变动计入当期损益的金融资产 </w:t>
      </w:r>
      <w:r>
        <w:rPr>
          <w:spacing w:val="-2"/>
        </w:rPr>
        <w:t>以公允价值计量且其变动计入当期损益的金融资产包括持有目的为短期内出售的金融资产，该资产在资产负债表中以交</w:t>
      </w:r>
    </w:p>
    <w:p>
      <w:pPr>
        <w:pStyle w:val="BodyText"/>
        <w:spacing w:line="232" w:lineRule="exact"/>
        <w:ind w:left="153" w:right="0"/>
        <w:jc w:val="left"/>
      </w:pPr>
      <w:r>
        <w:rPr/>
        <w:t>易性金融资产列示。</w:t>
      </w:r>
    </w:p>
    <w:p>
      <w:pPr>
        <w:pStyle w:val="BodyText"/>
        <w:spacing w:line="338" w:lineRule="auto" w:before="116"/>
        <w:ind w:right="1118"/>
        <w:jc w:val="left"/>
      </w:pPr>
      <w:r>
        <w:rPr>
          <w:rFonts w:ascii="Times New Roman" w:hAnsi="Times New Roman" w:cs="Times New Roman" w:eastAsia="Times New Roman" w:hint="default"/>
        </w:rPr>
        <w:t>b.</w:t>
      </w:r>
      <w:r>
        <w:rPr/>
        <w:t>应收款项 </w:t>
      </w:r>
      <w:r>
        <w:rPr>
          <w:spacing w:val="-2"/>
        </w:rPr>
        <w:t>应收款项是指在活跃市场中没有报价、回收金额固定或可确定的非衍生金融资产，包括应收账款、其他应收款和长期应</w:t>
      </w:r>
    </w:p>
    <w:p>
      <w:pPr>
        <w:pStyle w:val="BodyText"/>
        <w:spacing w:line="240" w:lineRule="auto" w:before="4"/>
        <w:ind w:left="153" w:right="0"/>
        <w:jc w:val="left"/>
      </w:pPr>
      <w:r>
        <w:rPr/>
        <w:t>收款等。</w:t>
      </w:r>
    </w:p>
    <w:p>
      <w:pPr>
        <w:pStyle w:val="BodyText"/>
        <w:spacing w:line="338" w:lineRule="auto" w:before="117"/>
        <w:ind w:right="0"/>
        <w:jc w:val="left"/>
      </w:pPr>
      <w:r>
        <w:rPr>
          <w:rFonts w:ascii="Times New Roman" w:hAnsi="Times New Roman" w:cs="Times New Roman" w:eastAsia="Times New Roman" w:hint="default"/>
        </w:rPr>
        <w:t>c.</w:t>
      </w:r>
      <w:r>
        <w:rPr/>
        <w:t>可供出售金融资产 </w:t>
      </w:r>
      <w:r>
        <w:rPr>
          <w:spacing w:val="-2"/>
        </w:rPr>
        <w:t>可供出售金融资产包括初始确认时即被指定为可供出售的非衍生金融资产及未被划分为其他类的金融资产。自资产负债</w:t>
      </w:r>
    </w:p>
    <w:p>
      <w:pPr>
        <w:pStyle w:val="BodyText"/>
        <w:spacing w:line="240" w:lineRule="auto" w:before="4"/>
        <w:ind w:left="153" w:right="0"/>
        <w:jc w:val="left"/>
      </w:pPr>
      <w:r>
        <w:rPr/>
        <w:t>表日起</w:t>
      </w:r>
      <w:r>
        <w:rPr>
          <w:rFonts w:ascii="Times New Roman" w:hAnsi="Times New Roman" w:cs="Times New Roman" w:eastAsia="Times New Roman" w:hint="default"/>
        </w:rPr>
        <w:t>12</w:t>
      </w:r>
      <w:r>
        <w:rPr/>
        <w:t>个月内将出售的可供出售金融资产在资产负债表中列示为一年内到期的非流动资产。</w:t>
      </w:r>
    </w:p>
    <w:p>
      <w:pPr>
        <w:pStyle w:val="BodyText"/>
        <w:spacing w:line="338" w:lineRule="auto" w:before="103"/>
        <w:ind w:left="514" w:right="1032"/>
        <w:jc w:val="left"/>
      </w:pPr>
      <w:r>
        <w:rPr>
          <w:rFonts w:ascii="Times New Roman" w:hAnsi="Times New Roman" w:cs="Times New Roman" w:eastAsia="Times New Roman" w:hint="default"/>
        </w:rPr>
        <w:t>d.</w:t>
      </w:r>
      <w:r>
        <w:rPr/>
        <w:t>持有至到期投资</w:t>
      </w:r>
      <w:r>
        <w:rPr>
          <w:spacing w:val="-2"/>
        </w:rPr>
        <w:t> </w:t>
      </w:r>
      <w:r>
        <w:rPr/>
        <w:t>持有至到期投资是指到期日固定、回收金额固定或可确定，且管理层有明确意图和能力持有至到期的非衍生金融资产。</w:t>
      </w:r>
    </w:p>
    <w:p>
      <w:pPr>
        <w:pStyle w:val="BodyText"/>
        <w:spacing w:line="240" w:lineRule="auto" w:before="4"/>
        <w:ind w:left="154" w:right="0"/>
        <w:jc w:val="left"/>
      </w:pPr>
      <w:r>
        <w:rPr/>
        <w:t>自资产负债表日起</w:t>
      </w:r>
      <w:r>
        <w:rPr>
          <w:rFonts w:ascii="Times New Roman" w:hAnsi="Times New Roman" w:cs="Times New Roman" w:eastAsia="Times New Roman" w:hint="default"/>
        </w:rPr>
        <w:t>12</w:t>
      </w:r>
      <w:r>
        <w:rPr/>
        <w:t>个月内到期的持有至到期投资在资产负债表中列示为一年内到期的非流动资产。</w:t>
      </w:r>
    </w:p>
    <w:p>
      <w:pPr>
        <w:spacing w:line="240" w:lineRule="auto" w:before="12"/>
        <w:rPr>
          <w:rFonts w:ascii="宋体" w:hAnsi="宋体" w:cs="宋体" w:eastAsia="宋体" w:hint="default"/>
          <w:sz w:val="13"/>
          <w:szCs w:val="13"/>
        </w:rPr>
      </w:pPr>
    </w:p>
    <w:p>
      <w:pPr>
        <w:pStyle w:val="BodyText"/>
        <w:spacing w:line="338" w:lineRule="auto"/>
        <w:ind w:left="514" w:right="0"/>
        <w:jc w:val="left"/>
      </w:pPr>
      <w:r>
        <w:rPr/>
        <w:t>（</w:t>
      </w:r>
      <w:r>
        <w:rPr>
          <w:rFonts w:ascii="Times New Roman" w:hAnsi="Times New Roman" w:cs="Times New Roman" w:eastAsia="Times New Roman" w:hint="default"/>
        </w:rPr>
        <w:t>3</w:t>
      </w:r>
      <w:r>
        <w:rPr/>
        <w:t>）金融资产的计量 </w:t>
      </w:r>
      <w:r>
        <w:rPr>
          <w:spacing w:val="-2"/>
        </w:rPr>
        <w:t>金融资产于本公司成为金融工具合同的一方时，按公允价值在资产负债表内确认。以公允价值计量且其变动计入当期损</w:t>
      </w:r>
    </w:p>
    <w:p>
      <w:pPr>
        <w:pStyle w:val="BodyText"/>
        <w:spacing w:line="357" w:lineRule="auto" w:before="4"/>
        <w:ind w:right="0" w:hanging="360"/>
        <w:jc w:val="left"/>
      </w:pPr>
      <w:r>
        <w:rPr/>
        <w:t>益的金融资产，取得时发生的相关交易费用直接计入当期损益。其他金融资产的相关交易费用计入初始确认金额。 </w:t>
      </w:r>
      <w:r>
        <w:rPr>
          <w:spacing w:val="-2"/>
        </w:rPr>
        <w:t>以公允价值计量且其变动计入当期损益的金融资产和可供出售金融资产按照公允价值进行后续计量，但在活跃市场中没</w:t>
      </w:r>
    </w:p>
    <w:p>
      <w:pPr>
        <w:pStyle w:val="BodyText"/>
        <w:spacing w:line="224" w:lineRule="exact"/>
        <w:ind w:left="153" w:right="0"/>
        <w:jc w:val="left"/>
      </w:pPr>
      <w:r>
        <w:rPr/>
        <w:t>有报价且其公允价值不能可靠计量的权益工具投资，按照成本计量；应收款项以及持有至到期投资采用实际利率法，以摊余</w:t>
      </w:r>
    </w:p>
    <w:p>
      <w:pPr>
        <w:pStyle w:val="BodyText"/>
        <w:spacing w:line="240" w:lineRule="auto" w:before="77"/>
        <w:ind w:left="153" w:right="0"/>
        <w:jc w:val="left"/>
      </w:pPr>
      <w:r>
        <w:rPr/>
        <w:t>成本计量。</w:t>
      </w:r>
    </w:p>
    <w:p>
      <w:pPr>
        <w:pStyle w:val="BodyText"/>
        <w:spacing w:line="319" w:lineRule="auto" w:before="116"/>
        <w:ind w:left="154" w:right="1131" w:firstLine="360"/>
        <w:jc w:val="both"/>
      </w:pPr>
      <w:r>
        <w:rPr>
          <w:spacing w:val="-2"/>
        </w:rPr>
        <w:t>以公允价值计量且其变动计入当期损益的金融资产的公允价值变动计入公允价值变动损益；在资产持有期间所取得的利</w:t>
      </w:r>
      <w:r>
        <w:rPr/>
        <w:t> 息或现金股利以及在处置时产生的处置损益，计入当期损益。</w:t>
      </w:r>
    </w:p>
    <w:p>
      <w:pPr>
        <w:pStyle w:val="BodyText"/>
        <w:spacing w:line="319" w:lineRule="auto" w:before="55"/>
        <w:ind w:left="154" w:right="1130" w:firstLine="360"/>
        <w:jc w:val="both"/>
      </w:pPr>
      <w:r>
        <w:rPr>
          <w:spacing w:val="-2"/>
        </w:rPr>
        <w:t>除减值损失及外币货币性金融资产形成的汇兑损益外，可供出售金融资产公允价值变动计入所有者权益，待该金融资产</w:t>
      </w:r>
      <w:r>
        <w:rPr/>
        <w:t> </w:t>
      </w:r>
      <w:r>
        <w:rPr>
          <w:spacing w:val="-2"/>
        </w:rPr>
        <w:t>终止确认时，原直接计入权益的公允价值变动累计额转入当期损益。可供出售债务工具投资在持有期间按实际利率法计算利</w:t>
      </w:r>
      <w:r>
        <w:rPr>
          <w:spacing w:val="-63"/>
        </w:rPr>
        <w:t> </w:t>
      </w:r>
      <w:r>
        <w:rPr>
          <w:spacing w:val="-63"/>
        </w:rPr>
      </w:r>
      <w:r>
        <w:rPr/>
        <w:t>息，计入投资收益；可供出售权益工具投资的现金股利，于被投资单位宣告发放股利时计入投资收益。</w:t>
      </w:r>
    </w:p>
    <w:p>
      <w:pPr>
        <w:pStyle w:val="BodyText"/>
        <w:spacing w:line="338" w:lineRule="auto" w:before="136"/>
        <w:ind w:right="0"/>
        <w:jc w:val="left"/>
      </w:pPr>
      <w:r>
        <w:rPr/>
        <w:t>（</w:t>
      </w:r>
      <w:r>
        <w:rPr>
          <w:rFonts w:ascii="Times New Roman" w:hAnsi="Times New Roman" w:cs="Times New Roman" w:eastAsia="Times New Roman" w:hint="default"/>
        </w:rPr>
        <w:t>4</w:t>
      </w:r>
      <w:r>
        <w:rPr/>
        <w:t>）金融资产转移的确认依据和计量方法 </w:t>
      </w:r>
      <w:r>
        <w:rPr>
          <w:spacing w:val="-2"/>
        </w:rPr>
        <w:t>公司已将金融资产所有权上几乎所有的风险和报酬转移给转入方的，终止确认该金融资产；保留了金融资产所有权上几</w:t>
      </w:r>
    </w:p>
    <w:p>
      <w:pPr>
        <w:pStyle w:val="BodyText"/>
        <w:spacing w:line="360" w:lineRule="auto" w:before="4"/>
        <w:ind w:right="4093" w:hanging="360"/>
        <w:jc w:val="left"/>
      </w:pPr>
      <w:r>
        <w:rPr/>
        <w:t>乎所有的风险和报酬的，不终止确认该金融资产。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240" w:lineRule="auto" w:before="1"/>
        <w:ind w:right="0"/>
        <w:jc w:val="left"/>
      </w:pPr>
      <w:r>
        <w:rPr>
          <w:rFonts w:ascii="Times New Roman" w:hAnsi="Times New Roman" w:cs="Times New Roman" w:eastAsia="Times New Roman" w:hint="default"/>
        </w:rPr>
        <w:t>b.</w:t>
      </w:r>
      <w:r>
        <w:rPr/>
        <w:t>因转移而收到的对价，与原直接计入所有者权益的公允价值变动累计额（涉及转移的金融资产为可供出售金融资产的</w:t>
      </w:r>
    </w:p>
    <w:p>
      <w:pPr>
        <w:spacing w:after="0" w:line="240" w:lineRule="auto"/>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4" w:right="0"/>
        <w:jc w:val="left"/>
      </w:pPr>
      <w:r>
        <w:rPr/>
        <w:t>情形）之和。</w:t>
      </w:r>
    </w:p>
    <w:p>
      <w:pPr>
        <w:pStyle w:val="BodyText"/>
        <w:spacing w:line="319" w:lineRule="auto" w:before="115"/>
        <w:ind w:left="153" w:right="1131" w:firstLine="360"/>
        <w:jc w:val="both"/>
      </w:pPr>
      <w:r>
        <w:rPr>
          <w:spacing w:val="-2"/>
        </w:rPr>
        <w:t>因金融资产转移获得了新金融资产或承担了新金融负债的，在转移日按照公允价值确认该金融资产或金融负债（包括看</w:t>
      </w:r>
      <w:r>
        <w:rPr/>
        <w:t> 涨期权、看跌期权、担保负债、远期合同、互换等），并将该金融资产扣除金融负债后的净额作为上述对价的组成部分。</w:t>
      </w:r>
    </w:p>
    <w:p>
      <w:pPr>
        <w:pStyle w:val="BodyText"/>
        <w:spacing w:line="319" w:lineRule="auto" w:before="56"/>
        <w:ind w:left="153" w:right="1131" w:firstLine="360"/>
        <w:jc w:val="both"/>
      </w:pPr>
      <w:r>
        <w:rPr>
          <w:spacing w:val="-2"/>
        </w:rPr>
        <w:t>公司与金融资产转入方签订服务合同提供相关服务的（包括收取该金融资产的现金流量，并将所收取的现金流量交付给</w:t>
      </w:r>
      <w:r>
        <w:rPr/>
        <w:t> </w:t>
      </w:r>
      <w:r>
        <w:rPr>
          <w:spacing w:val="-2"/>
        </w:rPr>
        <w:t>指定的资金保管机构等），就该服务合同确认一项服务资产或服务负债。服务负债应当按照公允价值进行初始计量，并作为</w:t>
      </w:r>
      <w:r>
        <w:rPr>
          <w:spacing w:val="-66"/>
        </w:rPr>
        <w:t> </w:t>
      </w:r>
      <w:r>
        <w:rPr>
          <w:spacing w:val="-66"/>
        </w:rPr>
      </w:r>
      <w:r>
        <w:rPr/>
        <w:t>上述对价的组成部分。</w:t>
      </w:r>
    </w:p>
    <w:p>
      <w:pPr>
        <w:pStyle w:val="BodyText"/>
        <w:spacing w:line="319" w:lineRule="auto" w:before="55"/>
        <w:ind w:left="153" w:right="1131"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6"/>
        </w:rPr>
        <w:t> </w:t>
      </w:r>
      <w:r>
        <w:rPr>
          <w:spacing w:val="-66"/>
        </w:rPr>
      </w:r>
      <w:r>
        <w:rPr/>
        <w:t>金额的差额计入当期损益：</w:t>
      </w:r>
    </w:p>
    <w:p>
      <w:pPr>
        <w:pStyle w:val="BodyText"/>
        <w:spacing w:line="338" w:lineRule="auto" w:before="56"/>
        <w:ind w:right="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终止确认部分的对价，与原直接计入所有者权益的公允价值变动累计额中对应终止确认部分的金额（涉及转移的金融</w:t>
      </w:r>
    </w:p>
    <w:p>
      <w:pPr>
        <w:pStyle w:val="BodyText"/>
        <w:spacing w:line="218" w:lineRule="exact"/>
        <w:ind w:left="153" w:right="0"/>
        <w:jc w:val="left"/>
      </w:pPr>
      <w:r>
        <w:rPr/>
        <w:t>资产为可供出售金融资产的情形）之和。</w:t>
      </w:r>
    </w:p>
    <w:p>
      <w:pPr>
        <w:pStyle w:val="BodyText"/>
        <w:spacing w:line="319" w:lineRule="auto" w:before="115"/>
        <w:ind w:left="153" w:right="1131" w:firstLine="360"/>
        <w:jc w:val="both"/>
      </w:pPr>
      <w:r>
        <w:rPr>
          <w:spacing w:val="-2"/>
        </w:rPr>
        <w:t>原直接计入所有者权益的公允价值变动累计额中对应终止确认部分的金额，按照金融资产终止确认部分和未终止确认部</w:t>
      </w:r>
      <w:r>
        <w:rPr/>
        <w:t> 分的相对公允价值，对该累计额进行分摊后确定。</w:t>
      </w:r>
    </w:p>
    <w:p>
      <w:pPr>
        <w:pStyle w:val="BodyText"/>
        <w:spacing w:line="338" w:lineRule="auto" w:before="136"/>
        <w:ind w:left="514" w:right="0"/>
        <w:jc w:val="left"/>
      </w:pPr>
      <w:r>
        <w:rPr/>
        <w:t>（</w:t>
      </w:r>
      <w:r>
        <w:rPr>
          <w:rFonts w:ascii="Times New Roman" w:hAnsi="Times New Roman" w:cs="Times New Roman" w:eastAsia="Times New Roman" w:hint="default"/>
        </w:rPr>
        <w:t>5</w:t>
      </w:r>
      <w:r>
        <w:rPr/>
        <w:t>）金融负债的分类 </w:t>
      </w:r>
      <w:r>
        <w:rPr>
          <w:spacing w:val="-2"/>
        </w:rPr>
        <w:t>金融负债于初始确认时分类为：以公允价值计量且其变动计入当期损益的金融负债和其他金融负债。以公允价值计量且</w:t>
      </w:r>
    </w:p>
    <w:p>
      <w:pPr>
        <w:pStyle w:val="BodyText"/>
        <w:spacing w:line="319" w:lineRule="auto" w:before="2"/>
        <w:ind w:left="154" w:right="1131"/>
        <w:jc w:val="both"/>
      </w:pPr>
      <w:r>
        <w:rPr>
          <w:spacing w:val="-2"/>
        </w:rPr>
        <w:t>其变动计入当期损益的金融负债，包括交易性金融负债和初始确认时指定为以公允价值计量且其变动计入当期损益的金融负</w:t>
      </w:r>
      <w:r>
        <w:rPr>
          <w:spacing w:val="-64"/>
        </w:rPr>
        <w:t> </w:t>
      </w:r>
      <w:r>
        <w:rPr>
          <w:spacing w:val="-64"/>
        </w:rPr>
      </w:r>
      <w:r>
        <w:rPr/>
        <w:t>债。</w:t>
      </w:r>
    </w:p>
    <w:p>
      <w:pPr>
        <w:pStyle w:val="BodyText"/>
        <w:spacing w:line="338" w:lineRule="auto" w:before="137"/>
        <w:ind w:left="514" w:right="0"/>
        <w:jc w:val="left"/>
      </w:pPr>
      <w:r>
        <w:rPr/>
        <w:t>（</w:t>
      </w:r>
      <w:r>
        <w:rPr>
          <w:rFonts w:ascii="Times New Roman" w:hAnsi="Times New Roman" w:cs="Times New Roman" w:eastAsia="Times New Roman" w:hint="default"/>
        </w:rPr>
        <w:t>6</w:t>
      </w:r>
      <w:r>
        <w:rPr/>
        <w:t>）金融负债的计量 </w:t>
      </w:r>
      <w:r>
        <w:rPr>
          <w:spacing w:val="-2"/>
        </w:rPr>
        <w:t>金融负债于本公司成为金融工具合同的一方时，按公允价值在资产负债表内确认。以公允价值计量且其变动计入当期损</w:t>
      </w:r>
    </w:p>
    <w:p>
      <w:pPr>
        <w:pStyle w:val="BodyText"/>
        <w:spacing w:line="357" w:lineRule="auto" w:before="4"/>
        <w:ind w:right="0" w:hanging="360"/>
        <w:jc w:val="left"/>
      </w:pPr>
      <w:r>
        <w:rPr/>
        <w:t>益的金融负债，取得时发生的相关交易费用直接计入当期损益；其他金融负债的相关交易费用计入初始确认金额。 </w:t>
      </w:r>
      <w:r>
        <w:rPr>
          <w:spacing w:val="-2"/>
        </w:rPr>
        <w:t>以公允价值计量且其变动计入当期损益的金融负债，按照公允价值后续计量，且不扣除将来结清金融负债时可能发生的</w:t>
      </w:r>
    </w:p>
    <w:p>
      <w:pPr>
        <w:pStyle w:val="BodyText"/>
        <w:spacing w:line="225" w:lineRule="exact"/>
        <w:ind w:left="153" w:right="0"/>
        <w:jc w:val="left"/>
      </w:pPr>
      <w:r>
        <w:rPr/>
        <w:t>交易费用。其他金融负债，采用实际利率法，按照摊余成本进行后续计量。</w:t>
      </w:r>
    </w:p>
    <w:p>
      <w:pPr>
        <w:spacing w:line="240" w:lineRule="auto" w:before="12"/>
        <w:rPr>
          <w:rFonts w:ascii="宋体" w:hAnsi="宋体" w:cs="宋体" w:eastAsia="宋体" w:hint="default"/>
          <w:sz w:val="14"/>
          <w:szCs w:val="14"/>
        </w:rPr>
      </w:pPr>
    </w:p>
    <w:p>
      <w:pPr>
        <w:pStyle w:val="BodyText"/>
        <w:spacing w:line="338" w:lineRule="auto"/>
        <w:ind w:left="514" w:right="0"/>
        <w:jc w:val="left"/>
      </w:pPr>
      <w:r>
        <w:rPr/>
        <w:t>（</w:t>
      </w:r>
      <w:r>
        <w:rPr>
          <w:rFonts w:ascii="Times New Roman" w:hAnsi="Times New Roman" w:cs="Times New Roman" w:eastAsia="Times New Roman" w:hint="default"/>
        </w:rPr>
        <w:t>7</w:t>
      </w:r>
      <w:r>
        <w:rPr/>
        <w:t>）金融资产和金融负债的公允价值的确定方法 </w:t>
      </w:r>
      <w:r>
        <w:rPr>
          <w:spacing w:val="-2"/>
        </w:rPr>
        <w:t>存在活跃市场的金融资产或金融负债，采用活跃市场中的报价确定其公允价值。金融工具不存在活跃市场的，采用估值</w:t>
      </w:r>
    </w:p>
    <w:p>
      <w:pPr>
        <w:pStyle w:val="BodyText"/>
        <w:spacing w:line="319" w:lineRule="auto" w:before="2"/>
        <w:ind w:left="154" w:right="1132"/>
        <w:jc w:val="both"/>
      </w:pPr>
      <w:r>
        <w:rPr>
          <w:spacing w:val="-2"/>
        </w:rPr>
        <w:t>技术确定其公允价值，估值技术包括参考熟悉情况并自愿交易的各方最近进行的市场交易中使用的价格、参照实质上相同的</w:t>
      </w:r>
      <w:r>
        <w:rPr>
          <w:spacing w:val="-64"/>
        </w:rPr>
        <w:t> </w:t>
      </w:r>
      <w:r>
        <w:rPr>
          <w:spacing w:val="-64"/>
        </w:rPr>
      </w:r>
      <w:r>
        <w:rPr/>
        <w:t>其他金融工具的当前公允价值、现金流量折现法和期权定价模型等。</w:t>
      </w:r>
    </w:p>
    <w:p>
      <w:pPr>
        <w:pStyle w:val="BodyText"/>
        <w:spacing w:line="338" w:lineRule="auto" w:before="137"/>
        <w:ind w:left="514" w:right="0"/>
        <w:jc w:val="left"/>
      </w:pPr>
      <w:r>
        <w:rPr/>
        <w:t>（</w:t>
      </w:r>
      <w:r>
        <w:rPr>
          <w:rFonts w:ascii="Times New Roman" w:hAnsi="Times New Roman" w:cs="Times New Roman" w:eastAsia="Times New Roman" w:hint="default"/>
        </w:rPr>
        <w:t>8</w:t>
      </w:r>
      <w:r>
        <w:rPr/>
        <w:t>）金融资产减值测试方法及会计处理方法 </w:t>
      </w:r>
      <w:r>
        <w:rPr>
          <w:spacing w:val="-2"/>
        </w:rPr>
        <w:t>除以公允价值计量且其变动计入当期损益的金融资产外，本公司于资产负债表日对金融资产的账面价值进行检查，如果</w:t>
      </w:r>
    </w:p>
    <w:p>
      <w:pPr>
        <w:pStyle w:val="BodyText"/>
        <w:spacing w:line="357" w:lineRule="auto" w:before="4"/>
        <w:ind w:left="514" w:right="0" w:hanging="360"/>
        <w:jc w:val="left"/>
      </w:pPr>
      <w:r>
        <w:rPr/>
        <w:t>有客观证据表明某项金融资产发生减值的，计提减值准备。 </w:t>
      </w: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p>
    <w:p>
      <w:pPr>
        <w:pStyle w:val="BodyText"/>
        <w:spacing w:line="201" w:lineRule="exact"/>
        <w:ind w:left="154" w:right="0"/>
        <w:jc w:val="left"/>
      </w:pPr>
      <w:r>
        <w:rPr/>
        <w:t>额，计提减值准备。如果有客观证据表明该金融资产价值已恢复，且客观上与确认该损失后发生的事项有关，原确认的减值</w:t>
      </w:r>
    </w:p>
    <w:p>
      <w:pPr>
        <w:pStyle w:val="BodyText"/>
        <w:spacing w:line="357" w:lineRule="auto" w:before="77"/>
        <w:ind w:left="514" w:right="0" w:hanging="360"/>
        <w:jc w:val="left"/>
      </w:pPr>
      <w:r>
        <w:rPr/>
        <w:t>损失予以转回，计入当期损益。 </w:t>
      </w:r>
      <w:r>
        <w:rPr>
          <w:spacing w:val="-2"/>
        </w:rPr>
        <w:t>当可供出售金融资产的公允价值发生较大幅度或非暂时性下降，原直接计入所有者权益的因公允价值下降形成的累计损</w:t>
      </w:r>
    </w:p>
    <w:p>
      <w:pPr>
        <w:pStyle w:val="BodyText"/>
        <w:spacing w:line="224" w:lineRule="exact"/>
        <w:ind w:left="154" w:right="0"/>
        <w:jc w:val="left"/>
      </w:pPr>
      <w:r>
        <w:rPr/>
        <w:t>失计入减值损失。对已确认减值损失的可供出售债务工具投资，在期后公允价值上升且客观上与确认原减值损失确认后发生</w:t>
      </w:r>
    </w:p>
    <w:p>
      <w:pPr>
        <w:pStyle w:val="BodyText"/>
        <w:spacing w:line="319" w:lineRule="auto" w:before="76"/>
        <w:ind w:left="154" w:right="1131"/>
        <w:jc w:val="both"/>
      </w:pPr>
      <w:r>
        <w:rPr>
          <w:spacing w:val="-2"/>
        </w:rPr>
        <w:t>的事项有关的，原确认的减值损失予以转回，计入当期损益。对已确认减值损失的可供出售权益工具投资，在期后公允价值</w:t>
      </w:r>
      <w:r>
        <w:rPr>
          <w:spacing w:val="-66"/>
        </w:rPr>
        <w:t> </w:t>
      </w:r>
      <w:r>
        <w:rPr>
          <w:spacing w:val="-66"/>
        </w:rPr>
      </w:r>
      <w:r>
        <w:rPr>
          <w:spacing w:val="-2"/>
        </w:rPr>
        <w:t>上升且客观上与确认原减值损失后发生的事项有关的，原确认的减值损失予以转回，直接计入所有者权益。在活跃市场中没</w:t>
      </w:r>
      <w:r>
        <w:rPr>
          <w:spacing w:val="-66"/>
        </w:rPr>
        <w:t> </w:t>
      </w:r>
      <w:r>
        <w:rPr>
          <w:spacing w:val="-66"/>
        </w:rPr>
      </w:r>
      <w:r>
        <w:rPr/>
        <w:t>有报价且其公允价值不能可靠计量的权益工具投资发生的减值损失，如果在以后期间价值得以恢复，也不予转回。</w:t>
      </w:r>
    </w:p>
    <w:p>
      <w:pPr>
        <w:spacing w:after="0" w:line="319" w:lineRule="auto"/>
        <w:jc w:val="both"/>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可供出售金融资产</w:t>
      </w:r>
      <w:r>
        <w:rPr>
          <w:rFonts w:ascii="Times New Roman" w:hAnsi="Times New Roman" w:cs="Times New Roman" w:eastAsia="Times New Roman" w:hint="default"/>
        </w:rPr>
        <w:t>-</w:t>
      </w:r>
      <w:r>
        <w:rPr/>
        <w:t>权益工具投资减值认定标准：</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829"/>
        <w:gridCol w:w="5812"/>
      </w:tblGrid>
      <w:tr>
        <w:trPr>
          <w:trHeight w:val="342" w:hRule="exact"/>
        </w:trPr>
        <w:tc>
          <w:tcPr>
            <w:tcW w:w="3829" w:type="dxa"/>
            <w:tcBorders>
              <w:top w:val="single" w:sz="4" w:space="0" w:color="000000"/>
              <w:left w:val="single" w:sz="4" w:space="0" w:color="000000"/>
              <w:bottom w:val="single" w:sz="4" w:space="0" w:color="000000"/>
              <w:right w:val="single" w:sz="4" w:space="0" w:color="000000"/>
            </w:tcBorders>
            <w:shd w:val="clear" w:color="auto" w:fill="C6C6C6"/>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当公允价值低于其初始投资成本超过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（含</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shd w:val="clear" w:color="auto" w:fill="C6C6C6"/>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低于其初始投资成本持续时间超过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个月（含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个月）的</w:t>
            </w:r>
          </w:p>
        </w:tc>
      </w:tr>
      <w:tr>
        <w:trPr>
          <w:trHeight w:val="660" w:hRule="exact"/>
        </w:trPr>
        <w:tc>
          <w:tcPr>
            <w:tcW w:w="3829" w:type="dxa"/>
            <w:tcBorders>
              <w:top w:val="single" w:sz="4" w:space="0" w:color="000000"/>
              <w:left w:val="single" w:sz="4" w:space="0" w:color="000000"/>
              <w:bottom w:val="single" w:sz="8" w:space="0" w:color="FFFFFF"/>
              <w:right w:val="single" w:sz="4" w:space="0" w:color="000000"/>
            </w:tcBorders>
            <w:shd w:val="clear" w:color="auto" w:fill="C6C6C6"/>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812" w:type="dxa"/>
            <w:tcBorders>
              <w:top w:val="single" w:sz="4" w:space="0" w:color="000000"/>
              <w:left w:val="single" w:sz="4" w:space="0" w:color="000000"/>
              <w:bottom w:val="single" w:sz="8" w:space="0" w:color="FFFFFF"/>
              <w:right w:val="single" w:sz="4" w:space="0" w:color="000000"/>
            </w:tcBorders>
          </w:tcPr>
          <w:p>
            <w:pPr>
              <w:pStyle w:val="TableParagraph"/>
              <w:spacing w:line="319" w:lineRule="auto" w:before="21"/>
              <w:ind w:left="4" w:right="7"/>
              <w:jc w:val="left"/>
              <w:rPr>
                <w:rFonts w:ascii="宋体" w:hAnsi="宋体" w:cs="宋体" w:eastAsia="宋体" w:hint="default"/>
                <w:sz w:val="18"/>
                <w:szCs w:val="18"/>
              </w:rPr>
            </w:pPr>
            <w:r>
              <w:rPr>
                <w:rFonts w:ascii="宋体" w:hAnsi="宋体" w:cs="宋体" w:eastAsia="宋体" w:hint="default"/>
                <w:sz w:val="18"/>
                <w:szCs w:val="18"/>
              </w:rPr>
              <w:t>成本指权益工具投资依据准则规定确定的账面初始投资成本扣除已收回或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摊销金额</w:t>
            </w:r>
          </w:p>
        </w:tc>
      </w:tr>
      <w:tr>
        <w:trPr>
          <w:trHeight w:val="654" w:hRule="exact"/>
        </w:trPr>
        <w:tc>
          <w:tcPr>
            <w:tcW w:w="3829" w:type="dxa"/>
            <w:tcBorders>
              <w:top w:val="single" w:sz="8" w:space="0" w:color="FFFFFF"/>
              <w:left w:val="single" w:sz="4" w:space="0" w:color="000000"/>
              <w:bottom w:val="single" w:sz="8" w:space="0" w:color="FFFFFF"/>
              <w:right w:val="single" w:sz="4" w:space="0" w:color="000000"/>
            </w:tcBorders>
            <w:shd w:val="clear" w:color="auto" w:fill="C6C6C6"/>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812" w:type="dxa"/>
            <w:tcBorders>
              <w:top w:val="single" w:sz="8" w:space="0" w:color="FFFFFF"/>
              <w:left w:val="single" w:sz="4" w:space="0" w:color="000000"/>
              <w:bottom w:val="single" w:sz="8" w:space="0" w:color="FFFFFF"/>
              <w:right w:val="single" w:sz="4" w:space="0" w:color="000000"/>
            </w:tcBorders>
          </w:tcPr>
          <w:p>
            <w:pPr>
              <w:pStyle w:val="TableParagraph"/>
              <w:spacing w:line="316" w:lineRule="auto" w:before="10"/>
              <w:ind w:left="4" w:right="7"/>
              <w:jc w:val="left"/>
              <w:rPr>
                <w:rFonts w:ascii="宋体" w:hAnsi="宋体" w:cs="宋体" w:eastAsia="宋体" w:hint="default"/>
                <w:sz w:val="18"/>
                <w:szCs w:val="18"/>
              </w:rPr>
            </w:pPr>
            <w:r>
              <w:rPr>
                <w:rFonts w:ascii="宋体" w:hAnsi="宋体" w:cs="宋体" w:eastAsia="宋体" w:hint="default"/>
                <w:sz w:val="18"/>
                <w:szCs w:val="18"/>
              </w:rPr>
              <w:t>存在活跃市场的按期末市场公开价格确定；不存在活跃市场的按照类似金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融资产当时的市场收益率对未来现金流量进行折现确定为公允价值</w:t>
            </w:r>
          </w:p>
        </w:tc>
      </w:tr>
      <w:tr>
        <w:trPr>
          <w:trHeight w:val="649" w:hRule="exact"/>
        </w:trPr>
        <w:tc>
          <w:tcPr>
            <w:tcW w:w="3829" w:type="dxa"/>
            <w:tcBorders>
              <w:top w:val="single" w:sz="8" w:space="0" w:color="FFFFFF"/>
              <w:left w:val="single" w:sz="4" w:space="0" w:color="000000"/>
              <w:bottom w:val="single" w:sz="4" w:space="0" w:color="000000"/>
              <w:right w:val="single" w:sz="4" w:space="0" w:color="000000"/>
            </w:tcBorders>
            <w:shd w:val="clear" w:color="auto" w:fill="C6C6C6"/>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812" w:type="dxa"/>
            <w:tcBorders>
              <w:top w:val="single" w:sz="8" w:space="0" w:color="FFFFFF"/>
              <w:left w:val="single" w:sz="4" w:space="0" w:color="000000"/>
              <w:bottom w:val="single" w:sz="4" w:space="0" w:color="000000"/>
              <w:right w:val="single" w:sz="4" w:space="0" w:color="000000"/>
            </w:tcBorders>
          </w:tcPr>
          <w:p>
            <w:pPr>
              <w:pStyle w:val="TableParagraph"/>
              <w:spacing w:line="300" w:lineRule="auto" w:before="10"/>
              <w:ind w:left="4" w:right="5"/>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，反弹持续时间未 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个月的均作为持续下跌期间</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11、应收款项" w:id="170"/>
      <w:bookmarkEnd w:id="17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112"/>
        <w:gridCol w:w="5457"/>
      </w:tblGrid>
      <w:tr>
        <w:trPr>
          <w:trHeight w:val="81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对于单项金额重大的应收款项（应收账款金额在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w:t>
            </w:r>
          </w:p>
          <w:p>
            <w:pPr>
              <w:pStyle w:val="TableParagraph"/>
              <w:spacing w:line="240" w:lineRule="exact" w:before="13"/>
              <w:ind w:left="22" w:right="23"/>
              <w:jc w:val="left"/>
              <w:rPr>
                <w:rFonts w:ascii="宋体" w:hAnsi="宋体" w:cs="宋体" w:eastAsia="宋体" w:hint="default"/>
                <w:sz w:val="18"/>
                <w:szCs w:val="18"/>
              </w:rPr>
            </w:pPr>
            <w:r>
              <w:rPr>
                <w:rFonts w:ascii="宋体" w:hAnsi="宋体" w:cs="宋体" w:eastAsia="宋体" w:hint="default"/>
                <w:sz w:val="18"/>
                <w:szCs w:val="18"/>
              </w:rPr>
              <w:t>应收款金额在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万元以上），当存在客观证据表明本公司将无法按应</w:t>
            </w:r>
            <w:r>
              <w:rPr>
                <w:rFonts w:ascii="宋体" w:hAnsi="宋体" w:cs="宋体" w:eastAsia="宋体" w:hint="default"/>
                <w:sz w:val="18"/>
                <w:szCs w:val="18"/>
              </w:rPr>
              <w:t> 收款项的原有条款收回所有款项时，确认相应的坏账准备。</w:t>
            </w:r>
          </w:p>
        </w:tc>
      </w:tr>
      <w:tr>
        <w:trPr>
          <w:trHeight w:val="715"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根据该款项预计未来现金流量现值低于其账面价值的差额，单独进行 减值测试，计提坏账准备。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按账龄进行组合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关联方、押金备用金的组合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514" w:right="0"/>
        <w:jc w:val="left"/>
      </w:pPr>
      <w:r>
        <w:rPr/>
        <w:t>组合中，采用账龄分析法计提坏账准备的：</w:t>
      </w:r>
    </w:p>
    <w:p>
      <w:pPr>
        <w:pStyle w:val="BodyText"/>
        <w:spacing w:line="240" w:lineRule="auto" w:before="11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514" w:right="0"/>
        <w:jc w:val="left"/>
      </w:pPr>
      <w:r>
        <w:rPr/>
        <w:t>组合中，采用余额百分比法计提坏账准备的：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单项金额不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对于单项金额虽不重大的应收款项，当存在客观证据表明本公司将无法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按应收款项的原有条款收回所有款项时，确认相应的坏账准备。</w:t>
            </w:r>
          </w:p>
        </w:tc>
      </w:tr>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根据该款项预计未来现金流量现值低于其账面价值的差额，单独进行减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值测试，计提坏账准备。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74"/>
      <w:bookmarkEnd w:id="17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514" w:right="3012"/>
        <w:jc w:val="left"/>
      </w:pPr>
      <w:r>
        <w:rPr/>
        <w:t>（</w:t>
      </w:r>
      <w:r>
        <w:rPr>
          <w:rFonts w:ascii="Times New Roman" w:hAnsi="Times New Roman" w:cs="Times New Roman" w:eastAsia="Times New Roman" w:hint="default"/>
        </w:rPr>
        <w:t>1</w:t>
      </w:r>
      <w:r>
        <w:rPr/>
        <w:t>）存货的类别 存货包括原材料、在产品、产成品、发出商品和周转材料等，按成本与可变现净值孰低列示。</w:t>
      </w:r>
    </w:p>
    <w:p>
      <w:pPr>
        <w:pStyle w:val="BodyText"/>
        <w:spacing w:line="338" w:lineRule="auto" w:before="40"/>
        <w:ind w:left="514" w:right="0"/>
        <w:jc w:val="left"/>
      </w:pPr>
      <w:r>
        <w:rPr/>
        <w:t>（</w:t>
      </w:r>
      <w:r>
        <w:rPr>
          <w:rFonts w:ascii="Times New Roman" w:hAnsi="Times New Roman" w:cs="Times New Roman" w:eastAsia="Times New Roman" w:hint="default"/>
        </w:rPr>
        <w:t>2</w:t>
      </w:r>
      <w:r>
        <w:rPr/>
        <w:t>）发出存货的计价方法 </w:t>
      </w:r>
      <w:r>
        <w:rPr>
          <w:spacing w:val="-2"/>
        </w:rPr>
        <w:t>存货发出时的成本按加权平均法核算，产成品和在产品成本包括原材料、直接人工以及在正常生产能力下按照一定方法</w:t>
      </w:r>
    </w:p>
    <w:p>
      <w:pPr>
        <w:pStyle w:val="BodyText"/>
        <w:spacing w:line="240" w:lineRule="auto" w:before="4"/>
        <w:ind w:left="154" w:right="0"/>
        <w:jc w:val="left"/>
      </w:pPr>
      <w:r>
        <w:rPr/>
        <w:t>分配的制造费用。周转材料包括低值易耗品和包装物等。</w:t>
      </w:r>
    </w:p>
    <w:p>
      <w:pPr>
        <w:pStyle w:val="BodyText"/>
        <w:spacing w:line="338" w:lineRule="auto" w:before="117"/>
        <w:ind w:left="514"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存货成本高于其可变现净值的，计提存货跌价准备，计入当期损益。可变现净值，是指在日常活动中，存货的估计售价</w:t>
      </w:r>
    </w:p>
    <w:p>
      <w:pPr>
        <w:pStyle w:val="BodyText"/>
        <w:spacing w:line="319" w:lineRule="auto" w:before="2"/>
        <w:ind w:left="154" w:right="0"/>
        <w:jc w:val="left"/>
      </w:pPr>
      <w:r>
        <w:rPr>
          <w:spacing w:val="-2"/>
        </w:rPr>
        <w:t>减去至完工时估计将要发生的成本、估计的销售费用以及相关税费后的金额。公司确定存货的可变现净值，以取得的确凿证</w:t>
      </w:r>
      <w:r>
        <w:rPr>
          <w:spacing w:val="-66"/>
        </w:rPr>
        <w:t> </w:t>
      </w:r>
      <w:r>
        <w:rPr>
          <w:spacing w:val="-66"/>
        </w:rPr>
      </w:r>
      <w:r>
        <w:rPr/>
        <w:t>据为基础，并且考虑持有存货的目的、资产负债表日后事项的影响等因素。</w:t>
      </w:r>
    </w:p>
    <w:p>
      <w:pPr>
        <w:pStyle w:val="BodyText"/>
        <w:spacing w:line="319" w:lineRule="auto" w:before="55"/>
        <w:ind w:left="153" w:right="0" w:firstLine="360"/>
        <w:jc w:val="left"/>
      </w:pPr>
      <w:r>
        <w:rPr>
          <w:spacing w:val="-2"/>
        </w:rPr>
        <w:t>为生产而持有的材料等，用其生产的产成品的可变现净值高于成本的，该材料仍然按照成本计量；材料价格的下降表明</w:t>
      </w:r>
      <w:r>
        <w:rPr/>
        <w:t> 产成品的可变现净值低于成本的，该材料按照可变现净值计量。</w:t>
      </w:r>
    </w:p>
    <w:p>
      <w:pPr>
        <w:pStyle w:val="BodyText"/>
        <w:spacing w:line="319" w:lineRule="auto" w:before="56"/>
        <w:ind w:left="154" w:right="0" w:firstLine="360"/>
        <w:jc w:val="left"/>
      </w:pPr>
      <w:r>
        <w:rPr>
          <w:spacing w:val="-2"/>
        </w:rPr>
        <w:t>为执行销售合同或者劳务合同而持有的存货，其可变现净值以合同价格为基础计算。持有存货的数量多于销售合同订购</w:t>
      </w:r>
      <w:r>
        <w:rPr/>
        <w:t> 数量的，超出部分的存货的可变现净值以一般销售价格为基础计算。</w:t>
      </w:r>
    </w:p>
    <w:p>
      <w:pPr>
        <w:pStyle w:val="BodyText"/>
        <w:spacing w:line="338" w:lineRule="auto" w:before="56"/>
        <w:ind w:left="514" w:right="7872"/>
        <w:jc w:val="left"/>
      </w:pPr>
      <w:r>
        <w:rPr/>
        <w:t>（</w:t>
      </w:r>
      <w:r>
        <w:rPr>
          <w:rFonts w:ascii="Times New Roman" w:hAnsi="Times New Roman" w:cs="Times New Roman" w:eastAsia="Times New Roman" w:hint="default"/>
        </w:rPr>
        <w:t>4</w:t>
      </w:r>
      <w:r>
        <w:rPr/>
        <w:t>）存货的盘存制度 存货盘存制度采用永续盘存制。</w:t>
      </w:r>
    </w:p>
    <w:p>
      <w:pPr>
        <w:pStyle w:val="BodyText"/>
        <w:spacing w:line="348" w:lineRule="auto" w:before="43"/>
        <w:ind w:right="6613"/>
        <w:jc w:val="left"/>
      </w:pPr>
      <w:r>
        <w:rPr/>
        <w:t>（</w:t>
      </w:r>
      <w:r>
        <w:rPr>
          <w:rFonts w:ascii="Times New Roman" w:hAnsi="Times New Roman" w:cs="Times New Roman" w:eastAsia="Times New Roman" w:hint="default"/>
        </w:rPr>
        <w:t>5</w:t>
      </w:r>
      <w:r>
        <w:rPr/>
        <w:t>）低值易耗品和包装物的摊销方法 低值易耗品在领用时采用一次转销法核算成本。 包装物在领用时采用一次转销法核算成本。</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3、划分为持有待售资产" w:id="175"/>
      <w:bookmarkEnd w:id="17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同时满足下列条件的资产，确认为持有待售资产：</w:t>
      </w:r>
    </w:p>
    <w:p>
      <w:pPr>
        <w:pStyle w:val="BodyText"/>
        <w:spacing w:line="240" w:lineRule="auto" w:before="117"/>
        <w:ind w:left="514" w:right="0"/>
        <w:jc w:val="left"/>
      </w:pPr>
      <w:r>
        <w:rPr/>
        <w:t>（</w:t>
      </w:r>
      <w:r>
        <w:rPr>
          <w:rFonts w:ascii="宋体" w:hAnsi="宋体" w:cs="宋体" w:eastAsia="宋体" w:hint="default"/>
        </w:rPr>
        <w:t>1</w:t>
      </w:r>
      <w:r>
        <w:rPr/>
        <w:t>）该资产必须在其当期状况下仅根据出售此类资产的通常和惯用条款即可立即出售；</w:t>
      </w:r>
    </w:p>
    <w:p>
      <w:pPr>
        <w:pStyle w:val="BodyText"/>
        <w:spacing w:line="240" w:lineRule="auto" w:before="116"/>
        <w:ind w:right="0"/>
        <w:jc w:val="left"/>
      </w:pPr>
      <w:r>
        <w:rPr/>
        <w:t>（</w:t>
      </w:r>
      <w:r>
        <w:rPr>
          <w:rFonts w:ascii="宋体" w:hAnsi="宋体" w:cs="宋体" w:eastAsia="宋体" w:hint="default"/>
        </w:rPr>
        <w:t>2</w:t>
      </w:r>
      <w:r>
        <w:rPr/>
        <w:t>）公司已经就处置该部分资产作出决议；</w:t>
      </w:r>
    </w:p>
    <w:p>
      <w:pPr>
        <w:pStyle w:val="BodyText"/>
        <w:spacing w:line="240" w:lineRule="auto" w:before="116"/>
        <w:ind w:left="514" w:right="0"/>
        <w:jc w:val="left"/>
      </w:pPr>
      <w:r>
        <w:rPr/>
        <w:t>（</w:t>
      </w:r>
      <w:r>
        <w:rPr>
          <w:rFonts w:ascii="宋体" w:hAnsi="宋体" w:cs="宋体" w:eastAsia="宋体" w:hint="default"/>
        </w:rPr>
        <w:t>3</w:t>
      </w:r>
      <w:r>
        <w:rPr/>
        <w:t>）公司已经与受让方签订了不可撤销的转让协议；</w:t>
      </w:r>
    </w:p>
    <w:p>
      <w:pPr>
        <w:pStyle w:val="BodyText"/>
        <w:spacing w:line="240" w:lineRule="auto" w:before="117"/>
        <w:ind w:left="514" w:right="0"/>
        <w:jc w:val="left"/>
      </w:pPr>
      <w:r>
        <w:rPr/>
        <w:t>（</w:t>
      </w:r>
      <w:r>
        <w:rPr>
          <w:rFonts w:ascii="宋体" w:hAnsi="宋体" w:cs="宋体" w:eastAsia="宋体" w:hint="default"/>
        </w:rPr>
        <w:t>4</w:t>
      </w:r>
      <w:r>
        <w:rPr/>
        <w:t>）该项转让将在一年内完成。</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176"/>
      <w:bookmarkEnd w:id="17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0"/>
        <w:jc w:val="left"/>
      </w:pPr>
      <w:r>
        <w:rPr/>
        <w:t>（</w:t>
      </w:r>
      <w:r>
        <w:rPr>
          <w:rFonts w:ascii="Times New Roman" w:hAnsi="Times New Roman" w:cs="Times New Roman" w:eastAsia="Times New Roman" w:hint="default"/>
        </w:rPr>
        <w:t>1</w:t>
      </w:r>
      <w:r>
        <w:rPr/>
        <w:t>）共同控制、重大影响的判断标准 </w:t>
      </w:r>
      <w:r>
        <w:rPr>
          <w:spacing w:val="-2"/>
        </w:rPr>
        <w:t>按照相关约定对某项安排所共有的控制，并且该安排的相关活动必须经过分享控制权的参与方一致同意后才能决策，则</w:t>
      </w:r>
    </w:p>
    <w:p>
      <w:pPr>
        <w:pStyle w:val="BodyText"/>
        <w:spacing w:line="357" w:lineRule="auto" w:before="4"/>
        <w:ind w:right="0" w:hanging="360"/>
        <w:jc w:val="left"/>
      </w:pPr>
      <w:r>
        <w:rPr/>
        <w:t>视为共同控制。如果存在两个或两个以上的参与方组合能够集体控制某项安排的，不视为共同控制。 </w:t>
      </w:r>
      <w:r>
        <w:rPr>
          <w:spacing w:val="-2"/>
        </w:rPr>
        <w:t>对被投资单位的财务和经营政策有参与决策的权力，但并不能够控制或者与其他方一起共同控制这些政策的制定，则视</w:t>
      </w:r>
    </w:p>
    <w:p>
      <w:pPr>
        <w:spacing w:after="0" w:line="357" w:lineRule="auto"/>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4" w:right="0"/>
        <w:jc w:val="left"/>
      </w:pPr>
      <w:r>
        <w:rPr/>
        <w:t>为对被投资单位实施重大影响。</w:t>
      </w:r>
    </w:p>
    <w:p>
      <w:pPr>
        <w:spacing w:line="240" w:lineRule="auto" w:before="12"/>
        <w:rPr>
          <w:rFonts w:ascii="宋体" w:hAnsi="宋体" w:cs="宋体" w:eastAsia="宋体" w:hint="default"/>
          <w:sz w:val="14"/>
          <w:szCs w:val="14"/>
        </w:rPr>
      </w:pPr>
    </w:p>
    <w:p>
      <w:pPr>
        <w:pStyle w:val="BodyText"/>
        <w:spacing w:line="338" w:lineRule="auto"/>
        <w:ind w:left="514" w:right="0"/>
        <w:jc w:val="left"/>
      </w:pPr>
      <w:r>
        <w:rPr/>
        <w:t>（</w:t>
      </w:r>
      <w:r>
        <w:rPr>
          <w:rFonts w:ascii="Times New Roman" w:hAnsi="Times New Roman" w:cs="Times New Roman" w:eastAsia="Times New Roman" w:hint="default"/>
        </w:rPr>
        <w:t>2</w:t>
      </w:r>
      <w:r>
        <w:rPr/>
        <w:t>）初始投资成本确定 企业合并形成的长期股权投资，按照本附注</w:t>
      </w:r>
      <w:r>
        <w:rPr>
          <w:rFonts w:ascii="Times New Roman" w:hAnsi="Times New Roman" w:cs="Times New Roman" w:eastAsia="Times New Roman" w:hint="default"/>
        </w:rPr>
        <w:t>“3.4</w:t>
      </w:r>
      <w:r>
        <w:rPr/>
        <w:t>同一控制下和非同一控制下企业合并的会计处理方法</w:t>
      </w:r>
      <w:r>
        <w:rPr>
          <w:rFonts w:ascii="Times New Roman" w:hAnsi="Times New Roman" w:cs="Times New Roman" w:eastAsia="Times New Roman" w:hint="default"/>
        </w:rPr>
        <w:t>”</w:t>
      </w:r>
      <w:r>
        <w:rPr/>
        <w:t>的相关内容确认</w:t>
      </w:r>
    </w:p>
    <w:p>
      <w:pPr>
        <w:pStyle w:val="BodyText"/>
        <w:spacing w:line="218" w:lineRule="exact"/>
        <w:ind w:left="153" w:right="0"/>
        <w:jc w:val="left"/>
      </w:pPr>
      <w:r>
        <w:rPr/>
        <w:t>初始投资成本；除企业合并形成的长期股权投资以外，其他方式取得的长期股权投资，按照下述方法确认其初始投资成本：</w:t>
      </w:r>
    </w:p>
    <w:p>
      <w:pPr>
        <w:pStyle w:val="BodyText"/>
        <w:spacing w:line="302" w:lineRule="auto" w:before="116"/>
        <w:ind w:left="154" w:right="1131" w:firstLine="360"/>
        <w:jc w:val="both"/>
      </w:pPr>
      <w:r>
        <w:rPr>
          <w:rFonts w:ascii="Times New Roman" w:hAnsi="Times New Roman" w:cs="Times New Roman" w:eastAsia="Times New Roman" w:hint="default"/>
          <w:spacing w:val="-1"/>
        </w:rPr>
        <w:t>a.</w:t>
      </w:r>
      <w:r>
        <w:rPr>
          <w:spacing w:val="-1"/>
        </w:rPr>
        <w:t>以支付现金取得的长期股权投资，应当按照实际支付的购买价款作为初始投资成本。初始投资成本包括与取得长期股</w:t>
      </w:r>
      <w:r>
        <w:rPr/>
        <w:t> 权投资直接相关的费用、税金及其他必要支出。</w:t>
      </w:r>
    </w:p>
    <w:p>
      <w:pPr>
        <w:pStyle w:val="BodyText"/>
        <w:spacing w:line="302" w:lineRule="auto" w:before="68"/>
        <w:ind w:left="154" w:right="1131" w:firstLine="360"/>
        <w:jc w:val="both"/>
      </w:pPr>
      <w:r>
        <w:rPr>
          <w:rFonts w:ascii="Times New Roman" w:hAnsi="Times New Roman" w:cs="Times New Roman" w:eastAsia="Times New Roman" w:hint="default"/>
          <w:spacing w:val="-1"/>
        </w:rPr>
        <w:t>b.</w:t>
      </w:r>
      <w:r>
        <w:rPr>
          <w:spacing w:val="-1"/>
        </w:rPr>
        <w:t>以发行权益性证券取得的长期股权投资，应当按照发行权益性证券的公允价值作为初始投资成本。与发行权益行证券</w:t>
      </w:r>
      <w:r>
        <w:rPr/>
        <w:t> 直接相关的费用，应当按照《企业会计准则第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w:t>
      </w:r>
    </w:p>
    <w:p>
      <w:pPr>
        <w:pStyle w:val="BodyText"/>
        <w:spacing w:line="309" w:lineRule="auto" w:before="49"/>
        <w:ind w:left="153" w:right="1132" w:firstLine="360"/>
        <w:jc w:val="both"/>
      </w:pPr>
      <w:r>
        <w:rPr>
          <w:rFonts w:ascii="Times New Roman" w:hAnsi="Times New Roman" w:cs="Times New Roman" w:eastAsia="Times New Roman" w:hint="default"/>
          <w:spacing w:val="-1"/>
        </w:rPr>
        <w:t>c.</w:t>
      </w:r>
      <w:r>
        <w:rPr>
          <w:spacing w:val="-1"/>
        </w:rPr>
        <w:t>在非货币性资产交换具备商业实质和换入资产或换出资产的公允价值能够可靠计量的前提下，非货币性资产交换换入</w:t>
      </w:r>
      <w:r>
        <w:rPr/>
        <w:t> </w:t>
      </w: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pStyle w:val="BodyText"/>
        <w:spacing w:line="240" w:lineRule="auto" w:before="65"/>
        <w:ind w:right="0"/>
        <w:jc w:val="left"/>
      </w:pPr>
      <w:r>
        <w:rPr>
          <w:rFonts w:ascii="Times New Roman" w:hAnsi="Times New Roman" w:cs="Times New Roman" w:eastAsia="Times New Roman" w:hint="default"/>
        </w:rPr>
        <w:t>d.</w:t>
      </w:r>
      <w:r>
        <w:rPr/>
        <w:t>通过债务重组取得的长期股权投资，其初始投资成本按照公允价值为基础确定。</w:t>
      </w:r>
    </w:p>
    <w:p>
      <w:pPr>
        <w:spacing w:line="240" w:lineRule="auto" w:before="12"/>
        <w:rPr>
          <w:rFonts w:ascii="宋体" w:hAnsi="宋体" w:cs="宋体" w:eastAsia="宋体" w:hint="default"/>
          <w:sz w:val="13"/>
          <w:szCs w:val="13"/>
        </w:rPr>
      </w:pPr>
    </w:p>
    <w:p>
      <w:pPr>
        <w:pStyle w:val="BodyText"/>
        <w:spacing w:line="240" w:lineRule="auto"/>
        <w:ind w:right="0"/>
        <w:jc w:val="left"/>
      </w:pPr>
      <w:r>
        <w:rPr/>
        <w:t>（</w:t>
      </w:r>
      <w:r>
        <w:rPr>
          <w:rFonts w:ascii="Times New Roman" w:hAnsi="Times New Roman" w:cs="Times New Roman" w:eastAsia="Times New Roman" w:hint="default"/>
        </w:rPr>
        <w:t>3</w:t>
      </w:r>
      <w:r>
        <w:rPr/>
        <w:t>）</w:t>
      </w:r>
      <w:r>
        <w:rPr>
          <w:spacing w:val="-19"/>
        </w:rPr>
        <w:t> </w:t>
      </w:r>
      <w:r>
        <w:rPr/>
        <w:t>后续计量及损益确认方法</w:t>
      </w:r>
    </w:p>
    <w:p>
      <w:pPr>
        <w:pStyle w:val="BodyText"/>
        <w:spacing w:line="338" w:lineRule="auto" w:before="103"/>
        <w:ind w:right="0"/>
        <w:jc w:val="left"/>
      </w:pPr>
      <w:r>
        <w:rPr>
          <w:rFonts w:ascii="Times New Roman" w:hAnsi="Times New Roman" w:cs="Times New Roman" w:eastAsia="Times New Roman" w:hint="default"/>
        </w:rPr>
        <w:t>a.</w:t>
      </w:r>
      <w:r>
        <w:rPr/>
        <w:t>成本法后续计量 </w:t>
      </w:r>
      <w:r>
        <w:rPr>
          <w:spacing w:val="-2"/>
        </w:rPr>
        <w:t>公司能够对被投资单位实施控制的长期股权投资采用成本法核算，长期股权投资按照初始投资成本计价。追加或收回投</w:t>
      </w:r>
    </w:p>
    <w:p>
      <w:pPr>
        <w:pStyle w:val="BodyText"/>
        <w:spacing w:line="240" w:lineRule="auto" w:before="4"/>
        <w:ind w:left="153" w:right="0"/>
        <w:jc w:val="left"/>
      </w:pPr>
      <w:r>
        <w:rPr/>
        <w:t>资调整长期股权投资的成本。被投资单位宣告分派的现金股利或利润，确认为当期投资收益。</w:t>
      </w:r>
    </w:p>
    <w:p>
      <w:pPr>
        <w:pStyle w:val="BodyText"/>
        <w:spacing w:line="338" w:lineRule="auto" w:before="117"/>
        <w:ind w:right="0"/>
        <w:jc w:val="left"/>
      </w:pPr>
      <w:r>
        <w:rPr>
          <w:rFonts w:ascii="Times New Roman" w:hAnsi="Times New Roman" w:cs="Times New Roman" w:eastAsia="Times New Roman" w:hint="default"/>
        </w:rPr>
        <w:t>b.</w:t>
      </w:r>
      <w:r>
        <w:rPr/>
        <w:t>权益法后续计量 </w:t>
      </w:r>
      <w:r>
        <w:rPr>
          <w:spacing w:val="-2"/>
        </w:rPr>
        <w:t>公司对联营企业和合营企业的长期股权投资，采用权益法核算，长期股权投资的初始投资成本大于投资时应享有被投资</w:t>
      </w:r>
    </w:p>
    <w:p>
      <w:pPr>
        <w:pStyle w:val="BodyText"/>
        <w:spacing w:line="319" w:lineRule="auto" w:before="2"/>
        <w:ind w:left="153" w:right="0"/>
        <w:jc w:val="left"/>
      </w:pPr>
      <w:r>
        <w:rPr>
          <w:spacing w:val="-2"/>
        </w:rPr>
        <w:t>单位可辨认净资产公允价值份额的，不调整长期股权投资的初始投资成本；长期股权投资的初始投资成本小于投资时应享有</w:t>
      </w:r>
      <w:r>
        <w:rPr>
          <w:spacing w:val="-64"/>
        </w:rPr>
        <w:t> </w:t>
      </w:r>
      <w:r>
        <w:rPr>
          <w:spacing w:val="-64"/>
        </w:rPr>
      </w:r>
      <w:r>
        <w:rPr/>
        <w:t>被投资单位可辨认净资产公允价值份额的，其差额计入当期损益，同时调整长期股权投资的成本。</w:t>
      </w:r>
    </w:p>
    <w:p>
      <w:pPr>
        <w:pStyle w:val="BodyText"/>
        <w:spacing w:line="319" w:lineRule="auto" w:before="56"/>
        <w:ind w:left="153" w:right="1132" w:firstLine="360"/>
        <w:jc w:val="both"/>
      </w:pPr>
      <w:r>
        <w:rPr>
          <w:spacing w:val="-2"/>
        </w:rPr>
        <w:t>采用权益法核算时，投资方取得长期股权投资后，按照应享有或应分担的被投资单位实现的净损益和其他综合收益的份</w:t>
      </w:r>
      <w:r>
        <w:rPr/>
        <w:t> </w:t>
      </w:r>
      <w:r>
        <w:rPr>
          <w:spacing w:val="-2"/>
        </w:rPr>
        <w:t>额，分别确认投资收益和其他综合收益，同时调整长期股权投资的账面价值；投资方按照被投资单位宣告分派的利润或现金</w:t>
      </w:r>
      <w:r>
        <w:rPr>
          <w:spacing w:val="-66"/>
        </w:rPr>
        <w:t> </w:t>
      </w:r>
      <w:r>
        <w:rPr>
          <w:spacing w:val="-66"/>
        </w:rPr>
      </w:r>
      <w:r>
        <w:rPr>
          <w:spacing w:val="-2"/>
        </w:rPr>
        <w:t>股利计算应享有的部分，相应减少长期股权投资的账面价值；投资方对于被投资单位除净损益、其他综合收益和利润分配以</w:t>
      </w:r>
      <w:r>
        <w:rPr>
          <w:spacing w:val="-66"/>
        </w:rPr>
        <w:t> </w:t>
      </w:r>
      <w:r>
        <w:rPr>
          <w:spacing w:val="-66"/>
        </w:rPr>
      </w:r>
      <w:r>
        <w:rPr>
          <w:spacing w:val="-2"/>
        </w:rPr>
        <w:t>外所有者权益的其他变动，调整长期股权投资的账面价值并计入所有者权益。投资方在确认应享有被投资单位净损益的份额</w:t>
      </w:r>
      <w:r>
        <w:rPr>
          <w:spacing w:val="-64"/>
        </w:rPr>
        <w:t> </w:t>
      </w:r>
      <w:r>
        <w:rPr>
          <w:spacing w:val="-64"/>
        </w:rPr>
      </w:r>
      <w:r>
        <w:rPr>
          <w:spacing w:val="-2"/>
        </w:rPr>
        <w:t>时，以取得投资时被投资单位可辨认净资产的公允价值为基础，对被投资单位的净利润进行调整后确认。被投资单位采用的</w:t>
      </w:r>
      <w:r>
        <w:rPr>
          <w:spacing w:val="-66"/>
        </w:rPr>
        <w:t> </w:t>
      </w:r>
      <w:r>
        <w:rPr>
          <w:spacing w:val="-66"/>
        </w:rPr>
      </w:r>
      <w:r>
        <w:rPr>
          <w:spacing w:val="-2"/>
        </w:rPr>
        <w:t>会计政策及会计期间与投资方不一致的，按照投资方的会计政策及会计期间对被投资单位的财务报表进行调整，并据以确认</w:t>
      </w:r>
      <w:r>
        <w:rPr>
          <w:spacing w:val="-64"/>
        </w:rPr>
        <w:t> </w:t>
      </w:r>
      <w:r>
        <w:rPr>
          <w:spacing w:val="-64"/>
        </w:rPr>
      </w:r>
      <w:r>
        <w:rPr/>
        <w:t>投资收益和其他综合收益等。</w:t>
      </w:r>
    </w:p>
    <w:p>
      <w:pPr>
        <w:pStyle w:val="BodyText"/>
        <w:spacing w:line="319" w:lineRule="auto" w:before="56"/>
        <w:ind w:left="153" w:right="1131" w:firstLine="360"/>
        <w:jc w:val="both"/>
      </w:pPr>
      <w:r>
        <w:rPr>
          <w:spacing w:val="-2"/>
        </w:rPr>
        <w:t>投资方确认被投资单位发生的净亏损，以长期股权投资的账面价值以及其他实质上构成对被投资单位净投资的长期权益</w:t>
      </w:r>
      <w:r>
        <w:rPr/>
        <w:t> </w:t>
      </w:r>
      <w:r>
        <w:rPr>
          <w:spacing w:val="-2"/>
        </w:rPr>
        <w:t>减记至零为限，投资方负有承担额外损失义务的除外。被投资单位以后实现净利润的，投资方在其收益分享额弥补未确认的</w:t>
      </w:r>
      <w:r>
        <w:rPr>
          <w:spacing w:val="-66"/>
        </w:rPr>
        <w:t> </w:t>
      </w:r>
      <w:r>
        <w:rPr>
          <w:spacing w:val="-66"/>
        </w:rPr>
      </w:r>
      <w:r>
        <w:rPr/>
        <w:t>亏损分担额后，恢复确认收益分享额。</w:t>
      </w:r>
    </w:p>
    <w:p>
      <w:pPr>
        <w:pStyle w:val="BodyText"/>
        <w:spacing w:line="319" w:lineRule="auto" w:before="55"/>
        <w:ind w:left="153" w:right="1131" w:firstLine="360"/>
        <w:jc w:val="both"/>
      </w:pPr>
      <w:r>
        <w:rPr>
          <w:spacing w:val="-2"/>
        </w:rPr>
        <w:t>投资方计算确认应享有或应分担被投资单位的净损益时，与联营企业、合营企业之间发生的未实现内部交易损益按照应</w:t>
      </w:r>
      <w:r>
        <w:rPr/>
        <w:t> </w:t>
      </w:r>
      <w:r>
        <w:rPr>
          <w:spacing w:val="-2"/>
        </w:rPr>
        <w:t>享有的比例计算归属于投资方的部分，予以抵销，在此基础上确认投资收益。投资方与被投资单位发生的未实现内部交易损</w:t>
      </w:r>
      <w:r>
        <w:rPr>
          <w:spacing w:val="-66"/>
        </w:rPr>
        <w:t> </w:t>
      </w:r>
      <w:r>
        <w:rPr>
          <w:spacing w:val="-66"/>
        </w:rPr>
      </w:r>
      <w:r>
        <w:rPr/>
        <w:t>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资产减值》等的有关规定属于资产减值损失的，全额确认。</w:t>
      </w:r>
    </w:p>
    <w:p>
      <w:pPr>
        <w:pStyle w:val="BodyText"/>
        <w:spacing w:line="319" w:lineRule="auto" w:before="35"/>
        <w:ind w:left="153" w:right="1133" w:firstLine="360"/>
        <w:jc w:val="both"/>
      </w:pPr>
      <w:r>
        <w:rPr>
          <w:spacing w:val="-2"/>
        </w:rPr>
        <w:t>投资方对联营企业的权益性投资，其中一部分通过风险投资机构、共同基金、信托公司或包括投连险基金在内的类似主</w:t>
      </w:r>
      <w:r>
        <w:rPr/>
        <w:t> </w:t>
      </w:r>
      <w:r>
        <w:rPr>
          <w:spacing w:val="-2"/>
        </w:rPr>
        <w:t>体间接持有的，无论以上主体是否对这部分投资具有重大影响，投资方都按照金融工具政策的有关规定，对间接持有的该部</w:t>
      </w:r>
      <w:r>
        <w:rPr>
          <w:spacing w:val="-66"/>
        </w:rPr>
        <w:t> </w:t>
      </w:r>
      <w:r>
        <w:rPr>
          <w:spacing w:val="-66"/>
        </w:rPr>
      </w:r>
      <w:r>
        <w:rPr/>
        <w:t>分投资选择以公允价值计量且其变动计入损益，并对其余部分采用权益法核算。</w:t>
      </w:r>
    </w:p>
    <w:p>
      <w:pPr>
        <w:pStyle w:val="BodyText"/>
        <w:spacing w:line="338" w:lineRule="auto" w:before="58"/>
        <w:ind w:left="514"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因追加投资等原因能够对被投资单位施加重大影响或实施共同控制但不构成控制的处理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w:t>
      </w:r>
    </w:p>
    <w:p>
      <w:pPr>
        <w:pStyle w:val="BodyText"/>
        <w:spacing w:line="217" w:lineRule="exact"/>
        <w:ind w:left="154" w:right="0"/>
        <w:jc w:val="left"/>
      </w:pPr>
      <w:r>
        <w:rPr/>
        <w:t>为改按权益法核算的初始投资成本。原持有的股权投资分类为可供出售金融资产的，其公允价值与账面价值之间的差额，以</w:t>
      </w:r>
    </w:p>
    <w:p>
      <w:pPr>
        <w:pStyle w:val="BodyText"/>
        <w:spacing w:line="240" w:lineRule="auto" w:before="77"/>
        <w:ind w:left="154" w:right="0"/>
        <w:jc w:val="left"/>
      </w:pPr>
      <w:r>
        <w:rPr/>
        <w:t>及原计入其他综合收益的累计公允价值变动转入改按权益法核算的当期损益。</w:t>
      </w:r>
    </w:p>
    <w:p>
      <w:pPr>
        <w:pStyle w:val="BodyText"/>
        <w:spacing w:line="240" w:lineRule="auto" w:before="116"/>
        <w:ind w:right="0"/>
        <w:jc w:val="left"/>
      </w:pPr>
      <w:r>
        <w:rPr>
          <w:rFonts w:ascii="Times New Roman" w:hAnsi="Times New Roman" w:cs="Times New Roman" w:eastAsia="Times New Roman" w:hint="default"/>
        </w:rPr>
        <w:t>d.</w:t>
      </w:r>
      <w:r>
        <w:rPr/>
        <w:t>处置部分股权的处理</w:t>
      </w:r>
    </w:p>
    <w:p>
      <w:pPr>
        <w:spacing w:after="0" w:line="240" w:lineRule="auto"/>
        <w:jc w:val="left"/>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312" w:lineRule="auto" w:before="44"/>
        <w:ind w:left="153" w:right="1118" w:firstLine="360"/>
        <w:jc w:val="left"/>
      </w:pPr>
      <w:r>
        <w:rPr/>
        <w:t>因处置部分股权投资等原因丧失了对被投资单位的共同控制或重大影响的，处置后的剩余股权改按本附注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的政策核算，其在丧失共同控制或重大影响之日的公允价值与账面价值之间的差额计入当期损益。原股权投资因采用权益法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理。</w:t>
      </w:r>
    </w:p>
    <w:p>
      <w:pPr>
        <w:pStyle w:val="BodyText"/>
        <w:spacing w:line="309" w:lineRule="auto" w:before="61"/>
        <w:ind w:left="153" w:right="0" w:firstLine="360"/>
        <w:jc w:val="left"/>
      </w:pPr>
      <w:r>
        <w:rPr>
          <w:spacing w:val="-2"/>
        </w:rPr>
        <w:t>因处置部分权益性投资等原因丧失了对被投资单位的控制的，在编制个别财务报表时，处置后的剩余股权能够对被投资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w:t>
      </w:r>
      <w:r>
        <w:rPr>
          <w:spacing w:val="-44"/>
        </w:rPr>
        <w:t> </w:t>
      </w:r>
      <w:r>
        <w:rPr>
          <w:spacing w:val="-44"/>
        </w:rPr>
      </w:r>
      <w:r>
        <w:rPr/>
        <w:t>控制之日的公允价值与账面价值间的差额计入当期损益。在编制合并财务报表时，按照本附注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的相关内容处理。</w:t>
      </w:r>
    </w:p>
    <w:p>
      <w:pPr>
        <w:pStyle w:val="BodyText"/>
        <w:spacing w:line="338" w:lineRule="auto" w:before="65"/>
        <w:ind w:right="0"/>
        <w:jc w:val="left"/>
      </w:pPr>
      <w:r>
        <w:rPr>
          <w:rFonts w:ascii="Times New Roman" w:hAnsi="Times New Roman" w:cs="Times New Roman" w:eastAsia="Times New Roman" w:hint="default"/>
        </w:rPr>
        <w:t>e.</w:t>
      </w:r>
      <w:r>
        <w:rPr/>
        <w:t>对联营企业或合营企业的权益性投资全部或部分分类为持有待售资产的处理 </w:t>
      </w:r>
      <w:r>
        <w:rPr>
          <w:spacing w:val="-2"/>
        </w:rPr>
        <w:t>分类为持有待售资产的对联营企业或合营企业的权益性投资，以账面价值与公允价值减去处置费用孰低的金额列示，公</w:t>
      </w:r>
    </w:p>
    <w:p>
      <w:pPr>
        <w:pStyle w:val="BodyText"/>
        <w:spacing w:line="319" w:lineRule="auto" w:before="2"/>
        <w:ind w:left="153" w:right="1132"/>
        <w:jc w:val="both"/>
      </w:pPr>
      <w:r>
        <w:rPr>
          <w:spacing w:val="-2"/>
        </w:rPr>
        <w:t>允价值减去处置费用低于原账面价值的金额，确认为资产减值损失。对于未划分为持有待售资产的剩余权益性投资，采用权</w:t>
      </w:r>
      <w:r>
        <w:rPr>
          <w:spacing w:val="-66"/>
        </w:rPr>
        <w:t> </w:t>
      </w:r>
      <w:r>
        <w:rPr>
          <w:spacing w:val="-66"/>
        </w:rPr>
      </w:r>
      <w:r>
        <w:rPr>
          <w:spacing w:val="-2"/>
        </w:rPr>
        <w:t>益法进行会计处理。已划分为持有待售的对联营企业或合营企业的权益性投资，不再符合持有待售资产分类条件的，从被分</w:t>
      </w:r>
      <w:r>
        <w:rPr>
          <w:spacing w:val="-66"/>
        </w:rPr>
        <w:t> </w:t>
      </w:r>
      <w:r>
        <w:rPr>
          <w:spacing w:val="-66"/>
        </w:rPr>
      </w:r>
      <w:r>
        <w:rPr/>
        <w:t>类为持有待售资产之日起采用权益法进行追溯调整。分类为持有待售期间的财务报表作相应调整。</w:t>
      </w:r>
    </w:p>
    <w:p>
      <w:pPr>
        <w:pStyle w:val="BodyText"/>
        <w:spacing w:line="338" w:lineRule="auto" w:before="56"/>
        <w:ind w:left="514" w:right="0"/>
        <w:jc w:val="left"/>
      </w:pPr>
      <w:r>
        <w:rPr>
          <w:rFonts w:ascii="Times New Roman" w:hAnsi="Times New Roman" w:cs="Times New Roman" w:eastAsia="Times New Roman" w:hint="default"/>
        </w:rPr>
        <w:t>f.</w:t>
      </w:r>
      <w:r>
        <w:rPr/>
        <w:t>处置长期股权投资的处理</w:t>
      </w:r>
      <w:r>
        <w:rPr>
          <w:w w:val="99"/>
        </w:rPr>
        <w:t> </w:t>
      </w:r>
      <w:r>
        <w:rPr>
          <w:spacing w:val="-2"/>
        </w:rPr>
        <w:t>处置长期股权投资，其账面价值与实际取得价款之间的差额，计入当期损益。采用权益法核算的长期股权投资，在处置</w:t>
      </w:r>
    </w:p>
    <w:p>
      <w:pPr>
        <w:pStyle w:val="BodyText"/>
        <w:spacing w:line="319" w:lineRule="auto" w:before="2"/>
        <w:ind w:left="154" w:right="1132"/>
        <w:jc w:val="both"/>
      </w:pPr>
      <w:r>
        <w:rPr>
          <w:spacing w:val="-2"/>
        </w:rPr>
        <w:t>该项投资时，采用与被投资单位直接处置相关资产或负债相同的基础，按相应比例对原计入其他综合收益的部分进行会计处</w:t>
      </w:r>
      <w:r>
        <w:rPr>
          <w:spacing w:val="-64"/>
        </w:rPr>
        <w:t> </w:t>
      </w:r>
      <w:r>
        <w:rPr>
          <w:spacing w:val="-64"/>
        </w:rPr>
      </w:r>
      <w:r>
        <w:rPr/>
        <w:t>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77"/>
      <w:bookmarkEnd w:id="17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593"/>
        <w:jc w:val="left"/>
      </w:pPr>
      <w:r>
        <w:rPr/>
        <w:t>投资性房地产计量模式 成本法计量 折旧或摊销方法</w:t>
      </w:r>
    </w:p>
    <w:p>
      <w:pPr>
        <w:pStyle w:val="BodyText"/>
        <w:spacing w:line="319" w:lineRule="auto" w:before="28"/>
        <w:ind w:left="153" w:right="0" w:firstLine="360"/>
        <w:jc w:val="left"/>
      </w:pPr>
      <w:r>
        <w:rPr>
          <w:spacing w:val="-2"/>
        </w:rPr>
        <w:t>投资性房地产包括已出租持有并准备增值后转让的土地使用权以及已出租的建筑物，以实际成本进行初始计量。与投资</w:t>
      </w:r>
      <w:r>
        <w:rPr/>
        <w:t> </w:t>
      </w:r>
      <w:r>
        <w:rPr>
          <w:spacing w:val="-4"/>
        </w:rPr>
        <w:t>性房地产有关的后续支出，在相关的经济利益很可能流入本公司且其成本能够可靠的计量时，计入投资性房地产成本；否则，</w:t>
      </w:r>
      <w:r>
        <w:rPr>
          <w:spacing w:val="-44"/>
        </w:rPr>
        <w:t> </w:t>
      </w:r>
      <w:r>
        <w:rPr>
          <w:spacing w:val="-44"/>
        </w:rPr>
      </w:r>
      <w:r>
        <w:rPr/>
        <w:t>在发生时计入当期损益。</w:t>
      </w:r>
    </w:p>
    <w:p>
      <w:pPr>
        <w:pStyle w:val="BodyText"/>
        <w:spacing w:line="316" w:lineRule="auto" w:before="55"/>
        <w:ind w:left="153" w:right="0" w:firstLine="360"/>
        <w:jc w:val="left"/>
      </w:pPr>
      <w:r>
        <w:rPr>
          <w:spacing w:val="-2"/>
        </w:rPr>
        <w:t>本公司采用成本模式对所有投资性房地产进行后续计量，按其预计使用寿命及净残值率对建筑物和土地使用权计提折旧</w:t>
      </w:r>
      <w:r>
        <w:rPr/>
        <w:t> 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率列示如下：</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01"/>
        <w:gridCol w:w="2151"/>
        <w:gridCol w:w="2580"/>
        <w:gridCol w:w="2678"/>
      </w:tblGrid>
      <w:tr>
        <w:trPr>
          <w:trHeight w:val="342" w:hRule="exact"/>
        </w:trPr>
        <w:tc>
          <w:tcPr>
            <w:tcW w:w="2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30"/>
              <w:jc w:val="right"/>
              <w:rPr>
                <w:rFonts w:ascii="宋体" w:hAnsi="宋体" w:cs="宋体" w:eastAsia="宋体" w:hint="default"/>
                <w:sz w:val="18"/>
                <w:szCs w:val="18"/>
              </w:rPr>
            </w:pPr>
            <w:r>
              <w:rPr>
                <w:rFonts w:ascii="宋体" w:hAnsi="宋体" w:cs="宋体" w:eastAsia="宋体" w:hint="default"/>
                <w:sz w:val="18"/>
                <w:szCs w:val="18"/>
              </w:rPr>
              <w:t>预计使用寿命</w:t>
            </w:r>
          </w:p>
        </w:tc>
        <w:tc>
          <w:tcPr>
            <w:tcW w:w="2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预计净残值率</w:t>
            </w:r>
          </w:p>
        </w:tc>
        <w:tc>
          <w:tcPr>
            <w:tcW w:w="2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年折旧</w:t>
            </w:r>
            <w:r>
              <w:rPr>
                <w:rFonts w:ascii="Times New Roman" w:hAnsi="Times New Roman" w:cs="Times New Roman" w:eastAsia="Times New Roman" w:hint="default"/>
                <w:sz w:val="18"/>
                <w:szCs w:val="18"/>
              </w:rPr>
              <w:t>(</w:t>
            </w:r>
            <w:r>
              <w:rPr>
                <w:rFonts w:ascii="宋体" w:hAnsi="宋体" w:cs="宋体" w:eastAsia="宋体" w:hint="default"/>
                <w:sz w:val="18"/>
                <w:szCs w:val="18"/>
              </w:rPr>
              <w:t>摊销</w:t>
            </w:r>
            <w:r>
              <w:rPr>
                <w:rFonts w:ascii="Times New Roman" w:hAnsi="Times New Roman" w:cs="Times New Roman" w:eastAsia="Times New Roman" w:hint="default"/>
                <w:sz w:val="18"/>
                <w:szCs w:val="18"/>
              </w:rPr>
              <w:t>)</w:t>
            </w:r>
            <w:r>
              <w:rPr>
                <w:rFonts w:ascii="宋体" w:hAnsi="宋体" w:cs="宋体" w:eastAsia="宋体" w:hint="default"/>
                <w:sz w:val="18"/>
                <w:szCs w:val="18"/>
              </w:rPr>
              <w:t>率</w:t>
            </w:r>
          </w:p>
        </w:tc>
      </w:tr>
      <w:tr>
        <w:trPr>
          <w:trHeight w:val="34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固定资产" w:id="178"/>
      <w:bookmarkEnd w:id="17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9"/>
      <w:bookmarkEnd w:id="17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1" w:firstLine="360"/>
        <w:jc w:val="both"/>
      </w:pPr>
      <w:r>
        <w:rPr>
          <w:spacing w:val="-2"/>
        </w:rPr>
        <w:t>固定资产是指为生产商品、提供劳务、出租或经营管理而持有的，使用寿命超过一个会计年度的有形资产。固定资产同</w:t>
      </w:r>
      <w:r>
        <w:rPr/>
        <w:t> 时满足下列条件的，才能予以确认：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该固定资产的成本能够可靠地计 量。</w:t>
      </w:r>
    </w:p>
    <w:p>
      <w:pPr>
        <w:spacing w:after="0" w:line="309" w:lineRule="auto"/>
        <w:jc w:val="both"/>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1"/>
      <w:bookmarkEnd w:id="18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在建工程" w:id="182"/>
      <w:bookmarkEnd w:id="18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2" w:firstLine="360"/>
        <w:jc w:val="both"/>
      </w:pPr>
      <w:r>
        <w:rPr>
          <w:spacing w:val="-2"/>
        </w:rPr>
        <w:t>在建工程按实际发生的成本计量。实际成本包括建筑费用、其他为使在建工程达到预定可使用状态所发生的必要支出以</w:t>
      </w:r>
      <w:r>
        <w:rPr/>
        <w:t> </w:t>
      </w:r>
      <w:r>
        <w:rPr>
          <w:spacing w:val="-2"/>
        </w:rPr>
        <w:t>及在资产达到预定可使用状态之前所发生的符合资本化条件的借款费用。在建工程在达到预定可使用状态时，转入固定资产</w:t>
      </w:r>
      <w:r>
        <w:rPr>
          <w:spacing w:val="-64"/>
        </w:rPr>
        <w:t> </w:t>
      </w:r>
      <w:r>
        <w:rPr>
          <w:spacing w:val="-64"/>
        </w:rPr>
      </w:r>
      <w:r>
        <w:rPr/>
        <w:t>并自次月起开始计提折旧。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8、借款费用" w:id="183"/>
      <w:bookmarkEnd w:id="18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032" w:firstLine="360"/>
        <w:jc w:val="left"/>
      </w:pPr>
      <w:r>
        <w:rPr>
          <w:spacing w:val="-2"/>
        </w:rPr>
        <w:t>发生的可直接归属于需要经过相当长时间的购建活动才能达到预定可使用状态之固定资产的购建的借款费用，在资产支</w:t>
      </w:r>
      <w:r>
        <w:rPr/>
        <w:t> </w:t>
      </w:r>
      <w:r>
        <w:rPr>
          <w:spacing w:val="-2"/>
        </w:rPr>
        <w:t>出及借款费用已经发生、为使资产达到预定可使用状态所必要的购建活动已经开始时，开始资本化并计入该资产的成本。当</w:t>
      </w:r>
      <w:r>
        <w:rPr>
          <w:spacing w:val="-66"/>
        </w:rPr>
        <w:t> </w:t>
      </w:r>
      <w:r>
        <w:rPr>
          <w:spacing w:val="-66"/>
        </w:rPr>
      </w:r>
      <w:r>
        <w:rPr/>
        <w:t>购建的资产达到预定可使用状态时停止资本化，其后发生的借款费用计入当期损益。如果资产的购建活动发生非正常中断， 并且中断时间连续超过</w:t>
      </w:r>
      <w:r>
        <w:rPr>
          <w:rFonts w:ascii="Times New Roman" w:hAnsi="Times New Roman" w:cs="Times New Roman" w:eastAsia="Times New Roman" w:hint="default"/>
        </w:rPr>
        <w:t>3</w:t>
      </w:r>
      <w:r>
        <w:rPr/>
        <w:t>个月，暂停借款费用的资本化，直至资产的购建活动重新开始。</w:t>
      </w:r>
    </w:p>
    <w:p>
      <w:pPr>
        <w:pStyle w:val="BodyText"/>
        <w:spacing w:line="312" w:lineRule="auto" w:before="35"/>
        <w:ind w:left="153" w:right="1130" w:firstLine="360"/>
        <w:jc w:val="both"/>
      </w:pPr>
      <w:r>
        <w:rPr>
          <w:spacing w:val="-1"/>
        </w:rPr>
        <w:t>在资本化期间内，专门借款</w:t>
      </w:r>
      <w:r>
        <w:rPr>
          <w:rFonts w:ascii="Times New Roman" w:hAnsi="Times New Roman" w:cs="Times New Roman" w:eastAsia="Times New Roman" w:hint="default"/>
          <w:spacing w:val="-1"/>
        </w:rPr>
        <w:t>(</w:t>
      </w:r>
      <w:r>
        <w:rPr>
          <w:spacing w:val="-1"/>
        </w:rPr>
        <w:t>指为购建或者生产符合资本化条件的资产而专门借入的款项</w:t>
      </w:r>
      <w:r>
        <w:rPr>
          <w:rFonts w:ascii="Times New Roman" w:hAnsi="Times New Roman" w:cs="Times New Roman" w:eastAsia="Times New Roman" w:hint="default"/>
          <w:spacing w:val="-1"/>
        </w:rPr>
        <w:t>)</w:t>
      </w:r>
      <w:r>
        <w:rPr>
          <w:spacing w:val="-1"/>
        </w:rPr>
        <w:t>以专门借款当期实际发生的利</w:t>
      </w:r>
      <w:r>
        <w:rPr/>
        <w:t> </w:t>
      </w:r>
      <w:r>
        <w:rPr>
          <w:spacing w:val="-2"/>
        </w:rPr>
        <w:t>息费用，减去将尚未动用的借款资金存入银行取得的利息收入或进行暂时性投资取得的投资收益后确定应予资本化的利息金</w:t>
      </w:r>
      <w:r>
        <w:rPr>
          <w:spacing w:val="-64"/>
        </w:rPr>
        <w:t> </w:t>
      </w:r>
      <w:r>
        <w:rPr>
          <w:spacing w:val="-64"/>
        </w:rPr>
      </w:r>
      <w:r>
        <w:rPr>
          <w:spacing w:val="-2"/>
        </w:rPr>
        <w:t>额；一般借款则根据累计资产支出超过专门借款部分的资产支出加权平均数乘以所占用一般借款的资本化率，计算确定一般</w:t>
      </w:r>
      <w:r>
        <w:rPr>
          <w:spacing w:val="-63"/>
        </w:rPr>
        <w:t> </w:t>
      </w:r>
      <w:r>
        <w:rPr>
          <w:spacing w:val="-63"/>
        </w:rPr>
      </w:r>
      <w:r>
        <w:rPr/>
        <w:t>借款应予资本化的利息金额。资本化率根据一般借款加权平均利率计算确定。</w:t>
      </w:r>
    </w:p>
    <w:p>
      <w:pPr>
        <w:pStyle w:val="BodyText"/>
        <w:spacing w:line="240" w:lineRule="auto" w:before="62"/>
        <w:ind w:right="0"/>
        <w:jc w:val="left"/>
      </w:pPr>
      <w:r>
        <w:rPr/>
        <w:t>借款存在折价或者溢价的，按照实际利率法确定每一会计期间应摊销的折价或者溢价金额，调整每期利息金额。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无形资产" w:id="184"/>
      <w:bookmarkEnd w:id="184"/>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0"/>
        <w:jc w:val="left"/>
      </w:pPr>
      <w:r>
        <w:rPr/>
        <w:t>无形资产包括土地使用权、专利权及非专利技术等。无形资产以实际成本计量。 </w:t>
      </w:r>
      <w:r>
        <w:rPr>
          <w:spacing w:val="-2"/>
        </w:rPr>
        <w:t>土地使用权按使用年限平均摊销。外购土地及建筑物的价款难以在土地使用权与建筑物之间合理分配的，全部作为固定</w:t>
      </w:r>
    </w:p>
    <w:p>
      <w:pPr>
        <w:pStyle w:val="BodyText"/>
        <w:spacing w:line="357" w:lineRule="auto"/>
        <w:ind w:right="2833" w:hanging="360"/>
        <w:jc w:val="left"/>
      </w:pPr>
      <w:r>
        <w:rPr/>
        <w:t>资产。专利权按法律规定的有效年限平均摊销。 对使用寿命有限的无形资产的预计使用寿命及摊销方法于每年年度终了进行复核并作适当调整。</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118" w:firstLine="360"/>
        <w:jc w:val="left"/>
      </w:pPr>
      <w:r>
        <w:rPr>
          <w:spacing w:val="-2"/>
        </w:rPr>
        <w:t>根据内部研究开发项目支出的性质以及研发活动最终形成无形资产是否具有较大不确定性，分为研究阶段支出和开发阶</w:t>
      </w:r>
      <w:r>
        <w:rPr/>
        <w:t> 段支出。</w:t>
      </w:r>
    </w:p>
    <w:p>
      <w:pPr>
        <w:spacing w:after="0" w:line="319" w:lineRule="auto"/>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348" w:lineRule="auto" w:before="44"/>
        <w:ind w:right="2293"/>
        <w:jc w:val="left"/>
      </w:pPr>
      <w:r>
        <w:rPr/>
        <w:t>研究阶段的支出，于发生时计入当期损益；开发阶段的支出，同时满足下列条件的，确认为无形资产：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管理层具有完成该无形资产并使用或出售的意图；</w:t>
      </w:r>
    </w:p>
    <w:p>
      <w:pPr>
        <w:pStyle w:val="BodyText"/>
        <w:spacing w:line="338" w:lineRule="auto" w:before="12"/>
        <w:ind w:right="0"/>
        <w:jc w:val="left"/>
      </w:pPr>
      <w:r>
        <w:rPr>
          <w:rFonts w:ascii="Times New Roman" w:hAnsi="Times New Roman" w:cs="Times New Roman" w:eastAsia="Times New Roman" w:hint="default"/>
        </w:rPr>
        <w:t>c.</w:t>
      </w:r>
      <w:r>
        <w:rPr/>
        <w:t>能够证明该无形资产将如何产生经济利益； </w:t>
      </w: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4"/>
        <w:ind w:left="153" w:right="0"/>
        <w:jc w:val="left"/>
      </w:pPr>
      <w:r>
        <w:rPr/>
        <w:t>资本化的开发阶段的支出在资产负债表上列示为开发支出，自该项目达到预定可使用状态之日起转为无形资产。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长期资产减值" w:id="187"/>
      <w:bookmarkEnd w:id="187"/>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132" w:firstLine="360"/>
        <w:jc w:val="both"/>
      </w:pPr>
      <w:r>
        <w:rPr>
          <w:spacing w:val="-2"/>
        </w:rPr>
        <w:t>在财务报表中单独列示的商誉和使用寿命不确定的无形资产，无论是否存在减值迹象，至少每年进行减值测试。固定资</w:t>
      </w:r>
      <w:r>
        <w:rPr/>
        <w:t> </w:t>
      </w:r>
      <w:r>
        <w:rPr>
          <w:spacing w:val="-2"/>
        </w:rPr>
        <w:t>产、无形资产、以成本模式计量的投资性房地产及长期股权投资等，于资产负债表日存在减值迹象的，进行减值测试。减值</w:t>
      </w:r>
      <w:r>
        <w:rPr>
          <w:spacing w:val="-66"/>
        </w:rPr>
        <w:t> </w:t>
      </w:r>
      <w:r>
        <w:rPr>
          <w:spacing w:val="-66"/>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4"/>
        </w:rPr>
        <w:t> </w:t>
      </w:r>
      <w:r>
        <w:rPr>
          <w:spacing w:val="-64"/>
        </w:rPr>
      </w:r>
      <w:r>
        <w:rPr>
          <w:spacing w:val="-2"/>
        </w:rPr>
        <w:t>果难以对单项资产的可收回金额进行估计的，以该资产所属的资产组确定资产组的可收回金额。资产组是能够独立产生现金</w:t>
      </w:r>
      <w:r>
        <w:rPr>
          <w:spacing w:val="-64"/>
        </w:rPr>
        <w:t> </w:t>
      </w:r>
      <w:r>
        <w:rPr>
          <w:spacing w:val="-64"/>
        </w:rPr>
      </w:r>
      <w:r>
        <w:rPr/>
        <w:t>流入的最小资产组合。前述资产减值损失一经确认，如果在以后期间价值得以恢复，也不予转回。</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1、长期待摊费用" w:id="188"/>
      <w:bookmarkEnd w:id="188"/>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213" w:firstLine="360"/>
        <w:jc w:val="left"/>
      </w:pPr>
      <w:r>
        <w:rPr/>
        <w:t>长期待摊费用包括经营租入固定资产改良及其他已经发生但应由本期和以后各期负担的分摊期限在一年以上的各项费 用，按预计受益期间分期平均摊销，并以实际支出减去累计摊销后的净额列示。</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2、职工薪酬" w:id="189"/>
      <w:bookmarkEnd w:id="189"/>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033" w:firstLine="360"/>
        <w:jc w:val="left"/>
      </w:pPr>
      <w:r>
        <w:rPr>
          <w:spacing w:val="-2"/>
        </w:rPr>
        <w:t>在职工为公司提供服务的会计期间，将实际发生的短期薪酬确认为负债，并计入当期损益或相关资产成本。发生的职工</w:t>
      </w:r>
      <w:r>
        <w:rPr/>
        <w:t> 福利费，在实际发生时根据实际发生额计入当期损益或相关资产成本。职工福利费为非货币性福利的，按照公允价值计量。 </w:t>
      </w:r>
      <w:r>
        <w:rPr>
          <w:spacing w:val="-2"/>
        </w:rPr>
        <w:t>为职工缴纳的医疗保险费、工伤保险费、生育保险费等社会保险费和住房公积金，以及按规定提取的工会经费和职工教育经</w:t>
      </w:r>
      <w:r>
        <w:rPr>
          <w:spacing w:val="-66"/>
        </w:rPr>
        <w:t> </w:t>
      </w:r>
      <w:r>
        <w:rPr>
          <w:spacing w:val="-66"/>
        </w:rPr>
      </w:r>
      <w:r>
        <w:rPr/>
        <w:t>费，在职工为公司提供服务的会计期间，根据规定的计提基础和计提比例计算确定相应的职工薪酬金额，并确认相应负债， 计入当期损益或相关资产成本。</w:t>
      </w:r>
    </w:p>
    <w:p>
      <w:pPr>
        <w:pStyle w:val="BodyText"/>
        <w:spacing w:line="319" w:lineRule="auto" w:before="56"/>
        <w:ind w:left="153" w:right="0" w:firstLine="360"/>
        <w:jc w:val="left"/>
      </w:pPr>
      <w:r>
        <w:rPr>
          <w:spacing w:val="-2"/>
        </w:rPr>
        <w:t>在职工提供服务从而增加了其未来享有的带薪缺勤权利时，确认与累积带薪缺勤相关的职工薪酬，并以累积未行使权利</w:t>
      </w:r>
      <w:r>
        <w:rPr/>
        <w:t> 而增加的预期支付金额计量。在职工实际发生缺勤的会计期间确认与非累积带薪缺勤相关的职工薪酬。</w:t>
      </w:r>
    </w:p>
    <w:p>
      <w:pPr>
        <w:pStyle w:val="BodyText"/>
        <w:spacing w:line="360" w:lineRule="auto" w:before="56"/>
        <w:ind w:right="4993"/>
        <w:jc w:val="left"/>
      </w:pPr>
      <w:r>
        <w:rPr/>
        <w:t>利润分享计划同时满足下列条件时，公司确认相关的应付职工薪酬： </w:t>
      </w:r>
      <w:r>
        <w:rPr>
          <w:rFonts w:ascii="宋体" w:hAnsi="宋体" w:cs="宋体" w:eastAsia="宋体" w:hint="default"/>
        </w:rPr>
        <w:t>a.</w:t>
      </w:r>
      <w:r>
        <w:rPr/>
        <w:t>因过去事项导致现在具有支付职工薪酬的法定义务或推定义务； </w:t>
      </w:r>
      <w:r>
        <w:rPr>
          <w:rFonts w:ascii="宋体" w:hAnsi="宋体" w:cs="宋体" w:eastAsia="宋体" w:hint="default"/>
        </w:rPr>
        <w:t>b.</w:t>
      </w:r>
      <w:r>
        <w:rPr/>
        <w:t>因利润分享计划所产生的应付职工薪酬义务金额能够可靠估计。</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0"/>
        <w:jc w:val="left"/>
      </w:pPr>
      <w:r>
        <w:rPr>
          <w:rFonts w:ascii="宋体" w:hAnsi="宋体" w:cs="宋体" w:eastAsia="宋体" w:hint="default"/>
        </w:rPr>
        <w:t>1</w:t>
      </w:r>
      <w:r>
        <w:rPr/>
        <w:t>）设定提存计划 </w:t>
      </w:r>
      <w:r>
        <w:rPr>
          <w:spacing w:val="-2"/>
        </w:rPr>
        <w:t>公司在职工为其提供服务的会计期间，将根据设定提存计划计算的应缴存金额确认为负债，并计入当期损益或相关资产</w:t>
      </w:r>
    </w:p>
    <w:p>
      <w:pPr>
        <w:pStyle w:val="BodyText"/>
        <w:spacing w:line="224" w:lineRule="exact"/>
        <w:ind w:left="154" w:right="0"/>
        <w:jc w:val="left"/>
      </w:pPr>
      <w:r>
        <w:rPr/>
        <w:t>成本。根据设定提存计划，预期不会在职工提供相关服务的年度报告期结束后十二个月内支付全部应缴存金额的，公司将全</w:t>
      </w:r>
    </w:p>
    <w:p>
      <w:pPr>
        <w:spacing w:after="0" w:line="224" w:lineRule="exact"/>
        <w:jc w:val="left"/>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360" w:lineRule="auto" w:before="44"/>
        <w:ind w:left="514" w:right="6252" w:hanging="360"/>
        <w:jc w:val="left"/>
      </w:pPr>
      <w:r>
        <w:rPr/>
        <w:t>部应缴存金额以折现后的金额计量应付职工薪酬。 </w:t>
      </w:r>
      <w:r>
        <w:rPr>
          <w:rFonts w:ascii="宋体" w:hAnsi="宋体" w:cs="宋体" w:eastAsia="宋体" w:hint="default"/>
        </w:rPr>
        <w:t>2</w:t>
      </w:r>
      <w:r>
        <w:rPr/>
        <w:t>）设定受益计划 公司对设定受益计划的会计处理包括下列四个步骤：</w:t>
      </w:r>
    </w:p>
    <w:p>
      <w:pPr>
        <w:pStyle w:val="BodyText"/>
        <w:spacing w:line="319" w:lineRule="auto" w:before="25"/>
        <w:ind w:left="154" w:right="1131" w:firstLine="360"/>
        <w:jc w:val="both"/>
      </w:pPr>
      <w:r>
        <w:rPr>
          <w:rFonts w:ascii="宋体" w:hAnsi="宋体" w:cs="宋体" w:eastAsia="宋体" w:hint="default"/>
          <w:spacing w:val="-2"/>
        </w:rPr>
        <w:t>a.</w:t>
      </w:r>
      <w:r>
        <w:rPr>
          <w:spacing w:val="-2"/>
        </w:rPr>
        <w:t>根据预期累计福利单位法，采用无偏且相互一致的精算假设对有关人口统计变量和财务变量等做出估计，计量设定受</w:t>
      </w:r>
      <w:r>
        <w:rPr/>
        <w:t> </w:t>
      </w:r>
      <w:r>
        <w:rPr>
          <w:spacing w:val="-2"/>
        </w:rPr>
        <w:t>益计划所产生的义务，并确定相关义务的归属期间。公司将设定受益计划所产生的义务予以折现，以确定设定受益计划义务</w:t>
      </w:r>
      <w:r>
        <w:rPr>
          <w:spacing w:val="-66"/>
        </w:rPr>
        <w:t> </w:t>
      </w:r>
      <w:r>
        <w:rPr>
          <w:spacing w:val="-66"/>
        </w:rPr>
      </w:r>
      <w:r>
        <w:rPr/>
        <w:t>的现值和当期服务成本。</w:t>
      </w:r>
    </w:p>
    <w:p>
      <w:pPr>
        <w:pStyle w:val="BodyText"/>
        <w:spacing w:line="319" w:lineRule="auto" w:before="55"/>
        <w:ind w:left="154" w:right="1131" w:firstLine="360"/>
        <w:jc w:val="both"/>
      </w:pPr>
      <w:r>
        <w:rPr>
          <w:rFonts w:ascii="宋体" w:hAnsi="宋体" w:cs="宋体" w:eastAsia="宋体" w:hint="default"/>
          <w:spacing w:val="-2"/>
        </w:rPr>
        <w:t>b.</w:t>
      </w:r>
      <w:r>
        <w:rPr>
          <w:spacing w:val="-2"/>
        </w:rPr>
        <w:t>设定受益计划存在资产的，公司将设定受益计划义务现值减去设定受益计划资产公允价值所形成的赤字或盈余确认为</w:t>
      </w:r>
      <w:r>
        <w:rPr/>
        <w:t> </w:t>
      </w:r>
      <w:r>
        <w:rPr>
          <w:spacing w:val="-2"/>
        </w:rPr>
        <w:t>一项设定受益计划净负债或净资产。设定受益计划存在盈余的，公司以设定受益计划的盈余和资产上限两项的孰低者计量设</w:t>
      </w:r>
      <w:r>
        <w:rPr>
          <w:spacing w:val="-64"/>
        </w:rPr>
        <w:t> </w:t>
      </w:r>
      <w:r>
        <w:rPr>
          <w:spacing w:val="-64"/>
        </w:rPr>
      </w:r>
      <w:r>
        <w:rPr/>
        <w:t>定受益计划净资产。</w:t>
      </w:r>
    </w:p>
    <w:p>
      <w:pPr>
        <w:pStyle w:val="BodyText"/>
        <w:spacing w:line="357" w:lineRule="auto" w:before="58"/>
        <w:ind w:right="7333"/>
        <w:jc w:val="left"/>
      </w:pPr>
      <w:r>
        <w:rPr>
          <w:rFonts w:ascii="宋体" w:hAnsi="宋体" w:cs="宋体" w:eastAsia="宋体" w:hint="default"/>
        </w:rPr>
        <w:t>c.</w:t>
      </w:r>
      <w:r>
        <w:rPr/>
        <w:t>确定应当计入当期损益的金额。 </w:t>
      </w:r>
      <w:r>
        <w:rPr>
          <w:rFonts w:ascii="宋体" w:hAnsi="宋体" w:cs="宋体" w:eastAsia="宋体" w:hint="default"/>
        </w:rPr>
        <w:t>d.</w:t>
      </w:r>
      <w:r>
        <w:rPr/>
        <w:t>确定应当计入其他综合收益的金额。</w:t>
      </w:r>
    </w:p>
    <w:p>
      <w:pPr>
        <w:pStyle w:val="BodyText"/>
        <w:spacing w:line="319" w:lineRule="auto" w:before="26"/>
        <w:ind w:left="153" w:right="0" w:firstLine="360"/>
        <w:jc w:val="left"/>
      </w:pPr>
      <w:r>
        <w:rPr>
          <w:spacing w:val="-2"/>
        </w:rPr>
        <w:t>公司根据预期累计福利单位法确定的公式将设定受益计划产生的福利义务归属于职工提供服务的期间，并计入当期损益</w:t>
      </w:r>
      <w:r>
        <w:rPr/>
        <w:t> </w:t>
      </w:r>
      <w:r>
        <w:rPr>
          <w:spacing w:val="-2"/>
        </w:rPr>
        <w:t>或相关资产成本。当职工后续年度的服务将导致其享有的设定受益计划福利水平显著高于以前年度时，按照直线法将累计设</w:t>
      </w:r>
      <w:r>
        <w:rPr>
          <w:spacing w:val="-64"/>
        </w:rPr>
        <w:t> </w:t>
      </w:r>
      <w:r>
        <w:rPr>
          <w:spacing w:val="-64"/>
        </w:rPr>
      </w:r>
      <w:r>
        <w:rPr/>
        <w:t>定受益计划义务分摊确认于职工提供服务而导致企业第一次产生设定受益计划福利义务至职工提供服务不再导致该福利义 务显著增加的期间。</w:t>
      </w:r>
    </w:p>
    <w:p>
      <w:pPr>
        <w:pStyle w:val="BodyText"/>
        <w:spacing w:line="319" w:lineRule="auto" w:before="56"/>
        <w:ind w:left="153" w:right="0" w:firstLine="360"/>
        <w:jc w:val="left"/>
      </w:pPr>
      <w:r>
        <w:rPr>
          <w:spacing w:val="-2"/>
        </w:rPr>
        <w:t>报告期末，公司将设定受益计划产生的职工薪酬成本确认为：服务成本、设定受益计划净负债或净资产的利息净额，以</w:t>
      </w:r>
      <w:r>
        <w:rPr/>
        <w:t> 及重新计量设定受益计划净负债或净资产所产生的变动。</w:t>
      </w:r>
    </w:p>
    <w:p>
      <w:pPr>
        <w:pStyle w:val="BodyText"/>
        <w:spacing w:line="357" w:lineRule="auto" w:before="56"/>
        <w:ind w:right="4273"/>
        <w:jc w:val="left"/>
      </w:pPr>
      <w:r>
        <w:rPr/>
        <w:t>在设定受益计划下，公司在下列日期孰早日将过去服务成本确认为当期费用： </w:t>
      </w:r>
      <w:r>
        <w:rPr>
          <w:rFonts w:ascii="宋体" w:hAnsi="宋体" w:cs="宋体" w:eastAsia="宋体" w:hint="default"/>
        </w:rPr>
        <w:t>a.</w:t>
      </w:r>
      <w:r>
        <w:rPr/>
        <w:t>修改设定受益计划时。</w:t>
      </w:r>
    </w:p>
    <w:p>
      <w:pPr>
        <w:pStyle w:val="BodyText"/>
        <w:spacing w:line="357" w:lineRule="auto" w:before="29"/>
        <w:ind w:right="5893"/>
        <w:jc w:val="left"/>
      </w:pPr>
      <w:r>
        <w:rPr>
          <w:rFonts w:ascii="宋体" w:hAnsi="宋体" w:cs="宋体" w:eastAsia="宋体" w:hint="default"/>
        </w:rPr>
        <w:t>b.</w:t>
      </w:r>
      <w:r>
        <w:rPr/>
        <w:t>企业确认相关重组费用或辞退福利时。 公司在设定受益计划结算时，确认一项结算利得或损失。</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公司向职工提供辞退福利的，在下列两者孰早日确认辞退福利产生的职工薪酬负债，并计入当期损益： </w:t>
      </w:r>
      <w:r>
        <w:rPr>
          <w:rFonts w:ascii="宋体" w:hAnsi="宋体" w:cs="宋体" w:eastAsia="宋体" w:hint="default"/>
        </w:rPr>
        <w:t>a.</w:t>
      </w:r>
      <w:r>
        <w:rPr/>
        <w:t>公司不能单方面撤回因解除劳动关系计划或裁减建议所提供的辞退福利时。 </w:t>
      </w:r>
      <w:r>
        <w:rPr>
          <w:rFonts w:ascii="宋体" w:hAnsi="宋体" w:cs="宋体" w:eastAsia="宋体" w:hint="default"/>
        </w:rPr>
        <w:t>b.</w:t>
      </w:r>
      <w:r>
        <w:rPr/>
        <w:t>公司确认与涉及支付辞退福利的重组相关的成本或费用时。 公司按照辞退计划条款的规定，合理预计并确认辞退福利产生的应付职工薪酬。</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033"/>
        <w:jc w:val="left"/>
      </w:pPr>
      <w:r>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w:t>
      </w:r>
    </w:p>
    <w:p>
      <w:pPr>
        <w:pStyle w:val="BodyText"/>
        <w:spacing w:line="357" w:lineRule="auto"/>
        <w:ind w:right="5533" w:hanging="360"/>
        <w:jc w:val="left"/>
      </w:pPr>
      <w:r>
        <w:rPr/>
        <w:t>将其他长期职工福利产生的职工薪酬成本确认为下列组成部分： </w:t>
      </w:r>
      <w:r>
        <w:rPr>
          <w:rFonts w:ascii="宋体" w:hAnsi="宋体" w:cs="宋体" w:eastAsia="宋体" w:hint="default"/>
        </w:rPr>
        <w:t>a.</w:t>
      </w:r>
      <w:r>
        <w:rPr/>
        <w:t>服务成本。 </w:t>
      </w:r>
      <w:r>
        <w:rPr>
          <w:rFonts w:ascii="宋体" w:hAnsi="宋体" w:cs="宋体" w:eastAsia="宋体" w:hint="default"/>
        </w:rPr>
        <w:t>b.</w:t>
      </w:r>
      <w:r>
        <w:rPr/>
        <w:t>其他长期职工福利净负债或净资产的利息净额。 </w:t>
      </w:r>
      <w:r>
        <w:rPr>
          <w:rFonts w:ascii="宋体" w:hAnsi="宋体" w:cs="宋体" w:eastAsia="宋体" w:hint="default"/>
        </w:rPr>
        <w:t>c.</w:t>
      </w:r>
      <w:r>
        <w:rPr/>
        <w:t>重新计量其他长期职工福利净负债或净资产所产生的变动。</w:t>
      </w:r>
    </w:p>
    <w:p>
      <w:pPr>
        <w:pStyle w:val="BodyText"/>
        <w:spacing w:line="357" w:lineRule="auto" w:before="29"/>
        <w:ind w:right="0"/>
        <w:jc w:val="left"/>
      </w:pPr>
      <w:r>
        <w:rPr/>
        <w:t>为简化相关会计处理，上述项目的总净额应计入当期损益或相关资产成本。 </w:t>
      </w:r>
      <w:r>
        <w:rPr>
          <w:spacing w:val="-2"/>
        </w:rPr>
        <w:t>长期残疾福利水平取决于职工提供服务期间长短的，公司在职工提供服务的期间确认应付长期残疾福利义务；长期残疾</w:t>
      </w:r>
    </w:p>
    <w:p>
      <w:pPr>
        <w:pStyle w:val="BodyText"/>
        <w:spacing w:line="225" w:lineRule="exact"/>
        <w:ind w:left="153" w:right="0"/>
        <w:jc w:val="left"/>
      </w:pPr>
      <w:r>
        <w:rPr/>
        <w:t>福利与职工提供服务期间长短无关的，公司在导致职工长期残疾的事件发生的当期确认应付长期残疾福利义务。</w:t>
      </w:r>
    </w:p>
    <w:p>
      <w:pPr>
        <w:spacing w:after="0" w:line="225" w:lineRule="exact"/>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3、预计负债" w:id="194"/>
      <w:bookmarkEnd w:id="194"/>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0" w:firstLine="360"/>
        <w:jc w:val="left"/>
      </w:pPr>
      <w:r>
        <w:rPr>
          <w:spacing w:val="-4"/>
        </w:rPr>
        <w:t>对因产品质量保证、亏损合同等形成的现时义务，其履行很可能导致经济利益的流出，在该义务的金额能够可靠计量时，</w:t>
      </w:r>
      <w:r>
        <w:rPr/>
        <w:t> 确认为预计负债。对于未来经营亏损，不确认预计负债。</w:t>
      </w:r>
    </w:p>
    <w:p>
      <w:pPr>
        <w:pStyle w:val="BodyText"/>
        <w:spacing w:line="319" w:lineRule="auto" w:before="56"/>
        <w:ind w:left="154"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240" w:lineRule="auto" w:before="58"/>
        <w:ind w:right="0"/>
        <w:jc w:val="left"/>
      </w:pPr>
      <w:r>
        <w:rPr/>
        <w:t>于资产负债表日，对预计负债的账面价值进行复核并作适当调整，以反映当前的最佳估计数。</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收入" w:id="195"/>
      <w:bookmarkEnd w:id="195"/>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0" w:firstLine="360"/>
        <w:jc w:val="left"/>
      </w:pPr>
      <w:r>
        <w:rPr>
          <w:spacing w:val="-2"/>
        </w:rPr>
        <w:t>收入的金额按照本公司在日常经营活动中销售商品和提供劳务时，已收或应收合同或协议价款的公允价值确定。收入按</w:t>
      </w:r>
      <w:r>
        <w:rPr/>
        <w:t> 扣除增值税、商业折扣、销售折让及销售退回的净额列示。</w:t>
      </w:r>
    </w:p>
    <w:p>
      <w:pPr>
        <w:pStyle w:val="BodyText"/>
        <w:spacing w:line="319" w:lineRule="auto" w:before="55"/>
        <w:ind w:left="154" w:right="0" w:firstLine="360"/>
        <w:jc w:val="left"/>
      </w:pPr>
      <w:r>
        <w:rPr>
          <w:spacing w:val="-2"/>
        </w:rPr>
        <w:t>与交易相关的经济利益能够流入本公司，相关的收入能够可靠计量且满足下列各项经营活动的特定收入确认标准时，确</w:t>
      </w:r>
      <w:r>
        <w:rPr/>
        <w:t> 认相关的收入。</w:t>
      </w:r>
    </w:p>
    <w:p>
      <w:pPr>
        <w:pStyle w:val="BodyText"/>
        <w:spacing w:line="357" w:lineRule="auto" w:before="56"/>
        <w:ind w:right="1118"/>
        <w:jc w:val="left"/>
      </w:pPr>
      <w:r>
        <w:rPr/>
        <w:t>（</w:t>
      </w:r>
      <w:r>
        <w:rPr>
          <w:rFonts w:ascii="宋体" w:hAnsi="宋体" w:cs="宋体" w:eastAsia="宋体" w:hint="default"/>
        </w:rPr>
        <w:t>1</w:t>
      </w:r>
      <w:r>
        <w:rPr/>
        <w:t>）销售商品 </w:t>
      </w:r>
      <w:r>
        <w:rPr>
          <w:spacing w:val="-2"/>
        </w:rPr>
        <w:t>商品销售在商品所有权上的主要风险和报酬已转移给买方，本公司不再对该商品实施继续管理权和实际控制权，与交易</w:t>
      </w:r>
    </w:p>
    <w:p>
      <w:pPr>
        <w:pStyle w:val="BodyText"/>
        <w:spacing w:line="225" w:lineRule="exact"/>
        <w:ind w:left="153" w:right="0"/>
        <w:jc w:val="left"/>
      </w:pPr>
      <w:r>
        <w:rPr/>
        <w:t>相关的经济利益很可能流入企业，并且与销售该商品相关的收入和成本能够可靠地计量时，确认营业收入的实现。</w:t>
      </w:r>
    </w:p>
    <w:p>
      <w:pPr>
        <w:pStyle w:val="BodyText"/>
        <w:spacing w:line="357" w:lineRule="auto" w:before="116"/>
        <w:ind w:right="0"/>
        <w:jc w:val="left"/>
      </w:pPr>
      <w:r>
        <w:rPr/>
        <w:t>（</w:t>
      </w:r>
      <w:r>
        <w:rPr>
          <w:rFonts w:ascii="宋体" w:hAnsi="宋体" w:cs="宋体" w:eastAsia="宋体" w:hint="default"/>
        </w:rPr>
        <w:t>2</w:t>
      </w:r>
      <w:r>
        <w:rPr/>
        <w:t>）提供劳务 </w:t>
      </w:r>
      <w:r>
        <w:rPr>
          <w:spacing w:val="-4"/>
        </w:rPr>
        <w:t>提供的劳务在同一会计年度开始并完成的，在劳务已经提供，收到价款或取得收取价款的证据时，确认营业收入的实现；</w:t>
      </w:r>
    </w:p>
    <w:p>
      <w:pPr>
        <w:pStyle w:val="BodyText"/>
        <w:spacing w:line="224" w:lineRule="exact"/>
        <w:ind w:left="153" w:right="0"/>
        <w:jc w:val="left"/>
      </w:pPr>
      <w:r>
        <w:rPr/>
        <w:t>劳务的开始和完成分属不同会计年度的，在劳务合同的总收入、劳务的完成程度能够可靠地确定，与交易相关的价款能够流</w:t>
      </w:r>
    </w:p>
    <w:p>
      <w:pPr>
        <w:pStyle w:val="BodyText"/>
        <w:spacing w:line="319" w:lineRule="auto" w:before="77"/>
        <w:ind w:left="153" w:right="0"/>
        <w:jc w:val="left"/>
      </w:pPr>
      <w:r>
        <w:rPr>
          <w:spacing w:val="-2"/>
        </w:rPr>
        <w:t>入，已经发生的成本和为完成劳务将要发生的成本能够可靠地计量时，按完工百分比法确认营业收入的实现；长期合同工程</w:t>
      </w:r>
      <w:r>
        <w:rPr>
          <w:spacing w:val="-66"/>
        </w:rPr>
        <w:t> </w:t>
      </w:r>
      <w:r>
        <w:rPr>
          <w:spacing w:val="-66"/>
        </w:rPr>
      </w:r>
      <w:r>
        <w:rPr/>
        <w:t>在合同结果已经能够合理地预见时，按结账时已完成工程进度的百分比法确认营业收入的实现。</w:t>
      </w:r>
    </w:p>
    <w:p>
      <w:pPr>
        <w:pStyle w:val="BodyText"/>
        <w:spacing w:line="357" w:lineRule="auto" w:before="58"/>
        <w:ind w:left="514" w:right="0"/>
        <w:jc w:val="left"/>
      </w:pPr>
      <w:r>
        <w:rPr>
          <w:rFonts w:ascii="宋体" w:hAnsi="宋体" w:cs="宋体" w:eastAsia="宋体" w:hint="default"/>
        </w:rPr>
        <w:t>(3) </w:t>
      </w:r>
      <w:r>
        <w:rPr/>
        <w:t>让渡资产使用权 </w:t>
      </w:r>
      <w:r>
        <w:rPr>
          <w:spacing w:val="-2"/>
        </w:rPr>
        <w:t>让渡资产使用权取得的利息收入和使用费收入，在与交易相关的经济利益能够流入企业，且收入的金额能够可靠地计量</w:t>
      </w:r>
    </w:p>
    <w:p>
      <w:pPr>
        <w:pStyle w:val="BodyText"/>
        <w:spacing w:line="225" w:lineRule="exact"/>
        <w:ind w:left="154" w:right="0"/>
        <w:jc w:val="left"/>
      </w:pPr>
      <w:r>
        <w:rPr/>
        <w:t>时，确认收入的实现。</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政府补助" w:id="196"/>
      <w:bookmarkEnd w:id="196"/>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7"/>
      <w:bookmarkEnd w:id="19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32" w:firstLine="360"/>
        <w:jc w:val="left"/>
      </w:pPr>
      <w:r>
        <w:rPr/>
        <w:t>与资产相关的政府补助，是指公司取得的、用于购建或以其他方式形成长期资产的政府补助。与资产相关的政府补助， </w:t>
      </w:r>
      <w:r>
        <w:rPr>
          <w:spacing w:val="-2"/>
        </w:rPr>
        <w:t>确认为递延收益，并在相关资产使用寿命内平均分配，计入当期损益。但是，按照名义金额计量的政府补助，直接计入当期</w:t>
      </w:r>
      <w:r>
        <w:rPr>
          <w:spacing w:val="-66"/>
        </w:rPr>
        <w:t> </w:t>
      </w:r>
      <w:r>
        <w:rPr>
          <w:spacing w:val="-66"/>
        </w:rPr>
      </w:r>
      <w:r>
        <w:rPr/>
        <w:t>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与收益相关的政府补助判断依据及会计处理方法" w:id="198"/>
      <w:bookmarkEnd w:id="19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与收益相关的政府补助，是指除与资产相关的政府补助之外的政府补助。与收益相关的政府补助，用于补偿公司以后期</w:t>
      </w:r>
      <w:r>
        <w:rPr/>
        <w:t> </w:t>
      </w:r>
      <w:r>
        <w:rPr>
          <w:spacing w:val="-2"/>
        </w:rPr>
        <w:t>间的相关费用或损失的，确认为递延收益，并在确认相关费用的期间，计入当期损益；用于补偿公司已发生的相关费用或损</w:t>
      </w:r>
      <w:r>
        <w:rPr>
          <w:spacing w:val="-66"/>
        </w:rPr>
        <w:t> </w:t>
      </w:r>
      <w:r>
        <w:rPr>
          <w:spacing w:val="-66"/>
        </w:rPr>
      </w:r>
      <w:r>
        <w:rPr/>
        <w:t>失的，直接计入当期损益。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6、递延所得税资产/递延所得税负债" w:id="199"/>
      <w:bookmarkEnd w:id="199"/>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递延所得税资产和递延所得税负债根据资产和负债的计税基础与其账面价值的差额</w:t>
      </w:r>
      <w:r>
        <w:rPr>
          <w:rFonts w:ascii="宋体" w:hAnsi="宋体" w:cs="宋体" w:eastAsia="宋体" w:hint="default"/>
        </w:rPr>
        <w:t>(</w:t>
      </w:r>
      <w:r>
        <w:rPr/>
        <w:t>包括应纳税暂时性差异和可抵扣暂</w:t>
      </w:r>
    </w:p>
    <w:p>
      <w:pPr>
        <w:spacing w:after="0" w:line="240" w:lineRule="auto"/>
        <w:jc w:val="left"/>
        <w:sectPr>
          <w:pgSz w:w="11910" w:h="16840"/>
          <w:pgMar w:header="768"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153" w:right="1139"/>
        <w:jc w:val="both"/>
      </w:pPr>
      <w:r>
        <w:rPr/>
        <w:t>时性差异</w:t>
      </w:r>
      <w:r>
        <w:rPr>
          <w:rFonts w:ascii="宋体" w:hAnsi="宋体" w:cs="宋体" w:eastAsia="宋体" w:hint="default"/>
        </w:rPr>
        <w:t>)</w:t>
      </w:r>
      <w:r>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宋体" w:hAnsi="宋体" w:cs="宋体" w:eastAsia="宋体" w:hint="default"/>
        </w:rPr>
        <w:t>(</w:t>
      </w:r>
      <w:r>
        <w:rPr/>
        <w:t>或可抵扣 亏损</w:t>
      </w:r>
      <w:r>
        <w:rPr>
          <w:rFonts w:ascii="宋体" w:hAnsi="宋体" w:cs="宋体" w:eastAsia="宋体" w:hint="default"/>
        </w:rPr>
        <w:t>)</w:t>
      </w:r>
      <w:r>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BodyText"/>
        <w:spacing w:line="357" w:lineRule="auto" w:before="57"/>
        <w:ind w:left="514" w:right="1032"/>
        <w:jc w:val="left"/>
      </w:pPr>
      <w:r>
        <w:rPr/>
        <w:t>递延所得税资产的确认以本公司很可能取得用来抵扣可抵扣暂时性差异、可抵扣亏损和税款抵减的应纳税所得额为限。 </w:t>
      </w:r>
      <w:r>
        <w:rPr>
          <w:spacing w:val="-2"/>
        </w:rPr>
        <w:t>对子公司、联营企业及合营企业投资相关的暂时性差异产生的递延所得税资产和递延所得税负债，予以确认。但本公司</w:t>
      </w:r>
    </w:p>
    <w:p>
      <w:pPr>
        <w:pStyle w:val="BodyText"/>
        <w:spacing w:line="225" w:lineRule="exact"/>
        <w:ind w:left="154" w:right="0"/>
        <w:jc w:val="both"/>
      </w:pPr>
      <w:r>
        <w:rPr/>
        <w:t>能够控制暂时性差异转回的时间且该暂时性差异在可预见的未来很可能不会转回的，不予确认。</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租赁" w:id="200"/>
      <w:bookmarkEnd w:id="200"/>
      <w:r>
        <w:rPr>
          <w:b w:val="0"/>
          <w:bCs w:val="0"/>
        </w:rPr>
      </w: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1"/>
      <w:bookmarkEnd w:id="20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经营租赁的租金支出在租赁期内按照直线法计入相关资产成本或当期损益。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融资租赁的会计处理方法" w:id="202"/>
      <w:bookmarkEnd w:id="20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60"/>
        <w:jc w:val="both"/>
      </w:pPr>
      <w:r>
        <w:rPr>
          <w:spacing w:val="-2"/>
        </w:rPr>
        <w:t>按租赁资产的公允价值与最低租赁付款额的现值两者中较低者作为租入资产的入账价值，租入资产的入账价值与最低租</w:t>
      </w:r>
      <w:r>
        <w:rPr/>
        <w:t> </w:t>
      </w:r>
      <w:r>
        <w:rPr>
          <w:spacing w:val="-2"/>
        </w:rPr>
        <w:t>赁付款额之间的差额为未确认融资费用，在租赁期内按实际利率法摊销。最低租赁付款额扣除未确认融资费用后的余额以长</w:t>
      </w:r>
      <w:r>
        <w:rPr>
          <w:spacing w:val="-64"/>
        </w:rPr>
        <w:t> </w:t>
      </w:r>
      <w:r>
        <w:rPr>
          <w:spacing w:val="-64"/>
        </w:rPr>
      </w:r>
      <w:r>
        <w:rPr/>
        <w:t>期应付款列示。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8、其他重要的会计政策和会计估计" w:id="203"/>
      <w:bookmarkEnd w:id="203"/>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118"/>
        <w:jc w:val="left"/>
      </w:pPr>
      <w:r>
        <w:rPr/>
        <w:t>商誉 </w:t>
      </w:r>
      <w:r>
        <w:rPr>
          <w:spacing w:val="-2"/>
        </w:rPr>
        <w:t>商誉为股权投资成本超过应享有的被投资单位于投资取得日的公允价值份额的差额，或者为非同一控制下企业合并成本</w:t>
      </w:r>
    </w:p>
    <w:p>
      <w:pPr>
        <w:pStyle w:val="BodyText"/>
        <w:spacing w:line="357" w:lineRule="auto"/>
        <w:ind w:right="0" w:hanging="360"/>
        <w:jc w:val="left"/>
      </w:pPr>
      <w:r>
        <w:rPr/>
        <w:t>超过企业合并中取得的被购买方可辨认净资产于购买日的公允价值份额的差额。 </w:t>
      </w:r>
      <w:r>
        <w:rPr>
          <w:spacing w:val="-2"/>
        </w:rPr>
        <w:t>企业合并形成的商誉在合并财务报表上单独列示。购买联营企业和合营企业股权投资成本超过投资时应享有被投资单位</w:t>
      </w:r>
    </w:p>
    <w:p>
      <w:pPr>
        <w:pStyle w:val="BodyText"/>
        <w:spacing w:line="225" w:lineRule="exact"/>
        <w:ind w:left="153" w:right="0"/>
        <w:jc w:val="both"/>
      </w:pPr>
      <w:r>
        <w:rPr/>
        <w:t>的公允价值份额的差额，包含于长期股权投资。</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重要会计政策和会计估计变更" w:id="204"/>
      <w:bookmarkEnd w:id="204"/>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5"/>
      <w:bookmarkEnd w:id="20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206"/>
      <w:bookmarkEnd w:id="20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left="154" w:right="0"/>
        <w:jc w:val="left"/>
        <w:rPr>
          <w:b w:val="0"/>
          <w:bCs w:val="0"/>
        </w:rPr>
      </w:pPr>
      <w:bookmarkStart w:name="六、税项" w:id="207"/>
      <w:bookmarkEnd w:id="20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08"/>
      <w:bookmarkEnd w:id="20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2541"/>
        <w:gridCol w:w="4549"/>
        <w:gridCol w:w="2480"/>
      </w:tblGrid>
      <w:tr>
        <w:trPr>
          <w:trHeight w:val="330"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5" w:hRule="exact"/>
        </w:trPr>
        <w:tc>
          <w:tcPr>
            <w:tcW w:w="2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549" w:type="dxa"/>
            <w:vMerge w:val="restart"/>
            <w:tcBorders>
              <w:top w:val="single" w:sz="4" w:space="0" w:color="000000"/>
              <w:left w:val="single" w:sz="10" w:space="0" w:color="D2D2D2"/>
              <w:right w:val="single" w:sz="4" w:space="0" w:color="000000"/>
            </w:tcBorders>
          </w:tcPr>
          <w:p>
            <w:pPr>
              <w:pStyle w:val="TableParagraph"/>
              <w:spacing w:line="242" w:lineRule="exact" w:before="38"/>
              <w:ind w:left="27"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应纳税额按应纳税销售额乘以适用税率扣 除当期允许抵扣的进项税后的余额计算</w:t>
            </w:r>
            <w:r>
              <w:rPr>
                <w:rFonts w:ascii="Times New Roman" w:hAnsi="Times New Roman" w:cs="Times New Roman" w:eastAsia="Times New Roman" w:hint="default"/>
                <w:sz w:val="18"/>
                <w:szCs w:val="18"/>
              </w:rPr>
              <w:t>)</w:t>
            </w:r>
          </w:p>
        </w:tc>
        <w:tc>
          <w:tcPr>
            <w:tcW w:w="24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w:t>
            </w:r>
          </w:p>
        </w:tc>
      </w:tr>
      <w:tr>
        <w:trPr>
          <w:trHeight w:val="445" w:hRule="exact"/>
        </w:trPr>
        <w:tc>
          <w:tcPr>
            <w:tcW w:w="25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49" w:type="dxa"/>
            <w:vMerge/>
            <w:tcBorders>
              <w:left w:val="single" w:sz="10" w:space="0" w:color="D2D2D2"/>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330"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5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330"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t>应纳增值税、营业税</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7%</w:t>
            </w:r>
            <w:r>
              <w:rPr>
                <w:rFonts w:ascii="Times New Roman"/>
                <w:sz w:val="18"/>
              </w:rPr>
            </w:r>
          </w:p>
        </w:tc>
      </w:tr>
      <w:tr>
        <w:trPr>
          <w:trHeight w:val="330"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54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t>应纳增值税、营业税</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r>
      <w:tr>
        <w:trPr>
          <w:trHeight w:val="330"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54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t>应纳增值税、营业税</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bl>
    <w:p>
      <w:pPr>
        <w:spacing w:line="240" w:lineRule="auto" w:before="8"/>
        <w:rPr>
          <w:rFonts w:ascii="宋体" w:hAnsi="宋体" w:cs="宋体" w:eastAsia="宋体" w:hint="default"/>
          <w:b/>
          <w:bCs/>
          <w:sz w:val="6"/>
          <w:szCs w:val="6"/>
        </w:rPr>
      </w:pPr>
    </w:p>
    <w:p>
      <w:pPr>
        <w:pStyle w:val="BodyText"/>
        <w:spacing w:line="240" w:lineRule="auto" w:before="44"/>
        <w:ind w:left="514" w:right="0"/>
        <w:jc w:val="left"/>
      </w:pPr>
      <w:r>
        <w:rPr/>
        <w:t>存在不同企业所得税税率纳税主体的，披露情况说明</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7"/>
        <w:rPr>
          <w:rFonts w:ascii="宋体" w:hAnsi="宋体" w:cs="宋体" w:eastAsia="宋体" w:hint="default"/>
          <w:sz w:val="14"/>
          <w:szCs w:val="14"/>
        </w:rPr>
      </w:pPr>
    </w:p>
    <w:p>
      <w:pPr>
        <w:pStyle w:val="Heading3"/>
        <w:spacing w:line="240" w:lineRule="auto" w:before="35"/>
        <w:ind w:right="0"/>
        <w:jc w:val="left"/>
        <w:rPr>
          <w:b w:val="0"/>
          <w:bCs w:val="0"/>
        </w:rPr>
      </w:pPr>
      <w:bookmarkStart w:name="2、税收优惠" w:id="209"/>
      <w:bookmarkEnd w:id="209"/>
      <w:r>
        <w:rPr>
          <w:b w:val="0"/>
          <w:bCs w:val="0"/>
        </w:rPr>
      </w:r>
      <w:r>
        <w:rPr>
          <w:rFonts w:ascii="Times New Roman" w:hAnsi="Times New Roman" w:cs="Times New Roman" w:eastAsia="Times New Roman" w:hint="default"/>
        </w:rPr>
        <w:t>2</w:t>
      </w:r>
      <w:r>
        <w:rPr/>
        <w:t>、税收优惠</w:t>
      </w:r>
      <w:r>
        <w:rPr>
          <w:b w:val="0"/>
          <w:bCs w:val="0"/>
        </w:rPr>
      </w:r>
    </w:p>
    <w:p>
      <w:pPr>
        <w:pStyle w:val="BodyText"/>
        <w:spacing w:line="240" w:lineRule="auto" w:before="170"/>
        <w:ind w:right="0"/>
        <w:jc w:val="left"/>
      </w:pPr>
      <w:r>
        <w:rPr/>
        <w:t>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日经江苏省高新技术企业认定管理工作协调小组苏高企协</w:t>
      </w:r>
      <w:r>
        <w:rPr>
          <w:rFonts w:ascii="Times New Roman" w:hAnsi="Times New Roman" w:cs="Times New Roman" w:eastAsia="Times New Roman" w:hint="default"/>
        </w:rPr>
        <w:t>[2009]7</w:t>
      </w:r>
      <w:r>
        <w:rPr/>
        <w:t>号文认定为高新技术企业，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p>
    <w:p>
      <w:pPr>
        <w:pStyle w:val="BodyText"/>
        <w:spacing w:line="309" w:lineRule="auto" w:before="30"/>
        <w:ind w:left="514" w:right="0" w:hanging="360"/>
        <w:jc w:val="left"/>
      </w:pPr>
      <w:r>
        <w:rPr>
          <w:rFonts w:ascii="Times New Roman" w:hAnsi="Times New Roman" w:cs="Times New Roman" w:eastAsia="Times New Roman" w:hint="default"/>
        </w:rPr>
        <w:t>6</w:t>
      </w:r>
      <w:r>
        <w:rPr/>
        <w:t>日通过复审，证书编号为</w:t>
      </w:r>
      <w:r>
        <w:rPr>
          <w:rFonts w:ascii="Times New Roman" w:hAnsi="Times New Roman" w:cs="Times New Roman" w:eastAsia="Times New Roman" w:hint="default"/>
        </w:rPr>
        <w:t>GR201532000258</w:t>
      </w:r>
      <w:r>
        <w:rPr/>
        <w:t>，自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15%</w:t>
      </w:r>
      <w:r>
        <w:rPr/>
        <w:t>的所得税率。 </w:t>
      </w:r>
      <w:r>
        <w:rPr>
          <w:spacing w:val="-2"/>
        </w:rPr>
        <w:t>公司子公司青岛丰东热处理有限公司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日获得由青岛市科学技术局、青岛市财政局、山东省青岛市国家税务</w:t>
      </w:r>
    </w:p>
    <w:p>
      <w:pPr>
        <w:pStyle w:val="BodyText"/>
        <w:spacing w:line="222" w:lineRule="exact"/>
        <w:ind w:left="154" w:right="0"/>
        <w:jc w:val="left"/>
        <w:rPr>
          <w:rFonts w:ascii="Times New Roman" w:hAnsi="Times New Roman" w:cs="Times New Roman" w:eastAsia="Times New Roman" w:hint="default"/>
        </w:rPr>
      </w:pPr>
      <w:r>
        <w:rPr/>
        <w:t>局、青岛市地方税务局共同颁发的高新技术企业证书，证书编号为</w:t>
      </w:r>
      <w:r>
        <w:rPr>
          <w:rFonts w:ascii="Times New Roman" w:hAnsi="Times New Roman" w:cs="Times New Roman" w:eastAsia="Times New Roman" w:hint="default"/>
        </w:rPr>
        <w:t>GR201137100030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日通过复审，自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p>
    <w:p>
      <w:pPr>
        <w:pStyle w:val="BodyText"/>
        <w:spacing w:line="309" w:lineRule="auto" w:before="30"/>
        <w:ind w:left="514" w:right="1122" w:hanging="360"/>
        <w:jc w:val="left"/>
      </w:pP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15%</w:t>
      </w:r>
      <w:r>
        <w:rPr/>
        <w:t>的所得税率。 公司子公司盐城丰东特种炉业有限公司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日获得由江苏省科学技术厅、江苏省财政厅、江苏省国家税务局、</w:t>
      </w:r>
    </w:p>
    <w:p>
      <w:pPr>
        <w:pStyle w:val="BodyText"/>
        <w:spacing w:line="222" w:lineRule="exact"/>
        <w:ind w:right="0" w:hanging="360"/>
        <w:jc w:val="left"/>
      </w:pPr>
      <w:r>
        <w:rPr/>
        <w:t>江苏省地方税务局共同颁发的高新技术企业证书，证书编号为</w:t>
      </w:r>
      <w:r>
        <w:rPr>
          <w:rFonts w:ascii="Times New Roman" w:hAnsi="Times New Roman" w:cs="Times New Roman" w:eastAsia="Times New Roman" w:hint="default"/>
        </w:rPr>
        <w:t>GR201332001057</w:t>
      </w:r>
      <w:r>
        <w:rPr/>
        <w:t>，自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15%</w:t>
      </w:r>
      <w:r>
        <w:rPr/>
        <w:t>的所得税率。</w:t>
      </w:r>
    </w:p>
    <w:p>
      <w:pPr>
        <w:pStyle w:val="BodyText"/>
        <w:spacing w:line="268" w:lineRule="auto" w:before="71"/>
        <w:ind w:left="153" w:right="0" w:firstLine="360"/>
        <w:jc w:val="left"/>
      </w:pPr>
      <w:r>
        <w:rPr/>
        <w:t>公司子公司重庆丰东热处理工程有限公司（以下简称</w:t>
      </w:r>
      <w:r>
        <w:rPr>
          <w:rFonts w:ascii="Times New Roman" w:hAnsi="Times New Roman" w:cs="Times New Roman" w:eastAsia="Times New Roman" w:hint="default"/>
        </w:rPr>
        <w:t>“</w:t>
      </w:r>
      <w:r>
        <w:rPr/>
        <w:t>重庆丰东</w:t>
      </w:r>
      <w:r>
        <w:rPr>
          <w:rFonts w:ascii="Times New Roman" w:hAnsi="Times New Roman" w:cs="Times New Roman" w:eastAsia="Times New Roman" w:hint="default"/>
        </w:rPr>
        <w:t>”</w:t>
      </w:r>
      <w:r>
        <w:rPr/>
        <w:t>）系公司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月购并的子公司，按应纳税所得额和 当期适用之税率计缴所得税，根据《财政部、国家税务总局、海关总署关于西部大开发税收优惠政策问题的通知》</w:t>
      </w:r>
      <w:r>
        <w:rPr>
          <w:rFonts w:ascii="Times New Roman" w:hAnsi="Times New Roman" w:cs="Times New Roman" w:eastAsia="Times New Roman" w:hint="default"/>
        </w:rPr>
        <w:t>(</w:t>
      </w:r>
      <w:r>
        <w:rPr/>
        <w:t>财税 </w:t>
      </w:r>
      <w:r>
        <w:rPr>
          <w:rFonts w:ascii="Times New Roman" w:hAnsi="Times New Roman" w:cs="Times New Roman" w:eastAsia="Times New Roman" w:hint="default"/>
          <w:spacing w:val="-1"/>
        </w:rPr>
        <w:t>[2001]202</w:t>
      </w:r>
      <w:r>
        <w:rPr>
          <w:spacing w:val="-1"/>
        </w:rPr>
        <w:t>号</w:t>
      </w:r>
      <w:r>
        <w:rPr>
          <w:rFonts w:ascii="Times New Roman" w:hAnsi="Times New Roman" w:cs="Times New Roman" w:eastAsia="Times New Roman" w:hint="default"/>
          <w:spacing w:val="-1"/>
        </w:rPr>
        <w:t>)</w:t>
      </w:r>
      <w:r>
        <w:rPr>
          <w:spacing w:val="-1"/>
        </w:rPr>
        <w:t>规定，所得税税率为</w:t>
      </w:r>
      <w:r>
        <w:rPr>
          <w:rFonts w:ascii="Times New Roman" w:hAnsi="Times New Roman" w:cs="Times New Roman" w:eastAsia="Times New Roman" w:hint="default"/>
          <w:spacing w:val="-1"/>
        </w:rPr>
        <w:t>15%</w:t>
      </w:r>
      <w:r>
        <w:rPr>
          <w:spacing w:val="-1"/>
        </w:rPr>
        <w:t>；重庆丰东系重庆市民政局发证的社会福利企业，证号为福企证字第</w:t>
      </w:r>
      <w:r>
        <w:rPr>
          <w:rFonts w:ascii="Times New Roman" w:hAnsi="Times New Roman" w:cs="Times New Roman" w:eastAsia="Times New Roman" w:hint="default"/>
          <w:spacing w:val="-1"/>
        </w:rPr>
        <w:t>500059990636</w:t>
      </w:r>
      <w:r>
        <w:rPr>
          <w:spacing w:val="-1"/>
        </w:rPr>
        <w:t>号，</w:t>
      </w:r>
      <w:r>
        <w:rPr>
          <w:spacing w:val="-75"/>
        </w:rPr>
        <w:t> </w:t>
      </w:r>
      <w:r>
        <w:rPr/>
        <w:t>按照财政部、国家税务总局财税</w:t>
      </w:r>
      <w:r>
        <w:rPr>
          <w:rFonts w:ascii="Times New Roman" w:hAnsi="Times New Roman" w:cs="Times New Roman" w:eastAsia="Times New Roman" w:hint="default"/>
        </w:rPr>
        <w:t>[2007]92</w:t>
      </w:r>
      <w:r>
        <w:rPr/>
        <w:t>号《财政部、国家税务总局关于促进残疾人就业税收优惠政策的通知》，享受有关 税收优惠政策。</w:t>
      </w:r>
    </w:p>
    <w:p>
      <w:pPr>
        <w:pStyle w:val="BodyText"/>
        <w:spacing w:line="285" w:lineRule="auto" w:before="63"/>
        <w:ind w:left="153" w:right="1131" w:firstLine="360"/>
        <w:jc w:val="both"/>
      </w:pPr>
      <w:r>
        <w:rPr>
          <w:spacing w:val="-2"/>
        </w:rPr>
        <w:t>公司子公司长春丰东热处理有限公司、江苏丰东热处理及表面改性工程技术研究有限公司、南京丰东热处理工程有限公</w:t>
      </w:r>
      <w:r>
        <w:rPr/>
        <w:t> </w:t>
      </w:r>
      <w:r>
        <w:rPr>
          <w:spacing w:val="-2"/>
        </w:rPr>
        <w:t>司、天津丰东热处理有限公司、上海丰东热处理工程有限公司、北京丰东建通工业炉科技有限公司、潍坊丰东热处理有限公</w:t>
      </w:r>
      <w:r>
        <w:rPr>
          <w:spacing w:val="-66"/>
        </w:rPr>
        <w:t> </w:t>
      </w:r>
      <w:r>
        <w:rPr>
          <w:spacing w:val="-66"/>
        </w:rPr>
      </w:r>
      <w:r>
        <w:rPr/>
        <w:t>司、盐城丰东祺耀工业炉有限公司和广州鑫润丰东热处理有限公司</w:t>
      </w:r>
      <w:r>
        <w:rPr>
          <w:rFonts w:ascii="Times New Roman" w:hAnsi="Times New Roman" w:cs="Times New Roman" w:eastAsia="Times New Roman" w:hint="default"/>
        </w:rPr>
        <w:t>2015</w:t>
      </w:r>
      <w:r>
        <w:rPr/>
        <w:t>年度所得税率为</w:t>
      </w:r>
      <w:r>
        <w:rPr>
          <w:rFonts w:ascii="Times New Roman" w:hAnsi="Times New Roman" w:cs="Times New Roman" w:eastAsia="Times New Roman" w:hint="default"/>
        </w:rPr>
        <w:t>25%</w:t>
      </w:r>
      <w:r>
        <w:rPr/>
        <w:t>。</w:t>
      </w:r>
    </w:p>
    <w:p>
      <w:pPr>
        <w:spacing w:after="0" w:line="285" w:lineRule="auto"/>
        <w:jc w:val="both"/>
        <w:sectPr>
          <w:pgSz w:w="11910" w:h="16840"/>
          <w:pgMar w:header="768"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left="154" w:right="0"/>
        <w:jc w:val="left"/>
        <w:rPr>
          <w:b w:val="0"/>
          <w:bCs w:val="0"/>
        </w:rPr>
      </w:pPr>
      <w:bookmarkStart w:name="七、合并财务报表项目注释" w:id="210"/>
      <w:bookmarkEnd w:id="21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1"/>
      <w:bookmarkEnd w:id="21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152,003.88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144,069.98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184,616,955.42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221,132,564.55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6,827,097.76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783,572.40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191,596,057.06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222,060,206.93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衍生金融资产" w:id="212"/>
      <w:bookmarkEnd w:id="212"/>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应收票据" w:id="213"/>
      <w:bookmarkEnd w:id="213"/>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4"/>
      <w:bookmarkEnd w:id="21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9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32,980,272.08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19,425,143.49</w:t>
            </w:r>
          </w:p>
        </w:tc>
      </w:tr>
      <w:tr>
        <w:trPr>
          <w:trHeight w:val="39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1,618,000.00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898,000.00</w:t>
            </w:r>
          </w:p>
        </w:tc>
      </w:tr>
      <w:tr>
        <w:trPr>
          <w:trHeight w:val="39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34,598,272.08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20,323,143.49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15"/>
      <w:bookmarkEnd w:id="21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9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16"/>
      <w:bookmarkEnd w:id="21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9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9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期末公司因出票人未履约而将其转应收账款的票据" w:id="217"/>
      <w:bookmarkEnd w:id="21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应收账款" w:id="218"/>
      <w:bookmarkEnd w:id="218"/>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9"/>
      <w:bookmarkEnd w:id="21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145,622,</w:t>
            </w:r>
          </w:p>
          <w:p>
            <w:pPr>
              <w:pStyle w:val="TableParagraph"/>
              <w:spacing w:line="240" w:lineRule="auto" w:before="34"/>
              <w:ind w:left="200" w:right="0"/>
              <w:jc w:val="center"/>
              <w:rPr>
                <w:rFonts w:ascii="Times New Roman" w:hAnsi="Times New Roman" w:cs="Times New Roman" w:eastAsia="Times New Roman" w:hint="default"/>
                <w:sz w:val="18"/>
                <w:szCs w:val="18"/>
              </w:rPr>
            </w:pPr>
            <w:r>
              <w:rPr>
                <w:rFonts w:ascii="Times New Roman"/>
                <w:sz w:val="18"/>
              </w:rPr>
              <w:t>002.14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9,464,46</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3.28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136,157,5</w:t>
            </w:r>
          </w:p>
          <w:p>
            <w:pPr>
              <w:pStyle w:val="TableParagraph"/>
              <w:spacing w:line="240" w:lineRule="auto" w:before="34"/>
              <w:ind w:left="352" w:right="0"/>
              <w:jc w:val="left"/>
              <w:rPr>
                <w:rFonts w:ascii="Times New Roman" w:hAnsi="Times New Roman" w:cs="Times New Roman" w:eastAsia="Times New Roman" w:hint="default"/>
                <w:sz w:val="18"/>
                <w:szCs w:val="18"/>
              </w:rPr>
            </w:pPr>
            <w:r>
              <w:rPr>
                <w:rFonts w:ascii="Times New Roman"/>
                <w:sz w:val="18"/>
              </w:rPr>
              <w:t>38.86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148,633</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,270.67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7,522,786</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141,110,48</w:t>
            </w:r>
          </w:p>
          <w:p>
            <w:pPr>
              <w:pStyle w:val="TableParagraph"/>
              <w:spacing w:line="240" w:lineRule="auto" w:before="34"/>
              <w:ind w:left="584" w:right="0"/>
              <w:jc w:val="left"/>
              <w:rPr>
                <w:rFonts w:ascii="Times New Roman" w:hAnsi="Times New Roman" w:cs="Times New Roman" w:eastAsia="Times New Roman" w:hint="default"/>
                <w:sz w:val="18"/>
                <w:szCs w:val="18"/>
              </w:rPr>
            </w:pPr>
            <w:r>
              <w:rPr>
                <w:rFonts w:ascii="Times New Roman"/>
                <w:sz w:val="18"/>
              </w:rPr>
              <w:t>3.83</w:t>
            </w: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1,466,28</w:t>
            </w:r>
          </w:p>
          <w:p>
            <w:pPr>
              <w:pStyle w:val="TableParagraph"/>
              <w:spacing w:line="240" w:lineRule="auto" w:before="34"/>
              <w:ind w:left="403"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1,466,28</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1,464,9</w:t>
            </w:r>
          </w:p>
          <w:p>
            <w:pPr>
              <w:pStyle w:val="TableParagraph"/>
              <w:spacing w:line="240" w:lineRule="auto" w:before="34"/>
              <w:ind w:left="192" w:right="0"/>
              <w:jc w:val="center"/>
              <w:rPr>
                <w:rFonts w:ascii="Times New Roman" w:hAnsi="Times New Roman" w:cs="Times New Roman" w:eastAsia="Times New Roman" w:hint="default"/>
                <w:sz w:val="18"/>
                <w:szCs w:val="18"/>
              </w:rPr>
            </w:pPr>
            <w:r>
              <w:rPr>
                <w:rFonts w:ascii="Times New Roman"/>
                <w:sz w:val="18"/>
              </w:rPr>
              <w:t>89.75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1,464,989</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3" w:space="0" w:color="D2D2D2"/>
              <w:right w:val="single" w:sz="4" w:space="0" w:color="000000"/>
            </w:tcBorders>
          </w:tcPr>
          <w:p>
            <w:pPr>
              <w:pStyle w:val="TableParagraph"/>
              <w:spacing w:line="240" w:lineRule="auto" w:before="63"/>
              <w:ind w:left="63" w:right="0"/>
              <w:jc w:val="center"/>
              <w:rPr>
                <w:rFonts w:ascii="Times New Roman" w:hAnsi="Times New Roman" w:cs="Times New Roman" w:eastAsia="Times New Roman" w:hint="default"/>
                <w:sz w:val="18"/>
                <w:szCs w:val="18"/>
              </w:rPr>
            </w:pPr>
            <w:r>
              <w:rPr>
                <w:rFonts w:ascii="Times New Roman"/>
                <w:sz w:val="18"/>
              </w:rPr>
              <w:t>147,088,</w:t>
            </w:r>
          </w:p>
          <w:p>
            <w:pPr>
              <w:pStyle w:val="TableParagraph"/>
              <w:spacing w:line="240" w:lineRule="auto" w:before="34"/>
              <w:ind w:left="200" w:right="0"/>
              <w:jc w:val="center"/>
              <w:rPr>
                <w:rFonts w:ascii="Times New Roman" w:hAnsi="Times New Roman" w:cs="Times New Roman" w:eastAsia="Times New Roman" w:hint="default"/>
                <w:sz w:val="18"/>
                <w:szCs w:val="18"/>
              </w:rPr>
            </w:pPr>
            <w:r>
              <w:rPr>
                <w:rFonts w:ascii="Times New Roman"/>
                <w:sz w:val="18"/>
              </w:rPr>
              <w:t>291.89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10,930,7</w:t>
            </w:r>
          </w:p>
          <w:p>
            <w:pPr>
              <w:pStyle w:val="TableParagraph"/>
              <w:spacing w:line="240" w:lineRule="auto" w:before="34"/>
              <w:ind w:left="323" w:right="0"/>
              <w:jc w:val="left"/>
              <w:rPr>
                <w:rFonts w:ascii="Times New Roman" w:hAnsi="Times New Roman" w:cs="Times New Roman" w:eastAsia="Times New Roman" w:hint="default"/>
                <w:sz w:val="18"/>
                <w:szCs w:val="18"/>
              </w:rPr>
            </w:pPr>
            <w:r>
              <w:rPr>
                <w:rFonts w:ascii="Times New Roman"/>
                <w:sz w:val="18"/>
              </w:rPr>
              <w:t>53.03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3"/>
              <w:ind w:left="37" w:right="0"/>
              <w:jc w:val="left"/>
              <w:rPr>
                <w:rFonts w:ascii="Times New Roman" w:hAnsi="Times New Roman" w:cs="Times New Roman" w:eastAsia="Times New Roman" w:hint="default"/>
                <w:sz w:val="18"/>
                <w:szCs w:val="18"/>
              </w:rPr>
            </w:pPr>
            <w:r>
              <w:rPr>
                <w:rFonts w:ascii="Times New Roman"/>
                <w:sz w:val="18"/>
              </w:rPr>
              <w:t>136,157,5</w:t>
            </w:r>
          </w:p>
          <w:p>
            <w:pPr>
              <w:pStyle w:val="TableParagraph"/>
              <w:spacing w:line="240" w:lineRule="auto" w:before="34"/>
              <w:ind w:left="352" w:right="0"/>
              <w:jc w:val="left"/>
              <w:rPr>
                <w:rFonts w:ascii="Times New Roman" w:hAnsi="Times New Roman" w:cs="Times New Roman" w:eastAsia="Times New Roman" w:hint="default"/>
                <w:sz w:val="18"/>
                <w:szCs w:val="18"/>
              </w:rPr>
            </w:pPr>
            <w:r>
              <w:rPr>
                <w:rFonts w:ascii="Times New Roman"/>
                <w:sz w:val="18"/>
              </w:rPr>
              <w:t>38.86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35" w:right="0"/>
              <w:jc w:val="left"/>
              <w:rPr>
                <w:rFonts w:ascii="Times New Roman" w:hAnsi="Times New Roman" w:cs="Times New Roman" w:eastAsia="Times New Roman" w:hint="default"/>
                <w:sz w:val="18"/>
                <w:szCs w:val="18"/>
              </w:rPr>
            </w:pPr>
            <w:r>
              <w:rPr>
                <w:rFonts w:ascii="Times New Roman"/>
                <w:sz w:val="18"/>
              </w:rPr>
              <w:t>150,098</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,260.42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8,987,776</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left="95" w:right="0"/>
              <w:jc w:val="left"/>
              <w:rPr>
                <w:rFonts w:ascii="Times New Roman" w:hAnsi="Times New Roman" w:cs="Times New Roman" w:eastAsia="Times New Roman" w:hint="default"/>
                <w:sz w:val="18"/>
                <w:szCs w:val="18"/>
              </w:rPr>
            </w:pPr>
            <w:r>
              <w:rPr>
                <w:rFonts w:ascii="Times New Roman"/>
                <w:sz w:val="18"/>
              </w:rPr>
              <w:t>141,110,48</w:t>
            </w:r>
          </w:p>
          <w:p>
            <w:pPr>
              <w:pStyle w:val="TableParagraph"/>
              <w:spacing w:line="240" w:lineRule="auto" w:before="34"/>
              <w:ind w:left="584" w:right="0"/>
              <w:jc w:val="left"/>
              <w:rPr>
                <w:rFonts w:ascii="Times New Roman" w:hAnsi="Times New Roman" w:cs="Times New Roman" w:eastAsia="Times New Roman" w:hint="default"/>
                <w:sz w:val="18"/>
                <w:szCs w:val="18"/>
              </w:rPr>
            </w:pPr>
            <w:r>
              <w:rPr>
                <w:rFonts w:ascii="Times New Roman"/>
                <w:sz w:val="18"/>
              </w:rPr>
              <w:t>3.83</w:t>
            </w:r>
          </w:p>
        </w:tc>
      </w:tr>
      <w:tr>
        <w:trPr>
          <w:trHeight w:val="44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768" w:footer="979" w:top="1100" w:bottom="1160" w:left="980" w:right="0"/>
        </w:sectPr>
      </w:pPr>
    </w:p>
    <w:p>
      <w:pPr>
        <w:pStyle w:val="BodyText"/>
        <w:spacing w:line="240" w:lineRule="auto" w:before="44"/>
        <w:ind w:left="51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0" w:bottom="280" w:left="980" w:right="0"/>
          <w:cols w:num="2" w:equalWidth="0">
            <w:col w:w="4655" w:space="3815"/>
            <w:col w:w="246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89,263,673.95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446,318.35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29,729,554.30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1,486,477.72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10,789,842.44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1,078,984.25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9,127,568.13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2,738,270.45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1,460,596.59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730,298.31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2,984,114.20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2,984,114.20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143,355,349.61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9,464,463.28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6072"/>
        <w:jc w:val="left"/>
      </w:pPr>
      <w:r>
        <w:rPr/>
        <w:t>确定该组合依据的说明： 组合中，采用余额百分比法计提坏账准备的应收账款：</w:t>
      </w:r>
    </w:p>
    <w:p>
      <w:pPr>
        <w:pStyle w:val="BodyText"/>
        <w:spacing w:line="348" w:lineRule="auto" w:before="29"/>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关联方、押金备用金的组合</w:t>
      </w:r>
    </w:p>
    <w:p>
      <w:pPr>
        <w:spacing w:line="240" w:lineRule="auto" w:before="13"/>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2892"/>
        <w:gridCol w:w="1787"/>
        <w:gridCol w:w="1417"/>
        <w:gridCol w:w="1560"/>
        <w:gridCol w:w="1842"/>
      </w:tblGrid>
      <w:tr>
        <w:trPr>
          <w:trHeight w:val="326" w:hRule="exact"/>
        </w:trPr>
        <w:tc>
          <w:tcPr>
            <w:tcW w:w="2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59" w:right="0"/>
              <w:jc w:val="left"/>
              <w:rPr>
                <w:rFonts w:ascii="宋体" w:hAnsi="宋体" w:cs="宋体" w:eastAsia="宋体" w:hint="default"/>
                <w:sz w:val="18"/>
                <w:szCs w:val="18"/>
              </w:rPr>
            </w:pPr>
            <w:r>
              <w:rPr>
                <w:rFonts w:ascii="宋体" w:hAnsi="宋体" w:cs="宋体" w:eastAsia="宋体" w:hint="default"/>
                <w:sz w:val="18"/>
                <w:szCs w:val="18"/>
              </w:rPr>
              <w:t>账面余额（元）</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809,980.05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合营公司</w:t>
            </w:r>
          </w:p>
        </w:tc>
      </w:tr>
      <w:tr>
        <w:trPr>
          <w:trHeight w:val="342"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1,456,672.48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合营公司</w:t>
            </w:r>
          </w:p>
        </w:tc>
      </w:tr>
      <w:tr>
        <w:trPr>
          <w:trHeight w:val="343" w:hRule="exact"/>
        </w:trPr>
        <w:tc>
          <w:tcPr>
            <w:tcW w:w="2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2,266,652.53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本期计提坏账准备金额</w:t>
      </w:r>
      <w:r>
        <w:rPr>
          <w:spacing w:val="-47"/>
        </w:rPr>
        <w:t> </w:t>
      </w:r>
      <w:r>
        <w:rPr>
          <w:rFonts w:ascii="Times New Roman" w:hAnsi="Times New Roman" w:cs="Times New Roman" w:eastAsia="Times New Roman" w:hint="default"/>
        </w:rPr>
        <w:t>2,000,475.93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221"/>
      <w:bookmarkEnd w:id="22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57,499.49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应收账款情况" w:id="222"/>
      <w:bookmarkEnd w:id="22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218" w:type="dxa"/>
        <w:tblLayout w:type="fixed"/>
        <w:tblCellMar>
          <w:top w:w="0" w:type="dxa"/>
          <w:left w:w="0" w:type="dxa"/>
          <w:bottom w:w="0" w:type="dxa"/>
          <w:right w:w="0" w:type="dxa"/>
        </w:tblCellMar>
        <w:tblLook w:val="01E0"/>
      </w:tblPr>
      <w:tblGrid>
        <w:gridCol w:w="1985"/>
        <w:gridCol w:w="1985"/>
        <w:gridCol w:w="1700"/>
        <w:gridCol w:w="1702"/>
        <w:gridCol w:w="2126"/>
      </w:tblGrid>
      <w:tr>
        <w:trPr>
          <w:trHeight w:val="34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94"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47"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8,798,879.97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5.98%</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6,721,092.46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4.57%</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4,606,459.66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3.13%</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4,423,180.00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3.01%</w:t>
            </w:r>
          </w:p>
        </w:tc>
      </w:tr>
      <w:tr>
        <w:trPr>
          <w:trHeight w:val="3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3,803,759.00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2.59%</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bookmarkStart w:name="5、预付款项" w:id="223"/>
      <w:bookmarkEnd w:id="223"/>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10,101,125.99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14,257,816.49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3,577,958.21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869,286.36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13,679,084.20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15,127,102.85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按预付对象归集的期末余额前五名的预付款情况" w:id="225"/>
      <w:bookmarkEnd w:id="22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6"/>
        <w:rPr>
          <w:rFonts w:ascii="宋体" w:hAnsi="宋体" w:cs="宋体" w:eastAsia="宋体" w:hint="default"/>
          <w:b/>
          <w:bCs/>
          <w:sz w:val="26"/>
          <w:szCs w:val="26"/>
        </w:rPr>
      </w:pPr>
    </w:p>
    <w:tbl>
      <w:tblPr>
        <w:tblW w:w="0" w:type="auto"/>
        <w:jc w:val="left"/>
        <w:tblInd w:w="270" w:type="dxa"/>
        <w:tblLayout w:type="fixed"/>
        <w:tblCellMar>
          <w:top w:w="0" w:type="dxa"/>
          <w:left w:w="0" w:type="dxa"/>
          <w:bottom w:w="0" w:type="dxa"/>
          <w:right w:w="0" w:type="dxa"/>
        </w:tblCellMar>
        <w:tblLook w:val="01E0"/>
      </w:tblPr>
      <w:tblGrid>
        <w:gridCol w:w="1878"/>
        <w:gridCol w:w="1881"/>
        <w:gridCol w:w="1879"/>
        <w:gridCol w:w="1881"/>
        <w:gridCol w:w="1880"/>
      </w:tblGrid>
      <w:tr>
        <w:trPr>
          <w:trHeight w:val="332" w:hRule="exact"/>
        </w:trPr>
        <w:tc>
          <w:tcPr>
            <w:tcW w:w="1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7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占预付账款总额比例</w:t>
            </w:r>
          </w:p>
        </w:tc>
      </w:tr>
      <w:tr>
        <w:trPr>
          <w:trHeight w:val="342" w:hRule="exact"/>
        </w:trPr>
        <w:tc>
          <w:tcPr>
            <w:tcW w:w="1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1881"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16"/>
              <w:ind w:right="3"/>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785,491.85</w:t>
            </w:r>
          </w:p>
        </w:tc>
        <w:tc>
          <w:tcPr>
            <w:tcW w:w="18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5.74%</w:t>
            </w:r>
          </w:p>
        </w:tc>
      </w:tr>
      <w:tr>
        <w:trPr>
          <w:trHeight w:val="342" w:hRule="exact"/>
        </w:trPr>
        <w:tc>
          <w:tcPr>
            <w:tcW w:w="1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761,483.12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5.57%</w:t>
            </w:r>
          </w:p>
        </w:tc>
      </w:tr>
      <w:tr>
        <w:trPr>
          <w:trHeight w:val="342" w:hRule="exact"/>
        </w:trPr>
        <w:tc>
          <w:tcPr>
            <w:tcW w:w="1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672,000.00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4.91%</w:t>
            </w:r>
          </w:p>
        </w:tc>
      </w:tr>
      <w:tr>
        <w:trPr>
          <w:trHeight w:val="342" w:hRule="exact"/>
        </w:trPr>
        <w:tc>
          <w:tcPr>
            <w:tcW w:w="1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4</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647,255.46</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4.73%</w:t>
            </w:r>
          </w:p>
        </w:tc>
      </w:tr>
      <w:tr>
        <w:trPr>
          <w:trHeight w:val="342" w:hRule="exact"/>
        </w:trPr>
        <w:tc>
          <w:tcPr>
            <w:tcW w:w="1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5</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600,000.00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4.39%</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bookmarkStart w:name="6、其他应收款" w:id="226"/>
      <w:bookmarkEnd w:id="22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7"/>
      <w:bookmarkEnd w:id="22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8,735,98</w:t>
            </w:r>
          </w:p>
          <w:p>
            <w:pPr>
              <w:pStyle w:val="TableParagraph"/>
              <w:spacing w:line="240" w:lineRule="auto" w:before="33"/>
              <w:ind w:left="403" w:right="0"/>
              <w:jc w:val="left"/>
              <w:rPr>
                <w:rFonts w:ascii="Times New Roman" w:hAnsi="Times New Roman" w:cs="Times New Roman" w:eastAsia="Times New Roman" w:hint="default"/>
                <w:sz w:val="18"/>
                <w:szCs w:val="18"/>
              </w:rPr>
            </w:pPr>
            <w:r>
              <w:rPr>
                <w:rFonts w:ascii="Times New Roman"/>
                <w:sz w:val="18"/>
              </w:rPr>
              <w:t>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181,470.</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8,554,511</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6,294,2</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16.89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127,094.8</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6,167,122.0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6</w:t>
            </w:r>
          </w:p>
        </w:tc>
      </w:tr>
      <w:tr>
        <w:trPr>
          <w:trHeight w:val="810"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190,617.</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190,617.</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60,794.</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60,794.10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3" w:space="0" w:color="D2D2D2"/>
              <w:right w:val="single" w:sz="4" w:space="0" w:color="000000"/>
            </w:tcBorders>
          </w:tcPr>
          <w:p>
            <w:pPr>
              <w:pStyle w:val="TableParagraph"/>
              <w:spacing w:line="240" w:lineRule="auto" w:before="63"/>
              <w:ind w:left="87" w:right="0"/>
              <w:jc w:val="left"/>
              <w:rPr>
                <w:rFonts w:ascii="Times New Roman" w:hAnsi="Times New Roman" w:cs="Times New Roman" w:eastAsia="Times New Roman" w:hint="default"/>
                <w:sz w:val="18"/>
                <w:szCs w:val="18"/>
              </w:rPr>
            </w:pPr>
            <w:r>
              <w:rPr>
                <w:rFonts w:ascii="Times New Roman"/>
                <w:sz w:val="18"/>
              </w:rPr>
              <w:t>8,926,59</w:t>
            </w:r>
          </w:p>
          <w:p>
            <w:pPr>
              <w:pStyle w:val="TableParagraph"/>
              <w:spacing w:line="240" w:lineRule="auto" w:before="33"/>
              <w:ind w:left="403" w:right="0"/>
              <w:jc w:val="left"/>
              <w:rPr>
                <w:rFonts w:ascii="Times New Roman" w:hAnsi="Times New Roman" w:cs="Times New Roman" w:eastAsia="Times New Roman" w:hint="default"/>
                <w:sz w:val="18"/>
                <w:szCs w:val="18"/>
              </w:rPr>
            </w:pPr>
            <w:r>
              <w:rPr>
                <w:rFonts w:ascii="Times New Roman"/>
                <w:sz w:val="18"/>
              </w:rPr>
              <w:t>9.37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z w:val="18"/>
              </w:rPr>
              <w:t>372,088.</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8,554,511</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57" w:right="0"/>
              <w:jc w:val="center"/>
              <w:rPr>
                <w:rFonts w:ascii="Times New Roman" w:hAnsi="Times New Roman" w:cs="Times New Roman" w:eastAsia="Times New Roman" w:hint="default"/>
                <w:sz w:val="18"/>
                <w:szCs w:val="18"/>
              </w:rPr>
            </w:pPr>
            <w:r>
              <w:rPr>
                <w:rFonts w:ascii="Times New Roman"/>
                <w:sz w:val="18"/>
              </w:rPr>
              <w:t>6,355,0</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10.99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187,888.9</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6,167,122.0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6</w:t>
            </w:r>
          </w:p>
        </w:tc>
      </w:tr>
      <w:tr>
        <w:trPr>
          <w:trHeight w:val="445"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768" w:footer="979" w:top="1100" w:bottom="1160" w:left="980" w:right="0"/>
        </w:sectPr>
      </w:pPr>
    </w:p>
    <w:p>
      <w:pPr>
        <w:pStyle w:val="BodyText"/>
        <w:spacing w:line="240" w:lineRule="auto" w:before="44"/>
        <w:ind w:left="51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0" w:bottom="280" w:left="980" w:right="0"/>
          <w:cols w:num="2" w:equalWidth="0">
            <w:col w:w="4835" w:space="3635"/>
            <w:col w:w="246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190"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5"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96"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65"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7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2,190,383.20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10,951.91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0.50%</w:t>
            </w:r>
          </w:p>
        </w:tc>
      </w:tr>
      <w:tr>
        <w:trPr>
          <w:trHeight w:val="37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5.00%</w:t>
            </w:r>
          </w:p>
        </w:tc>
      </w:tr>
      <w:tr>
        <w:trPr>
          <w:trHeight w:val="37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100,957.32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10,095.73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10.00%</w:t>
            </w:r>
          </w:p>
        </w:tc>
      </w:tr>
      <w:tr>
        <w:trPr>
          <w:trHeight w:val="37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9,250.00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2,775.00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30.00%</w:t>
            </w:r>
          </w:p>
        </w:tc>
      </w:tr>
      <w:tr>
        <w:trPr>
          <w:trHeight w:val="37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136,561.40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68,280.70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50.00%</w:t>
            </w:r>
          </w:p>
        </w:tc>
      </w:tr>
      <w:tr>
        <w:trPr>
          <w:trHeight w:val="37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89,367.10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89,367.10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7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2,526,519.02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181,470.44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7.18%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5892"/>
        <w:jc w:val="left"/>
      </w:pPr>
      <w:r>
        <w:rPr/>
        <w:t>确定该组合依据的说明： 组合中，采用余额百分比法计提坏账准备的其他应收款：</w:t>
      </w:r>
    </w:p>
    <w:p>
      <w:pPr>
        <w:pStyle w:val="BodyText"/>
        <w:spacing w:line="338" w:lineRule="auto" w:before="29"/>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2"/>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关联方、押金备用金的组合</w:t>
      </w:r>
    </w:p>
    <w:p>
      <w:pPr>
        <w:spacing w:line="240" w:lineRule="auto" w:before="4"/>
        <w:rPr>
          <w:rFonts w:ascii="宋体" w:hAnsi="宋体" w:cs="宋体" w:eastAsia="宋体" w:hint="default"/>
          <w:sz w:val="11"/>
          <w:szCs w:val="11"/>
        </w:rPr>
      </w:pPr>
    </w:p>
    <w:tbl>
      <w:tblPr>
        <w:tblW w:w="0" w:type="auto"/>
        <w:jc w:val="left"/>
        <w:tblInd w:w="317" w:type="dxa"/>
        <w:tblLayout w:type="fixed"/>
        <w:tblCellMar>
          <w:top w:w="0" w:type="dxa"/>
          <w:left w:w="0" w:type="dxa"/>
          <w:bottom w:w="0" w:type="dxa"/>
          <w:right w:w="0" w:type="dxa"/>
        </w:tblCellMar>
        <w:tblLook w:val="01E0"/>
      </w:tblPr>
      <w:tblGrid>
        <w:gridCol w:w="2374"/>
        <w:gridCol w:w="1970"/>
        <w:gridCol w:w="1578"/>
        <w:gridCol w:w="1481"/>
        <w:gridCol w:w="1900"/>
      </w:tblGrid>
      <w:tr>
        <w:trPr>
          <w:trHeight w:val="341"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49" w:right="0"/>
              <w:jc w:val="left"/>
              <w:rPr>
                <w:rFonts w:ascii="宋体" w:hAnsi="宋体" w:cs="宋体" w:eastAsia="宋体" w:hint="default"/>
                <w:sz w:val="18"/>
                <w:szCs w:val="18"/>
              </w:rPr>
            </w:pPr>
            <w:r>
              <w:rPr>
                <w:rFonts w:ascii="宋体" w:hAnsi="宋体" w:cs="宋体" w:eastAsia="宋体" w:hint="default"/>
                <w:sz w:val="18"/>
                <w:szCs w:val="18"/>
              </w:rPr>
              <w:t>账面余额（元）</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1,625,673.60</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员工出差借款</w:t>
            </w:r>
          </w:p>
        </w:tc>
      </w:tr>
      <w:tr>
        <w:trPr>
          <w:trHeight w:val="34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4,583,788.87</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34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6,209,462.47</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本期计提坏账准备金额</w:t>
      </w:r>
      <w:r>
        <w:rPr>
          <w:spacing w:val="-46"/>
        </w:rPr>
        <w:t> </w:t>
      </w:r>
      <w:r>
        <w:rPr>
          <w:rFonts w:ascii="Times New Roman" w:hAnsi="Times New Roman" w:cs="Times New Roman" w:eastAsia="Times New Roman" w:hint="default"/>
        </w:rPr>
        <w:t>184,199.39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229"/>
      <w:bookmarkEnd w:id="22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1,625,673.60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1,830,798.50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4,583,788.87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3,742,044.37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2,717,136.90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782,168.12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8,926,599.37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6,355,010.99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30"/>
      <w:bookmarkEnd w:id="23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1,782,362.68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3,719,962.68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7、存货" w:id="231"/>
      <w:bookmarkEnd w:id="231"/>
      <w:r>
        <w:rPr>
          <w:b w:val="0"/>
          <w:bCs w:val="0"/>
        </w:rPr>
      </w: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32"/>
      <w:bookmarkEnd w:id="23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46,415,362.73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660,497.56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45,754,865.17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50,681,224.21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441,904.34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50,239,319.87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65,415,811.92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1,692,056.19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63,723,755.73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64,654,471.87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919,316.61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63,735,155.26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2,650,087.04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2,650,087.04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1,815,186.87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1,815,186.87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53,673,565.69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53,673,565.69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76,420,226.78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76,420,226.78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3,011,215.91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3,011,215.91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940,367.14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940,367.14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171,166,043.29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2,352,553.75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168,813,489.54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194,511,476.87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1,361,220.95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193,150,255.92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33"/>
      <w:bookmarkEnd w:id="23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441,904.34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218,593.22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660,497.56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919,316.61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772,739.58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1,692,056.19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1,361,220.95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991,332.80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2,352,553.75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8、其他流动资产" w:id="234"/>
      <w:bookmarkEnd w:id="234"/>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692,592.56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2,138,655.22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692,592.56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2,138,655.22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9、可供出售金融资产" w:id="235"/>
      <w:bookmarkEnd w:id="235"/>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6"/>
      <w:bookmarkEnd w:id="23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01"/>
        <w:gridCol w:w="1184"/>
        <w:gridCol w:w="1196"/>
        <w:gridCol w:w="1196"/>
        <w:gridCol w:w="1249"/>
        <w:gridCol w:w="1367"/>
        <w:gridCol w:w="1355"/>
      </w:tblGrid>
      <w:tr>
        <w:trPr>
          <w:trHeight w:val="207"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22,124,374.50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22,124,374.50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0" w:right="0"/>
              <w:jc w:val="left"/>
              <w:rPr>
                <w:rFonts w:ascii="Times New Roman" w:hAnsi="Times New Roman" w:cs="Times New Roman" w:eastAsia="Times New Roman" w:hint="default"/>
                <w:sz w:val="18"/>
                <w:szCs w:val="18"/>
              </w:rPr>
            </w:pPr>
            <w:r>
              <w:rPr>
                <w:rFonts w:ascii="Times New Roman"/>
                <w:sz w:val="18"/>
              </w:rPr>
              <w:t>5,064,131.00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5,064,131.00</w:t>
            </w:r>
          </w:p>
        </w:tc>
      </w:tr>
    </w:tbl>
    <w:p>
      <w:pPr>
        <w:spacing w:after="0" w:line="240" w:lineRule="auto"/>
        <w:jc w:val="lef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22,124,374.50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22,124,374.50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5,064,131.00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22,124,374.50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22,124,374.50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5,064,131.00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37"/>
      <w:bookmarkEnd w:id="237"/>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7"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141"/>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34" w:space="0" w:color="FFFFFF"/>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34" w:space="0" w:color="FFFFFF"/>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141"/>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4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江苏大丰 农村商业 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1.32324%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661,582.60</w:t>
            </w:r>
          </w:p>
        </w:tc>
      </w:tr>
      <w:tr>
        <w:trPr>
          <w:trHeight w:val="57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株式会社</w:t>
            </w:r>
          </w:p>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ISI</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17,060,243</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17,060,243</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17,060,243</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22,124,374</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661,582.60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10、长期股权投资" w:id="238"/>
      <w:bookmarkEnd w:id="238"/>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30"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4"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4"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81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64,750,79</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615,784.2</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62,866,57</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4.70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796" w:type="dxa"/>
            <w:tcBorders>
              <w:top w:val="single" w:sz="4" w:space="0" w:color="000000"/>
              <w:left w:val="single" w:sz="4" w:space="0" w:color="000000"/>
              <w:bottom w:val="single" w:sz="52" w:space="0" w:color="D2D2D2"/>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12,858,73</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9.66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185,374.0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13,044,11</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3.69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6"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13" w:space="0" w:color="D2D2D2"/>
              <w:right w:val="single" w:sz="4" w:space="0" w:color="000000"/>
            </w:tcBorders>
          </w:tcPr>
          <w:p>
            <w:pPr>
              <w:pStyle w:val="TableParagraph"/>
              <w:spacing w:line="240" w:lineRule="auto" w:before="64"/>
              <w:ind w:left="34" w:right="0"/>
              <w:jc w:val="left"/>
              <w:rPr>
                <w:rFonts w:ascii="Times New Roman" w:hAnsi="Times New Roman" w:cs="Times New Roman" w:eastAsia="Times New Roman" w:hint="default"/>
                <w:sz w:val="18"/>
                <w:szCs w:val="18"/>
              </w:rPr>
            </w:pPr>
            <w:r>
              <w:rPr>
                <w:rFonts w:ascii="Times New Roman"/>
                <w:sz w:val="18"/>
              </w:rPr>
              <w:t>77,609,53</w:t>
            </w:r>
          </w:p>
          <w:p>
            <w:pPr>
              <w:pStyle w:val="TableParagraph"/>
              <w:spacing w:line="240" w:lineRule="auto" w:before="33"/>
              <w:ind w:left="439" w:right="0"/>
              <w:jc w:val="left"/>
              <w:rPr>
                <w:rFonts w:ascii="Times New Roman" w:hAnsi="Times New Roman" w:cs="Times New Roman" w:eastAsia="Times New Roman" w:hint="default"/>
                <w:sz w:val="18"/>
                <w:szCs w:val="18"/>
              </w:rPr>
            </w:pPr>
            <w:r>
              <w:rPr>
                <w:rFonts w:ascii="Times New Roman"/>
                <w:sz w:val="18"/>
              </w:rPr>
              <w:t>0.13</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801,158.2</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75,910,68</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8.39</w:t>
            </w:r>
          </w:p>
        </w:tc>
        <w:tc>
          <w:tcPr>
            <w:tcW w:w="798" w:type="dxa"/>
            <w:vMerge w:val="restart"/>
            <w:tcBorders>
              <w:top w:val="single" w:sz="4" w:space="0" w:color="000000"/>
              <w:left w:val="single" w:sz="4" w:space="0" w:color="000000"/>
              <w:right w:val="single" w:sz="4" w:space="0" w:color="000000"/>
            </w:tcBorders>
          </w:tcPr>
          <w:p>
            <w:pPr/>
          </w:p>
        </w:tc>
      </w:tr>
      <w:tr>
        <w:trPr>
          <w:trHeight w:val="445"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13"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14,008,18</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4,353,936</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1,404,087</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16,958,03</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常州鑫润 丰东热处 理工程有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279,710.1</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5,979,710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14,008,18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4,633,647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1,404,087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22,937,74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91,617,71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5,434,805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3,904,087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98,848,42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4813"/>
        <w:jc w:val="left"/>
      </w:pPr>
      <w:r>
        <w:rPr/>
        <w:t>其他说明 上述长期股权投资单位无向投资企业转移资金的能力受到限制的情况。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1、固定资产" w:id="239"/>
      <w:bookmarkEnd w:id="239"/>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0"/>
      <w:bookmarkEnd w:id="24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560"/>
        <w:gridCol w:w="1417"/>
        <w:gridCol w:w="1417"/>
        <w:gridCol w:w="1419"/>
        <w:gridCol w:w="1342"/>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156,615,386.79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126,719,486.26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13,118,058.88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15,146,054.31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311,598,986.24</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28,534,131.08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14,303,664.53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1,214,591.26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1,264,794.27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45,317,181.14</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1,029,529.93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3,786,770.45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1,214,591.26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1,264,794.27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7,295,685.91</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27,504,601.15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10,516,894.08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38,021,495.23</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4,347,375.80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815,675.28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296,333.00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43,688.46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5,503,072.54</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4,347,375.80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815,675.28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296,333.00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43,688.46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5,503,072.54</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180,802,142.07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140,207,475.51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14,036,317.14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16,367,160.12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351,413,094.84</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33,404,011.83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44,976,365.34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5,922,755.62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9,359,340.61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93,662,473.40</w:t>
            </w:r>
          </w:p>
        </w:tc>
      </w:tr>
      <w:tr>
        <w:trPr>
          <w:trHeight w:val="35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7,503,853.02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11,848,714.49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2,200,891.77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2,053,740.34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23,607,199.62</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7,503,853.02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11,848,714.49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2,200,891.77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2,053,740.34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23,607,199.62</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199,479.41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441,793.38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266,699.70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39,414.61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947,387.10</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199,479.41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441,793.38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266,699.70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39,414.61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947,387.10</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40,708,385.44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56,383,286.45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7,856,947.69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11,373,666.34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116,322,285.92</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300,000.00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1,030,000.00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1,330,000.00</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175,000.00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175,000.00</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175,000.00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175,000.00</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300,000.00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855,000.00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1,155,000.00</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139,793,756.63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82,969,189.06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6,179,369.45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4,993,493.78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233,935,808.92</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122,911,374.96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80,713,120.92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7,195,303.26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5,786,713.70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216,606,512.84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在建工程" w:id="241"/>
      <w:bookmarkEnd w:id="241"/>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42"/>
      <w:bookmarkEnd w:id="242"/>
      <w:r>
        <w:rPr>
          <w:b w:val="0"/>
          <w:bCs w:val="0"/>
        </w:rPr>
      </w:r>
      <w:r>
        <w:rPr/>
        <w:t>（</w:t>
      </w:r>
      <w:r>
        <w:rPr>
          <w:rFonts w:ascii="Times New Roman" w:hAnsi="Times New Roman" w:cs="Times New Roman" w:eastAsia="Times New Roman" w:hint="default"/>
        </w:rPr>
        <w:t>1</w:t>
      </w:r>
      <w:r>
        <w:rPr/>
        <w:t>）在建工程情况</w:t>
      </w:r>
      <w:r>
        <w:rPr>
          <w:b w:val="0"/>
          <w:bCs w:val="0"/>
        </w:rPr>
      </w:r>
    </w:p>
    <w:p>
      <w:pPr>
        <w:spacing w:after="0" w:line="240" w:lineRule="auto"/>
        <w:jc w:val="left"/>
        <w:sectPr>
          <w:pgSz w:w="11910" w:h="16840"/>
          <w:pgMar w:header="768" w:footer="979" w:top="1100" w:bottom="1160" w:left="980" w:right="0"/>
        </w:sectPr>
      </w:pPr>
    </w:p>
    <w:p>
      <w:pPr>
        <w:spacing w:line="240" w:lineRule="auto" w:before="13"/>
        <w:rPr>
          <w:rFonts w:ascii="宋体" w:hAnsi="宋体" w:cs="宋体" w:eastAsia="宋体" w:hint="default"/>
          <w:b/>
          <w:bCs/>
          <w:sz w:val="21"/>
          <w:szCs w:val="2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天津丰东厂房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13,100,619.82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13,100,619.82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20,721,594.98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20,721,594.98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南京丰东厂房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2,492,824.15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2,492,824.15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14,599,267.55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14,599,267.55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359,251.01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359,251.01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27,699,887.37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27,699,887.37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23,573,670.14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23,573,670.14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43"/>
      <w:bookmarkEnd w:id="24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637"/>
        <w:gridCol w:w="710"/>
        <w:gridCol w:w="708"/>
        <w:gridCol w:w="709"/>
        <w:gridCol w:w="91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4" w:right="4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23" w:hanging="56"/>
              <w:jc w:val="both"/>
              <w:rPr>
                <w:rFonts w:ascii="宋体" w:hAnsi="宋体" w:cs="宋体" w:eastAsia="宋体" w:hint="default"/>
                <w:sz w:val="18"/>
                <w:szCs w:val="18"/>
              </w:rPr>
            </w:pPr>
            <w:r>
              <w:rPr>
                <w:rFonts w:ascii="宋体" w:hAnsi="宋体" w:cs="宋体" w:eastAsia="宋体" w:hint="default"/>
                <w:spacing w:val="-18"/>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 资本化 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5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9"/>
              <w:jc w:val="left"/>
              <w:rPr>
                <w:rFonts w:ascii="宋体" w:hAnsi="宋体" w:cs="宋体" w:eastAsia="宋体" w:hint="default"/>
                <w:sz w:val="18"/>
                <w:szCs w:val="18"/>
              </w:rPr>
            </w:pPr>
            <w:r>
              <w:rPr>
                <w:rFonts w:ascii="宋体" w:hAnsi="宋体" w:cs="宋体" w:eastAsia="宋体" w:hint="default"/>
                <w:sz w:val="18"/>
                <w:szCs w:val="18"/>
              </w:rPr>
              <w:t>天津丰 东厂房</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20,721,5</w:t>
            </w:r>
          </w:p>
          <w:p>
            <w:pPr>
              <w:pStyle w:val="TableParagraph"/>
              <w:spacing w:line="240" w:lineRule="auto" w:before="34"/>
              <w:ind w:left="299" w:right="0"/>
              <w:jc w:val="left"/>
              <w:rPr>
                <w:rFonts w:ascii="Times New Roman" w:hAnsi="Times New Roman" w:cs="Times New Roman" w:eastAsia="Times New Roman" w:hint="default"/>
                <w:sz w:val="18"/>
                <w:szCs w:val="18"/>
              </w:rPr>
            </w:pPr>
            <w:r>
              <w:rPr>
                <w:rFonts w:ascii="Times New Roman"/>
                <w:sz w:val="18"/>
              </w:rPr>
              <w:t>94.98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17,379,0</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24.84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13,100,6</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19.82</w:t>
            </w:r>
          </w:p>
        </w:tc>
        <w:tc>
          <w:tcPr>
            <w:tcW w:w="7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2"/>
              <w:jc w:val="left"/>
              <w:rPr>
                <w:rFonts w:ascii="宋体" w:hAnsi="宋体" w:cs="宋体" w:eastAsia="宋体" w:hint="default"/>
                <w:sz w:val="18"/>
                <w:szCs w:val="18"/>
              </w:rPr>
            </w:pPr>
            <w:r>
              <w:rPr>
                <w:rFonts w:ascii="宋体" w:hAnsi="宋体" w:cs="宋体" w:eastAsia="宋体" w:hint="default"/>
                <w:sz w:val="18"/>
                <w:szCs w:val="18"/>
              </w:rPr>
              <w:t>自筹及募 集资金</w:t>
            </w:r>
          </w:p>
        </w:tc>
      </w:tr>
      <w:tr>
        <w:trPr>
          <w:trHeight w:val="5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9"/>
              <w:jc w:val="left"/>
              <w:rPr>
                <w:rFonts w:ascii="宋体" w:hAnsi="宋体" w:cs="宋体" w:eastAsia="宋体" w:hint="default"/>
                <w:sz w:val="18"/>
                <w:szCs w:val="18"/>
              </w:rPr>
            </w:pPr>
            <w:r>
              <w:rPr>
                <w:rFonts w:ascii="宋体" w:hAnsi="宋体" w:cs="宋体" w:eastAsia="宋体" w:hint="default"/>
                <w:sz w:val="18"/>
                <w:szCs w:val="18"/>
              </w:rPr>
              <w:t>南京丰 东厂房</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2,492,82</w:t>
            </w:r>
          </w:p>
          <w:p>
            <w:pPr>
              <w:pStyle w:val="TableParagraph"/>
              <w:spacing w:line="240" w:lineRule="auto" w:before="34"/>
              <w:ind w:left="389" w:right="0"/>
              <w:jc w:val="left"/>
              <w:rPr>
                <w:rFonts w:ascii="Times New Roman" w:hAnsi="Times New Roman" w:cs="Times New Roman" w:eastAsia="Times New Roman" w:hint="default"/>
                <w:sz w:val="18"/>
                <w:szCs w:val="18"/>
              </w:rPr>
            </w:pPr>
            <w:r>
              <w:rPr>
                <w:rFonts w:ascii="Times New Roman"/>
                <w:sz w:val="18"/>
              </w:rPr>
              <w:t>4.15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w w:val="95"/>
                <w:sz w:val="18"/>
              </w:rPr>
              <w:t>11,777.0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2,504,60</w:t>
            </w:r>
          </w:p>
          <w:p>
            <w:pPr>
              <w:pStyle w:val="TableParagraph"/>
              <w:spacing w:line="240" w:lineRule="auto" w:before="34"/>
              <w:ind w:left="388" w:right="0"/>
              <w:jc w:val="left"/>
              <w:rPr>
                <w:rFonts w:ascii="Times New Roman" w:hAnsi="Times New Roman" w:cs="Times New Roman" w:eastAsia="Times New Roman" w:hint="default"/>
                <w:sz w:val="18"/>
                <w:szCs w:val="18"/>
              </w:rPr>
            </w:pPr>
            <w:r>
              <w:rPr>
                <w:rFonts w:ascii="Times New Roman"/>
                <w:sz w:val="18"/>
              </w:rPr>
              <w:t>1.15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2"/>
              <w:jc w:val="left"/>
              <w:rPr>
                <w:rFonts w:ascii="宋体" w:hAnsi="宋体" w:cs="宋体" w:eastAsia="宋体" w:hint="default"/>
                <w:sz w:val="18"/>
                <w:szCs w:val="18"/>
              </w:rPr>
            </w:pPr>
            <w:r>
              <w:rPr>
                <w:rFonts w:ascii="宋体" w:hAnsi="宋体" w:cs="宋体" w:eastAsia="宋体" w:hint="default"/>
                <w:sz w:val="18"/>
                <w:szCs w:val="18"/>
              </w:rPr>
              <w:t>自筹及募 集资金</w:t>
            </w:r>
          </w:p>
        </w:tc>
      </w:tr>
      <w:tr>
        <w:trPr>
          <w:trHeight w:val="5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1"/>
              <w:ind w:left="22" w:right="159"/>
              <w:jc w:val="left"/>
              <w:rPr>
                <w:rFonts w:ascii="宋体" w:hAnsi="宋体" w:cs="宋体" w:eastAsia="宋体" w:hint="default"/>
                <w:sz w:val="18"/>
                <w:szCs w:val="18"/>
              </w:rPr>
            </w:pPr>
            <w:r>
              <w:rPr>
                <w:rFonts w:ascii="宋体" w:hAnsi="宋体" w:cs="宋体" w:eastAsia="宋体" w:hint="default"/>
                <w:sz w:val="18"/>
                <w:szCs w:val="18"/>
              </w:rPr>
              <w:t>设备安 装工程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359,251.</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24,756,9</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10.62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10,516,8</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94.08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14,599,2</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67.55</w:t>
            </w:r>
          </w:p>
        </w:tc>
        <w:tc>
          <w:tcPr>
            <w:tcW w:w="7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1"/>
              <w:ind w:left="22" w:right="162"/>
              <w:jc w:val="left"/>
              <w:rPr>
                <w:rFonts w:ascii="宋体" w:hAnsi="宋体" w:cs="宋体" w:eastAsia="宋体" w:hint="default"/>
                <w:sz w:val="18"/>
                <w:szCs w:val="18"/>
              </w:rPr>
            </w:pPr>
            <w:r>
              <w:rPr>
                <w:rFonts w:ascii="宋体" w:hAnsi="宋体" w:cs="宋体" w:eastAsia="宋体" w:hint="default"/>
                <w:sz w:val="18"/>
                <w:szCs w:val="18"/>
              </w:rPr>
              <w:t>自筹及募 集资金</w:t>
            </w:r>
          </w:p>
        </w:tc>
      </w:tr>
      <w:tr>
        <w:trPr>
          <w:trHeight w:val="57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23,573,6</w:t>
            </w:r>
          </w:p>
          <w:p>
            <w:pPr>
              <w:pStyle w:val="TableParagraph"/>
              <w:spacing w:line="240" w:lineRule="auto" w:before="34"/>
              <w:ind w:left="299" w:right="0"/>
              <w:jc w:val="left"/>
              <w:rPr>
                <w:rFonts w:ascii="Times New Roman" w:hAnsi="Times New Roman" w:cs="Times New Roman" w:eastAsia="Times New Roman" w:hint="default"/>
                <w:sz w:val="18"/>
                <w:szCs w:val="18"/>
              </w:rPr>
            </w:pPr>
            <w:r>
              <w:rPr>
                <w:rFonts w:ascii="Times New Roman"/>
                <w:sz w:val="18"/>
              </w:rPr>
              <w:t>70.14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42,147,7</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12.46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38,021,4</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95.23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27,699,8</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87.37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13、无形资产" w:id="244"/>
      <w:bookmarkEnd w:id="244"/>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5"/>
      <w:bookmarkEnd w:id="24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134"/>
        <w:gridCol w:w="1277"/>
        <w:gridCol w:w="1276"/>
        <w:gridCol w:w="1134"/>
        <w:gridCol w:w="1205"/>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44,626,604.97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5,344,217.90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4,490,076.93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54,460,899.80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380,488.40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680,488.40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380,488.40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680,488.40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44,626,604.97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5,644,217.90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4,870,565.33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55,141,388.20</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134"/>
        <w:gridCol w:w="1277"/>
        <w:gridCol w:w="1276"/>
        <w:gridCol w:w="1134"/>
        <w:gridCol w:w="1205"/>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4,657,300.30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1,207,148.59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488,426.47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6,352,875.36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901,867.78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552,921.96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510,169.48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1,964,959.22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901,867.78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552,921.96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510,169.48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1,964,959.22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5,559,168.08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1,760,070.55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998,595.95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8,317,834.58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39,067,436.89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3,884,147.35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3,871,969.38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46,823,553.62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39,969,304.67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4,137,069.31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4,001,650.46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48,108,024.44</w:t>
            </w:r>
          </w:p>
        </w:tc>
      </w:tr>
    </w:tbl>
    <w:p>
      <w:pPr>
        <w:pStyle w:val="BodyText"/>
        <w:spacing w:line="340" w:lineRule="auto" w:before="51"/>
        <w:ind w:right="466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 其他说明：</w:t>
      </w:r>
    </w:p>
    <w:p>
      <w:pPr>
        <w:pStyle w:val="BodyText"/>
        <w:spacing w:line="240" w:lineRule="auto" w:before="40"/>
        <w:ind w:right="0"/>
        <w:jc w:val="left"/>
      </w:pPr>
      <w:r>
        <w:rPr/>
        <w:t>土地使用权为：</w:t>
      </w:r>
    </w:p>
    <w:p>
      <w:pPr>
        <w:pStyle w:val="BodyText"/>
        <w:spacing w:line="240" w:lineRule="auto" w:before="117"/>
        <w:ind w:right="0"/>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2007</w:t>
      </w:r>
      <w:r>
        <w:rPr/>
        <w:t>年取得的大丰开发区土地，面积为</w:t>
      </w:r>
      <w:r>
        <w:rPr>
          <w:rFonts w:ascii="Times New Roman" w:hAnsi="Times New Roman" w:cs="Times New Roman" w:eastAsia="Times New Roman" w:hint="default"/>
        </w:rPr>
        <w:t>130,656</w:t>
      </w:r>
      <w:r>
        <w:rPr/>
        <w:t>平方米，土地使用权期限为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日到</w:t>
      </w:r>
      <w:r>
        <w:rPr>
          <w:rFonts w:ascii="Times New Roman" w:hAnsi="Times New Roman" w:cs="Times New Roman" w:eastAsia="Times New Roman" w:hint="default"/>
        </w:rPr>
        <w:t>2057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w:t>
      </w:r>
    </w:p>
    <w:p>
      <w:pPr>
        <w:pStyle w:val="BodyText"/>
        <w:spacing w:line="240" w:lineRule="auto" w:before="101"/>
        <w:ind w:left="514" w:right="0"/>
        <w:jc w:val="left"/>
      </w:pPr>
      <w:r>
        <w:rPr>
          <w:rFonts w:ascii="Times New Roman" w:hAnsi="Times New Roman" w:cs="Times New Roman" w:eastAsia="Times New Roman" w:hint="default"/>
        </w:rPr>
        <w:t>2</w:t>
      </w:r>
      <w:r>
        <w:rPr/>
        <w:t>）本公司子公司南京丰东在溧水县开发南区的土地，面积为</w:t>
      </w:r>
      <w:r>
        <w:rPr>
          <w:rFonts w:ascii="Times New Roman" w:hAnsi="Times New Roman" w:cs="Times New Roman" w:eastAsia="Times New Roman" w:hint="default"/>
        </w:rPr>
        <w:t>13,862.50</w:t>
      </w:r>
      <w:r>
        <w:rPr/>
        <w:t>平方米。土地使用权证期限为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日至</w:t>
      </w:r>
    </w:p>
    <w:p>
      <w:pPr>
        <w:pStyle w:val="BodyText"/>
        <w:spacing w:line="240" w:lineRule="auto" w:before="64"/>
        <w:ind w:left="153" w:right="0"/>
        <w:jc w:val="left"/>
      </w:pPr>
      <w:r>
        <w:rPr>
          <w:rFonts w:ascii="Times New Roman" w:hAnsi="Times New Roman" w:cs="Times New Roman" w:eastAsia="Times New Roman" w:hint="default"/>
        </w:rPr>
        <w:t>2056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）本公司子公司特种炉业在大丰开发区昌平路</w:t>
      </w:r>
      <w:r>
        <w:rPr>
          <w:rFonts w:ascii="Times New Roman" w:hAnsi="Times New Roman" w:cs="Times New Roman" w:eastAsia="Times New Roman" w:hint="default"/>
        </w:rPr>
        <w:t>7</w:t>
      </w:r>
      <w:r>
        <w:rPr/>
        <w:t>号土地，面积为</w:t>
      </w:r>
      <w:r>
        <w:rPr>
          <w:rFonts w:ascii="Times New Roman" w:hAnsi="Times New Roman" w:cs="Times New Roman" w:eastAsia="Times New Roman" w:hint="default"/>
        </w:rPr>
        <w:t>17,321.00</w:t>
      </w:r>
      <w:r>
        <w:rPr/>
        <w:t>平方米，土地使用权证期限为</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p>
    <w:p>
      <w:pPr>
        <w:pStyle w:val="BodyText"/>
        <w:spacing w:line="240" w:lineRule="auto" w:before="64"/>
        <w:ind w:left="153" w:right="0"/>
        <w:jc w:val="left"/>
      </w:pPr>
      <w:r>
        <w:rPr/>
        <w:t>日到</w:t>
      </w:r>
      <w:r>
        <w:rPr>
          <w:rFonts w:ascii="Times New Roman" w:hAnsi="Times New Roman" w:cs="Times New Roman" w:eastAsia="Times New Roman" w:hint="default"/>
        </w:rPr>
        <w:t>2053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日，该土地已抵押给江苏大丰农村商业银行，取得期末</w:t>
      </w:r>
      <w:r>
        <w:rPr>
          <w:rFonts w:ascii="Times New Roman" w:hAnsi="Times New Roman" w:cs="Times New Roman" w:eastAsia="Times New Roman" w:hint="default"/>
        </w:rPr>
        <w:t>400</w:t>
      </w:r>
      <w:r>
        <w:rPr/>
        <w:t>万元流动资金的抵押借款。</w:t>
      </w:r>
    </w:p>
    <w:p>
      <w:pPr>
        <w:pStyle w:val="BodyText"/>
        <w:spacing w:line="302" w:lineRule="auto" w:before="102"/>
        <w:ind w:left="154" w:right="1122" w:firstLine="360"/>
        <w:jc w:val="left"/>
      </w:pPr>
      <w:r>
        <w:rPr>
          <w:rFonts w:ascii="Times New Roman" w:hAnsi="Times New Roman" w:cs="Times New Roman" w:eastAsia="Times New Roman" w:hint="default"/>
        </w:rPr>
        <w:t>4</w:t>
      </w:r>
      <w:r>
        <w:rPr/>
        <w:t>）本公司子公司天津丰东在天津北辰区科技园区的土地，面积为</w:t>
      </w:r>
      <w:r>
        <w:rPr>
          <w:rFonts w:ascii="Times New Roman" w:hAnsi="Times New Roman" w:cs="Times New Roman" w:eastAsia="Times New Roman" w:hint="default"/>
        </w:rPr>
        <w:t>10,000.00</w:t>
      </w:r>
      <w:r>
        <w:rPr/>
        <w:t>平方米。土地使用权证期限为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 到</w:t>
      </w:r>
      <w:r>
        <w:rPr>
          <w:rFonts w:ascii="Times New Roman" w:hAnsi="Times New Roman" w:cs="Times New Roman" w:eastAsia="Times New Roman" w:hint="default"/>
        </w:rPr>
        <w:t>2057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p>
    <w:p>
      <w:pPr>
        <w:pStyle w:val="BodyText"/>
        <w:spacing w:line="240" w:lineRule="auto" w:before="49"/>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5</w:t>
      </w:r>
      <w:r>
        <w:rPr>
          <w:spacing w:val="-3"/>
        </w:rPr>
        <w:t>）本公司子公司上海丰东在上海市奉贤区西渡镇十街坊</w:t>
      </w:r>
      <w:r>
        <w:rPr>
          <w:rFonts w:ascii="Times New Roman" w:hAnsi="Times New Roman" w:cs="Times New Roman" w:eastAsia="Times New Roman" w:hint="default"/>
          <w:spacing w:val="-3"/>
        </w:rPr>
        <w:t>1/11</w:t>
      </w:r>
      <w:r>
        <w:rPr>
          <w:spacing w:val="-3"/>
        </w:rPr>
        <w:t>丘土地，面积为</w:t>
      </w:r>
      <w:r>
        <w:rPr>
          <w:rFonts w:ascii="Times New Roman" w:hAnsi="Times New Roman" w:cs="Times New Roman" w:eastAsia="Times New Roman" w:hint="default"/>
          <w:spacing w:val="-3"/>
        </w:rPr>
        <w:t>12,154.80</w:t>
      </w:r>
      <w:r>
        <w:rPr>
          <w:spacing w:val="-3"/>
        </w:rPr>
        <w:t>平方米，土地使用权证期限为</w:t>
      </w:r>
      <w:r>
        <w:rPr>
          <w:rFonts w:ascii="Times New Roman" w:hAnsi="Times New Roman" w:cs="Times New Roman" w:eastAsia="Times New Roman" w:hint="default"/>
          <w:spacing w:val="-3"/>
        </w:rPr>
        <w:t>2005</w:t>
      </w:r>
    </w:p>
    <w:p>
      <w:pPr>
        <w:pStyle w:val="BodyText"/>
        <w:spacing w:line="240" w:lineRule="auto" w:before="64"/>
        <w:ind w:left="153" w:right="0"/>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日到</w:t>
      </w:r>
      <w:r>
        <w:rPr>
          <w:rFonts w:ascii="Times New Roman" w:hAnsi="Times New Roman" w:cs="Times New Roman" w:eastAsia="Times New Roman" w:hint="default"/>
        </w:rPr>
        <w:t>2055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w:t>
      </w:r>
    </w:p>
    <w:p>
      <w:pPr>
        <w:pStyle w:val="BodyText"/>
        <w:spacing w:line="240" w:lineRule="auto" w:before="10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）本公司子公司天津丰东在天津市北辰区天津风电产业园的土地，面积为</w:t>
      </w:r>
      <w:r>
        <w:rPr>
          <w:rFonts w:ascii="Times New Roman" w:hAnsi="Times New Roman" w:cs="Times New Roman" w:eastAsia="Times New Roman" w:hint="default"/>
        </w:rPr>
        <w:t>33,333.40</w:t>
      </w:r>
      <w:r>
        <w:rPr/>
        <w:t>平方米，土地使用权证期限为</w:t>
      </w:r>
      <w:r>
        <w:rPr>
          <w:rFonts w:ascii="Times New Roman" w:hAnsi="Times New Roman" w:cs="Times New Roman" w:eastAsia="Times New Roman" w:hint="default"/>
        </w:rPr>
        <w:t>2014</w:t>
      </w:r>
    </w:p>
    <w:p>
      <w:pPr>
        <w:pStyle w:val="BodyText"/>
        <w:spacing w:line="338" w:lineRule="auto" w:before="64"/>
        <w:ind w:left="514" w:right="2192" w:hanging="360"/>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日到</w:t>
      </w:r>
      <w:r>
        <w:rPr>
          <w:rFonts w:ascii="Times New Roman" w:hAnsi="Times New Roman" w:cs="Times New Roman" w:eastAsia="Times New Roman" w:hint="default"/>
        </w:rPr>
        <w:t>2064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 技术使用费为本公司取得的日本东方</w:t>
      </w:r>
      <w:r>
        <w:rPr>
          <w:rFonts w:ascii="Times New Roman" w:hAnsi="Times New Roman" w:cs="Times New Roman" w:eastAsia="Times New Roman" w:hint="default"/>
        </w:rPr>
        <w:t>VCQ1000</w:t>
      </w:r>
      <w:r>
        <w:rPr/>
        <w:t>真空渗碳炉技术使用权、日本东方</w:t>
      </w:r>
      <w:r>
        <w:rPr>
          <w:rFonts w:ascii="Times New Roman" w:hAnsi="Times New Roman" w:cs="Times New Roman" w:eastAsia="Times New Roman" w:hint="default"/>
        </w:rPr>
        <w:t>SPERIA</w:t>
      </w:r>
      <w:r>
        <w:rPr/>
        <w:t>箱式光辉浸炭炉</w:t>
      </w:r>
    </w:p>
    <w:p>
      <w:pPr>
        <w:pStyle w:val="BodyText"/>
        <w:spacing w:line="231" w:lineRule="exact"/>
        <w:ind w:left="153" w:right="0"/>
        <w:jc w:val="left"/>
      </w:pPr>
      <w:r>
        <w:rPr>
          <w:rFonts w:ascii="Times New Roman" w:hAnsi="Times New Roman" w:cs="Times New Roman" w:eastAsia="Times New Roman" w:hint="default"/>
        </w:rPr>
        <w:t>BBH-5000G-2R</w:t>
      </w:r>
      <w:r>
        <w:rPr/>
        <w:t>技术使用权、单双排推盘式连续渗碳炉及大型井式有马弗渗碳炉技术使用权、可控气氛热处理装备技术等。</w:t>
      </w:r>
    </w:p>
    <w:p>
      <w:pPr>
        <w:spacing w:after="0" w:line="231" w:lineRule="exact"/>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4、商誉" w:id="246"/>
      <w:bookmarkEnd w:id="246"/>
      <w:r>
        <w:rPr>
          <w:b w:val="0"/>
          <w:bCs w:val="0"/>
        </w:rPr>
      </w:r>
      <w:r>
        <w:rPr>
          <w:rFonts w:ascii="Times New Roman" w:hAnsi="Times New Roman" w:cs="Times New Roman" w:eastAsia="Times New Roman" w:hint="default"/>
        </w:rPr>
        <w:t>14</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47"/>
      <w:bookmarkEnd w:id="24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66"/>
        <w:gridCol w:w="1367"/>
        <w:gridCol w:w="1367"/>
        <w:gridCol w:w="1367"/>
        <w:gridCol w:w="1367"/>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4,833,418.62</w:t>
            </w:r>
          </w:p>
        </w:tc>
        <w:tc>
          <w:tcPr>
            <w:tcW w:w="12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4,833,418.62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15,475.33</w:t>
            </w:r>
          </w:p>
        </w:tc>
        <w:tc>
          <w:tcPr>
            <w:tcW w:w="12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15,475.33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216,477.98</w:t>
            </w:r>
          </w:p>
        </w:tc>
        <w:tc>
          <w:tcPr>
            <w:tcW w:w="12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216,477.98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853,922.04</w:t>
            </w:r>
          </w:p>
        </w:tc>
        <w:tc>
          <w:tcPr>
            <w:tcW w:w="12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853,922.04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5,919,293.97</w:t>
            </w:r>
          </w:p>
        </w:tc>
        <w:tc>
          <w:tcPr>
            <w:tcW w:w="12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5,919,293.97</w:t>
            </w:r>
          </w:p>
        </w:tc>
      </w:tr>
    </w:tbl>
    <w:p>
      <w:pPr>
        <w:pStyle w:val="BodyText"/>
        <w:spacing w:line="357" w:lineRule="auto" w:before="51"/>
        <w:ind w:right="8953"/>
        <w:jc w:val="left"/>
      </w:pPr>
      <w:r>
        <w:rPr/>
        <w:t>其他说明 商誉形成的原因：</w:t>
      </w:r>
    </w:p>
    <w:p>
      <w:pPr>
        <w:pStyle w:val="BodyText"/>
        <w:spacing w:line="240" w:lineRule="auto" w:before="28"/>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月，公司出资</w:t>
      </w:r>
      <w:r>
        <w:rPr>
          <w:rFonts w:ascii="Times New Roman" w:hAnsi="Times New Roman" w:cs="Times New Roman" w:eastAsia="Times New Roman" w:hint="default"/>
        </w:rPr>
        <w:t>10,800,000.00</w:t>
      </w:r>
      <w:r>
        <w:rPr/>
        <w:t>元收购南京顺捷热处理加工有限公司（后更名南京丰东热处理工程有限公司）</w:t>
      </w:r>
    </w:p>
    <w:p>
      <w:pPr>
        <w:pStyle w:val="BodyText"/>
        <w:spacing w:line="240" w:lineRule="auto" w:before="64"/>
        <w:ind w:left="153" w:right="0"/>
        <w:jc w:val="left"/>
      </w:pPr>
      <w:r>
        <w:rPr>
          <w:rFonts w:ascii="Times New Roman" w:hAnsi="Times New Roman" w:cs="Times New Roman" w:eastAsia="Times New Roman" w:hint="default"/>
        </w:rPr>
        <w:t>80%</w:t>
      </w:r>
      <w:r>
        <w:rPr/>
        <w:t>的股权，按持股比例享有的可辨认净资产公允价值为</w:t>
      </w:r>
      <w:r>
        <w:rPr>
          <w:rFonts w:ascii="Times New Roman" w:hAnsi="Times New Roman" w:cs="Times New Roman" w:eastAsia="Times New Roman" w:hint="default"/>
        </w:rPr>
        <w:t>5,966,581.38</w:t>
      </w:r>
      <w:r>
        <w:rPr/>
        <w:t>元，由此形成溢价差额</w:t>
      </w:r>
      <w:r>
        <w:rPr>
          <w:rFonts w:ascii="Times New Roman" w:hAnsi="Times New Roman" w:cs="Times New Roman" w:eastAsia="Times New Roman" w:hint="default"/>
        </w:rPr>
        <w:t>4,833,418.62</w:t>
      </w:r>
      <w:r>
        <w:rPr/>
        <w:t>元。</w:t>
      </w:r>
    </w:p>
    <w:p>
      <w:pPr>
        <w:pStyle w:val="BodyText"/>
        <w:spacing w:line="300" w:lineRule="auto" w:before="101"/>
        <w:ind w:left="154" w:right="113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月及</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月，公司分期出资</w:t>
      </w:r>
      <w:r>
        <w:rPr>
          <w:rFonts w:ascii="Times New Roman" w:hAnsi="Times New Roman" w:cs="Times New Roman" w:eastAsia="Times New Roman" w:hint="default"/>
        </w:rPr>
        <w:t>4,856,800.00</w:t>
      </w:r>
      <w:r>
        <w:rPr/>
        <w:t>元、</w:t>
      </w:r>
      <w:r>
        <w:rPr>
          <w:rFonts w:ascii="Times New Roman" w:hAnsi="Times New Roman" w:cs="Times New Roman" w:eastAsia="Times New Roman" w:hint="default"/>
        </w:rPr>
        <w:t>7,200,000.00</w:t>
      </w:r>
      <w:r>
        <w:rPr/>
        <w:t>元与</w:t>
      </w:r>
      <w:r>
        <w:rPr>
          <w:rFonts w:ascii="Times New Roman" w:hAnsi="Times New Roman" w:cs="Times New Roman" w:eastAsia="Times New Roman" w:hint="default"/>
        </w:rPr>
        <w:t>6,216,000.00</w:t>
      </w:r>
      <w:r>
        <w:rPr/>
        <w:t>元，设立天津丰 </w:t>
      </w:r>
      <w:r>
        <w:rPr>
          <w:spacing w:val="-1"/>
        </w:rPr>
        <w:t>东晨旭金属科技有限公司（后更名为天津丰东热处理有限公司），持股比例</w:t>
      </w:r>
      <w:r>
        <w:rPr>
          <w:rFonts w:ascii="Times New Roman" w:hAnsi="Times New Roman" w:cs="Times New Roman" w:eastAsia="Times New Roman" w:hint="default"/>
          <w:spacing w:val="-1"/>
        </w:rPr>
        <w:t>65%</w:t>
      </w:r>
      <w:r>
        <w:rPr>
          <w:spacing w:val="-1"/>
        </w:rPr>
        <w:t>，按持股比例享有的可辨认净资产公允价值</w:t>
      </w:r>
      <w:r>
        <w:rPr/>
        <w:t> 为</w:t>
      </w:r>
      <w:r>
        <w:rPr>
          <w:rFonts w:ascii="Times New Roman" w:hAnsi="Times New Roman" w:cs="Times New Roman" w:eastAsia="Times New Roman" w:hint="default"/>
        </w:rPr>
        <w:t>18,257,324.67</w:t>
      </w:r>
      <w:r>
        <w:rPr/>
        <w:t>元，因汇率因素形成溢价差额</w:t>
      </w:r>
      <w:r>
        <w:rPr>
          <w:rFonts w:ascii="Times New Roman" w:hAnsi="Times New Roman" w:cs="Times New Roman" w:eastAsia="Times New Roman" w:hint="default"/>
        </w:rPr>
        <w:t>15,475.33</w:t>
      </w:r>
      <w:r>
        <w:rPr/>
        <w:t>元。</w:t>
      </w:r>
    </w:p>
    <w:p>
      <w:pPr>
        <w:pStyle w:val="BodyText"/>
        <w:spacing w:line="302" w:lineRule="auto" w:before="51"/>
        <w:ind w:left="153" w:right="115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月，公司出资</w:t>
      </w:r>
      <w:r>
        <w:rPr>
          <w:rFonts w:ascii="Times New Roman" w:hAnsi="Times New Roman" w:cs="Times New Roman" w:eastAsia="Times New Roman" w:hint="default"/>
        </w:rPr>
        <w:t>990,000.00</w:t>
      </w:r>
      <w:r>
        <w:rPr/>
        <w:t>元，增持盐城丰东特种炉业有限公司</w:t>
      </w:r>
      <w:r>
        <w:rPr>
          <w:rFonts w:ascii="Times New Roman" w:hAnsi="Times New Roman" w:cs="Times New Roman" w:eastAsia="Times New Roman" w:hint="default"/>
        </w:rPr>
        <w:t>11%</w:t>
      </w:r>
      <w:r>
        <w:rPr/>
        <w:t>的股份，按持股比例享有的可辨认净资产 公允价值为</w:t>
      </w:r>
      <w:r>
        <w:rPr>
          <w:rFonts w:ascii="Times New Roman" w:hAnsi="Times New Roman" w:cs="Times New Roman" w:eastAsia="Times New Roman" w:hint="default"/>
        </w:rPr>
        <w:t>773,522.02</w:t>
      </w:r>
      <w:r>
        <w:rPr/>
        <w:t>元，由此形成溢价差额</w:t>
      </w:r>
      <w:r>
        <w:rPr>
          <w:rFonts w:ascii="Times New Roman" w:hAnsi="Times New Roman" w:cs="Times New Roman" w:eastAsia="Times New Roman" w:hint="default"/>
        </w:rPr>
        <w:t>216,477.98</w:t>
      </w:r>
      <w:r>
        <w:rPr/>
        <w:t>元。</w:t>
      </w:r>
    </w:p>
    <w:p>
      <w:pPr>
        <w:pStyle w:val="BodyText"/>
        <w:spacing w:line="300" w:lineRule="auto" w:before="50"/>
        <w:ind w:left="153" w:right="1033"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月，公司出资</w:t>
      </w:r>
      <w:r>
        <w:rPr>
          <w:rFonts w:ascii="Times New Roman" w:hAnsi="Times New Roman" w:cs="Times New Roman" w:eastAsia="Times New Roman" w:hint="default"/>
        </w:rPr>
        <w:t>7,272,000.00</w:t>
      </w:r>
      <w:r>
        <w:rPr/>
        <w:t>元收购上海丰东热处理工程有限公司</w:t>
      </w:r>
      <w:r>
        <w:rPr>
          <w:rFonts w:ascii="Times New Roman" w:hAnsi="Times New Roman" w:cs="Times New Roman" w:eastAsia="Times New Roman" w:hint="default"/>
        </w:rPr>
        <w:t>90%</w:t>
      </w:r>
      <w:r>
        <w:rPr/>
        <w:t>的股权，根据上海银信汇业资产评估有 限公司沪银信汇业评报字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1124</w:t>
      </w:r>
      <w:r>
        <w:rPr/>
        <w:t>号评估报告，上海丰东热处理工程有限公司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日为评估基准日的净资产为 </w:t>
      </w:r>
      <w:r>
        <w:rPr>
          <w:rFonts w:ascii="Times New Roman" w:hAnsi="Times New Roman" w:cs="Times New Roman" w:eastAsia="Times New Roman" w:hint="default"/>
        </w:rPr>
        <w:t>8,027,741.77</w:t>
      </w:r>
      <w:r>
        <w:rPr/>
        <w:t>元，其中无形资产</w:t>
      </w:r>
      <w:r>
        <w:rPr>
          <w:rFonts w:ascii="Times New Roman" w:hAnsi="Times New Roman" w:cs="Times New Roman" w:eastAsia="Times New Roman" w:hint="default"/>
        </w:rPr>
        <w:t>—</w:t>
      </w:r>
      <w:r>
        <w:rPr/>
        <w:t>土地使用权增值</w:t>
      </w:r>
      <w:r>
        <w:rPr>
          <w:rFonts w:ascii="Times New Roman" w:hAnsi="Times New Roman" w:cs="Times New Roman" w:eastAsia="Times New Roman" w:hint="default"/>
        </w:rPr>
        <w:t>3,586,176.15</w:t>
      </w:r>
      <w:r>
        <w:rPr/>
        <w:t>元。本公司以该评估净资产扣除按无形资产增值额计提的递延 所得税负债</w:t>
      </w:r>
      <w:r>
        <w:rPr>
          <w:rFonts w:ascii="Times New Roman" w:hAnsi="Times New Roman" w:cs="Times New Roman" w:eastAsia="Times New Roman" w:hint="default"/>
        </w:rPr>
        <w:t>896,544.04</w:t>
      </w:r>
      <w:r>
        <w:rPr/>
        <w:t>元后的金额</w:t>
      </w:r>
      <w:r>
        <w:rPr>
          <w:rFonts w:ascii="Times New Roman" w:hAnsi="Times New Roman" w:cs="Times New Roman" w:eastAsia="Times New Roman" w:hint="default"/>
        </w:rPr>
        <w:t>7,131,197.73</w:t>
      </w:r>
      <w:r>
        <w:rPr/>
        <w:t>为公允价值收购，按持股比例享有的可辨认净资产公允价值为</w:t>
      </w:r>
      <w:r>
        <w:rPr>
          <w:rFonts w:ascii="Times New Roman" w:hAnsi="Times New Roman" w:cs="Times New Roman" w:eastAsia="Times New Roman" w:hint="default"/>
        </w:rPr>
        <w:t>6,418,077.96</w:t>
      </w:r>
      <w:r>
        <w:rPr/>
        <w:t>元，</w:t>
      </w:r>
      <w:r>
        <w:rPr>
          <w:spacing w:val="1"/>
        </w:rPr>
        <w:t> </w:t>
      </w:r>
      <w:r>
        <w:rPr/>
        <w:t>由此形成溢价差额</w:t>
      </w:r>
      <w:r>
        <w:rPr>
          <w:rFonts w:ascii="Times New Roman" w:hAnsi="Times New Roman" w:cs="Times New Roman" w:eastAsia="Times New Roman" w:hint="default"/>
        </w:rPr>
        <w:t>853,922.04</w:t>
      </w:r>
      <w:r>
        <w:rPr/>
        <w:t>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15、长期待摊费用" w:id="248"/>
      <w:bookmarkEnd w:id="248"/>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559"/>
        <w:gridCol w:w="1559"/>
        <w:gridCol w:w="1559"/>
        <w:gridCol w:w="1419"/>
        <w:gridCol w:w="134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174,545.52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14,545.44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1,677,248.63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64,253.00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419,293.24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1,322,208.39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303,789.48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175,982.68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98,721.08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381,051.08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2,155,583.63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240,235.68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532,559.76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1,863,259.55</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79" w:header="768"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6、递延所得税资产/递延所得税负债" w:id="249"/>
      <w:bookmarkEnd w:id="249"/>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0"/>
      <w:bookmarkEnd w:id="25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14,810,395.10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2,409,150.05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12,109,500.86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1,923,965.77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23,955,303.97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4,318,556.43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23,146,781.41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4,019,433.69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1,588,650.41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397,162.60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2,949,604.42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655,711.35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7,980,044.62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1,197,006.70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10,165,637.37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1,524,845.61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48,334,394.10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8,321,875.78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48,371,524.06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8,123,956.42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51"/>
      <w:bookmarkEnd w:id="25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5"/>
        <w:gridCol w:w="1896"/>
        <w:gridCol w:w="1559"/>
        <w:gridCol w:w="1660"/>
        <w:gridCol w:w="1490"/>
      </w:tblGrid>
      <w:tr>
        <w:trPr>
          <w:trHeight w:val="206" w:hRule="exact"/>
        </w:trPr>
        <w:tc>
          <w:tcPr>
            <w:tcW w:w="2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4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gridSpan w:val="2"/>
            <w:vMerge/>
            <w:tcBorders>
              <w:left w:val="single" w:sz="4" w:space="0" w:color="000000"/>
              <w:bottom w:val="single" w:sz="4" w:space="0" w:color="000000"/>
              <w:right w:val="single" w:sz="4" w:space="0" w:color="000000"/>
            </w:tcBorders>
            <w:shd w:val="clear" w:color="auto" w:fill="D2D2D2"/>
          </w:tcPr>
          <w:p>
            <w:pPr/>
          </w:p>
        </w:tc>
        <w:tc>
          <w:tcPr>
            <w:tcW w:w="315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925" w:type="dxa"/>
            <w:vMerge/>
            <w:tcBorders>
              <w:left w:val="single" w:sz="4" w:space="0" w:color="000000"/>
              <w:bottom w:val="nil" w:sz="6" w:space="0" w:color="auto"/>
              <w:right w:val="single" w:sz="4" w:space="0" w:color="000000"/>
            </w:tcBorders>
            <w:shd w:val="clear" w:color="auto" w:fill="D2D2D2"/>
          </w:tcPr>
          <w:p>
            <w:pPr/>
          </w:p>
        </w:tc>
        <w:tc>
          <w:tcPr>
            <w:tcW w:w="1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8"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660"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3,039,347.75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759,836.76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3,115,649.39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778,912.20</w:t>
            </w: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3,039,347.75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759,836.76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3,115,649.39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778,912.20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52"/>
      <w:bookmarkEnd w:id="25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8,321,875.78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8,123,956.42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759,836.76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778,912.20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其他非流动资产" w:id="253"/>
      <w:bookmarkEnd w:id="253"/>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短期借款" w:id="254"/>
      <w:bookmarkEnd w:id="254"/>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55"/>
      <w:bookmarkEnd w:id="255"/>
      <w:r>
        <w:rPr>
          <w:b w:val="0"/>
          <w:bCs w:val="0"/>
        </w:rPr>
      </w:r>
      <w:r>
        <w:rPr/>
        <w:t>（</w:t>
      </w:r>
      <w:r>
        <w:rPr>
          <w:rFonts w:ascii="Times New Roman" w:hAnsi="Times New Roman" w:cs="Times New Roman" w:eastAsia="Times New Roman" w:hint="default"/>
        </w:rPr>
        <w:t>1</w:t>
      </w:r>
      <w:r>
        <w:rPr/>
        <w:t>）短期借款分类</w:t>
      </w:r>
      <w:r>
        <w:rPr>
          <w:b w:val="0"/>
          <w:bCs w:val="0"/>
        </w:rPr>
      </w:r>
    </w:p>
    <w:p>
      <w:pPr>
        <w:spacing w:after="0" w:line="240" w:lineRule="auto"/>
        <w:jc w:val="left"/>
        <w:sectPr>
          <w:footerReference w:type="default" r:id="rId33"/>
          <w:pgSz w:w="11910" w:h="16840"/>
          <w:pgMar w:footer="979" w:header="768" w:top="1100" w:bottom="1160" w:left="980" w:right="0"/>
          <w:pgNumType w:start="101"/>
        </w:sectPr>
      </w:pPr>
    </w:p>
    <w:p>
      <w:pPr>
        <w:spacing w:line="240" w:lineRule="auto" w:before="13"/>
        <w:rPr>
          <w:rFonts w:ascii="宋体" w:hAnsi="宋体" w:cs="宋体" w:eastAsia="宋体" w:hint="default"/>
          <w:b/>
          <w:bCs/>
          <w:sz w:val="21"/>
          <w:szCs w:val="21"/>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357" w:lineRule="auto" w:before="51"/>
        <w:ind w:left="514" w:right="1122"/>
        <w:jc w:val="left"/>
      </w:pPr>
      <w:r>
        <w:rPr/>
        <w:t>短期借款分类的说明： 上述期末保证借款</w:t>
      </w:r>
      <w:r>
        <w:rPr>
          <w:rFonts w:ascii="Times New Roman" w:hAnsi="Times New Roman" w:cs="Times New Roman" w:eastAsia="Times New Roman" w:hint="default"/>
        </w:rPr>
        <w:t>300</w:t>
      </w:r>
      <w:r>
        <w:rPr/>
        <w:t>万元系子公司特种炉业借款，该借款由江苏德航工程机械装备有限公司、韩志春提供保证；期末</w:t>
      </w:r>
    </w:p>
    <w:p>
      <w:pPr>
        <w:pStyle w:val="BodyText"/>
        <w:spacing w:line="202" w:lineRule="exact"/>
        <w:ind w:left="154" w:right="0"/>
        <w:jc w:val="left"/>
      </w:pPr>
      <w:r>
        <w:rPr/>
        <w:t>抵押保证借款系子公司特种炉业借款，该借款由特种炉业以自有房产及土地使用权作抵押，并由韩志春提供保证担保。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衍生金融负债" w:id="256"/>
      <w:bookmarkEnd w:id="256"/>
      <w:r>
        <w:rPr>
          <w:b w:val="0"/>
          <w:bCs w:val="0"/>
        </w:rPr>
      </w:r>
      <w:r>
        <w:rPr>
          <w:rFonts w:ascii="Times New Roman" w:hAnsi="Times New Roman" w:cs="Times New Roman" w:eastAsia="Times New Roman" w:hint="default"/>
        </w:rPr>
        <w:t>19</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应付账款" w:id="257"/>
      <w:bookmarkEnd w:id="257"/>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58"/>
      <w:bookmarkEnd w:id="25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50,936,730.97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52,043,772.68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13,270,085.82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3,772,835.15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968,142.91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646,612.73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865,459.36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683,535.42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66,040,419.06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57,146,755.98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1、预收款项" w:id="259"/>
      <w:bookmarkEnd w:id="259"/>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60"/>
      <w:bookmarkEnd w:id="26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65,947,115.36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116,773,944.92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13,643,957.51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6,876,593.68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1,485,956.25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846,470.00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4,733,956.24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4,454,486.24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85,810,985.36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128,951,494.84</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账龄超过1年的重要预收款项" w:id="261"/>
      <w:bookmarkEnd w:id="26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4,357,401.73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已发货，调试中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客户要求延迟发货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2,241,462.00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已发货，调试中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项目暂停</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11,704,863.73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62"/>
      <w:bookmarkEnd w:id="262"/>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3"/>
      <w:bookmarkEnd w:id="26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1856"/>
        <w:gridCol w:w="1842"/>
        <w:gridCol w:w="1701"/>
        <w:gridCol w:w="163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7,009,152.98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83,913,509.49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82,064,007.82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8,858,654.65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7,093,007.11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7,056,031.81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36,975.30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411,428.17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259,288.56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152,139.61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7,009,152.98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91,417,944.77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89,379,328.19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9,047,769.56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64"/>
      <w:bookmarkEnd w:id="26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856"/>
        <w:gridCol w:w="1700"/>
        <w:gridCol w:w="1702"/>
        <w:gridCol w:w="177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6,878,417.22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72,543,840.55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70,777,822.65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8,644,435.12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4,662,568.65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4,662,568.65</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3,807,519.32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3,807,519.32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3,013,398.06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3,013,398.06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481,964.53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481,964.53</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200,459.76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200,459.76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4"/>
              <w:jc w:val="center"/>
              <w:rPr>
                <w:rFonts w:ascii="宋体" w:hAnsi="宋体" w:cs="宋体" w:eastAsia="宋体" w:hint="default"/>
                <w:sz w:val="18"/>
                <w:szCs w:val="18"/>
              </w:rPr>
            </w:pP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111,696.97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111,696.97</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16,344.00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1,873,947.50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1,867,397.50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22,894.00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114,391.76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1,025,633.47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948,699.70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191,325.53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7,009,152.98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83,913,509.49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82,064,007.82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8,858,654.65</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设定提存计划列示" w:id="265"/>
      <w:bookmarkEnd w:id="26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6,656,751.60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6,623,066.00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33,685.60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436,255.51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432,965.81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3,289.70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7,093,007.11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7,056,031.81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36,975.30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3、应交税费" w:id="266"/>
      <w:bookmarkEnd w:id="266"/>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261,299.31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2,459,885.84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2,778,194.78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3,462,200.42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113,617.98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93,597.56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97,475.41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180,649.84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157,300.59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160,960.07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198,807.44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208,553.29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75,891.82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152,517.81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20,324.95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23,962.95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77,514.39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3,726,875.23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6,797,835.44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4、应付利息" w:id="267"/>
      <w:bookmarkEnd w:id="267"/>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46,979.17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63,645.84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5、应付股利" w:id="268"/>
      <w:bookmarkEnd w:id="268"/>
      <w:r>
        <w:rPr>
          <w:b w:val="0"/>
          <w:bCs w:val="0"/>
        </w:rPr>
      </w:r>
      <w:r>
        <w:rPr>
          <w:rFonts w:ascii="Times New Roman" w:hAnsi="Times New Roman" w:cs="Times New Roman" w:eastAsia="Times New Roman" w:hint="default"/>
        </w:rPr>
        <w:t>25</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1,019,500.00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1,019,500.00</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6、其他应付款" w:id="269"/>
      <w:bookmarkEnd w:id="269"/>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70"/>
      <w:bookmarkEnd w:id="27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2,255,827.81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777,719.48</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93,613.64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31,634.99</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5,673.00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900,330.05</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415,448.36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1,581,518.31</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2,770,562.81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3,291,202.83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71"/>
      <w:bookmarkEnd w:id="27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4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290,000.00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290,000.00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7、一年内到期的非流动负债" w:id="272"/>
      <w:bookmarkEnd w:id="272"/>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4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35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500,000.00</w:t>
            </w:r>
          </w:p>
        </w:tc>
      </w:tr>
    </w:tbl>
    <w:p>
      <w:pPr>
        <w:pStyle w:val="BodyText"/>
        <w:spacing w:line="357" w:lineRule="auto" w:before="51"/>
        <w:ind w:right="1168"/>
        <w:jc w:val="left"/>
      </w:pPr>
      <w:r>
        <w:rPr/>
        <w:t>其他说明： 上述年末一年内到期的长期借款中</w:t>
      </w:r>
      <w:r>
        <w:rPr>
          <w:rFonts w:ascii="Times New Roman" w:hAnsi="Times New Roman" w:cs="Times New Roman" w:eastAsia="Times New Roman" w:hint="default"/>
        </w:rPr>
        <w:t>2,000,000.00</w:t>
      </w:r>
      <w:r>
        <w:rPr/>
        <w:t>元专项贷款系江苏省科学技术厅委托江苏省国际信托有限责任公司拨付</w:t>
      </w:r>
    </w:p>
    <w:p>
      <w:pPr>
        <w:pStyle w:val="BodyText"/>
        <w:spacing w:line="214" w:lineRule="exact"/>
        <w:ind w:left="153" w:right="0"/>
        <w:jc w:val="left"/>
      </w:pPr>
      <w:r>
        <w:rPr/>
        <w:t>本公司指定用于</w:t>
      </w:r>
      <w:r>
        <w:rPr>
          <w:rFonts w:ascii="Times New Roman" w:hAnsi="Times New Roman" w:cs="Times New Roman" w:eastAsia="Times New Roman" w:hint="default"/>
        </w:rPr>
        <w:t>“</w:t>
      </w:r>
      <w:r>
        <w:rPr/>
        <w:t>全新一代等离子渗氮设备的研发及产业化</w:t>
      </w:r>
      <w:r>
        <w:rPr>
          <w:rFonts w:ascii="Times New Roman" w:hAnsi="Times New Roman" w:cs="Times New Roman" w:eastAsia="Times New Roman" w:hint="default"/>
        </w:rPr>
        <w:t>”</w:t>
      </w:r>
      <w:r>
        <w:rPr/>
        <w:t>项目的专项借款。</w:t>
      </w:r>
      <w:r>
        <w:rPr>
          <w:rFonts w:ascii="Times New Roman" w:hAnsi="Times New Roman" w:cs="Times New Roman" w:eastAsia="Times New Roman" w:hint="default"/>
        </w:rPr>
        <w:t>27,000,000.00</w:t>
      </w:r>
      <w:r>
        <w:rPr/>
        <w:t>元保证借款系由江苏德航工程机</w:t>
      </w:r>
    </w:p>
    <w:p>
      <w:pPr>
        <w:pStyle w:val="BodyText"/>
        <w:spacing w:line="240" w:lineRule="auto" w:before="64"/>
        <w:ind w:left="153" w:right="0"/>
        <w:jc w:val="left"/>
      </w:pPr>
      <w:r>
        <w:rPr/>
        <w:t>械装备有限公司提供担保。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其他流动负债" w:id="273"/>
      <w:bookmarkEnd w:id="273"/>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9、长期借款" w:id="274"/>
      <w:bookmarkEnd w:id="274"/>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75"/>
      <w:bookmarkEnd w:id="27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35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专项贷款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29,000,000.00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0、递延收益" w:id="276"/>
      <w:bookmarkEnd w:id="276"/>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12,625,234.24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2,482,342.27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19,642,891.97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12,625,234.24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2,482,342.27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19,642,891.97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涉及政府补助的项目：</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134"/>
        <w:gridCol w:w="1134"/>
        <w:gridCol w:w="1276"/>
        <w:gridCol w:w="993"/>
        <w:gridCol w:w="1134"/>
        <w:gridCol w:w="1207"/>
      </w:tblGrid>
      <w:tr>
        <w:trPr>
          <w:trHeight w:val="569"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82"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3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237" w:right="32"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1"/>
              <w:jc w:val="left"/>
              <w:rPr>
                <w:rFonts w:ascii="宋体" w:hAnsi="宋体" w:cs="宋体" w:eastAsia="宋体" w:hint="default"/>
                <w:sz w:val="18"/>
                <w:szCs w:val="18"/>
              </w:rPr>
            </w:pPr>
            <w:r>
              <w:rPr>
                <w:rFonts w:ascii="宋体" w:hAnsi="宋体" w:cs="宋体" w:eastAsia="宋体" w:hint="default"/>
                <w:sz w:val="18"/>
                <w:szCs w:val="18"/>
              </w:rPr>
              <w:t>智能化真空热处理设备的开发及 产业化项目省级拨款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6,562,506.97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460,524.00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6,101,982.97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智能制造专项项目补助资金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1"/>
              <w:jc w:val="both"/>
              <w:rPr>
                <w:rFonts w:ascii="宋体" w:hAnsi="宋体" w:cs="宋体" w:eastAsia="宋体" w:hint="default"/>
                <w:sz w:val="18"/>
                <w:szCs w:val="18"/>
              </w:rPr>
            </w:pPr>
            <w:r>
              <w:rPr>
                <w:rFonts w:ascii="宋体" w:hAnsi="宋体" w:cs="宋体" w:eastAsia="宋体" w:hint="default"/>
                <w:sz w:val="18"/>
                <w:szCs w:val="18"/>
              </w:rPr>
              <w:t>真空热处理设备智能化研发和远 程服务系统信息平台建设专项资 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1"/>
              <w:jc w:val="left"/>
              <w:rPr>
                <w:rFonts w:ascii="宋体" w:hAnsi="宋体" w:cs="宋体" w:eastAsia="宋体" w:hint="default"/>
                <w:sz w:val="18"/>
                <w:szCs w:val="18"/>
              </w:rPr>
            </w:pPr>
            <w:r>
              <w:rPr>
                <w:rFonts w:ascii="宋体" w:hAnsi="宋体" w:cs="宋体" w:eastAsia="宋体" w:hint="default"/>
                <w:sz w:val="18"/>
                <w:szCs w:val="18"/>
              </w:rPr>
              <w:t>热处理设备智能化和远程服务系 统提升创新专项资金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等离子渗氮项目专项资金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2,727,272.68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1,636,363.68</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1,090,909.00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1"/>
              <w:jc w:val="left"/>
              <w:rPr>
                <w:rFonts w:ascii="宋体" w:hAnsi="宋体" w:cs="宋体" w:eastAsia="宋体" w:hint="default"/>
                <w:sz w:val="18"/>
                <w:szCs w:val="18"/>
              </w:rPr>
            </w:pPr>
            <w:r>
              <w:rPr>
                <w:rFonts w:ascii="宋体" w:hAnsi="宋体" w:cs="宋体" w:eastAsia="宋体" w:hint="default"/>
                <w:sz w:val="18"/>
                <w:szCs w:val="18"/>
              </w:rPr>
              <w:t>企业知识产权战略推进计划专项 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95,454.59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95,454.59</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1"/>
              <w:jc w:val="both"/>
              <w:rPr>
                <w:rFonts w:ascii="宋体" w:hAnsi="宋体" w:cs="宋体" w:eastAsia="宋体" w:hint="default"/>
                <w:sz w:val="18"/>
                <w:szCs w:val="18"/>
              </w:rPr>
            </w:pPr>
            <w:r>
              <w:rPr>
                <w:rFonts w:ascii="宋体" w:hAnsi="宋体" w:cs="宋体" w:eastAsia="宋体" w:hint="default"/>
                <w:sz w:val="18"/>
                <w:szCs w:val="18"/>
              </w:rPr>
              <w:t>精密模具及汽车零件高档热处理 专业化配套加工扩建项目专项资 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年科技型中小企业技术创新 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青岛发生技术创新平台建设计划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1"/>
              <w:jc w:val="left"/>
              <w:rPr>
                <w:rFonts w:ascii="宋体" w:hAnsi="宋体" w:cs="宋体" w:eastAsia="宋体" w:hint="default"/>
                <w:sz w:val="18"/>
                <w:szCs w:val="18"/>
              </w:rPr>
            </w:pPr>
            <w:r>
              <w:rPr>
                <w:rFonts w:ascii="宋体" w:hAnsi="宋体" w:cs="宋体" w:eastAsia="宋体" w:hint="default"/>
                <w:sz w:val="18"/>
                <w:szCs w:val="18"/>
              </w:rPr>
              <w:t>青岛丰东科技型中小企业技术创 新基金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12,625,234.24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2,482,342.27</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19,642,891.97</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1、股本" w:id="277"/>
      <w:bookmarkEnd w:id="277"/>
      <w:r>
        <w:rPr>
          <w:b w:val="0"/>
          <w:bCs w:val="0"/>
        </w:rPr>
      </w:r>
      <w:r>
        <w:rPr>
          <w:rFonts w:ascii="Times New Roman" w:hAnsi="Times New Roman" w:cs="Times New Roman" w:eastAsia="Times New Roman" w:hint="default"/>
        </w:rPr>
        <w:t>31</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268,000,000.00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268,000,000.00</w:t>
            </w:r>
          </w:p>
        </w:tc>
      </w:tr>
    </w:tbl>
    <w:p>
      <w:pPr>
        <w:spacing w:line="240" w:lineRule="auto" w:before="9"/>
        <w:rPr>
          <w:rFonts w:ascii="宋体" w:hAnsi="宋体" w:cs="宋体" w:eastAsia="宋体" w:hint="default"/>
          <w:sz w:val="6"/>
          <w:szCs w:val="6"/>
        </w:rPr>
      </w:pPr>
    </w:p>
    <w:p>
      <w:pPr>
        <w:pStyle w:val="BodyText"/>
        <w:spacing w:line="357" w:lineRule="auto" w:before="44"/>
        <w:ind w:right="1633"/>
        <w:jc w:val="left"/>
      </w:pPr>
      <w:r>
        <w:rPr/>
        <w:t>其他说明： 上述股本经上海众华沪银会计师事务所沪众会字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6609</w:t>
      </w:r>
      <w:r>
        <w:rPr/>
        <w:t>号《验资报告》验证。年末股本与实收资本一致。</w:t>
      </w:r>
    </w:p>
    <w:p>
      <w:pPr>
        <w:spacing w:after="0" w:line="357"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2、资本公积" w:id="278"/>
      <w:bookmarkEnd w:id="278"/>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210,377,110.32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175,178.42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210,201,931.90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210,377,110.32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175,178.42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210,201,931.90</w:t>
            </w:r>
          </w:p>
        </w:tc>
      </w:tr>
    </w:tbl>
    <w:p>
      <w:pPr>
        <w:spacing w:line="240" w:lineRule="auto" w:before="9"/>
        <w:rPr>
          <w:rFonts w:ascii="宋体" w:hAnsi="宋体" w:cs="宋体" w:eastAsia="宋体" w:hint="default"/>
          <w:sz w:val="6"/>
          <w:szCs w:val="6"/>
        </w:rPr>
      </w:pPr>
    </w:p>
    <w:p>
      <w:pPr>
        <w:pStyle w:val="BodyText"/>
        <w:spacing w:line="357" w:lineRule="auto" w:before="44"/>
        <w:ind w:left="514" w:right="1197"/>
        <w:jc w:val="left"/>
      </w:pPr>
      <w:r>
        <w:rPr/>
        <w:t>其他说明，包括本期增减变动情况、变动原因说明： 资本公积本年度减少</w:t>
      </w:r>
      <w:r>
        <w:rPr>
          <w:rFonts w:ascii="Times New Roman" w:hAnsi="Times New Roman" w:cs="Times New Roman" w:eastAsia="Times New Roman" w:hint="default"/>
        </w:rPr>
        <w:t>175,178.42</w:t>
      </w:r>
      <w:r>
        <w:rPr/>
        <w:t>元系转让南京丰东热处理有限公司</w:t>
      </w:r>
      <w:r>
        <w:rPr>
          <w:rFonts w:ascii="Times New Roman" w:hAnsi="Times New Roman" w:cs="Times New Roman" w:eastAsia="Times New Roman" w:hint="default"/>
        </w:rPr>
        <w:t>6.37%</w:t>
      </w:r>
      <w:r>
        <w:rPr/>
        <w:t>股权，收回投资款与按净资产比例计算价值之</w:t>
      </w:r>
    </w:p>
    <w:p>
      <w:pPr>
        <w:pStyle w:val="BodyText"/>
        <w:spacing w:line="201" w:lineRule="exact"/>
        <w:ind w:left="154" w:right="0"/>
        <w:jc w:val="left"/>
      </w:pPr>
      <w:r>
        <w:rPr/>
        <w:t>间的差额。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盈余公积" w:id="279"/>
      <w:bookmarkEnd w:id="279"/>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24,948,823.31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2,918,061.29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27,866,884.60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24,948,823.31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2,918,061.29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27,866,884.60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4、未分配利润" w:id="280"/>
      <w:bookmarkEnd w:id="280"/>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167,422,340.28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150,884,764.29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167,422,340.28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150,884,764.29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33,841,036.15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32,733,440.80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2,918,061.29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2,795,864.81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190,305,315.14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167,422,340.28</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调整期初未分配利润明细：</w:t>
      </w:r>
    </w:p>
    <w:p>
      <w:pPr>
        <w:pStyle w:val="BodyText"/>
        <w:spacing w:line="240" w:lineRule="auto" w:before="117"/>
        <w:ind w:left="51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4"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768" w:footer="979" w:top="1100" w:bottom="1160" w:left="980" w:right="0"/>
        </w:sectPr>
      </w:pPr>
    </w:p>
    <w:p>
      <w:pPr>
        <w:spacing w:line="240" w:lineRule="auto" w:before="8"/>
        <w:rPr>
          <w:rFonts w:ascii="宋体" w:hAnsi="宋体" w:cs="宋体" w:eastAsia="宋体" w:hint="default"/>
          <w:sz w:val="17"/>
          <w:szCs w:val="17"/>
        </w:rPr>
      </w:pPr>
    </w:p>
    <w:p>
      <w:pPr>
        <w:pStyle w:val="Heading3"/>
        <w:spacing w:line="240" w:lineRule="auto" w:before="35"/>
        <w:ind w:right="0"/>
        <w:jc w:val="left"/>
        <w:rPr>
          <w:b w:val="0"/>
          <w:bCs w:val="0"/>
        </w:rPr>
      </w:pPr>
      <w:bookmarkStart w:name="35、营业收入和营业成本" w:id="281"/>
      <w:bookmarkEnd w:id="281"/>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391,472,385.74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282,816,255.03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322,745,296.22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225,750,444.15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43,336,736.14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23,116,911.33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44,430,085.82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26,378,979.70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434,809,121.88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305,933,166.36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367,175,382.04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252,129,423.85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6、营业税金及附加" w:id="282"/>
      <w:bookmarkEnd w:id="282"/>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231,363.73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68,092.33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1,543,242.84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2,129,757.31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1,175,355.16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1,626,875.67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2,949,961.73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3,824,725.31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7、销售费用" w:id="283"/>
      <w:bookmarkEnd w:id="283"/>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2,640,963.26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1,264,014.76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4,568,129.70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4,401,665.67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811,778.44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1,051,705.84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920,084.25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621,291.01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4,067,552.39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3,906,511.63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668,640.67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706,851.59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产品维修及服务费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6,396,573.15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2,813,814.91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1,657,570.48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1,551,236.70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632,066.89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815,217.47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539,753.94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23,178,576.70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16,856,846.05</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8、管理费用" w:id="284"/>
      <w:bookmarkEnd w:id="284"/>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员工工资和福利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27,369,677.98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25,956,613.99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16,270,244.76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15,239,870.54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4,045,496.73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3,258,350.59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3,651,230.44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4,076,787.88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4,187,333.36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3,245,352.69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各项税费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2,333,428.63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2,748,595.30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4,176,470.35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3,526,662.95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1,718,670.61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1,327,890.61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823,162.78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919,528.64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521,096.89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718,608.92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1,660,973.41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2,596,964.96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1,386,996.62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2,022,353.97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68,144,782.56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65,637,581.04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财务费用" w:id="285"/>
      <w:bookmarkEnd w:id="285"/>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7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3,610,053.19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3,587,692.79</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2,629,284.62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2,864,368.65</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980,768.57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723,324.14</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加：汇兑净损失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99,512.00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w w:val="95"/>
                <w:sz w:val="18"/>
              </w:rPr>
              <w:t>-221,589.93</w:t>
            </w:r>
            <w:r>
              <w:rPr>
                <w:rFonts w:ascii="Times New Roman"/>
                <w:sz w:val="18"/>
              </w:rPr>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99,315.64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103,177.53</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1,179,596.21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604,911.74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40、资产减值损失" w:id="286"/>
      <w:bookmarkEnd w:id="286"/>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2,184,675.32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2,311,343.97</w:t>
            </w:r>
          </w:p>
        </w:tc>
      </w:tr>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991,332.80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196,530.39</w:t>
            </w:r>
          </w:p>
        </w:tc>
      </w:tr>
      <w:tr>
        <w:trPr>
          <w:trHeight w:val="37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3,176,008.12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2,507,874.36</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1、投资收益" w:id="287"/>
      <w:bookmarkEnd w:id="287"/>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4,712,175.25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7,517,141.43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661,582.60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84,476.20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5,373,757.85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7,601,617.63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2、营业外收入" w:id="288"/>
      <w:bookmarkEnd w:id="288"/>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020"/>
        <w:gridCol w:w="2764"/>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130,090.49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1,857,421.75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130,090.49</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130,090.49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1,856,193.57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130,090.49</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1,228.18</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9,341,726.80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8,396,107.10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9,341,726.80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311,375.69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285,902.43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311,375.69</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9,783,192.98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10,539,431.28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9,783,192.98</w:t>
            </w:r>
          </w:p>
        </w:tc>
      </w:tr>
    </w:tbl>
    <w:p>
      <w:pPr>
        <w:pStyle w:val="BodyText"/>
        <w:spacing w:line="240" w:lineRule="auto" w:before="51"/>
        <w:ind w:left="51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566"/>
        <w:gridCol w:w="568"/>
        <w:gridCol w:w="425"/>
        <w:gridCol w:w="994"/>
        <w:gridCol w:w="708"/>
        <w:gridCol w:w="1134"/>
        <w:gridCol w:w="1134"/>
        <w:gridCol w:w="1063"/>
      </w:tblGrid>
      <w:tr>
        <w:trPr>
          <w:trHeight w:val="569"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98" w:right="96"/>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99"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6" w:right="26"/>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77"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471" w:right="111"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63"/>
              <w:jc w:val="left"/>
              <w:rPr>
                <w:rFonts w:ascii="宋体" w:hAnsi="宋体" w:cs="宋体" w:eastAsia="宋体" w:hint="default"/>
                <w:sz w:val="18"/>
                <w:szCs w:val="18"/>
              </w:rPr>
            </w:pPr>
            <w:r>
              <w:rPr>
                <w:rFonts w:ascii="宋体" w:hAnsi="宋体" w:cs="宋体" w:eastAsia="宋体" w:hint="default"/>
                <w:sz w:val="18"/>
                <w:szCs w:val="18"/>
              </w:rPr>
              <w:t>智能化真空热处理设备的开发及产业 化项目</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460,524.00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460,524.00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63"/>
              <w:jc w:val="left"/>
              <w:rPr>
                <w:rFonts w:ascii="宋体" w:hAnsi="宋体" w:cs="宋体" w:eastAsia="宋体" w:hint="default"/>
                <w:sz w:val="18"/>
                <w:szCs w:val="18"/>
              </w:rPr>
            </w:pPr>
            <w:r>
              <w:rPr>
                <w:rFonts w:ascii="宋体" w:hAnsi="宋体" w:cs="宋体" w:eastAsia="宋体" w:hint="default"/>
                <w:sz w:val="18"/>
                <w:szCs w:val="18"/>
              </w:rPr>
              <w:t>全新一代等离子渗氮设备研发及产业 化项目</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1,636,363.68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1,636,363.68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重庆丰东收到的福利企业增值税返还</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807,254.53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1,147,715.50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63"/>
              <w:jc w:val="left"/>
              <w:rPr>
                <w:rFonts w:ascii="宋体" w:hAnsi="宋体" w:cs="宋体" w:eastAsia="宋体" w:hint="default"/>
                <w:sz w:val="18"/>
                <w:szCs w:val="18"/>
              </w:rPr>
            </w:pPr>
            <w:r>
              <w:rPr>
                <w:rFonts w:ascii="宋体" w:hAnsi="宋体" w:cs="宋体" w:eastAsia="宋体" w:hint="default"/>
                <w:sz w:val="18"/>
                <w:szCs w:val="18"/>
              </w:rPr>
              <w:t>江苏省企业知识产权战略推进计划项 目</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95,454.59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163,636.32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培育科技型企业补助资金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2,751,000.00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高层次创新人才引进计划专项资金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高技能人才补贴</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创新创牌奖励</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培育科技型中小企业补助资金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234,000.00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63"/>
              <w:jc w:val="left"/>
              <w:rPr>
                <w:rFonts w:ascii="宋体" w:hAnsi="宋体" w:cs="宋体" w:eastAsia="宋体" w:hint="default"/>
                <w:sz w:val="18"/>
                <w:szCs w:val="18"/>
              </w:rPr>
            </w:pPr>
            <w:r>
              <w:rPr>
                <w:rFonts w:ascii="宋体" w:hAnsi="宋体" w:cs="宋体" w:eastAsia="宋体" w:hint="default"/>
                <w:sz w:val="18"/>
                <w:szCs w:val="18"/>
              </w:rPr>
              <w:t>重庆丰东多样化工装齿架热处理研究 项目</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3"/>
              <w:ind w:left="22" w:right="63"/>
              <w:jc w:val="left"/>
              <w:rPr>
                <w:rFonts w:ascii="宋体" w:hAnsi="宋体" w:cs="宋体" w:eastAsia="宋体" w:hint="default"/>
                <w:sz w:val="18"/>
                <w:szCs w:val="18"/>
              </w:rPr>
            </w:pPr>
            <w:r>
              <w:rPr>
                <w:rFonts w:ascii="宋体" w:hAnsi="宋体" w:cs="宋体" w:eastAsia="宋体" w:hint="default"/>
                <w:sz w:val="18"/>
                <w:szCs w:val="18"/>
              </w:rPr>
              <w:t>精密模具及汽车零件高档热处理专业 化配套加工扩建项目专项资金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上海丰东财政扶持资金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244,100.00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青岛丰东财政扶持资金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249,900.00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78"/>
        <w:gridCol w:w="566"/>
        <w:gridCol w:w="568"/>
        <w:gridCol w:w="425"/>
        <w:gridCol w:w="994"/>
        <w:gridCol w:w="708"/>
        <w:gridCol w:w="1134"/>
        <w:gridCol w:w="1134"/>
        <w:gridCol w:w="1063"/>
      </w:tblGrid>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63"/>
              <w:jc w:val="left"/>
              <w:rPr>
                <w:rFonts w:ascii="宋体" w:hAnsi="宋体" w:cs="宋体" w:eastAsia="宋体" w:hint="default"/>
                <w:sz w:val="18"/>
                <w:szCs w:val="18"/>
              </w:rPr>
            </w:pPr>
            <w:r>
              <w:rPr>
                <w:rFonts w:ascii="宋体" w:hAnsi="宋体" w:cs="宋体" w:eastAsia="宋体" w:hint="default"/>
                <w:sz w:val="18"/>
                <w:szCs w:val="18"/>
              </w:rPr>
              <w:t>青岛丰东科技型中小企业技术创新基 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园林式工厂考核奖励</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1"/>
              <w:ind w:left="22" w:right="63"/>
              <w:jc w:val="left"/>
              <w:rPr>
                <w:rFonts w:ascii="宋体" w:hAnsi="宋体" w:cs="宋体" w:eastAsia="宋体" w:hint="default"/>
                <w:sz w:val="18"/>
                <w:szCs w:val="18"/>
              </w:rPr>
            </w:pPr>
            <w:r>
              <w:rPr>
                <w:rFonts w:ascii="宋体" w:hAnsi="宋体" w:cs="宋体" w:eastAsia="宋体" w:hint="default"/>
                <w:sz w:val="18"/>
                <w:szCs w:val="18"/>
              </w:rPr>
              <w:t>国家重点新产品计划战略性创新产品 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双创</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460,000.00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63"/>
              <w:jc w:val="left"/>
              <w:rPr>
                <w:rFonts w:ascii="宋体" w:hAnsi="宋体" w:cs="宋体" w:eastAsia="宋体" w:hint="default"/>
                <w:sz w:val="18"/>
                <w:szCs w:val="18"/>
              </w:rPr>
            </w:pPr>
            <w:r>
              <w:rPr>
                <w:rFonts w:ascii="宋体" w:hAnsi="宋体" w:cs="宋体" w:eastAsia="宋体" w:hint="default"/>
                <w:sz w:val="18"/>
                <w:szCs w:val="18"/>
              </w:rPr>
              <w:t>省工业和信息产业转型升级专项引导 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807,130.00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453,867.60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9,341,726.80</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8,396,107.10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3、营业外支出" w:id="289"/>
      <w:bookmarkEnd w:id="289"/>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289"/>
        <w:gridCol w:w="2268"/>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29,083.59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96,222.22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29,083.59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29,083.59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96,222.22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29,083.59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地方基金</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143,593.06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55,441.51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143,593.06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非公益性捐赠支出</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579,907.46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91,632.52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579,907.46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344,027.31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559,788.40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344,027.31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1,228,411.42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1,189,284.65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1,228,411.42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4、所得税费用" w:id="290"/>
      <w:bookmarkEnd w:id="290"/>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1"/>
      <w:bookmarkEnd w:id="29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8,325,317.62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9,079,319.99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-213,824.24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-1,626,717.16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所得税汇算清缴差异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425,700.05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215,582.41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8,537,193.43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7,668,185.24</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会计利润与所得税费用调整过程" w:id="292"/>
      <w:bookmarkEnd w:id="29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44,175,569.61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6,626,335.44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1,933,427.32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425,700.05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-121,088.18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-327,181.20</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8,537,193.43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5、现金流量表项目" w:id="293"/>
      <w:bookmarkEnd w:id="293"/>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94"/>
      <w:bookmarkEnd w:id="29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2,629,284.62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2,864,368.65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12,634,330.00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5,177,867.60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285,902.43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15,263,614.62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8,328,138.68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2）支付的其他与经营活动有关的现金" w:id="295"/>
      <w:bookmarkEnd w:id="29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22,535,672.00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27,918,488.20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18,478,957.42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12,950,334.42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2,162,392.92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2,285,175.53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43,177,022.34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43,153,998.15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6、现金流量表补充资料" w:id="296"/>
      <w:bookmarkEnd w:id="296"/>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97"/>
      <w:bookmarkEnd w:id="29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after="0" w:line="240" w:lineRule="auto"/>
        <w:jc w:val="left"/>
        <w:sectPr>
          <w:pgSz w:w="11910" w:h="16840"/>
          <w:pgMar w:header="768" w:footer="979" w:top="1100" w:bottom="1160" w:left="980" w:right="0"/>
        </w:sectPr>
      </w:pPr>
    </w:p>
    <w:p>
      <w:pPr>
        <w:spacing w:line="240" w:lineRule="auto" w:before="13"/>
        <w:rPr>
          <w:rFonts w:ascii="宋体" w:hAnsi="宋体" w:cs="宋体" w:eastAsia="宋体" w:hint="default"/>
          <w:b/>
          <w:bCs/>
          <w:sz w:val="21"/>
          <w:szCs w:val="21"/>
        </w:rPr>
      </w:pPr>
      <w:r>
        <w:rPr/>
        <w:pict>
          <v:group style="position:absolute;margin-left:334.600006pt;margin-top:226.639984pt;width:103.55pt;height:19pt;mso-position-horizontal-relative:page;mso-position-vertical-relative:page;z-index:-832576" coordorigin="6692,4533" coordsize="2071,380">
            <v:shape style="position:absolute;left:6692;top:4533;width:2071;height:380" coordorigin="6692,4533" coordsize="2071,380" path="m6692,4912l8762,4912,8762,4533,6692,4533,6692,4912xe" filled="true" fillcolor="#ffffff" stroked="false">
              <v:path arrowok="t"/>
              <v:fill type="solid"/>
            </v:shape>
            <w10:wrap type="none"/>
          </v:group>
        </w:pict>
      </w: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7"/>
        <w:gridCol w:w="2138"/>
        <w:gridCol w:w="1913"/>
      </w:tblGrid>
      <w:tr>
        <w:trPr>
          <w:trHeight w:val="39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0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35,638,376.18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34,897,598.71</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3,176,008.12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2,507,874.36</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23,607,199.62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21,366,136.22</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1,964,959.22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1,429,542.21</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532,559.76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425,784.46</w:t>
            </w:r>
          </w:p>
        </w:tc>
      </w:tr>
      <w:tr>
        <w:trPr>
          <w:trHeight w:val="390" w:hRule="exact"/>
        </w:trPr>
        <w:tc>
          <w:tcPr>
            <w:tcW w:w="550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23" w:space="0" w:color="FFFFFF"/>
              <w:bottom w:val="single" w:sz="4" w:space="0" w:color="000000"/>
              <w:right w:val="single" w:sz="4" w:space="0" w:color="000000"/>
            </w:tcBorders>
          </w:tcPr>
          <w:p>
            <w:pPr>
              <w:pStyle w:val="TableParagraph"/>
              <w:tabs>
                <w:tab w:pos="1211" w:val="left" w:leader="none"/>
              </w:tabs>
              <w:spacing w:line="240" w:lineRule="auto" w:before="70"/>
              <w:ind w:left="-13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-101,006.90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-1,761,199.53</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3,709,563.37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3,366,102.86</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-5,373,757.85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-7,601,617.63</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w w:val="95"/>
                <w:sz w:val="18"/>
              </w:rPr>
              <w:t>-197,919.36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-3,354,505.46</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w w:val="95"/>
                <w:sz w:val="18"/>
              </w:rPr>
              <w:t>-19,075.44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w w:val="95"/>
                <w:sz w:val="18"/>
              </w:rPr>
              <w:t>-19,075.44</w:t>
            </w:r>
            <w:r>
              <w:rPr>
                <w:rFonts w:ascii="Times New Roman"/>
                <w:sz w:val="18"/>
              </w:rPr>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23,345,433.58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-42,135,724.01</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-11,398,330.51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-31,044,052.36</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-35,522,391.24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55,585,162.75</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39,361,618.55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33,662,027.14</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191,596,057.06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222,060,206.93</w:t>
            </w:r>
          </w:p>
        </w:tc>
      </w:tr>
      <w:tr>
        <w:trPr>
          <w:trHeight w:val="39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222,060,206.93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206,510,363.84</w:t>
            </w:r>
          </w:p>
        </w:tc>
      </w:tr>
      <w:tr>
        <w:trPr>
          <w:trHeight w:val="39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-30,464,149.87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15,549,843.09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298"/>
      <w:bookmarkEnd w:id="298"/>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191,596,057.06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222,060,206.93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191,596,057.06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222,060,206.93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7、所有权或使用权受到限制的资产" w:id="299"/>
      <w:bookmarkEnd w:id="299"/>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2,732,468.29</w:t>
            </w:r>
          </w:p>
        </w:tc>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子公司丰东特种炉业抵押借款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1,283,527.04</w:t>
            </w: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4,015,995.33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8、外币货币性项目" w:id="300"/>
      <w:bookmarkEnd w:id="300"/>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01"/>
      <w:bookmarkEnd w:id="30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183.44</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2"/>
        <w:rPr>
          <w:rFonts w:ascii="宋体" w:hAnsi="宋体" w:cs="宋体" w:eastAsia="宋体" w:hint="default"/>
          <w:sz w:val="19"/>
          <w:szCs w:val="19"/>
        </w:rPr>
      </w:pPr>
    </w:p>
    <w:p>
      <w:pPr>
        <w:pStyle w:val="Heading3"/>
        <w:spacing w:line="259" w:lineRule="auto" w:before="35"/>
        <w:ind w:left="153" w:right="0" w:firstLine="422"/>
        <w:jc w:val="left"/>
        <w:rPr>
          <w:b w:val="0"/>
          <w:bCs w:val="0"/>
        </w:rPr>
      </w:pPr>
      <w:bookmarkStart w:name="（2）境外经营实体说明，包括对于重要的境外经营实体，应披露其境外主要经营地、记账" w:id="302"/>
      <w:bookmarkEnd w:id="30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w:t>
      </w:r>
      <w:r>
        <w:rPr>
          <w:w w:val="99"/>
        </w:rPr>
        <w:t> </w:t>
      </w:r>
      <w:r>
        <w:rPr/>
        <w:t>选择依据，记账本位币发生变化的还应披露原因。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9、其他" w:id="303"/>
      <w:bookmarkEnd w:id="303"/>
      <w:r>
        <w:rPr>
          <w:b w:val="0"/>
          <w:bCs w:val="0"/>
        </w:rPr>
      </w:r>
      <w:r>
        <w:rPr>
          <w:rFonts w:ascii="Times New Roman" w:hAnsi="Times New Roman" w:cs="Times New Roman" w:eastAsia="Times New Roman" w:hint="default"/>
        </w:rPr>
        <w:t>49</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0" w:right="8449"/>
        <w:jc w:val="center"/>
        <w:rPr>
          <w:b w:val="0"/>
          <w:bCs w:val="0"/>
        </w:rPr>
      </w:pPr>
      <w:bookmarkStart w:name="八、合并范围的变更" w:id="304"/>
      <w:bookmarkEnd w:id="304"/>
      <w:r>
        <w:rPr>
          <w:b w:val="0"/>
          <w:bCs w:val="0"/>
        </w:rPr>
      </w: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05"/>
      <w:bookmarkEnd w:id="30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一控制下企业合并" w:id="306"/>
      <w:bookmarkEnd w:id="30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反向购买" w:id="307"/>
      <w:bookmarkEnd w:id="30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处置子公司" w:id="308"/>
      <w:bookmarkEnd w:id="30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09"/>
      <w:bookmarkEnd w:id="30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6、其他" w:id="310"/>
      <w:bookmarkEnd w:id="310"/>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本报告期内未发生合并范围的变更。</w:t>
      </w:r>
    </w:p>
    <w:p>
      <w:pPr>
        <w:spacing w:line="240" w:lineRule="auto" w:before="2"/>
        <w:rPr>
          <w:rFonts w:ascii="宋体" w:hAnsi="宋体" w:cs="宋体" w:eastAsia="宋体" w:hint="default"/>
          <w:sz w:val="25"/>
          <w:szCs w:val="25"/>
        </w:rPr>
      </w:pPr>
    </w:p>
    <w:p>
      <w:pPr>
        <w:pStyle w:val="Heading2"/>
        <w:spacing w:line="240" w:lineRule="auto"/>
        <w:ind w:left="0" w:right="7968"/>
        <w:jc w:val="center"/>
        <w:rPr>
          <w:b w:val="0"/>
          <w:bCs w:val="0"/>
        </w:rPr>
      </w:pPr>
      <w:bookmarkStart w:name="九、在其他主体中的权益" w:id="311"/>
      <w:bookmarkEnd w:id="311"/>
      <w:r>
        <w:rPr>
          <w:b w:val="0"/>
          <w:bCs w:val="0"/>
        </w:rPr>
      </w: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12"/>
      <w:bookmarkEnd w:id="31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13"/>
      <w:bookmarkEnd w:id="31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1277"/>
        <w:gridCol w:w="1134"/>
        <w:gridCol w:w="1134"/>
        <w:gridCol w:w="850"/>
        <w:gridCol w:w="851"/>
        <w:gridCol w:w="1207"/>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山东青岛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山东青岛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91.15%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14"/>
      <w:bookmarkEnd w:id="31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418"/>
        <w:gridCol w:w="1843"/>
        <w:gridCol w:w="1703"/>
        <w:gridCol w:w="1913"/>
      </w:tblGrid>
      <w:tr>
        <w:trPr>
          <w:trHeight w:val="76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13" w:right="72"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45" w:right="107"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395" w:right="3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738,761.68</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43,020,839.32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674,430.60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5,187,296.45</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227,937.65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5,110,349.99</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重要非全资子公司的主要财务信息" w:id="315"/>
      <w:bookmarkEnd w:id="31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3"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0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both"/>
              <w:rPr>
                <w:rFonts w:ascii="宋体" w:hAnsi="宋体" w:cs="宋体" w:eastAsia="宋体" w:hint="default"/>
                <w:sz w:val="18"/>
                <w:szCs w:val="18"/>
              </w:rPr>
            </w:pPr>
            <w:r>
              <w:rPr>
                <w:rFonts w:ascii="宋体" w:hAnsi="宋体" w:cs="宋体" w:eastAsia="宋体" w:hint="default"/>
                <w:sz w:val="18"/>
                <w:szCs w:val="18"/>
              </w:rPr>
              <w:t>天津丰 东热处 理有限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21,441,1</w:t>
            </w:r>
          </w:p>
          <w:p>
            <w:pPr>
              <w:pStyle w:val="TableParagraph"/>
              <w:spacing w:line="240" w:lineRule="auto" w:before="33"/>
              <w:ind w:left="299" w:right="0"/>
              <w:jc w:val="left"/>
              <w:rPr>
                <w:rFonts w:ascii="Times New Roman" w:hAnsi="Times New Roman" w:cs="Times New Roman" w:eastAsia="Times New Roman" w:hint="default"/>
                <w:sz w:val="18"/>
                <w:szCs w:val="18"/>
              </w:rPr>
            </w:pPr>
            <w:r>
              <w:rPr>
                <w:rFonts w:ascii="Times New Roman"/>
                <w:sz w:val="18"/>
              </w:rPr>
              <w:t>94.83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86,810,0</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30.95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108,251,</w:t>
            </w:r>
          </w:p>
          <w:p>
            <w:pPr>
              <w:pStyle w:val="TableParagraph"/>
              <w:spacing w:line="240" w:lineRule="auto" w:before="33"/>
              <w:ind w:left="186" w:right="0"/>
              <w:jc w:val="center"/>
              <w:rPr>
                <w:rFonts w:ascii="Times New Roman" w:hAnsi="Times New Roman" w:cs="Times New Roman" w:eastAsia="Times New Roman" w:hint="default"/>
                <w:sz w:val="18"/>
                <w:szCs w:val="18"/>
              </w:rPr>
            </w:pPr>
            <w:r>
              <w:rPr>
                <w:rFonts w:ascii="Times New Roman"/>
                <w:sz w:val="18"/>
              </w:rPr>
              <w:t>225.78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11,754,3</w:t>
            </w:r>
          </w:p>
          <w:p>
            <w:pPr>
              <w:pStyle w:val="TableParagraph"/>
              <w:spacing w:line="240" w:lineRule="auto" w:before="33"/>
              <w:ind w:left="300" w:right="0"/>
              <w:jc w:val="left"/>
              <w:rPr>
                <w:rFonts w:ascii="Times New Roman" w:hAnsi="Times New Roman" w:cs="Times New Roman" w:eastAsia="Times New Roman" w:hint="default"/>
                <w:sz w:val="18"/>
                <w:szCs w:val="18"/>
              </w:rPr>
            </w:pPr>
            <w:r>
              <w:rPr>
                <w:rFonts w:ascii="Times New Roman"/>
                <w:sz w:val="18"/>
              </w:rPr>
              <w:t>99.49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11,754,3</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99.49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45,101,3</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54.58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54,371,4</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18.56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99,472,7</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73.14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3,864,25</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4.78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3,864,25</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4.78</w:t>
            </w:r>
          </w:p>
        </w:tc>
      </w:tr>
      <w:tr>
        <w:trPr>
          <w:trHeight w:val="129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both"/>
              <w:rPr>
                <w:rFonts w:ascii="宋体" w:hAnsi="宋体" w:cs="宋体" w:eastAsia="宋体" w:hint="default"/>
                <w:sz w:val="18"/>
                <w:szCs w:val="18"/>
              </w:rPr>
            </w:pPr>
            <w:r>
              <w:rPr>
                <w:rFonts w:ascii="宋体" w:hAnsi="宋体" w:cs="宋体" w:eastAsia="宋体" w:hint="default"/>
                <w:sz w:val="18"/>
                <w:szCs w:val="18"/>
              </w:rPr>
              <w:t>南京丰 东热处 理工程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22,093,9</w:t>
            </w:r>
          </w:p>
          <w:p>
            <w:pPr>
              <w:pStyle w:val="TableParagraph"/>
              <w:spacing w:line="240" w:lineRule="auto" w:before="33"/>
              <w:ind w:left="299" w:right="0"/>
              <w:jc w:val="left"/>
              <w:rPr>
                <w:rFonts w:ascii="Times New Roman" w:hAnsi="Times New Roman" w:cs="Times New Roman" w:eastAsia="Times New Roman" w:hint="default"/>
                <w:sz w:val="18"/>
                <w:szCs w:val="18"/>
              </w:rPr>
            </w:pPr>
            <w:r>
              <w:rPr>
                <w:rFonts w:ascii="Times New Roman"/>
                <w:sz w:val="18"/>
              </w:rPr>
              <w:t>90.01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34,306,9</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53.34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56,400,9</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43.35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5,297,44</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3.42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5,297,44</w:t>
            </w:r>
          </w:p>
          <w:p>
            <w:pPr>
              <w:pStyle w:val="TableParagraph"/>
              <w:spacing w:line="240" w:lineRule="auto" w:before="33"/>
              <w:ind w:left="387" w:right="0"/>
              <w:jc w:val="left"/>
              <w:rPr>
                <w:rFonts w:ascii="Times New Roman" w:hAnsi="Times New Roman" w:cs="Times New Roman" w:eastAsia="Times New Roman" w:hint="default"/>
                <w:sz w:val="18"/>
                <w:szCs w:val="18"/>
              </w:rPr>
            </w:pPr>
            <w:r>
              <w:rPr>
                <w:rFonts w:ascii="Times New Roman"/>
                <w:sz w:val="18"/>
              </w:rPr>
              <w:t>3.42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25,482,2</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33.08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32,005,5</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66.09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57,487,7</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99.17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5,660,41</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8.48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5,660,41</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8.48</w:t>
            </w:r>
          </w:p>
        </w:tc>
      </w:tr>
      <w:tr>
        <w:trPr>
          <w:trHeight w:val="10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both"/>
              <w:rPr>
                <w:rFonts w:ascii="宋体" w:hAnsi="宋体" w:cs="宋体" w:eastAsia="宋体" w:hint="default"/>
                <w:sz w:val="18"/>
                <w:szCs w:val="18"/>
              </w:rPr>
            </w:pPr>
            <w:r>
              <w:rPr>
                <w:rFonts w:ascii="宋体" w:hAnsi="宋体" w:cs="宋体" w:eastAsia="宋体" w:hint="default"/>
                <w:sz w:val="18"/>
                <w:szCs w:val="18"/>
              </w:rPr>
              <w:t>青岛丰 东热处 理有限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16,736,2</w:t>
            </w:r>
          </w:p>
          <w:p>
            <w:pPr>
              <w:pStyle w:val="TableParagraph"/>
              <w:spacing w:line="240" w:lineRule="auto" w:before="33"/>
              <w:ind w:left="299" w:right="0"/>
              <w:jc w:val="left"/>
              <w:rPr>
                <w:rFonts w:ascii="Times New Roman" w:hAnsi="Times New Roman" w:cs="Times New Roman" w:eastAsia="Times New Roman" w:hint="default"/>
                <w:sz w:val="18"/>
                <w:szCs w:val="18"/>
              </w:rPr>
            </w:pPr>
            <w:r>
              <w:rPr>
                <w:rFonts w:ascii="Times New Roman"/>
                <w:sz w:val="18"/>
              </w:rPr>
              <w:t>60.97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16,130,8</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30.15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32,867,0</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91.12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8,709,97</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6.46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1,630,00</w:t>
            </w:r>
          </w:p>
          <w:p>
            <w:pPr>
              <w:pStyle w:val="TableParagraph"/>
              <w:spacing w:line="240" w:lineRule="auto" w:before="33"/>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10,339,9</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76.46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14,698,0</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25.44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17,392,6</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34.47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32,090,6</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59.91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9,775,10</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5.48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1,740,00</w:t>
            </w:r>
          </w:p>
          <w:p>
            <w:pPr>
              <w:pStyle w:val="TableParagraph"/>
              <w:spacing w:line="240" w:lineRule="auto" w:before="33"/>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11,515,1</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05.48</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134"/>
        <w:gridCol w:w="994"/>
        <w:gridCol w:w="988"/>
        <w:gridCol w:w="1064"/>
        <w:gridCol w:w="1063"/>
        <w:gridCol w:w="1064"/>
        <w:gridCol w:w="1063"/>
        <w:gridCol w:w="1066"/>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1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98" w:right="39"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5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3"/>
              <w:ind w:left="22" w:right="78"/>
              <w:jc w:val="left"/>
              <w:rPr>
                <w:rFonts w:ascii="宋体" w:hAnsi="宋体" w:cs="宋体" w:eastAsia="宋体" w:hint="default"/>
                <w:sz w:val="17"/>
                <w:szCs w:val="17"/>
              </w:rPr>
            </w:pPr>
            <w:r>
              <w:rPr>
                <w:rFonts w:ascii="宋体" w:hAnsi="宋体" w:cs="宋体" w:eastAsia="宋体" w:hint="default"/>
                <w:sz w:val="17"/>
                <w:szCs w:val="17"/>
              </w:rPr>
              <w:t>天津丰东热处</w:t>
            </w:r>
            <w:r>
              <w:rPr>
                <w:rFonts w:ascii="宋体" w:hAnsi="宋体" w:cs="宋体" w:eastAsia="宋体" w:hint="default"/>
                <w:w w:val="100"/>
                <w:sz w:val="17"/>
                <w:szCs w:val="17"/>
              </w:rPr>
              <w:t> </w:t>
            </w:r>
            <w:r>
              <w:rPr>
                <w:rFonts w:ascii="宋体" w:hAnsi="宋体" w:cs="宋体" w:eastAsia="宋体" w:hint="default"/>
                <w:sz w:val="17"/>
                <w:szCs w:val="17"/>
              </w:rPr>
              <w:t>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5" w:right="0"/>
              <w:jc w:val="left"/>
              <w:rPr>
                <w:rFonts w:ascii="Times New Roman" w:hAnsi="Times New Roman" w:cs="Times New Roman" w:eastAsia="Times New Roman" w:hint="default"/>
                <w:sz w:val="16"/>
                <w:szCs w:val="16"/>
              </w:rPr>
            </w:pPr>
            <w:r>
              <w:rPr>
                <w:rFonts w:ascii="Times New Roman"/>
                <w:sz w:val="16"/>
              </w:rPr>
              <w:t>24,411,703.57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888,307.93</w:t>
            </w:r>
            <w:r>
              <w:rPr>
                <w:rFonts w:ascii="Times New Roman"/>
                <w:sz w:val="16"/>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888,307.93</w:t>
            </w:r>
            <w:r>
              <w:rPr>
                <w:rFonts w:ascii="Times New Roman"/>
                <w:sz w:val="16"/>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7,823,447.23</w:t>
            </w:r>
            <w:r>
              <w:rPr>
                <w:rFonts w:ascii="Times New Roman"/>
                <w:sz w:val="16"/>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6"/>
                <w:szCs w:val="16"/>
              </w:rPr>
            </w:pPr>
            <w:r>
              <w:rPr>
                <w:rFonts w:ascii="Times New Roman"/>
                <w:sz w:val="16"/>
              </w:rPr>
              <w:t>34,193,510.16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2"/>
                <w:sz w:val="16"/>
              </w:rPr>
              <w:t>2,110,116.24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2"/>
                <w:sz w:val="16"/>
              </w:rPr>
              <w:t>2,110,116.24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-2,565,141.48</w:t>
            </w:r>
          </w:p>
        </w:tc>
      </w:tr>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3"/>
              <w:ind w:left="22" w:right="78"/>
              <w:jc w:val="both"/>
              <w:rPr>
                <w:rFonts w:ascii="宋体" w:hAnsi="宋体" w:cs="宋体" w:eastAsia="宋体" w:hint="default"/>
                <w:sz w:val="17"/>
                <w:szCs w:val="17"/>
              </w:rPr>
            </w:pPr>
            <w:r>
              <w:rPr>
                <w:rFonts w:ascii="宋体" w:hAnsi="宋体" w:cs="宋体" w:eastAsia="宋体" w:hint="default"/>
                <w:sz w:val="17"/>
                <w:szCs w:val="17"/>
              </w:rPr>
              <w:t>南京丰东热处</w:t>
            </w:r>
            <w:r>
              <w:rPr>
                <w:rFonts w:ascii="宋体" w:hAnsi="宋体" w:cs="宋体" w:eastAsia="宋体" w:hint="default"/>
                <w:w w:val="100"/>
                <w:sz w:val="17"/>
                <w:szCs w:val="17"/>
              </w:rPr>
              <w:t> </w:t>
            </w:r>
            <w:r>
              <w:rPr>
                <w:rFonts w:ascii="宋体" w:hAnsi="宋体" w:cs="宋体" w:eastAsia="宋体" w:hint="default"/>
                <w:sz w:val="17"/>
                <w:szCs w:val="17"/>
              </w:rPr>
              <w:t>理工程有限公</w:t>
            </w:r>
            <w:r>
              <w:rPr>
                <w:rFonts w:ascii="宋体" w:hAnsi="宋体" w:cs="宋体" w:eastAsia="宋体" w:hint="default"/>
                <w:w w:val="100"/>
                <w:sz w:val="17"/>
                <w:szCs w:val="17"/>
              </w:rPr>
              <w:t> </w:t>
            </w:r>
            <w:r>
              <w:rPr>
                <w:rFonts w:ascii="宋体" w:hAnsi="宋体" w:cs="宋体" w:eastAsia="宋体" w:hint="default"/>
                <w:sz w:val="17"/>
                <w:szCs w:val="17"/>
              </w:rPr>
              <w:t>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179" w:right="0"/>
              <w:jc w:val="left"/>
              <w:rPr>
                <w:rFonts w:ascii="Times New Roman" w:hAnsi="Times New Roman" w:cs="Times New Roman" w:eastAsia="Times New Roman" w:hint="default"/>
                <w:sz w:val="16"/>
                <w:szCs w:val="16"/>
              </w:rPr>
            </w:pPr>
            <w:r>
              <w:rPr>
                <w:rFonts w:ascii="Times New Roman"/>
                <w:sz w:val="16"/>
              </w:rPr>
              <w:t>29,915,963.75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22"/>
              <w:jc w:val="right"/>
              <w:rPr>
                <w:rFonts w:ascii="Times New Roman" w:hAnsi="Times New Roman" w:cs="Times New Roman" w:eastAsia="Times New Roman" w:hint="default"/>
                <w:sz w:val="16"/>
                <w:szCs w:val="16"/>
              </w:rPr>
            </w:pPr>
            <w:r>
              <w:rPr>
                <w:rFonts w:ascii="Times New Roman"/>
                <w:spacing w:val="-1"/>
                <w:sz w:val="16"/>
              </w:rPr>
              <w:t>4,276,119.24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21"/>
              <w:jc w:val="right"/>
              <w:rPr>
                <w:rFonts w:ascii="Times New Roman" w:hAnsi="Times New Roman" w:cs="Times New Roman" w:eastAsia="Times New Roman" w:hint="default"/>
                <w:sz w:val="16"/>
                <w:szCs w:val="16"/>
              </w:rPr>
            </w:pPr>
            <w:r>
              <w:rPr>
                <w:rFonts w:ascii="Times New Roman"/>
                <w:spacing w:val="-1"/>
                <w:sz w:val="16"/>
              </w:rPr>
              <w:t>4,276,119.24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20"/>
              <w:jc w:val="right"/>
              <w:rPr>
                <w:rFonts w:ascii="Times New Roman" w:hAnsi="Times New Roman" w:cs="Times New Roman" w:eastAsia="Times New Roman" w:hint="default"/>
                <w:sz w:val="16"/>
                <w:szCs w:val="16"/>
              </w:rPr>
            </w:pPr>
            <w:r>
              <w:rPr>
                <w:rFonts w:ascii="Times New Roman"/>
                <w:w w:val="95"/>
                <w:sz w:val="16"/>
              </w:rPr>
              <w:t>495,557.09</w:t>
            </w:r>
            <w:r>
              <w:rPr>
                <w:rFonts w:ascii="Times New Roman"/>
                <w:sz w:val="16"/>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110" w:right="0"/>
              <w:jc w:val="left"/>
              <w:rPr>
                <w:rFonts w:ascii="Times New Roman" w:hAnsi="Times New Roman" w:cs="Times New Roman" w:eastAsia="Times New Roman" w:hint="default"/>
                <w:sz w:val="16"/>
                <w:szCs w:val="16"/>
              </w:rPr>
            </w:pPr>
            <w:r>
              <w:rPr>
                <w:rFonts w:ascii="Times New Roman"/>
                <w:sz w:val="16"/>
              </w:rPr>
              <w:t>27,967,591.62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5"/>
                <w:sz w:val="16"/>
              </w:rPr>
              <w:t>4,289,299.29</w:t>
            </w:r>
            <w:r>
              <w:rPr>
                <w:rFonts w:ascii="Times New Roman"/>
                <w:sz w:val="16"/>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4,289,299.29</w:t>
            </w:r>
            <w:r>
              <w:rPr>
                <w:rFonts w:ascii="Times New Roman"/>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6,127,411.28</w:t>
            </w:r>
          </w:p>
        </w:tc>
      </w:tr>
      <w:tr>
        <w:trPr>
          <w:trHeight w:val="5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3"/>
              <w:ind w:left="22" w:right="78"/>
              <w:jc w:val="left"/>
              <w:rPr>
                <w:rFonts w:ascii="宋体" w:hAnsi="宋体" w:cs="宋体" w:eastAsia="宋体" w:hint="default"/>
                <w:sz w:val="17"/>
                <w:szCs w:val="17"/>
              </w:rPr>
            </w:pPr>
            <w:r>
              <w:rPr>
                <w:rFonts w:ascii="宋体" w:hAnsi="宋体" w:cs="宋体" w:eastAsia="宋体" w:hint="default"/>
                <w:sz w:val="17"/>
                <w:szCs w:val="17"/>
              </w:rPr>
              <w:t>青岛丰东热处</w:t>
            </w:r>
            <w:r>
              <w:rPr>
                <w:rFonts w:ascii="宋体" w:hAnsi="宋体" w:cs="宋体" w:eastAsia="宋体" w:hint="default"/>
                <w:w w:val="100"/>
                <w:sz w:val="17"/>
                <w:szCs w:val="17"/>
              </w:rPr>
              <w:t> </w:t>
            </w:r>
            <w:r>
              <w:rPr>
                <w:rFonts w:ascii="宋体" w:hAnsi="宋体" w:cs="宋体" w:eastAsia="宋体" w:hint="default"/>
                <w:sz w:val="17"/>
                <w:szCs w:val="17"/>
              </w:rPr>
              <w:t>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9" w:right="0"/>
              <w:jc w:val="left"/>
              <w:rPr>
                <w:rFonts w:ascii="Times New Roman" w:hAnsi="Times New Roman" w:cs="Times New Roman" w:eastAsia="Times New Roman" w:hint="default"/>
                <w:sz w:val="16"/>
                <w:szCs w:val="16"/>
              </w:rPr>
            </w:pPr>
            <w:r>
              <w:rPr>
                <w:rFonts w:ascii="Times New Roman"/>
                <w:sz w:val="16"/>
              </w:rPr>
              <w:t>34,312,219.92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2,951,560.23</w:t>
            </w:r>
            <w:r>
              <w:rPr>
                <w:rFonts w:ascii="Times New Roman"/>
                <w:sz w:val="16"/>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2,951,560.23</w:t>
            </w:r>
            <w:r>
              <w:rPr>
                <w:rFonts w:ascii="Times New Roman"/>
                <w:sz w:val="16"/>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4,264,959.97</w:t>
            </w:r>
            <w:r>
              <w:rPr>
                <w:rFonts w:ascii="Times New Roman"/>
                <w:sz w:val="16"/>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6"/>
                <w:szCs w:val="16"/>
              </w:rPr>
            </w:pPr>
            <w:r>
              <w:rPr>
                <w:rFonts w:ascii="Times New Roman"/>
                <w:sz w:val="16"/>
              </w:rPr>
              <w:t>37,204,666.41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5"/>
                <w:sz w:val="16"/>
              </w:rPr>
              <w:t>4,071,398.20</w:t>
            </w:r>
            <w:r>
              <w:rPr>
                <w:rFonts w:ascii="Times New Roman"/>
                <w:sz w:val="16"/>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4,071,398.20</w:t>
            </w:r>
            <w:r>
              <w:rPr>
                <w:rFonts w:ascii="Times New Roman"/>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2,640,556.67</w:t>
            </w:r>
            <w:r>
              <w:rPr>
                <w:rFonts w:ascii="Times New Roman"/>
                <w:sz w:val="16"/>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子公司的所有者权益份额发生变化且仍控制子公司的交易" w:id="316"/>
      <w:bookmarkEnd w:id="3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17"/>
      <w:bookmarkEnd w:id="31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月，本公司将所持有的子公司南京丰东热处理工程有限公司（以下简称</w:t>
      </w:r>
      <w:r>
        <w:rPr>
          <w:rFonts w:ascii="Times New Roman" w:hAnsi="Times New Roman" w:cs="Times New Roman" w:eastAsia="Times New Roman" w:hint="default"/>
          <w:spacing w:val="-2"/>
        </w:rPr>
        <w:t>“</w:t>
      </w:r>
      <w:r>
        <w:rPr>
          <w:spacing w:val="-2"/>
        </w:rPr>
        <w:t>南京丰东</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6.37%</w:t>
      </w:r>
      <w:r>
        <w:rPr>
          <w:spacing w:val="-2"/>
        </w:rPr>
        <w:t>的股权转让给自然人</w:t>
      </w:r>
      <w:r>
        <w:rPr/>
        <w:t> 苏晓东，转让后持股比例由</w:t>
      </w:r>
      <w:r>
        <w:rPr>
          <w:rFonts w:ascii="Times New Roman" w:hAnsi="Times New Roman" w:cs="Times New Roman" w:eastAsia="Times New Roman" w:hint="default"/>
        </w:rPr>
        <w:t>96.37%</w:t>
      </w:r>
      <w:r>
        <w:rPr/>
        <w:t>下降为</w:t>
      </w:r>
      <w:r>
        <w:rPr>
          <w:rFonts w:ascii="Times New Roman" w:hAnsi="Times New Roman" w:cs="Times New Roman" w:eastAsia="Times New Roman" w:hint="default"/>
        </w:rPr>
        <w:t>90%</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交易对于少数股东权益及归属于母公司所有者权益的影响" w:id="318"/>
      <w:bookmarkEnd w:id="31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南京丰东</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3,007,400.00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3,007,400.00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3,182,578.42</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-175,178.42</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-175,178.42</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19"/>
      <w:bookmarkEnd w:id="3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20"/>
      <w:bookmarkEnd w:id="3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2"/>
        <w:gridCol w:w="1275"/>
        <w:gridCol w:w="994"/>
        <w:gridCol w:w="991"/>
        <w:gridCol w:w="851"/>
        <w:gridCol w:w="834"/>
        <w:gridCol w:w="1366"/>
      </w:tblGrid>
      <w:tr>
        <w:trPr>
          <w:trHeight w:val="367" w:hRule="exact"/>
        </w:trPr>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2"/>
            <w:tcBorders>
              <w:top w:val="single" w:sz="4" w:space="0" w:color="000000"/>
              <w:left w:val="single" w:sz="4" w:space="0" w:color="000000"/>
              <w:bottom w:val="single" w:sz="34" w:space="0" w:color="FFFFFF"/>
              <w:right w:val="single" w:sz="4" w:space="0" w:color="000000"/>
            </w:tcBorders>
            <w:shd w:val="clear" w:color="auto" w:fill="D2D2D2"/>
          </w:tcPr>
          <w:p>
            <w:pPr>
              <w:pStyle w:val="TableParagraph"/>
              <w:spacing w:line="240" w:lineRule="auto" w:before="22"/>
              <w:ind w:left="47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42"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50.00%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50.00%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40.00%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江苏常州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江苏常州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30.00%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合营企业的主要财务信息" w:id="321"/>
      <w:bookmarkEnd w:id="3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6"/>
        <w:gridCol w:w="1713"/>
        <w:gridCol w:w="1559"/>
        <w:gridCol w:w="1559"/>
        <w:gridCol w:w="1632"/>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6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石川岛丰东</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78,490,920.68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21,064,897.41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86,741,208.80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18,966,449.41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18,619,938.72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3,817,027.36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13,882,669.09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10,503,969.97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86,920,055.71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16,397,871.51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92,539,656.41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16,510,581.13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165,410,976.39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37,462,768.92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179,280,865.21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35,477,030.54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39,677,827.00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8,071,847.27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49,779,284.27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6,235,677.62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39,677,827.00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8,071,847.27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49,779,284.27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6,235,677.62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125,733,149.39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29,390,921.65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129,501,580.94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29,241,352.92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62,866,574.70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14,695,460.83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64,750,790.47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14,620,676.46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713" w:type="dxa"/>
            <w:tcBorders>
              <w:top w:val="single" w:sz="4" w:space="0" w:color="000000"/>
              <w:left w:val="single" w:sz="9"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-2,223,236.78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-1,761,936.80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62,866,574.70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12,472,224.05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64,750,790.47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12,858,739.66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52,616,842.17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24,488,738.80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77,480,474.08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1,105,829.16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868,806.10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71,356.41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-2,318,614.57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-6,008.52</w:t>
            </w:r>
            <w:r>
              <w:rPr>
                <w:rFonts w:ascii="Times New Roman"/>
                <w:sz w:val="18"/>
              </w:rPr>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-34,812.58</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97,066.07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1,114,660.41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-240,223.18</w:t>
            </w:r>
            <w:r>
              <w:rPr>
                <w:rFonts w:ascii="Times New Roman"/>
                <w:sz w:val="18"/>
              </w:rPr>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1,231,568.45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149,568.73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10,893,591.51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-758,647.08</w:t>
            </w:r>
            <w:r>
              <w:rPr>
                <w:rFonts w:ascii="Times New Roman"/>
                <w:sz w:val="18"/>
              </w:rPr>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1,231,568.45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149,568.73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10,893,591.51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-758,647.08</w:t>
            </w:r>
            <w:r>
              <w:rPr>
                <w:rFonts w:ascii="Times New Roman"/>
                <w:sz w:val="18"/>
              </w:rPr>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重要联营企业的主要财务信息" w:id="322"/>
      <w:bookmarkEnd w:id="3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1713"/>
        <w:gridCol w:w="1559"/>
        <w:gridCol w:w="1559"/>
        <w:gridCol w:w="1490"/>
      </w:tblGrid>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0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239"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1713"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广州丰东</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广州丰东</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7,672,714.90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27,166,995.97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5,282,159.01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16,678,654.25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5,503,106.09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3,348,888.35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3,333,698.27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3,256,500.00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13,175,820.99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53,486,128.35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8,615,857.28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45,558,891.00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3,750,525.01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6,355,069.85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4,122,928.55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5,877,359.36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3,771,250.00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3,595,970.00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3,750,525.01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10,126,319.85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4,122,928.55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9,473,329.36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9,425,295.98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43,359,808.50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4,492,928.73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36,085,561.64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2,827,588.79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17,343,923.39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14,434,224.65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-385,893.20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-426,043.95</w:t>
            </w:r>
            <w:r>
              <w:rPr>
                <w:rFonts w:ascii="Times New Roman"/>
                <w:sz w:val="18"/>
              </w:rPr>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5,979,710.18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16,958,030.19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14,008,180.70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8,493,900.69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47,444,271.01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6,515,978.66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43,671,724.37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932,367.25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10,784,465.28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718,427.33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6,124,173.05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932,367.25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10,784,465.28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718,427.33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6,124,173.05</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1,404,087.37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不重要的合营企业和联营企业的汇总财务信息" w:id="323"/>
      <w:bookmarkEnd w:id="3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与金融工具相关的风险" w:id="324"/>
      <w:bookmarkEnd w:id="324"/>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1" w:firstLine="360"/>
        <w:jc w:val="both"/>
      </w:pPr>
      <w:r>
        <w:rPr>
          <w:spacing w:val="-2"/>
        </w:rPr>
        <w:t>本公司风险管理的目标是在风险与收益间取得平衡，采取有效措施将风险对公司经营业绩的影响降至最低水平，使股东</w:t>
      </w:r>
      <w:r>
        <w:rPr/>
        <w:t> </w:t>
      </w:r>
      <w:r>
        <w:rPr>
          <w:spacing w:val="-2"/>
        </w:rPr>
        <w:t>及其他利益相关者的利益最大化。基于这样的目的，本公司的风险管理策略是通过对各种不确定因素进行分析与确认，建立</w:t>
      </w:r>
      <w:r>
        <w:rPr>
          <w:spacing w:val="-66"/>
        </w:rPr>
        <w:t> </w:t>
      </w:r>
      <w:r>
        <w:rPr>
          <w:spacing w:val="-66"/>
        </w:rPr>
      </w:r>
      <w:r>
        <w:rPr/>
        <w:t>健全全面风险管理体系，培育良好的风险管理文化，及对各种风险进行跟踪监督，将风险控制在限定的范围内。</w:t>
      </w:r>
    </w:p>
    <w:p>
      <w:pPr>
        <w:pStyle w:val="BodyText"/>
        <w:spacing w:line="319" w:lineRule="auto" w:before="55"/>
        <w:ind w:left="153" w:right="1050" w:firstLine="360"/>
        <w:jc w:val="both"/>
      </w:pPr>
      <w:r>
        <w:rPr/>
        <w:t>本公司金融工具产生的风险主要包括信用风险、流动风险及市场风险。本公司董事会已审议并批准《风险管理办法》， 确保及时有效地进行风险管理。</w:t>
      </w:r>
    </w:p>
    <w:p>
      <w:pPr>
        <w:pStyle w:val="BodyText"/>
        <w:spacing w:line="352" w:lineRule="auto" w:before="56"/>
        <w:ind w:right="4093"/>
        <w:jc w:val="left"/>
      </w:pPr>
      <w:r>
        <w:rPr/>
        <w:t>本公司的金融工具包括：应收款项、应付款项、可供出售金融资产等。 </w:t>
      </w:r>
      <w:r>
        <w:rPr>
          <w:rFonts w:ascii="Times New Roman" w:hAnsi="Times New Roman" w:cs="Times New Roman" w:eastAsia="Times New Roman" w:hint="default"/>
        </w:rPr>
        <w:t>1</w:t>
      </w:r>
      <w:r>
        <w:rPr/>
        <w:t>、信用风险 信用风险，是指金融工具的一方不履行义务，造成另一方发生财务损失的风险。 本公司对信用风险的管理目标、政策和程序、计量风险的方法：</w:t>
      </w:r>
    </w:p>
    <w:p>
      <w:pPr>
        <w:pStyle w:val="BodyText"/>
        <w:spacing w:line="312" w:lineRule="auto" w:before="32"/>
        <w:ind w:left="153" w:right="1133" w:firstLine="360"/>
        <w:jc w:val="both"/>
      </w:pPr>
      <w:r>
        <w:rPr>
          <w:spacing w:val="-2"/>
        </w:rPr>
        <w:t>本公司的信用风险主要来源于银行存款、应收账款。本公司的银行存款基本存放于信用评级较高的银行，不存在重大风</w:t>
      </w:r>
      <w:r>
        <w:rPr/>
        <w:t> </w:t>
      </w:r>
      <w:r>
        <w:rPr>
          <w:spacing w:val="-2"/>
        </w:rPr>
        <w:t>险。本公司的应收账款主要是设备销售款。本公司在签订合同前，对新增客户进行信用调查与评定，签订合同时，合同条款</w:t>
      </w:r>
      <w:r>
        <w:rPr>
          <w:spacing w:val="-66"/>
        </w:rPr>
        <w:t> </w:t>
      </w:r>
      <w:r>
        <w:rPr>
          <w:spacing w:val="-66"/>
        </w:rPr>
      </w:r>
      <w:r>
        <w:rPr/>
        <w:t>中基本按</w:t>
      </w:r>
      <w:r>
        <w:rPr>
          <w:rFonts w:ascii="Times New Roman" w:hAnsi="Times New Roman" w:cs="Times New Roman" w:eastAsia="Times New Roman" w:hint="default"/>
        </w:rPr>
        <w:t>30%</w:t>
      </w:r>
      <w:r>
        <w:rPr/>
        <w:t>预收设备定金，设备完成发送前，收</w:t>
      </w:r>
      <w:r>
        <w:rPr>
          <w:rFonts w:ascii="Times New Roman" w:hAnsi="Times New Roman" w:cs="Times New Roman" w:eastAsia="Times New Roman" w:hint="default"/>
        </w:rPr>
        <w:t>30%</w:t>
      </w:r>
      <w:r>
        <w:rPr/>
        <w:t>提货款，设备交付时收取</w:t>
      </w:r>
      <w:r>
        <w:rPr>
          <w:rFonts w:ascii="Times New Roman" w:hAnsi="Times New Roman" w:cs="Times New Roman" w:eastAsia="Times New Roman" w:hint="default"/>
        </w:rPr>
        <w:t>30%</w:t>
      </w:r>
      <w:r>
        <w:rPr/>
        <w:t>货款，留</w:t>
      </w:r>
      <w:r>
        <w:rPr>
          <w:rFonts w:ascii="Times New Roman" w:hAnsi="Times New Roman" w:cs="Times New Roman" w:eastAsia="Times New Roman" w:hint="default"/>
        </w:rPr>
        <w:t>10%</w:t>
      </w:r>
      <w:r>
        <w:rPr/>
        <w:t>作为设备后期质保金。销 售与财务部门定期与不定期对应收款余额进行监控，以确保本公司不面临重大坏账风险。</w:t>
      </w:r>
    </w:p>
    <w:p>
      <w:pPr>
        <w:spacing w:after="0" w:line="312" w:lineRule="auto"/>
        <w:jc w:val="both"/>
        <w:sectPr>
          <w:pgSz w:w="11910" w:h="16840"/>
          <w:pgMar w:header="768" w:footer="979" w:top="1100" w:bottom="1160" w:left="980" w:right="0"/>
        </w:sectPr>
      </w:pPr>
    </w:p>
    <w:p>
      <w:pPr>
        <w:spacing w:line="240" w:lineRule="auto" w:before="13"/>
        <w:rPr>
          <w:rFonts w:ascii="宋体" w:hAnsi="宋体" w:cs="宋体" w:eastAsia="宋体" w:hint="default"/>
          <w:sz w:val="21"/>
          <w:szCs w:val="21"/>
        </w:rPr>
      </w:pPr>
    </w:p>
    <w:p>
      <w:pPr>
        <w:pStyle w:val="BodyText"/>
        <w:spacing w:line="348" w:lineRule="auto" w:before="44"/>
        <w:ind w:right="2833"/>
        <w:jc w:val="left"/>
      </w:pPr>
      <w:r>
        <w:rPr>
          <w:rFonts w:ascii="Times New Roman" w:hAnsi="Times New Roman" w:cs="Times New Roman" w:eastAsia="Times New Roman" w:hint="default"/>
        </w:rPr>
        <w:t>2</w:t>
      </w:r>
      <w:r>
        <w:rPr/>
        <w:t>、流动性风险 流动性风险，是指在履行以交付现金或其他金融资产的方式结算的义务时发生资金短缺的风险。 本公司对流动性风险的管理目标、政策和程序、计量风险的方法：</w:t>
      </w:r>
    </w:p>
    <w:p>
      <w:pPr>
        <w:pStyle w:val="BodyText"/>
        <w:spacing w:line="319" w:lineRule="auto" w:before="34"/>
        <w:ind w:left="153" w:right="1132" w:firstLine="360"/>
        <w:jc w:val="both"/>
      </w:pPr>
      <w:r>
        <w:rPr>
          <w:spacing w:val="-2"/>
        </w:rPr>
        <w:t>为控制该项风险，本公司优化融资结构，采用长、短期借款，保持融资持续性与灵活性间的平衡。本公司总部财务部持</w:t>
      </w:r>
      <w:r>
        <w:rPr/>
        <w:t> </w:t>
      </w:r>
      <w:r>
        <w:rPr>
          <w:spacing w:val="-2"/>
        </w:rPr>
        <w:t>续监控各子公司的现金流，协调集团内各子公司的资金储备，同时本公司与多家银行取得授信客户以满足各期资金需求和资</w:t>
      </w:r>
      <w:r>
        <w:rPr>
          <w:spacing w:val="-64"/>
        </w:rPr>
        <w:t> </w:t>
      </w:r>
      <w:r>
        <w:rPr>
          <w:spacing w:val="-64"/>
        </w:rPr>
      </w:r>
      <w:r>
        <w:rPr/>
        <w:t>本开支。</w:t>
      </w:r>
    </w:p>
    <w:p>
      <w:pPr>
        <w:pStyle w:val="BodyText"/>
        <w:spacing w:line="338" w:lineRule="auto" w:before="56"/>
        <w:ind w:right="1118"/>
        <w:jc w:val="left"/>
      </w:pP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金融工具的市场风险，是指金融工具的公允价值或未来现金流量因市场价格变动而发生波动的风险，包括汇率风险、利</w:t>
      </w:r>
    </w:p>
    <w:p>
      <w:pPr>
        <w:pStyle w:val="BodyText"/>
        <w:spacing w:line="357" w:lineRule="auto" w:before="4"/>
        <w:ind w:right="5353" w:hanging="360"/>
        <w:jc w:val="left"/>
      </w:pPr>
      <w:r>
        <w:rPr/>
        <w:t>率风险和其他价格风险。 本公司对市场风险的管理目标、政策和程序、计量风险的方法：</w:t>
      </w:r>
    </w:p>
    <w:p>
      <w:pPr>
        <w:pStyle w:val="BodyText"/>
        <w:spacing w:line="309" w:lineRule="auto" w:before="26"/>
        <w:ind w:left="153" w:right="1130" w:firstLine="360"/>
        <w:jc w:val="both"/>
      </w:pPr>
      <w:r>
        <w:rPr>
          <w:spacing w:val="-1"/>
        </w:rPr>
        <w:t>本公司对市场风险的管理目标为通过将市场风险控制在企业可以</w:t>
      </w:r>
      <w:r>
        <w:rPr>
          <w:rFonts w:ascii="Times New Roman" w:hAnsi="Times New Roman" w:cs="Times New Roman" w:eastAsia="Times New Roman" w:hint="default"/>
          <w:spacing w:val="-1"/>
        </w:rPr>
        <w:t>(</w:t>
      </w:r>
      <w:r>
        <w:rPr>
          <w:spacing w:val="-1"/>
        </w:rPr>
        <w:t>或愿意</w:t>
      </w:r>
      <w:r>
        <w:rPr>
          <w:rFonts w:ascii="Times New Roman" w:hAnsi="Times New Roman" w:cs="Times New Roman" w:eastAsia="Times New Roman" w:hint="default"/>
          <w:spacing w:val="-1"/>
        </w:rPr>
        <w:t>)</w:t>
      </w:r>
      <w:r>
        <w:rPr>
          <w:spacing w:val="-1"/>
        </w:rPr>
        <w:t>承受的合理范围内，</w:t>
      </w:r>
      <w:hyperlink r:id="rId34">
        <w:r>
          <w:rPr>
            <w:spacing w:val="-1"/>
          </w:rPr>
          <w:t>实现经风险调整的收益率</w:t>
        </w:r>
      </w:hyperlink>
      <w:r>
        <w:rPr/>
        <w:t> </w:t>
      </w:r>
      <w:r>
        <w:rPr>
          <w:spacing w:val="-2"/>
        </w:rPr>
        <w:t>的最大化。在确认对公司有显著影响的市场风险因素以后，对各种风险因素进行度量，并运用多种手段和工具对各种市场风</w:t>
      </w:r>
      <w:r>
        <w:rPr>
          <w:spacing w:val="-66"/>
        </w:rPr>
        <w:t> </w:t>
      </w:r>
      <w:r>
        <w:rPr>
          <w:spacing w:val="-66"/>
        </w:rPr>
      </w:r>
      <w:r>
        <w:rPr/>
        <w:t>险加以定量管理。</w:t>
      </w:r>
    </w:p>
    <w:p>
      <w:pPr>
        <w:pStyle w:val="BodyText"/>
        <w:spacing w:line="338" w:lineRule="auto" w:before="65"/>
        <w:ind w:right="1118"/>
        <w:jc w:val="left"/>
      </w:pPr>
      <w:r>
        <w:rPr/>
        <w:t>（</w:t>
      </w: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汇率风险，是指金融工具的公允价值或未来现金流量因外汇汇率变动而发生波动的风险。汇率风险可源于以记账本位币</w:t>
      </w:r>
    </w:p>
    <w:p>
      <w:pPr>
        <w:pStyle w:val="BodyText"/>
        <w:spacing w:line="357" w:lineRule="auto" w:before="4"/>
        <w:ind w:left="514" w:right="1647" w:hanging="360"/>
        <w:jc w:val="left"/>
      </w:pPr>
      <w:r>
        <w:rPr/>
        <w:t>之外的外币进行计价的金融工具。 假设在其他条件不变的情况下，美元对人民币汇率上升或下降</w:t>
      </w:r>
      <w:r>
        <w:rPr>
          <w:rFonts w:ascii="Times New Roman" w:hAnsi="Times New Roman" w:cs="Times New Roman" w:eastAsia="Times New Roman" w:hint="default"/>
        </w:rPr>
        <w:t>10%</w:t>
      </w:r>
      <w:r>
        <w:rPr/>
        <w:t>，则可能影响本公司本期的净利润</w:t>
      </w:r>
      <w:r>
        <w:rPr>
          <w:rFonts w:ascii="Times New Roman" w:hAnsi="Times New Roman" w:cs="Times New Roman" w:eastAsia="Times New Roman" w:hint="default"/>
        </w:rPr>
        <w:t>0.00</w:t>
      </w:r>
      <w:r>
        <w:rPr/>
        <w:t>万元。</w:t>
      </w:r>
    </w:p>
    <w:p>
      <w:pPr>
        <w:pStyle w:val="BodyText"/>
        <w:spacing w:line="338" w:lineRule="auto" w:before="6"/>
        <w:ind w:right="1118"/>
        <w:jc w:val="left"/>
      </w:pPr>
      <w:r>
        <w:rPr/>
        <w:t>（</w:t>
      </w:r>
      <w:r>
        <w:rPr>
          <w:rFonts w:ascii="Times New Roman" w:hAnsi="Times New Roman" w:cs="Times New Roman" w:eastAsia="Times New Roman" w:hint="default"/>
        </w:rPr>
        <w:t>2</w:t>
      </w:r>
      <w:r>
        <w:rPr/>
        <w:t>）利率风险 </w:t>
      </w:r>
      <w:r>
        <w:rPr>
          <w:spacing w:val="-2"/>
        </w:rPr>
        <w:t>利率风险，是指金融工具的公允价值或未来现金流量因市场利率变动而发生波动的风险。利率风险可源于已确认的计息</w:t>
      </w:r>
    </w:p>
    <w:p>
      <w:pPr>
        <w:pStyle w:val="BodyText"/>
        <w:spacing w:line="338" w:lineRule="auto" w:before="4"/>
        <w:ind w:left="514" w:right="6719" w:hanging="360"/>
        <w:jc w:val="left"/>
      </w:pPr>
      <w:r>
        <w:rPr/>
        <w:t>金融工具和未确认的金融工具</w:t>
      </w:r>
      <w:r>
        <w:rPr>
          <w:rFonts w:ascii="Times New Roman" w:hAnsi="Times New Roman" w:cs="Times New Roman" w:eastAsia="Times New Roman" w:hint="default"/>
        </w:rPr>
        <w:t>(</w:t>
      </w:r>
      <w:r>
        <w:rPr/>
        <w:t>如某些贷款承诺</w:t>
      </w:r>
      <w:r>
        <w:rPr>
          <w:rFonts w:ascii="Times New Roman" w:hAnsi="Times New Roman" w:cs="Times New Roman" w:eastAsia="Times New Roman" w:hint="default"/>
        </w:rPr>
        <w:t>)</w:t>
      </w:r>
      <w:r>
        <w:rPr/>
        <w:t>。 本公司的借款利率情况：年利率</w:t>
      </w:r>
      <w:r>
        <w:rPr>
          <w:rFonts w:ascii="Times New Roman" w:hAnsi="Times New Roman" w:cs="Times New Roman" w:eastAsia="Times New Roman" w:hint="default"/>
        </w:rPr>
        <w:t>4.25%-6.15%</w:t>
      </w:r>
      <w:r>
        <w:rPr/>
        <w:t>。</w:t>
      </w:r>
    </w:p>
    <w:p>
      <w:pPr>
        <w:pStyle w:val="BodyText"/>
        <w:spacing w:line="240" w:lineRule="auto" w:before="22"/>
        <w:ind w:left="514" w:right="0"/>
        <w:jc w:val="left"/>
      </w:pPr>
      <w:r>
        <w:rPr/>
        <w:t>假设在其他条件不变的情况下，借款利率上升或下降</w:t>
      </w:r>
      <w:r>
        <w:rPr>
          <w:rFonts w:ascii="Times New Roman" w:hAnsi="Times New Roman" w:cs="Times New Roman" w:eastAsia="Times New Roman" w:hint="default"/>
        </w:rPr>
        <w:t>10%</w:t>
      </w:r>
      <w:r>
        <w:rPr/>
        <w:t>，则可能影响本公司本期的净利润</w:t>
      </w:r>
      <w:r>
        <w:rPr>
          <w:rFonts w:ascii="Times New Roman" w:hAnsi="Times New Roman" w:cs="Times New Roman" w:eastAsia="Times New Roman" w:hint="default"/>
        </w:rPr>
        <w:t>36.10</w:t>
      </w:r>
      <w:r>
        <w:rPr/>
        <w:t>万元。</w:t>
      </w:r>
    </w:p>
    <w:p>
      <w:pPr>
        <w:pStyle w:val="BodyText"/>
        <w:spacing w:line="338" w:lineRule="auto" w:before="102"/>
        <w:ind w:left="514" w:right="0"/>
        <w:jc w:val="left"/>
      </w:pPr>
      <w:r>
        <w:rPr/>
        <w:t>（</w:t>
      </w:r>
      <w:r>
        <w:rPr>
          <w:rFonts w:ascii="Times New Roman" w:hAnsi="Times New Roman" w:cs="Times New Roman" w:eastAsia="Times New Roman" w:hint="default"/>
        </w:rPr>
        <w:t>3</w:t>
      </w:r>
      <w:r>
        <w:rPr/>
        <w:t>）其他价格风险 </w:t>
      </w:r>
      <w:r>
        <w:rPr>
          <w:spacing w:val="-2"/>
        </w:rPr>
        <w:t>其他价格风险，是指汇率风险和利率风险以外的市场价格变动而发生波动的风险，无论这些变动是由于与单项金融工具</w:t>
      </w:r>
    </w:p>
    <w:p>
      <w:pPr>
        <w:pStyle w:val="BodyText"/>
        <w:spacing w:line="319" w:lineRule="auto" w:before="2"/>
        <w:ind w:left="154" w:right="0"/>
        <w:jc w:val="left"/>
      </w:pPr>
      <w:r>
        <w:rPr>
          <w:spacing w:val="-2"/>
        </w:rPr>
        <w:t>或其发行方有关的因素而引起的，还是由于与市场内交易的所有类似金融工具有关的因素而引起的。其他价格风险可源于商</w:t>
      </w:r>
      <w:r>
        <w:rPr>
          <w:spacing w:val="-64"/>
        </w:rPr>
        <w:t> </w:t>
      </w:r>
      <w:r>
        <w:rPr>
          <w:spacing w:val="-64"/>
        </w:rPr>
      </w:r>
      <w:r>
        <w:rPr/>
        <w:t>品价格或权益工具价格等的变化。</w:t>
      </w:r>
    </w:p>
    <w:p>
      <w:pPr>
        <w:spacing w:line="240" w:lineRule="auto" w:before="7"/>
        <w:rPr>
          <w:rFonts w:ascii="宋体" w:hAnsi="宋体" w:cs="宋体" w:eastAsia="宋体" w:hint="default"/>
          <w:sz w:val="20"/>
          <w:szCs w:val="20"/>
        </w:rPr>
      </w:pPr>
    </w:p>
    <w:p>
      <w:pPr>
        <w:pStyle w:val="Heading2"/>
        <w:spacing w:line="240" w:lineRule="auto"/>
        <w:ind w:left="154" w:right="0"/>
        <w:jc w:val="left"/>
        <w:rPr>
          <w:b w:val="0"/>
          <w:bCs w:val="0"/>
        </w:rPr>
      </w:pPr>
      <w:bookmarkStart w:name="十一、关联方及关联交易" w:id="325"/>
      <w:bookmarkEnd w:id="325"/>
      <w:r>
        <w:rPr>
          <w:b w:val="0"/>
          <w:bCs w:val="0"/>
        </w:rPr>
      </w:r>
      <w:r>
        <w:rPr/>
        <w:t>十一、关联方及关联交易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26"/>
      <w:bookmarkEnd w:id="32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1376"/>
        <w:gridCol w:w="1134"/>
        <w:gridCol w:w="1274"/>
        <w:gridCol w:w="1594"/>
        <w:gridCol w:w="1583"/>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1"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59"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1"/>
              <w:jc w:val="right"/>
              <w:rPr>
                <w:rFonts w:ascii="宋体" w:hAnsi="宋体" w:cs="宋体" w:eastAsia="宋体" w:hint="default"/>
                <w:sz w:val="18"/>
                <w:szCs w:val="18"/>
              </w:rPr>
            </w:pPr>
            <w:r>
              <w:rPr>
                <w:rFonts w:ascii="Times New Roman" w:hAnsi="Times New Roman" w:cs="Times New Roman" w:eastAsia="Times New Roman" w:hint="default"/>
                <w:sz w:val="18"/>
                <w:szCs w:val="18"/>
              </w:rPr>
              <w:t>607.70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36.16%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36.16%</w:t>
            </w:r>
          </w:p>
        </w:tc>
      </w:tr>
    </w:tbl>
    <w:p>
      <w:pPr>
        <w:pStyle w:val="BodyText"/>
        <w:spacing w:line="357" w:lineRule="auto" w:before="51"/>
        <w:ind w:left="514" w:right="8052"/>
        <w:jc w:val="left"/>
      </w:pPr>
      <w:r>
        <w:rPr/>
        <w:t>本企业的母公司情况的说明 本企业最终控制方是朱文明。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327"/>
      <w:bookmarkEnd w:id="32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w:t>
      </w:r>
      <w:r>
        <w:rPr>
          <w:rFonts w:ascii="Times New Roman" w:hAnsi="Times New Roman" w:cs="Times New Roman" w:eastAsia="Times New Roman" w:hint="default"/>
        </w:rPr>
        <w:t>.1</w:t>
      </w:r>
      <w:r>
        <w:rPr/>
        <w:t>。</w:t>
      </w:r>
    </w:p>
    <w:p>
      <w:pPr>
        <w:spacing w:after="0" w:line="240"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spacing w:line="547" w:lineRule="auto" w:before="35"/>
        <w:ind w:left="513" w:right="6838" w:firstLine="62"/>
        <w:jc w:val="left"/>
        <w:rPr>
          <w:rFonts w:ascii="宋体" w:hAnsi="宋体" w:cs="宋体" w:eastAsia="宋体" w:hint="default"/>
          <w:sz w:val="21"/>
          <w:szCs w:val="21"/>
        </w:rPr>
      </w:pPr>
      <w:bookmarkStart w:name="3、本企业合营和联营企业情况" w:id="328"/>
      <w:bookmarkEnd w:id="3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bookmarkStart w:name="4、其他关联方情况" w:id="329"/>
      <w:bookmarkEnd w:id="32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第二大股东，持股本公司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第三大股东，持股本公司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3.85%</w:t>
            </w:r>
            <w:r>
              <w:rPr>
                <w:rFonts w:ascii="宋体" w:hAnsi="宋体" w:cs="宋体" w:eastAsia="宋体" w:hint="default"/>
                <w:sz w:val="18"/>
                <w:szCs w:val="18"/>
              </w:rPr>
              <w:t>股份</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30"/>
      <w:bookmarkEnd w:id="33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31"/>
      <w:bookmarkEnd w:id="33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51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560"/>
        <w:gridCol w:w="1274"/>
        <w:gridCol w:w="1419"/>
        <w:gridCol w:w="1134"/>
        <w:gridCol w:w="1346"/>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5,845,616.97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13,089,940.68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技术受让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819,451.55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153,753.00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388,231.81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272,547.30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383,846.15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59,316.24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材料及设备采购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21,479,898.88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108,203.85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70"/>
        <w:gridCol w:w="1842"/>
        <w:gridCol w:w="1844"/>
        <w:gridCol w:w="1913"/>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2,867,325.30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593,679.63</w:t>
            </w: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33,209.15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539,930.83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978,984.62</w:t>
            </w:r>
          </w:p>
        </w:tc>
      </w:tr>
      <w:tr>
        <w:trPr>
          <w:trHeight w:val="3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2,833,760.69</w:t>
            </w: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1,539,202.12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1,313,017.47</w:t>
            </w: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2,027,641.54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331,939.23</w:t>
            </w:r>
          </w:p>
        </w:tc>
      </w:tr>
      <w:tr>
        <w:trPr>
          <w:trHeight w:val="3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2,063,573.68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2,611,764.72</w:t>
            </w: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26,923.08</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6、关联方应收应付款项" w:id="332"/>
      <w:bookmarkEnd w:id="33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33"/>
      <w:bookmarkEnd w:id="33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3120"/>
        <w:gridCol w:w="1416"/>
        <w:gridCol w:w="1277"/>
        <w:gridCol w:w="1276"/>
        <w:gridCol w:w="1202"/>
      </w:tblGrid>
      <w:tr>
        <w:trPr>
          <w:trHeight w:val="33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3120"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530,419.07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441,750.00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884,351.19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1,967,004.65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1,843,297.58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2,606,856.03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1,288,652.00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898,583.10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34"/>
      <w:bookmarkEnd w:id="33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3543"/>
        <w:gridCol w:w="1985"/>
        <w:gridCol w:w="1913"/>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1,004,282.47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2,132,937.48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3,277,369.00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196,225.60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297,982.24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953,440.80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股份支付" w:id="335"/>
      <w:bookmarkEnd w:id="335"/>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36"/>
      <w:bookmarkEnd w:id="33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337"/>
      <w:bookmarkEnd w:id="33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338"/>
      <w:bookmarkEnd w:id="33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68"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股份支付的修改、终止情况" w:id="339"/>
      <w:bookmarkEnd w:id="33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其他" w:id="340"/>
      <w:bookmarkEnd w:id="340"/>
      <w:r>
        <w:rPr>
          <w:b w:val="0"/>
          <w:bCs w:val="0"/>
        </w:rPr>
      </w:r>
      <w:r>
        <w:rPr>
          <w:rFonts w:ascii="Times New Roman" w:hAnsi="Times New Roman" w:cs="Times New Roman" w:eastAsia="Times New Roman" w:hint="default"/>
        </w:rPr>
        <w:t>5</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三、承诺及或有事项" w:id="341"/>
      <w:bookmarkEnd w:id="341"/>
      <w:r>
        <w:rPr>
          <w:b w:val="0"/>
          <w:bCs w:val="0"/>
        </w:rPr>
      </w:r>
      <w:r>
        <w:rPr/>
        <w:t>十三、承诺及或有事项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42"/>
      <w:bookmarkEnd w:id="34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资产负债表日存在的重要承诺</w:t>
      </w:r>
    </w:p>
    <w:p>
      <w:pPr>
        <w:pStyle w:val="BodyText"/>
        <w:spacing w:line="240" w:lineRule="auto" w:before="116"/>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日，公司下属子公司青岛丰东与蓝兆胜签订《租赁合同》，向其租赁厂房</w:t>
      </w:r>
      <w:r>
        <w:rPr>
          <w:rFonts w:ascii="Times New Roman" w:hAnsi="Times New Roman" w:cs="Times New Roman" w:eastAsia="Times New Roman" w:hint="default"/>
        </w:rPr>
        <w:t>900</w:t>
      </w:r>
      <w:r>
        <w:rPr/>
        <w:t>平方米，办公用房及生活用地</w:t>
      </w:r>
    </w:p>
    <w:p>
      <w:pPr>
        <w:pStyle w:val="BodyText"/>
        <w:spacing w:line="240" w:lineRule="auto" w:before="64"/>
        <w:ind w:left="153" w:right="0"/>
        <w:jc w:val="left"/>
      </w:pPr>
      <w:r>
        <w:rPr>
          <w:rFonts w:ascii="Times New Roman" w:hAnsi="Times New Roman" w:cs="Times New Roman" w:eastAsia="Times New Roman" w:hint="default"/>
        </w:rPr>
        <w:t>750</w:t>
      </w:r>
      <w:r>
        <w:rPr/>
        <w:t>平方米，租赁期限</w:t>
      </w:r>
      <w:r>
        <w:rPr>
          <w:rFonts w:ascii="Times New Roman" w:hAnsi="Times New Roman" w:cs="Times New Roman" w:eastAsia="Times New Roman" w:hint="default"/>
        </w:rPr>
        <w:t>5</w:t>
      </w:r>
      <w:r>
        <w:rPr/>
        <w:t>年，每年租金</w:t>
      </w:r>
      <w:r>
        <w:rPr>
          <w:rFonts w:ascii="Times New Roman" w:hAnsi="Times New Roman" w:cs="Times New Roman" w:eastAsia="Times New Roman" w:hint="default"/>
        </w:rPr>
        <w:t>18</w:t>
      </w:r>
      <w:r>
        <w:rPr/>
        <w:t>万元。</w:t>
      </w:r>
    </w:p>
    <w:p>
      <w:pPr>
        <w:pStyle w:val="BodyText"/>
        <w:spacing w:line="302" w:lineRule="auto" w:before="101"/>
        <w:ind w:left="154" w:right="112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日，公司下属子公司青岛丰东与蓝兆胜签订《租赁合同》，向其租赁厂房、办公楼、生活楼及其他附属设 施，占地面积</w:t>
      </w:r>
      <w:r>
        <w:rPr>
          <w:rFonts w:ascii="Times New Roman" w:hAnsi="Times New Roman" w:cs="Times New Roman" w:eastAsia="Times New Roman" w:hint="default"/>
        </w:rPr>
        <w:t>3000</w:t>
      </w:r>
      <w:r>
        <w:rPr/>
        <w:t>平方米，租赁期限</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日止，每年租金</w:t>
      </w:r>
      <w:r>
        <w:rPr>
          <w:rFonts w:ascii="Times New Roman" w:hAnsi="Times New Roman" w:cs="Times New Roman" w:eastAsia="Times New Roman" w:hint="default"/>
        </w:rPr>
        <w:t>22</w:t>
      </w:r>
      <w:r>
        <w:rPr/>
        <w:t>万元。</w:t>
      </w:r>
    </w:p>
    <w:p>
      <w:pPr>
        <w:pStyle w:val="BodyText"/>
        <w:spacing w:line="300" w:lineRule="auto" w:before="49"/>
        <w:ind w:left="153" w:right="0"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日，公司下属子公司重庆丰东与重庆市超祥商贸有限公司签订《房屋租赁合同》，向其租用厂房及办公楼房</w:t>
      </w:r>
      <w:r>
        <w:rPr/>
        <w:t> 屋的建筑面积为</w:t>
      </w:r>
      <w:r>
        <w:rPr>
          <w:rFonts w:ascii="Times New Roman" w:hAnsi="Times New Roman" w:cs="Times New Roman" w:eastAsia="Times New Roman" w:hint="default"/>
        </w:rPr>
        <w:t>5636</w:t>
      </w:r>
      <w:r>
        <w:rPr/>
        <w:t>平方米，租金标准为每平方米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12</w:t>
      </w:r>
      <w:r>
        <w:rPr/>
        <w:t>元；租用辅助房屋的面积为</w:t>
      </w:r>
      <w:r>
        <w:rPr>
          <w:rFonts w:ascii="Times New Roman" w:hAnsi="Times New Roman" w:cs="Times New Roman" w:eastAsia="Times New Roman" w:hint="default"/>
        </w:rPr>
        <w:t>562</w:t>
      </w:r>
      <w:r>
        <w:rPr/>
        <w:t>平方米，租金标准为每平方米</w:t>
      </w:r>
      <w:r>
        <w:rPr>
          <w:rFonts w:ascii="Times New Roman" w:hAnsi="Times New Roman" w:cs="Times New Roman" w:eastAsia="Times New Roman" w:hint="default"/>
        </w:rPr>
        <w:t>/</w:t>
      </w:r>
      <w:r>
        <w:rPr/>
        <w:t>每 </w:t>
      </w:r>
      <w:r>
        <w:rPr>
          <w:spacing w:val="-1"/>
        </w:rPr>
        <w:t>月</w:t>
      </w:r>
      <w:r>
        <w:rPr>
          <w:rFonts w:ascii="Times New Roman" w:hAnsi="Times New Roman" w:cs="Times New Roman" w:eastAsia="Times New Roman" w:hint="default"/>
          <w:spacing w:val="-1"/>
        </w:rPr>
        <w:t>6</w:t>
      </w:r>
      <w:r>
        <w:rPr>
          <w:spacing w:val="-1"/>
        </w:rPr>
        <w:t>元。自起租日起至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日租金不变。</w:t>
      </w:r>
      <w:r>
        <w:rPr>
          <w:rFonts w:ascii="Times New Roman" w:hAnsi="Times New Roman" w:cs="Times New Roman" w:eastAsia="Times New Roman" w:hint="default"/>
          <w:spacing w:val="-1"/>
        </w:rPr>
        <w:t>2016</w:t>
      </w:r>
      <w:r>
        <w:rPr>
          <w:spacing w:val="-1"/>
        </w:rPr>
        <w:t>年起至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日，上述租金标准分别为每平方米</w:t>
      </w:r>
      <w:r>
        <w:rPr>
          <w:rFonts w:ascii="Times New Roman" w:hAnsi="Times New Roman" w:cs="Times New Roman" w:eastAsia="Times New Roman" w:hint="default"/>
          <w:spacing w:val="-1"/>
        </w:rPr>
        <w:t>/</w:t>
      </w:r>
      <w:r>
        <w:rPr>
          <w:spacing w:val="-1"/>
        </w:rPr>
        <w:t>每月</w:t>
      </w:r>
      <w:r>
        <w:rPr>
          <w:rFonts w:ascii="Times New Roman" w:hAnsi="Times New Roman" w:cs="Times New Roman" w:eastAsia="Times New Roman" w:hint="default"/>
          <w:spacing w:val="-1"/>
        </w:rPr>
        <w:t>13</w:t>
      </w:r>
      <w:r>
        <w:rPr>
          <w:spacing w:val="-1"/>
        </w:rPr>
        <w:t>元、每</w:t>
      </w:r>
      <w:r>
        <w:rPr>
          <w:spacing w:val="-68"/>
        </w:rPr>
        <w:t> </w:t>
      </w:r>
      <w:r>
        <w:rPr>
          <w:spacing w:val="-68"/>
        </w:rPr>
      </w:r>
      <w:r>
        <w:rPr/>
        <w:t>平方米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7</w:t>
      </w:r>
      <w:r>
        <w:rPr/>
        <w:t>元。</w:t>
      </w:r>
    </w:p>
    <w:p>
      <w:pPr>
        <w:pStyle w:val="BodyText"/>
        <w:spacing w:line="240" w:lineRule="auto" w:before="53"/>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日止，除上述承诺事项外公司未发生其他影响本财务报表阅读和理解的重大承诺事项。</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或有事项" w:id="343"/>
      <w:bookmarkEnd w:id="34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44"/>
      <w:bookmarkEnd w:id="34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日止，公司未发生影响本财务报表阅读和理解的或有事项。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345"/>
      <w:bookmarkEnd w:id="34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公司不存在需要披露的重要或有事项。</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其他" w:id="346"/>
      <w:bookmarkEnd w:id="346"/>
      <w:r>
        <w:rPr>
          <w:b w:val="0"/>
          <w:bCs w:val="0"/>
        </w:rPr>
      </w:r>
      <w:r>
        <w:rPr>
          <w:rFonts w:ascii="Times New Roman" w:hAnsi="Times New Roman" w:cs="Times New Roman" w:eastAsia="Times New Roman" w:hint="default"/>
        </w:rPr>
        <w:t>3</w:t>
      </w:r>
      <w:r>
        <w:rPr/>
        <w:t>、其他</w:t>
      </w:r>
      <w:r>
        <w:rPr>
          <w:b w:val="0"/>
          <w:bCs w:val="0"/>
        </w:rPr>
      </w:r>
    </w:p>
    <w:p>
      <w:pPr>
        <w:spacing w:line="240" w:lineRule="auto" w:before="12"/>
        <w:rPr>
          <w:rFonts w:ascii="宋体" w:hAnsi="宋体" w:cs="宋体" w:eastAsia="宋体" w:hint="default"/>
          <w:b/>
          <w:bCs/>
          <w:sz w:val="21"/>
          <w:szCs w:val="21"/>
        </w:rPr>
      </w:pPr>
    </w:p>
    <w:p>
      <w:pPr>
        <w:pStyle w:val="BodyText"/>
        <w:spacing w:line="300" w:lineRule="auto"/>
        <w:ind w:left="153" w:right="1123" w:firstLine="36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日止，公司下属子公司盐城丰东特种炉业有限公司将位于大丰市开发区昌平路</w:t>
      </w:r>
      <w:r>
        <w:rPr>
          <w:rFonts w:ascii="Times New Roman" w:hAnsi="Times New Roman" w:cs="Times New Roman" w:eastAsia="Times New Roman" w:hint="default"/>
        </w:rPr>
        <w:t>7</w:t>
      </w:r>
      <w:r>
        <w:rPr/>
        <w:t>号的自有房产及土地 使用权，抵押给江苏大丰农村商业银行，取得期末</w:t>
      </w:r>
      <w:r>
        <w:rPr>
          <w:rFonts w:ascii="Times New Roman" w:hAnsi="Times New Roman" w:cs="Times New Roman" w:eastAsia="Times New Roman" w:hint="default"/>
        </w:rPr>
        <w:t>400</w:t>
      </w:r>
      <w:r>
        <w:rPr/>
        <w:t>万元流动资金抵押担保借款，抵押期限为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30</w:t>
      </w:r>
      <w:r>
        <w:rPr/>
        <w:t>日。</w:t>
      </w:r>
    </w:p>
    <w:p>
      <w:pPr>
        <w:pStyle w:val="BodyText"/>
        <w:spacing w:line="240" w:lineRule="auto" w:before="52"/>
        <w:ind w:left="51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日止，除上述重要事项外公司未发生其他影响本财务报表阅读和理解的其他重要事项。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资产负债表日后事项" w:id="347"/>
      <w:bookmarkEnd w:id="347"/>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48"/>
      <w:bookmarkEnd w:id="348"/>
      <w:r>
        <w:rPr>
          <w:b w:val="0"/>
          <w:bCs w:val="0"/>
        </w:rPr>
      </w:r>
      <w:r>
        <w:rPr>
          <w:rFonts w:ascii="Times New Roman" w:hAnsi="Times New Roman" w:cs="Times New Roman" w:eastAsia="Times New Roman" w:hint="default"/>
        </w:rPr>
        <w:t>1</w:t>
      </w:r>
      <w:r>
        <w:rPr/>
        <w:t>、利润分配情况</w:t>
      </w:r>
      <w:r>
        <w:rPr>
          <w:b w:val="0"/>
          <w:bCs w:val="0"/>
        </w:rPr>
      </w:r>
    </w:p>
    <w:p>
      <w:pPr>
        <w:pStyle w:val="BodyText"/>
        <w:spacing w:line="240" w:lineRule="auto" w:before="16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8,040,000.00</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其他资产负债表日后事项说明" w:id="349"/>
      <w:bookmarkEnd w:id="349"/>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月，公司披露《发行股份购买资产并募集配套资金暨关联交易预案》，拟发行股份购买方欣科技有限公司</w:t>
      </w:r>
    </w:p>
    <w:p>
      <w:pPr>
        <w:pStyle w:val="BodyText"/>
        <w:spacing w:line="240" w:lineRule="auto" w:before="64"/>
        <w:ind w:left="153" w:right="0"/>
        <w:jc w:val="left"/>
      </w:pPr>
      <w:r>
        <w:rPr/>
        <w:t>（以下简称</w:t>
      </w:r>
      <w:r>
        <w:rPr>
          <w:rFonts w:ascii="Times New Roman" w:hAnsi="Times New Roman" w:cs="Times New Roman" w:eastAsia="Times New Roman" w:hint="default"/>
        </w:rPr>
        <w:t>“</w:t>
      </w:r>
      <w:r>
        <w:rPr/>
        <w:t>方欣科技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股权并募集配套资金，截至本财务报表签发日该事项尚在进行中。</w:t>
      </w:r>
    </w:p>
    <w:p>
      <w:pPr>
        <w:pStyle w:val="BodyText"/>
        <w:spacing w:line="302" w:lineRule="auto" w:before="101"/>
        <w:ind w:left="153" w:right="1153" w:firstLine="360"/>
        <w:jc w:val="left"/>
      </w:pPr>
      <w:r>
        <w:rPr/>
        <w:t>（</w:t>
      </w:r>
      <w:r>
        <w:rPr>
          <w:rFonts w:ascii="Times New Roman" w:hAnsi="Times New Roman" w:cs="Times New Roman" w:eastAsia="Times New Roman" w:hint="default"/>
        </w:rPr>
        <w:t>2</w:t>
      </w:r>
      <w:r>
        <w:rPr/>
        <w:t>）经公司总经理办公会审议，同意本公司将持有的长春丰东</w:t>
      </w:r>
      <w:r>
        <w:rPr>
          <w:rFonts w:ascii="Times New Roman" w:hAnsi="Times New Roman" w:cs="Times New Roman" w:eastAsia="Times New Roman" w:hint="default"/>
        </w:rPr>
        <w:t>65%</w:t>
      </w:r>
      <w:r>
        <w:rPr/>
        <w:t>的股权转让给自然人闫立群。</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日，长春 丰东已完成股权转让的工商变更登记，本公司不再持有长春丰东任何股份。</w:t>
      </w:r>
    </w:p>
    <w:p>
      <w:pPr>
        <w:pStyle w:val="BodyText"/>
        <w:spacing w:line="302" w:lineRule="auto" w:before="69"/>
        <w:ind w:left="153" w:right="1116" w:firstLine="360"/>
        <w:jc w:val="left"/>
      </w:pPr>
      <w:r>
        <w:rPr/>
        <w:t>（</w:t>
      </w:r>
      <w:r>
        <w:rPr>
          <w:rFonts w:ascii="Times New Roman" w:hAnsi="Times New Roman" w:cs="Times New Roman" w:eastAsia="Times New Roman" w:hint="default"/>
        </w:rPr>
        <w:t>3</w:t>
      </w:r>
      <w:r>
        <w:rPr/>
        <w:t>）除上述事项外，截至本财务报表签发日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，本公司未发生其他影响本财务报表阅读和理解的重大资 产负债表日后事项。</w:t>
      </w:r>
    </w:p>
    <w:p>
      <w:pPr>
        <w:spacing w:line="240" w:lineRule="auto" w:before="5"/>
        <w:rPr>
          <w:rFonts w:ascii="宋体" w:hAnsi="宋体" w:cs="宋体" w:eastAsia="宋体" w:hint="default"/>
          <w:sz w:val="21"/>
          <w:szCs w:val="21"/>
        </w:rPr>
      </w:pPr>
    </w:p>
    <w:p>
      <w:pPr>
        <w:pStyle w:val="Heading2"/>
        <w:spacing w:line="240" w:lineRule="auto"/>
        <w:ind w:left="0" w:right="8449"/>
        <w:jc w:val="center"/>
        <w:rPr>
          <w:b w:val="0"/>
          <w:bCs w:val="0"/>
        </w:rPr>
      </w:pPr>
      <w:bookmarkStart w:name="十五、其他重要事项" w:id="350"/>
      <w:bookmarkEnd w:id="350"/>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351"/>
      <w:bookmarkEnd w:id="35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债务重组" w:id="352"/>
      <w:bookmarkEnd w:id="35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353"/>
      <w:bookmarkEnd w:id="35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354"/>
      <w:bookmarkEnd w:id="35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355"/>
      <w:bookmarkEnd w:id="35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356"/>
      <w:bookmarkEnd w:id="356"/>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57"/>
      <w:bookmarkEnd w:id="35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本公司根据产品所属的细分行业，以内部组织结构、管理要求、内部报告制度为依据确定经营分部，以经营分部为基础</w:t>
      </w:r>
      <w:r>
        <w:rPr/>
        <w:t> 确定报告分部。经营分部，是指公司内同时满足下列条件的组成部分：</w:t>
      </w:r>
    </w:p>
    <w:p>
      <w:pPr>
        <w:pStyle w:val="BodyText"/>
        <w:spacing w:line="343" w:lineRule="auto" w:before="56"/>
        <w:ind w:right="2293"/>
        <w:jc w:val="left"/>
      </w:pPr>
      <w:r>
        <w:rPr>
          <w:rFonts w:ascii="Times New Roman" w:hAnsi="Times New Roman" w:cs="Times New Roman" w:eastAsia="Times New Roman" w:hint="default"/>
        </w:rPr>
        <w:t>a.</w:t>
      </w:r>
      <w:r>
        <w:rPr/>
        <w:t>该组成部分能够在日常活动中产生收入、发生费用； </w:t>
      </w:r>
      <w:r>
        <w:rPr>
          <w:rFonts w:ascii="Times New Roman" w:hAnsi="Times New Roman" w:cs="Times New Roman" w:eastAsia="Times New Roman" w:hint="default"/>
        </w:rPr>
        <w:t>b.</w:t>
      </w:r>
      <w:r>
        <w:rPr/>
        <w:t>公司管理层能够定期评价该组成部分的经营成果，以决定向其配置资源、评价其业绩； </w:t>
      </w:r>
      <w:r>
        <w:rPr>
          <w:rFonts w:ascii="Times New Roman" w:hAnsi="Times New Roman" w:cs="Times New Roman" w:eastAsia="Times New Roman" w:hint="default"/>
        </w:rPr>
        <w:t>c.</w:t>
      </w:r>
      <w:r>
        <w:rPr/>
        <w:t>公司能够取得该组成部分的财务状况、经营成果和现金流量等有关会计信息。 如果两个或多个分部存在相似经济特征且同时在以下方面具有相同或相似性的，可以合并为一个分部： </w:t>
      </w:r>
      <w:r>
        <w:rPr>
          <w:rFonts w:ascii="Times New Roman" w:hAnsi="Times New Roman" w:cs="Times New Roman" w:eastAsia="Times New Roman" w:hint="default"/>
        </w:rPr>
        <w:t>a.</w:t>
      </w:r>
      <w:r>
        <w:rPr/>
        <w:t>各单项产品或劳务的性质</w:t>
      </w:r>
    </w:p>
    <w:p>
      <w:pPr>
        <w:pStyle w:val="BodyText"/>
        <w:spacing w:line="338" w:lineRule="auto" w:before="16"/>
        <w:ind w:left="514" w:right="8097"/>
        <w:jc w:val="left"/>
      </w:pPr>
      <w:r>
        <w:rPr>
          <w:rFonts w:ascii="Times New Roman" w:hAnsi="Times New Roman" w:cs="Times New Roman" w:eastAsia="Times New Roman" w:hint="default"/>
        </w:rPr>
        <w:t>b.</w:t>
      </w:r>
      <w:r>
        <w:rPr/>
        <w:t>生产过程的性质 </w:t>
      </w:r>
      <w:r>
        <w:rPr>
          <w:rFonts w:ascii="Times New Roman" w:hAnsi="Times New Roman" w:cs="Times New Roman" w:eastAsia="Times New Roman" w:hint="default"/>
        </w:rPr>
        <w:t>c.</w:t>
      </w:r>
      <w:r>
        <w:rPr/>
        <w:t>产品或劳务的客户类型 </w:t>
      </w:r>
      <w:r>
        <w:rPr>
          <w:rFonts w:ascii="Times New Roman" w:hAnsi="Times New Roman" w:cs="Times New Roman" w:eastAsia="Times New Roman" w:hint="default"/>
        </w:rPr>
        <w:t>d.</w:t>
      </w:r>
      <w:r>
        <w:rPr/>
        <w:t>销售产品或提供劳务的方式</w:t>
      </w:r>
    </w:p>
    <w:p>
      <w:pPr>
        <w:pStyle w:val="BodyText"/>
        <w:spacing w:line="240" w:lineRule="auto" w:before="20"/>
        <w:ind w:left="514" w:right="0"/>
        <w:jc w:val="left"/>
      </w:pPr>
      <w:r>
        <w:rPr>
          <w:rFonts w:ascii="Times New Roman" w:hAnsi="Times New Roman" w:cs="Times New Roman" w:eastAsia="Times New Roman" w:hint="default"/>
        </w:rPr>
        <w:t>e.</w:t>
      </w:r>
      <w:r>
        <w:rPr/>
        <w:t>生产产品及提供劳务受法律、行政法规的影响</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报告分部的财务信息" w:id="358"/>
      <w:bookmarkEnd w:id="35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22" w:right="0"/>
              <w:jc w:val="left"/>
              <w:rPr>
                <w:rFonts w:ascii="宋体" w:hAnsi="宋体" w:cs="宋体" w:eastAsia="宋体" w:hint="default"/>
                <w:sz w:val="18"/>
                <w:szCs w:val="18"/>
              </w:rPr>
            </w:pPr>
            <w:r>
              <w:rPr>
                <w:rFonts w:ascii="宋体" w:hAnsi="宋体" w:cs="宋体" w:eastAsia="宋体" w:hint="default"/>
                <w:sz w:val="18"/>
                <w:szCs w:val="18"/>
              </w:rPr>
              <w:t>设备业务分部</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加工业务分部</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368,712,937.52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132,429,873.70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5" w:right="0"/>
              <w:jc w:val="left"/>
              <w:rPr>
                <w:rFonts w:ascii="Times New Roman" w:hAnsi="Times New Roman" w:cs="Times New Roman" w:eastAsia="Times New Roman" w:hint="default"/>
                <w:sz w:val="18"/>
                <w:szCs w:val="18"/>
              </w:rPr>
            </w:pPr>
            <w:r>
              <w:rPr>
                <w:rFonts w:ascii="Times New Roman"/>
                <w:sz w:val="18"/>
              </w:rPr>
              <w:t>-66,333,689.34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434,809,121.88</w:t>
            </w:r>
          </w:p>
        </w:tc>
      </w:tr>
    </w:tbl>
    <w:p>
      <w:pPr>
        <w:spacing w:after="0" w:line="240" w:lineRule="auto"/>
        <w:jc w:val="lef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275,051,895.60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94,408,441.84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-63,527,171.08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305,933,166.36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73,239,522.32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19,263,433.15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92,502,955.47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35,392,204.80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14,499,156.64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-16,050,325.29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33,841,036.15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1,044,839,013.74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234,556,023.34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-279,767,009.26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999,628,027.82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241,639,085.67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46,997,705.52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-53,555,158.77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235,081,632.42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803,199,928.07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187,558,317.82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-294,384,114.25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696,374,131.64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7、其他对投资者决策有影响的重要交易和事项" w:id="359"/>
      <w:bookmarkEnd w:id="35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其他" w:id="360"/>
      <w:bookmarkEnd w:id="360"/>
      <w:r>
        <w:rPr>
          <w:b w:val="0"/>
          <w:bCs w:val="0"/>
        </w:rPr>
      </w:r>
      <w:r>
        <w:rPr>
          <w:rFonts w:ascii="Times New Roman" w:hAnsi="Times New Roman" w:cs="Times New Roman" w:eastAsia="Times New Roman" w:hint="default"/>
        </w:rPr>
        <w:t>8</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六、母公司财务报表主要项目注释" w:id="361"/>
      <w:bookmarkEnd w:id="361"/>
      <w:r>
        <w:rPr>
          <w:b w:val="0"/>
          <w:bCs w:val="0"/>
        </w:rPr>
      </w:r>
      <w:r>
        <w:rPr/>
        <w:t>十六、母公司财务报表主要项目注释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62"/>
      <w:bookmarkEnd w:id="36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63"/>
      <w:bookmarkEnd w:id="36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25"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30"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5"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20"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58"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8"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0"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1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52" w:space="0" w:color="D2D2D2"/>
              <w:left w:val="single" w:sz="13" w:space="0" w:color="D2D2D2"/>
              <w:bottom w:val="single" w:sz="4" w:space="0" w:color="000000"/>
              <w:right w:val="single" w:sz="4" w:space="0" w:color="000000"/>
            </w:tcBorders>
          </w:tcPr>
          <w:p>
            <w:pPr>
              <w:pStyle w:val="TableParagraph"/>
              <w:spacing w:line="240" w:lineRule="auto" w:before="123"/>
              <w:ind w:left="99" w:right="0"/>
              <w:jc w:val="left"/>
              <w:rPr>
                <w:rFonts w:ascii="Times New Roman" w:hAnsi="Times New Roman" w:cs="Times New Roman" w:eastAsia="Times New Roman" w:hint="default"/>
                <w:sz w:val="18"/>
                <w:szCs w:val="18"/>
              </w:rPr>
            </w:pPr>
            <w:r>
              <w:rPr>
                <w:rFonts w:ascii="Times New Roman"/>
                <w:sz w:val="18"/>
              </w:rPr>
              <w:t>92,374,3</w:t>
            </w:r>
          </w:p>
          <w:p>
            <w:pPr>
              <w:pStyle w:val="TableParagraph"/>
              <w:spacing w:line="240" w:lineRule="auto" w:before="33"/>
              <w:ind w:left="325" w:right="0"/>
              <w:jc w:val="left"/>
              <w:rPr>
                <w:rFonts w:ascii="Times New Roman" w:hAnsi="Times New Roman" w:cs="Times New Roman" w:eastAsia="Times New Roman" w:hint="default"/>
                <w:sz w:val="18"/>
                <w:szCs w:val="18"/>
              </w:rPr>
            </w:pPr>
            <w:r>
              <w:rPr>
                <w:rFonts w:ascii="Times New Roman"/>
                <w:sz w:val="18"/>
              </w:rPr>
              <w:t>69.64</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98.44%</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6,804,90</w:t>
            </w:r>
          </w:p>
          <w:p>
            <w:pPr>
              <w:pStyle w:val="TableParagraph"/>
              <w:spacing w:line="240" w:lineRule="auto" w:before="33"/>
              <w:ind w:left="413" w:right="0"/>
              <w:jc w:val="left"/>
              <w:rPr>
                <w:rFonts w:ascii="Times New Roman" w:hAnsi="Times New Roman" w:cs="Times New Roman" w:eastAsia="Times New Roman" w:hint="default"/>
                <w:sz w:val="18"/>
                <w:szCs w:val="18"/>
              </w:rPr>
            </w:pPr>
            <w:r>
              <w:rPr>
                <w:rFonts w:ascii="Times New Roman"/>
                <w:sz w:val="18"/>
              </w:rPr>
              <w:t>0.72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85,569,46</w:t>
            </w:r>
          </w:p>
          <w:p>
            <w:pPr>
              <w:pStyle w:val="TableParagraph"/>
              <w:spacing w:line="240" w:lineRule="auto" w:before="33"/>
              <w:ind w:left="442" w:right="0"/>
              <w:jc w:val="left"/>
              <w:rPr>
                <w:rFonts w:ascii="Times New Roman" w:hAnsi="Times New Roman" w:cs="Times New Roman" w:eastAsia="Times New Roman" w:hint="default"/>
                <w:sz w:val="18"/>
                <w:szCs w:val="18"/>
              </w:rPr>
            </w:pPr>
            <w:r>
              <w:rPr>
                <w:rFonts w:ascii="Times New Roman"/>
                <w:sz w:val="18"/>
              </w:rPr>
              <w:t>8.92</w:t>
            </w:r>
          </w:p>
        </w:tc>
        <w:tc>
          <w:tcPr>
            <w:tcW w:w="654"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3"/>
              <w:ind w:left="80" w:right="0"/>
              <w:jc w:val="left"/>
              <w:rPr>
                <w:rFonts w:ascii="Times New Roman" w:hAnsi="Times New Roman" w:cs="Times New Roman" w:eastAsia="Times New Roman" w:hint="default"/>
                <w:sz w:val="18"/>
                <w:szCs w:val="18"/>
              </w:rPr>
            </w:pPr>
            <w:r>
              <w:rPr>
                <w:rFonts w:ascii="Times New Roman"/>
                <w:sz w:val="18"/>
              </w:rPr>
              <w:t>92,386,</w:t>
            </w:r>
          </w:p>
          <w:p>
            <w:pPr>
              <w:pStyle w:val="TableParagraph"/>
              <w:spacing w:line="240" w:lineRule="auto" w:before="33"/>
              <w:ind w:left="125" w:right="0"/>
              <w:jc w:val="left"/>
              <w:rPr>
                <w:rFonts w:ascii="Times New Roman" w:hAnsi="Times New Roman" w:cs="Times New Roman" w:eastAsia="Times New Roman" w:hint="default"/>
                <w:sz w:val="18"/>
                <w:szCs w:val="18"/>
              </w:rPr>
            </w:pPr>
            <w:r>
              <w:rPr>
                <w:rFonts w:ascii="Times New Roman"/>
                <w:sz w:val="18"/>
              </w:rPr>
              <w:t>659.17</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98.44%</w:t>
            </w:r>
          </w:p>
        </w:tc>
        <w:tc>
          <w:tcPr>
            <w:tcW w:w="813"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6,148,492</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86,238,167.</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10</w:t>
            </w:r>
          </w:p>
        </w:tc>
      </w:tr>
      <w:tr>
        <w:trPr>
          <w:trHeight w:val="81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1,466,28</w:t>
            </w:r>
          </w:p>
          <w:p>
            <w:pPr>
              <w:pStyle w:val="TableParagraph"/>
              <w:spacing w:line="240" w:lineRule="auto" w:before="33"/>
              <w:ind w:left="415"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1,466,28</w:t>
            </w:r>
          </w:p>
          <w:p>
            <w:pPr>
              <w:pStyle w:val="TableParagraph"/>
              <w:spacing w:line="240" w:lineRule="auto" w:before="33"/>
              <w:ind w:left="413"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1,464,9</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89.75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1,464,989</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63"/>
              <w:ind w:left="99" w:right="0"/>
              <w:jc w:val="left"/>
              <w:rPr>
                <w:rFonts w:ascii="Times New Roman" w:hAnsi="Times New Roman" w:cs="Times New Roman" w:eastAsia="Times New Roman" w:hint="default"/>
                <w:sz w:val="18"/>
                <w:szCs w:val="18"/>
              </w:rPr>
            </w:pPr>
            <w:r>
              <w:rPr>
                <w:rFonts w:ascii="Times New Roman"/>
                <w:sz w:val="18"/>
              </w:rPr>
              <w:t>93,840,6</w:t>
            </w:r>
          </w:p>
          <w:p>
            <w:pPr>
              <w:pStyle w:val="TableParagraph"/>
              <w:spacing w:line="240" w:lineRule="auto" w:before="33"/>
              <w:ind w:left="325" w:right="0"/>
              <w:jc w:val="left"/>
              <w:rPr>
                <w:rFonts w:ascii="Times New Roman" w:hAnsi="Times New Roman" w:cs="Times New Roman" w:eastAsia="Times New Roman" w:hint="default"/>
                <w:sz w:val="18"/>
                <w:szCs w:val="18"/>
              </w:rPr>
            </w:pPr>
            <w:r>
              <w:rPr>
                <w:rFonts w:ascii="Times New Roman"/>
                <w:sz w:val="18"/>
              </w:rPr>
              <w:t>59.39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8,271,19</w:t>
            </w:r>
          </w:p>
          <w:p>
            <w:pPr>
              <w:pStyle w:val="TableParagraph"/>
              <w:spacing w:line="240" w:lineRule="auto" w:before="33"/>
              <w:ind w:left="413" w:right="0"/>
              <w:jc w:val="left"/>
              <w:rPr>
                <w:rFonts w:ascii="Times New Roman" w:hAnsi="Times New Roman" w:cs="Times New Roman" w:eastAsia="Times New Roman" w:hint="default"/>
                <w:sz w:val="18"/>
                <w:szCs w:val="18"/>
              </w:rPr>
            </w:pPr>
            <w:r>
              <w:rPr>
                <w:rFonts w:ascii="Times New Roman"/>
                <w:sz w:val="18"/>
              </w:rPr>
              <w:t>0.47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3"/>
              <w:ind w:left="37" w:right="0"/>
              <w:jc w:val="left"/>
              <w:rPr>
                <w:rFonts w:ascii="Times New Roman" w:hAnsi="Times New Roman" w:cs="Times New Roman" w:eastAsia="Times New Roman" w:hint="default"/>
                <w:sz w:val="18"/>
                <w:szCs w:val="18"/>
              </w:rPr>
            </w:pPr>
            <w:r>
              <w:rPr>
                <w:rFonts w:ascii="Times New Roman"/>
                <w:sz w:val="18"/>
              </w:rPr>
              <w:t>85,569,46</w:t>
            </w:r>
          </w:p>
          <w:p>
            <w:pPr>
              <w:pStyle w:val="TableParagraph"/>
              <w:spacing w:line="240" w:lineRule="auto" w:before="33"/>
              <w:ind w:left="442" w:right="0"/>
              <w:jc w:val="left"/>
              <w:rPr>
                <w:rFonts w:ascii="Times New Roman" w:hAnsi="Times New Roman" w:cs="Times New Roman" w:eastAsia="Times New Roman" w:hint="default"/>
                <w:sz w:val="18"/>
                <w:szCs w:val="18"/>
              </w:rPr>
            </w:pPr>
            <w:r>
              <w:rPr>
                <w:rFonts w:ascii="Times New Roman"/>
                <w:sz w:val="18"/>
              </w:rPr>
              <w:t>8.92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80" w:right="0"/>
              <w:jc w:val="left"/>
              <w:rPr>
                <w:rFonts w:ascii="Times New Roman" w:hAnsi="Times New Roman" w:cs="Times New Roman" w:eastAsia="Times New Roman" w:hint="default"/>
                <w:sz w:val="18"/>
                <w:szCs w:val="18"/>
              </w:rPr>
            </w:pPr>
            <w:r>
              <w:rPr>
                <w:rFonts w:ascii="Times New Roman"/>
                <w:sz w:val="18"/>
              </w:rPr>
              <w:t>93,851,</w:t>
            </w:r>
          </w:p>
          <w:p>
            <w:pPr>
              <w:pStyle w:val="TableParagraph"/>
              <w:spacing w:line="240" w:lineRule="auto" w:before="33"/>
              <w:ind w:left="125" w:right="0"/>
              <w:jc w:val="left"/>
              <w:rPr>
                <w:rFonts w:ascii="Times New Roman" w:hAnsi="Times New Roman" w:cs="Times New Roman" w:eastAsia="Times New Roman" w:hint="default"/>
                <w:sz w:val="18"/>
                <w:szCs w:val="18"/>
              </w:rPr>
            </w:pPr>
            <w:r>
              <w:rPr>
                <w:rFonts w:ascii="Times New Roman"/>
                <w:sz w:val="18"/>
              </w:rPr>
              <w:t>648.92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7,613,481</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8.11%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86,238,167.</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10</w:t>
            </w:r>
          </w:p>
        </w:tc>
      </w:tr>
      <w:tr>
        <w:trPr>
          <w:trHeight w:val="445"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pStyle w:val="BodyText"/>
        <w:spacing w:line="240" w:lineRule="auto" w:before="51"/>
        <w:ind w:left="51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0" w:bottom="280" w:left="980" w:right="0"/>
          <w:cols w:num="2" w:equalWidth="0">
            <w:col w:w="4655" w:space="3815"/>
            <w:col w:w="246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65"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7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41,333,136.74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206,665.68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0.50%</w:t>
            </w:r>
          </w:p>
        </w:tc>
      </w:tr>
      <w:tr>
        <w:trPr>
          <w:trHeight w:val="370"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13,166,168.89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658,308.44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5.00%</w:t>
            </w:r>
          </w:p>
        </w:tc>
      </w:tr>
      <w:tr>
        <w:trPr>
          <w:trHeight w:val="37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8,682,615.17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868,261.52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37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7,240,786.76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2,172,236.03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30.00%</w:t>
            </w:r>
          </w:p>
        </w:tc>
      </w:tr>
      <w:tr>
        <w:trPr>
          <w:trHeight w:val="37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1,223,570.03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611,785.02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50.00%</w:t>
            </w:r>
          </w:p>
        </w:tc>
      </w:tr>
      <w:tr>
        <w:trPr>
          <w:trHeight w:val="37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2,287,644.03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2,287,644.03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7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73,933,921.62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6,804,900.72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9.20%</w:t>
            </w:r>
          </w:p>
        </w:tc>
      </w:tr>
    </w:tbl>
    <w:p>
      <w:pPr>
        <w:pStyle w:val="BodyText"/>
        <w:spacing w:line="357" w:lineRule="auto" w:before="51"/>
        <w:ind w:left="514" w:right="6072"/>
        <w:jc w:val="left"/>
      </w:pPr>
      <w:r>
        <w:rPr/>
        <w:t>确定该组合依据的说明： 组合中，采用余额百分比法计提坏账准备的应收账款：</w:t>
      </w:r>
    </w:p>
    <w:p>
      <w:pPr>
        <w:pStyle w:val="BodyText"/>
        <w:spacing w:line="348" w:lineRule="auto" w:before="29"/>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关联方、押金备用金的组合</w:t>
      </w:r>
    </w:p>
    <w:tbl>
      <w:tblPr>
        <w:tblW w:w="0" w:type="auto"/>
        <w:jc w:val="left"/>
        <w:tblInd w:w="228" w:type="dxa"/>
        <w:tblLayout w:type="fixed"/>
        <w:tblCellMar>
          <w:top w:w="0" w:type="dxa"/>
          <w:left w:w="0" w:type="dxa"/>
          <w:bottom w:w="0" w:type="dxa"/>
          <w:right w:w="0" w:type="dxa"/>
        </w:tblCellMar>
        <w:tblLook w:val="01E0"/>
      </w:tblPr>
      <w:tblGrid>
        <w:gridCol w:w="4033"/>
        <w:gridCol w:w="1559"/>
        <w:gridCol w:w="1419"/>
        <w:gridCol w:w="1276"/>
        <w:gridCol w:w="1195"/>
      </w:tblGrid>
      <w:tr>
        <w:trPr>
          <w:trHeight w:val="326" w:hRule="exact"/>
        </w:trPr>
        <w:tc>
          <w:tcPr>
            <w:tcW w:w="40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left="143" w:right="0"/>
              <w:jc w:val="left"/>
              <w:rPr>
                <w:rFonts w:ascii="宋体" w:hAnsi="宋体" w:cs="宋体" w:eastAsia="宋体" w:hint="default"/>
                <w:sz w:val="18"/>
                <w:szCs w:val="18"/>
              </w:rPr>
            </w:pPr>
            <w:r>
              <w:rPr>
                <w:rFonts w:ascii="宋体" w:hAnsi="宋体" w:cs="宋体" w:eastAsia="宋体" w:hint="default"/>
                <w:sz w:val="18"/>
                <w:szCs w:val="18"/>
              </w:rPr>
              <w:t>账面余额（元）</w:t>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1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709,022.62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1,034,415.53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1,456,672.48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合营公司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901,023.26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1,688,780.61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3,211,212.88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2,535,193.27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255,803.99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4,606,459.66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21,529.00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809,980.05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合营公司</w:t>
            </w:r>
          </w:p>
        </w:tc>
      </w:tr>
      <w:tr>
        <w:trPr>
          <w:trHeight w:val="3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1,210,354.67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18,440,448.02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364"/>
      <w:bookmarkEnd w:id="36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本期计提坏账准备金额</w:t>
      </w:r>
      <w:r>
        <w:rPr>
          <w:spacing w:val="-46"/>
        </w:rPr>
        <w:t> </w:t>
      </w:r>
      <w:r>
        <w:rPr>
          <w:rFonts w:ascii="Times New Roman" w:hAnsi="Times New Roman" w:cs="Times New Roman" w:eastAsia="Times New Roman" w:hint="default"/>
        </w:rPr>
        <w:t>657,708.65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365"/>
      <w:bookmarkEnd w:id="36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本期实际核销的应收账款金额为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按欠款方归集的期末余额前五名的应收账款情况" w:id="366"/>
      <w:bookmarkEnd w:id="36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267" w:type="dxa"/>
        <w:tblLayout w:type="fixed"/>
        <w:tblCellMar>
          <w:top w:w="0" w:type="dxa"/>
          <w:left w:w="0" w:type="dxa"/>
          <w:bottom w:w="0" w:type="dxa"/>
          <w:right w:w="0" w:type="dxa"/>
        </w:tblCellMar>
        <w:tblLook w:val="01E0"/>
      </w:tblPr>
      <w:tblGrid>
        <w:gridCol w:w="2321"/>
        <w:gridCol w:w="1700"/>
        <w:gridCol w:w="1700"/>
        <w:gridCol w:w="1701"/>
        <w:gridCol w:w="1980"/>
      </w:tblGrid>
      <w:tr>
        <w:trPr>
          <w:trHeight w:val="341" w:hRule="exact"/>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73"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4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6,721,092.46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7.16%</w:t>
            </w:r>
          </w:p>
        </w:tc>
      </w:tr>
      <w:tr>
        <w:trPr>
          <w:trHeight w:val="34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4,606,459.66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4.91%</w:t>
            </w:r>
          </w:p>
        </w:tc>
      </w:tr>
      <w:tr>
        <w:trPr>
          <w:trHeight w:val="34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4,423,180.00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4.71%</w:t>
            </w:r>
          </w:p>
        </w:tc>
      </w:tr>
      <w:tr>
        <w:trPr>
          <w:trHeight w:val="34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3,803,759.00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4.05%</w:t>
            </w:r>
          </w:p>
        </w:tc>
      </w:tr>
      <w:tr>
        <w:trPr>
          <w:trHeight w:val="34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3,211,212.88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3.42%</w:t>
            </w:r>
          </w:p>
        </w:tc>
      </w:tr>
    </w:tbl>
    <w:p>
      <w:pPr>
        <w:spacing w:after="0" w:line="240" w:lineRule="auto"/>
        <w:jc w:val="righ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left"/>
        <w:rPr>
          <w:b w:val="0"/>
          <w:bCs w:val="0"/>
        </w:rPr>
      </w:pPr>
      <w:bookmarkStart w:name="2、其他应收款" w:id="367"/>
      <w:bookmarkEnd w:id="36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68"/>
      <w:bookmarkEnd w:id="36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33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5"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5"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20"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57"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7"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9"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10"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52" w:space="0" w:color="D2D2D2"/>
              <w:left w:val="single" w:sz="13" w:space="0" w:color="D2D2D2"/>
              <w:bottom w:val="single" w:sz="4" w:space="0" w:color="000000"/>
              <w:right w:val="single" w:sz="4" w:space="0" w:color="000000"/>
            </w:tcBorders>
          </w:tcPr>
          <w:p>
            <w:pPr>
              <w:pStyle w:val="TableParagraph"/>
              <w:spacing w:line="240" w:lineRule="auto" w:before="124"/>
              <w:ind w:left="106" w:right="0"/>
              <w:jc w:val="left"/>
              <w:rPr>
                <w:rFonts w:ascii="Times New Roman" w:hAnsi="Times New Roman" w:cs="Times New Roman" w:eastAsia="Times New Roman" w:hint="default"/>
                <w:sz w:val="18"/>
                <w:szCs w:val="18"/>
              </w:rPr>
            </w:pPr>
            <w:r>
              <w:rPr>
                <w:rFonts w:ascii="Times New Roman"/>
                <w:sz w:val="18"/>
              </w:rPr>
              <w:t>11,093,5</w:t>
            </w:r>
          </w:p>
          <w:p>
            <w:pPr>
              <w:pStyle w:val="TableParagraph"/>
              <w:spacing w:line="240" w:lineRule="auto" w:before="33"/>
              <w:ind w:left="325" w:right="0"/>
              <w:jc w:val="left"/>
              <w:rPr>
                <w:rFonts w:ascii="Times New Roman" w:hAnsi="Times New Roman" w:cs="Times New Roman" w:eastAsia="Times New Roman" w:hint="default"/>
                <w:sz w:val="18"/>
                <w:szCs w:val="18"/>
              </w:rPr>
            </w:pPr>
            <w:r>
              <w:rPr>
                <w:rFonts w:ascii="Times New Roman"/>
                <w:sz w:val="18"/>
              </w:rPr>
              <w:t>18.72</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98.31%</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2,798.81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11,090,71</w:t>
            </w:r>
          </w:p>
          <w:p>
            <w:pPr>
              <w:pStyle w:val="TableParagraph"/>
              <w:spacing w:line="240" w:lineRule="auto" w:before="33"/>
              <w:ind w:left="442" w:right="0"/>
              <w:jc w:val="left"/>
              <w:rPr>
                <w:rFonts w:ascii="Times New Roman" w:hAnsi="Times New Roman" w:cs="Times New Roman" w:eastAsia="Times New Roman" w:hint="default"/>
                <w:sz w:val="18"/>
                <w:szCs w:val="18"/>
              </w:rPr>
            </w:pPr>
            <w:r>
              <w:rPr>
                <w:rFonts w:ascii="Times New Roman"/>
                <w:sz w:val="18"/>
              </w:rPr>
              <w:t>9.91</w:t>
            </w:r>
          </w:p>
        </w:tc>
        <w:tc>
          <w:tcPr>
            <w:tcW w:w="654"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4"/>
              <w:ind w:left="57" w:right="0"/>
              <w:jc w:val="center"/>
              <w:rPr>
                <w:rFonts w:ascii="Times New Roman" w:hAnsi="Times New Roman" w:cs="Times New Roman" w:eastAsia="Times New Roman" w:hint="default"/>
                <w:sz w:val="18"/>
                <w:szCs w:val="18"/>
              </w:rPr>
            </w:pPr>
            <w:r>
              <w:rPr>
                <w:rFonts w:ascii="Times New Roman"/>
                <w:sz w:val="18"/>
              </w:rPr>
              <w:t>9,752,0</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76.71</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99.38%</w:t>
            </w:r>
          </w:p>
        </w:tc>
        <w:tc>
          <w:tcPr>
            <w:tcW w:w="813"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12,982.38</w:t>
            </w:r>
          </w:p>
        </w:tc>
        <w:tc>
          <w:tcPr>
            <w:tcW w:w="93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9,739,094.3</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3</w:t>
            </w:r>
          </w:p>
        </w:tc>
      </w:tr>
      <w:tr>
        <w:trPr>
          <w:trHeight w:val="810"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190,617.</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190,617.</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60,794.</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60,794.10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6"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64"/>
              <w:ind w:left="106" w:right="0"/>
              <w:jc w:val="left"/>
              <w:rPr>
                <w:rFonts w:ascii="Times New Roman" w:hAnsi="Times New Roman" w:cs="Times New Roman" w:eastAsia="Times New Roman" w:hint="default"/>
                <w:sz w:val="18"/>
                <w:szCs w:val="18"/>
              </w:rPr>
            </w:pPr>
            <w:r>
              <w:rPr>
                <w:rFonts w:ascii="Times New Roman"/>
                <w:sz w:val="18"/>
              </w:rPr>
              <w:t>11,284,1</w:t>
            </w:r>
          </w:p>
          <w:p>
            <w:pPr>
              <w:pStyle w:val="TableParagraph"/>
              <w:spacing w:line="240" w:lineRule="auto" w:before="33"/>
              <w:ind w:left="325" w:right="0"/>
              <w:jc w:val="left"/>
              <w:rPr>
                <w:rFonts w:ascii="Times New Roman" w:hAnsi="Times New Roman" w:cs="Times New Roman" w:eastAsia="Times New Roman" w:hint="default"/>
                <w:sz w:val="18"/>
                <w:szCs w:val="18"/>
              </w:rPr>
            </w:pPr>
            <w:r>
              <w:rPr>
                <w:rFonts w:ascii="Times New Roman"/>
                <w:sz w:val="18"/>
              </w:rPr>
              <w:t>36.60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z w:val="18"/>
              </w:rPr>
              <w:t>193,416.</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1.71%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11,090,71</w:t>
            </w:r>
          </w:p>
          <w:p>
            <w:pPr>
              <w:pStyle w:val="TableParagraph"/>
              <w:spacing w:line="240" w:lineRule="auto" w:before="33"/>
              <w:ind w:left="442" w:right="0"/>
              <w:jc w:val="left"/>
              <w:rPr>
                <w:rFonts w:ascii="Times New Roman" w:hAnsi="Times New Roman" w:cs="Times New Roman" w:eastAsia="Times New Roman" w:hint="default"/>
                <w:sz w:val="18"/>
                <w:szCs w:val="18"/>
              </w:rPr>
            </w:pPr>
            <w:r>
              <w:rPr>
                <w:rFonts w:ascii="Times New Roman"/>
                <w:sz w:val="18"/>
              </w:rPr>
              <w:t>9.91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4"/>
              <w:ind w:left="57" w:right="0"/>
              <w:jc w:val="center"/>
              <w:rPr>
                <w:rFonts w:ascii="Times New Roman" w:hAnsi="Times New Roman" w:cs="Times New Roman" w:eastAsia="Times New Roman" w:hint="default"/>
                <w:sz w:val="18"/>
                <w:szCs w:val="18"/>
              </w:rPr>
            </w:pPr>
            <w:r>
              <w:rPr>
                <w:rFonts w:ascii="Times New Roman"/>
                <w:sz w:val="18"/>
              </w:rPr>
              <w:t>9,812,8</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70.81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73,776.48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9,739,094.3</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3</w:t>
            </w:r>
          </w:p>
        </w:tc>
      </w:tr>
      <w:tr>
        <w:trPr>
          <w:trHeight w:val="445"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768" w:footer="979" w:top="1100" w:bottom="1160" w:left="980" w:right="0"/>
        </w:sectPr>
      </w:pPr>
    </w:p>
    <w:p>
      <w:pPr>
        <w:pStyle w:val="BodyText"/>
        <w:spacing w:line="240" w:lineRule="auto" w:before="44"/>
        <w:ind w:left="514" w:right="-20"/>
        <w:jc w:val="left"/>
      </w:pPr>
      <w:r>
        <w:rPr/>
        <w:t>期末单项金额重大并单项计提坏账准备的其他应收款：</w:t>
      </w:r>
    </w:p>
    <w:p>
      <w:pPr>
        <w:pStyle w:val="BodyText"/>
        <w:spacing w:line="338"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0" w:bottom="280" w:left="980" w:right="0"/>
          <w:cols w:num="2" w:equalWidth="0">
            <w:col w:w="4835" w:space="3635"/>
            <w:col w:w="246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27,988.10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2,798.81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27,988.10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2,798.81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line="240" w:lineRule="auto" w:before="9"/>
        <w:rPr>
          <w:rFonts w:ascii="宋体" w:hAnsi="宋体" w:cs="宋体" w:eastAsia="宋体" w:hint="default"/>
          <w:sz w:val="6"/>
          <w:szCs w:val="6"/>
        </w:rPr>
      </w:pPr>
    </w:p>
    <w:p>
      <w:pPr>
        <w:pStyle w:val="BodyText"/>
        <w:spacing w:line="357" w:lineRule="auto" w:before="44"/>
        <w:ind w:left="514" w:right="5892"/>
        <w:jc w:val="left"/>
      </w:pPr>
      <w:r>
        <w:rPr/>
        <w:t>确定该组合依据的说明： 组合中，采用余额百分比法计提坏账准备的其他应收款：</w:t>
      </w:r>
    </w:p>
    <w:p>
      <w:pPr>
        <w:pStyle w:val="BodyText"/>
        <w:spacing w:line="340" w:lineRule="auto" w:before="28"/>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1"/>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0" w:bottom="2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关联方、押金备用金的组合</w:t>
      </w:r>
    </w:p>
    <w:p>
      <w:pPr>
        <w:spacing w:line="240" w:lineRule="auto" w:before="13"/>
        <w:rPr>
          <w:rFonts w:ascii="宋体" w:hAnsi="宋体" w:cs="宋体" w:eastAsia="宋体" w:hint="default"/>
          <w:sz w:val="16"/>
          <w:szCs w:val="16"/>
        </w:rPr>
      </w:pPr>
    </w:p>
    <w:tbl>
      <w:tblPr>
        <w:tblW w:w="0" w:type="auto"/>
        <w:jc w:val="left"/>
        <w:tblInd w:w="248" w:type="dxa"/>
        <w:tblLayout w:type="fixed"/>
        <w:tblCellMar>
          <w:top w:w="0" w:type="dxa"/>
          <w:left w:w="0" w:type="dxa"/>
          <w:bottom w:w="0" w:type="dxa"/>
          <w:right w:w="0" w:type="dxa"/>
        </w:tblCellMar>
        <w:tblLook w:val="01E0"/>
      </w:tblPr>
      <w:tblGrid>
        <w:gridCol w:w="2453"/>
        <w:gridCol w:w="1984"/>
        <w:gridCol w:w="1702"/>
        <w:gridCol w:w="1782"/>
        <w:gridCol w:w="1519"/>
      </w:tblGrid>
      <w:tr>
        <w:trPr>
          <w:trHeight w:val="342" w:hRule="exact"/>
        </w:trPr>
        <w:tc>
          <w:tcPr>
            <w:tcW w:w="24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left="521" w:right="0"/>
              <w:jc w:val="left"/>
              <w:rPr>
                <w:rFonts w:ascii="宋体" w:hAnsi="宋体" w:cs="宋体" w:eastAsia="宋体" w:hint="default"/>
                <w:sz w:val="20"/>
                <w:szCs w:val="20"/>
              </w:rPr>
            </w:pPr>
            <w:r>
              <w:rPr>
                <w:rFonts w:ascii="宋体" w:hAnsi="宋体" w:cs="宋体" w:eastAsia="宋体" w:hint="default"/>
                <w:sz w:val="20"/>
                <w:szCs w:val="20"/>
              </w:rPr>
              <w:t>其他应收款内容</w:t>
            </w:r>
          </w:p>
        </w:tc>
        <w:tc>
          <w:tcPr>
            <w:tcW w:w="19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left="286" w:right="0"/>
              <w:jc w:val="left"/>
              <w:rPr>
                <w:rFonts w:ascii="宋体" w:hAnsi="宋体" w:cs="宋体" w:eastAsia="宋体" w:hint="default"/>
                <w:sz w:val="20"/>
                <w:szCs w:val="20"/>
              </w:rPr>
            </w:pPr>
            <w:r>
              <w:rPr>
                <w:rFonts w:ascii="宋体" w:hAnsi="宋体" w:cs="宋体" w:eastAsia="宋体" w:hint="default"/>
                <w:sz w:val="20"/>
                <w:szCs w:val="20"/>
              </w:rPr>
              <w:t>账面余额（元）</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left="445"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7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计提比例</w:t>
            </w:r>
          </w:p>
        </w:tc>
        <w:tc>
          <w:tcPr>
            <w:tcW w:w="15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left"/>
              <w:rPr>
                <w:rFonts w:ascii="宋体" w:hAnsi="宋体" w:cs="宋体" w:eastAsia="宋体" w:hint="default"/>
                <w:sz w:val="20"/>
                <w:szCs w:val="20"/>
              </w:rPr>
            </w:pPr>
            <w:r>
              <w:rPr>
                <w:rFonts w:ascii="宋体" w:hAnsi="宋体" w:cs="宋体" w:eastAsia="宋体" w:hint="default"/>
                <w:sz w:val="20"/>
                <w:szCs w:val="20"/>
              </w:rPr>
              <w:t>备用金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1,228,161.84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20"/>
                <w:szCs w:val="20"/>
              </w:rPr>
            </w:pPr>
            <w:r>
              <w:rPr>
                <w:rFonts w:ascii="Times New Roman"/>
                <w:sz w:val="20"/>
              </w:rPr>
              <w:t>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员工</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left"/>
              <w:rPr>
                <w:rFonts w:ascii="宋体" w:hAnsi="宋体" w:cs="宋体" w:eastAsia="宋体" w:hint="default"/>
                <w:sz w:val="20"/>
                <w:szCs w:val="20"/>
              </w:rPr>
            </w:pPr>
            <w:r>
              <w:rPr>
                <w:rFonts w:ascii="宋体" w:hAnsi="宋体" w:cs="宋体" w:eastAsia="宋体" w:hint="default"/>
                <w:sz w:val="20"/>
                <w:szCs w:val="20"/>
              </w:rPr>
              <w:t>保证金、押金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4,037,588.78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押金</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left"/>
              <w:rPr>
                <w:rFonts w:ascii="宋体" w:hAnsi="宋体" w:cs="宋体" w:eastAsia="宋体" w:hint="default"/>
                <w:sz w:val="20"/>
                <w:szCs w:val="20"/>
              </w:rPr>
            </w:pPr>
            <w:r>
              <w:rPr>
                <w:rFonts w:ascii="宋体" w:hAnsi="宋体" w:cs="宋体" w:eastAsia="宋体" w:hint="default"/>
                <w:sz w:val="20"/>
                <w:szCs w:val="20"/>
              </w:rPr>
              <w:t>子公司往来款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5,799,780.00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20"/>
                <w:szCs w:val="20"/>
              </w:rPr>
            </w:pPr>
            <w:r>
              <w:rPr>
                <w:rFonts w:ascii="Times New Roman"/>
                <w:sz w:val="20"/>
              </w:rPr>
              <w:t>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11,065,530.62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20"/>
                <w:szCs w:val="20"/>
              </w:rPr>
            </w:pPr>
            <w:r>
              <w:rPr>
                <w:rFonts w:ascii="Times New Roman"/>
                <w:sz w:val="20"/>
              </w:rPr>
              <w:t>0%</w:t>
            </w:r>
          </w:p>
        </w:tc>
        <w:tc>
          <w:tcPr>
            <w:tcW w:w="15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369"/>
      <w:bookmarkEnd w:id="36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本期计提坏账准备金额</w:t>
      </w:r>
      <w:r>
        <w:rPr>
          <w:spacing w:val="-48"/>
        </w:rPr>
        <w:t> </w:t>
      </w:r>
      <w:r>
        <w:rPr>
          <w:rFonts w:ascii="Times New Roman" w:hAnsi="Times New Roman" w:cs="Times New Roman" w:eastAsia="Times New Roman" w:hint="default"/>
        </w:rPr>
        <w:t>119,640.21</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370"/>
      <w:bookmarkEnd w:id="37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1,228,161.84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1,492,994.15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4,037,588.78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2,812,478.78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5,799,780.00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5,316,780.00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218,605.98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190,617.88</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11,284,136.60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9,812,870.81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371"/>
      <w:bookmarkEnd w:id="37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277"/>
        <w:gridCol w:w="1416"/>
        <w:gridCol w:w="1560"/>
        <w:gridCol w:w="1063"/>
      </w:tblGrid>
      <w:tr>
        <w:trPr>
          <w:trHeight w:val="57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56" w:right="7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3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5,591,780.00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49.55%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1,005,000.00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8.91%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3.10%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305,100.00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2.70%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277,500.00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2.46%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7"/>
              <w:ind w:right="14"/>
              <w:jc w:val="right"/>
              <w:rPr>
                <w:rFonts w:ascii="Times New Roman" w:hAnsi="Times New Roman" w:cs="Times New Roman" w:eastAsia="Times New Roman" w:hint="default"/>
                <w:sz w:val="18"/>
                <w:szCs w:val="18"/>
              </w:rPr>
            </w:pPr>
            <w:r>
              <w:rPr>
                <w:rFonts w:ascii="Times New Roman"/>
                <w:spacing w:val="-1"/>
                <w:sz w:val="18"/>
              </w:rPr>
              <w:t>7,529,380.00</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66.72%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72"/>
      <w:bookmarkEnd w:id="37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4"/>
        <w:gridCol w:w="1277"/>
        <w:gridCol w:w="1275"/>
        <w:gridCol w:w="1276"/>
        <w:gridCol w:w="1277"/>
        <w:gridCol w:w="1276"/>
        <w:gridCol w:w="1195"/>
      </w:tblGrid>
      <w:tr>
        <w:trPr>
          <w:trHeight w:val="207"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4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3"/>
            <w:vMerge/>
            <w:tcBorders>
              <w:left w:val="single" w:sz="4" w:space="0" w:color="000000"/>
              <w:bottom w:val="single" w:sz="4" w:space="0" w:color="000000"/>
              <w:right w:val="single" w:sz="4" w:space="0" w:color="000000"/>
            </w:tcBorders>
            <w:shd w:val="clear" w:color="auto" w:fill="D2D2D2"/>
          </w:tcPr>
          <w:p>
            <w:pPr/>
          </w:p>
        </w:tc>
        <w:tc>
          <w:tcPr>
            <w:tcW w:w="374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211,379,467.21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211,379,467.21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214,737,317.16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214,737,317.16</w:t>
            </w:r>
          </w:p>
        </w:tc>
      </w:tr>
    </w:tbl>
    <w:p>
      <w:pPr>
        <w:spacing w:after="0" w:line="240" w:lineRule="auto"/>
        <w:jc w:val="left"/>
        <w:rPr>
          <w:rFonts w:ascii="Times New Roman" w:hAnsi="Times New Roman" w:cs="Times New Roman" w:eastAsia="Times New Roman"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74"/>
        <w:gridCol w:w="1288"/>
        <w:gridCol w:w="1275"/>
        <w:gridCol w:w="1276"/>
        <w:gridCol w:w="1277"/>
        <w:gridCol w:w="1276"/>
        <w:gridCol w:w="1207"/>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98,276,539.12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98,276,539.12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91,617,710.83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91,617,710.83</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309,656,006.33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309,656,006.33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306,355,027.99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306,355,027.99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73"/>
      <w:bookmarkEnd w:id="37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277"/>
        <w:gridCol w:w="991"/>
        <w:gridCol w:w="1134"/>
        <w:gridCol w:w="1277"/>
        <w:gridCol w:w="850"/>
        <w:gridCol w:w="919"/>
      </w:tblGrid>
      <w:tr>
        <w:trPr>
          <w:trHeight w:val="5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0"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3" w:right="9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5,923,730.63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5,923,730.63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6,106,214.82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6,106,214.82</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2,499,353.40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2,499,353.40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2,805,505.10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2,805,505.10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22,362,578.21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22,362,578.21</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3,357,849.95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47,442,150.05</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46,409,935.00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46,409,935.00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214,737,317.16</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3,357,849.95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211,379,467.21</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74"/>
      <w:bookmarkEnd w:id="37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64,750,79</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615,784.2</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62,866,57</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4.70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796" w:type="dxa"/>
            <w:tcBorders>
              <w:top w:val="single" w:sz="4" w:space="0" w:color="000000"/>
              <w:left w:val="single" w:sz="4" w:space="0" w:color="000000"/>
              <w:bottom w:val="single" w:sz="52" w:space="0" w:color="D2D2D2"/>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12,858,73</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9.66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-386,515.</w:t>
            </w:r>
            <w:r>
              <w:rPr>
                <w:rFonts w:ascii="Times New Roman"/>
                <w:sz w:val="18"/>
              </w:rPr>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12,472,22</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4.05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6"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13" w:space="0" w:color="D2D2D2"/>
              <w:right w:val="single" w:sz="4" w:space="0" w:color="000000"/>
            </w:tcBorders>
          </w:tcPr>
          <w:p>
            <w:pPr>
              <w:pStyle w:val="TableParagraph"/>
              <w:spacing w:line="240" w:lineRule="auto" w:before="64"/>
              <w:ind w:left="34" w:right="0"/>
              <w:jc w:val="left"/>
              <w:rPr>
                <w:rFonts w:ascii="Times New Roman" w:hAnsi="Times New Roman" w:cs="Times New Roman" w:eastAsia="Times New Roman" w:hint="default"/>
                <w:sz w:val="18"/>
                <w:szCs w:val="18"/>
              </w:rPr>
            </w:pPr>
            <w:r>
              <w:rPr>
                <w:rFonts w:ascii="Times New Roman"/>
                <w:sz w:val="18"/>
              </w:rPr>
              <w:t>77,609,53</w:t>
            </w:r>
          </w:p>
          <w:p>
            <w:pPr>
              <w:pStyle w:val="TableParagraph"/>
              <w:spacing w:line="240" w:lineRule="auto" w:before="33"/>
              <w:ind w:left="439" w:right="0"/>
              <w:jc w:val="left"/>
              <w:rPr>
                <w:rFonts w:ascii="Times New Roman" w:hAnsi="Times New Roman" w:cs="Times New Roman" w:eastAsia="Times New Roman" w:hint="default"/>
                <w:sz w:val="18"/>
                <w:szCs w:val="18"/>
              </w:rPr>
            </w:pPr>
            <w:r>
              <w:rPr>
                <w:rFonts w:ascii="Times New Roman"/>
                <w:sz w:val="18"/>
              </w:rPr>
              <w:t>0.13</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229,268.6</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75,338,79</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8.75</w:t>
            </w:r>
          </w:p>
        </w:tc>
        <w:tc>
          <w:tcPr>
            <w:tcW w:w="798" w:type="dxa"/>
            <w:vMerge w:val="restart"/>
            <w:tcBorders>
              <w:top w:val="single" w:sz="4" w:space="0" w:color="000000"/>
              <w:left w:val="single" w:sz="4" w:space="0" w:color="000000"/>
              <w:right w:val="single" w:sz="4" w:space="0" w:color="000000"/>
            </w:tcBorders>
          </w:tcPr>
          <w:p>
            <w:pPr/>
          </w:p>
        </w:tc>
      </w:tr>
      <w:tr>
        <w:trPr>
          <w:trHeight w:val="445"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13"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7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41"/>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14,008,18</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4,353,936</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1,404,087</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16,958,03</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41"/>
              <w:jc w:val="both"/>
              <w:rPr>
                <w:rFonts w:ascii="宋体" w:hAnsi="宋体" w:cs="宋体" w:eastAsia="宋体" w:hint="default"/>
                <w:sz w:val="18"/>
                <w:szCs w:val="18"/>
              </w:rPr>
            </w:pPr>
            <w:r>
              <w:rPr>
                <w:rFonts w:ascii="宋体" w:hAnsi="宋体" w:cs="宋体" w:eastAsia="宋体" w:hint="default"/>
                <w:sz w:val="18"/>
                <w:szCs w:val="18"/>
              </w:rPr>
              <w:t>常州鑫润 丰东热处 理工程有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279,710.1</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5,979,710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 w:right="0"/>
              <w:jc w:val="left"/>
              <w:rPr>
                <w:rFonts w:ascii="Times New Roman" w:hAnsi="Times New Roman" w:cs="Times New Roman" w:eastAsia="Times New Roman" w:hint="default"/>
                <w:sz w:val="18"/>
                <w:szCs w:val="18"/>
              </w:rPr>
            </w:pPr>
            <w:r>
              <w:rPr>
                <w:rFonts w:ascii="Times New Roman"/>
                <w:sz w:val="18"/>
              </w:rPr>
              <w:t>14,008,18</w:t>
            </w:r>
          </w:p>
          <w:p>
            <w:pPr>
              <w:pStyle w:val="TableParagraph"/>
              <w:spacing w:line="240" w:lineRule="auto" w:before="32"/>
              <w:ind w:left="451"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z w:val="18"/>
              </w:rPr>
              <w:t>4,633,647</w:t>
            </w:r>
          </w:p>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z w:val="18"/>
              </w:rPr>
              <w:t>1,404,087</w:t>
            </w:r>
          </w:p>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 w:right="0"/>
              <w:jc w:val="left"/>
              <w:rPr>
                <w:rFonts w:ascii="Times New Roman" w:hAnsi="Times New Roman" w:cs="Times New Roman" w:eastAsia="Times New Roman" w:hint="default"/>
                <w:sz w:val="18"/>
                <w:szCs w:val="18"/>
              </w:rPr>
            </w:pPr>
            <w:r>
              <w:rPr>
                <w:rFonts w:ascii="Times New Roman"/>
                <w:sz w:val="18"/>
              </w:rPr>
              <w:t>22,937,74</w:t>
            </w:r>
          </w:p>
          <w:p>
            <w:pPr>
              <w:pStyle w:val="TableParagraph"/>
              <w:spacing w:line="240" w:lineRule="auto" w:before="32"/>
              <w:ind w:left="450" w:right="0"/>
              <w:jc w:val="left"/>
              <w:rPr>
                <w:rFonts w:ascii="Times New Roman" w:hAnsi="Times New Roman" w:cs="Times New Roman" w:eastAsia="Times New Roman" w:hint="default"/>
                <w:sz w:val="18"/>
                <w:szCs w:val="18"/>
              </w:rPr>
            </w:pPr>
            <w:r>
              <w:rPr>
                <w:rFonts w:ascii="Times New Roman"/>
                <w:sz w:val="18"/>
              </w:rPr>
              <w:t>0.37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 w:right="0"/>
              <w:jc w:val="left"/>
              <w:rPr>
                <w:rFonts w:ascii="Times New Roman" w:hAnsi="Times New Roman" w:cs="Times New Roman" w:eastAsia="Times New Roman" w:hint="default"/>
                <w:sz w:val="18"/>
                <w:szCs w:val="18"/>
              </w:rPr>
            </w:pPr>
            <w:r>
              <w:rPr>
                <w:rFonts w:ascii="Times New Roman"/>
                <w:sz w:val="18"/>
              </w:rPr>
              <w:t>91,617,71</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z w:val="18"/>
              </w:rPr>
              <w:t>4,862,915</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z w:val="18"/>
              </w:rPr>
              <w:t>3,904,087</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4" w:right="0"/>
              <w:jc w:val="left"/>
              <w:rPr>
                <w:rFonts w:ascii="Times New Roman" w:hAnsi="Times New Roman" w:cs="Times New Roman" w:eastAsia="Times New Roman" w:hint="default"/>
                <w:sz w:val="18"/>
                <w:szCs w:val="18"/>
              </w:rPr>
            </w:pPr>
            <w:r>
              <w:rPr>
                <w:rFonts w:ascii="Times New Roman"/>
                <w:sz w:val="18"/>
              </w:rPr>
              <w:t>98,276,53</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9.12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75"/>
      <w:bookmarkEnd w:id="37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207,001,600.92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162,924,259.28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153,443,863.40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117,170,587.51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36,000,655.16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23,656,685.61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35,476,248.07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24,376,858.04</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243,002,256.08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186,580,944.89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188,920,111.47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141,547,445.55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76"/>
      <w:bookmarkEnd w:id="37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12,078,500.00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12,630,140.00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4,862,915.66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5,329,160.68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-350,449.95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1,352,158.16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16,590,965.71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19,311,458.84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77"/>
      <w:bookmarkEnd w:id="377"/>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78"/>
      <w:bookmarkEnd w:id="37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01"/>
        <w:gridCol w:w="1418"/>
        <w:gridCol w:w="4040"/>
      </w:tblGrid>
      <w:tr>
        <w:trPr>
          <w:trHeight w:val="330"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30"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left="567" w:right="0"/>
              <w:jc w:val="left"/>
              <w:rPr>
                <w:rFonts w:ascii="Times New Roman" w:hAnsi="Times New Roman" w:cs="Times New Roman" w:eastAsia="Times New Roman" w:hint="default"/>
                <w:sz w:val="18"/>
                <w:szCs w:val="18"/>
              </w:rPr>
            </w:pPr>
            <w:r>
              <w:rPr>
                <w:rFonts w:ascii="Times New Roman"/>
                <w:sz w:val="18"/>
              </w:rPr>
              <w:t>101,006.90</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left="567" w:right="0"/>
              <w:jc w:val="left"/>
              <w:rPr>
                <w:rFonts w:ascii="Times New Roman" w:hAnsi="Times New Roman" w:cs="Times New Roman" w:eastAsia="Times New Roman" w:hint="default"/>
                <w:sz w:val="18"/>
                <w:szCs w:val="18"/>
              </w:rPr>
            </w:pPr>
            <w:r>
              <w:rPr>
                <w:rFonts w:ascii="Times New Roman"/>
                <w:sz w:val="18"/>
              </w:rPr>
              <w:t>807,254.53</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8,534,472.27</w:t>
            </w:r>
          </w:p>
        </w:tc>
        <w:tc>
          <w:tcPr>
            <w:tcW w:w="4040" w:type="dxa"/>
            <w:vMerge w:val="restart"/>
            <w:tcBorders>
              <w:top w:val="single" w:sz="4" w:space="0" w:color="000000"/>
              <w:left w:val="single" w:sz="4" w:space="0" w:color="000000"/>
              <w:right w:val="single" w:sz="4" w:space="0" w:color="000000"/>
            </w:tcBorders>
          </w:tcPr>
          <w:p>
            <w:pPr>
              <w:pStyle w:val="TableParagraph"/>
              <w:spacing w:line="235" w:lineRule="auto" w:before="25"/>
              <w:ind w:left="22" w:right="23"/>
              <w:jc w:val="left"/>
              <w:rPr>
                <w:rFonts w:ascii="宋体" w:hAnsi="宋体" w:cs="宋体" w:eastAsia="宋体" w:hint="default"/>
                <w:sz w:val="18"/>
                <w:szCs w:val="18"/>
              </w:rPr>
            </w:pPr>
            <w:r>
              <w:rPr>
                <w:rFonts w:ascii="宋体" w:hAnsi="宋体" w:cs="宋体" w:eastAsia="宋体" w:hint="default"/>
                <w:sz w:val="18"/>
                <w:szCs w:val="18"/>
              </w:rPr>
              <w:t>本报告期内计入当期损益的政府补助中，其中 </w:t>
            </w:r>
            <w:r>
              <w:rPr>
                <w:rFonts w:ascii="Times New Roman" w:hAnsi="Times New Roman" w:cs="Times New Roman" w:eastAsia="Times New Roman" w:hint="default"/>
                <w:sz w:val="18"/>
                <w:szCs w:val="18"/>
              </w:rPr>
              <w:t>1,636,363.68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元为全新一代等离子渗氮设备研发及 </w:t>
            </w:r>
            <w:r>
              <w:rPr>
                <w:rFonts w:ascii="宋体" w:hAnsi="宋体" w:cs="宋体" w:eastAsia="宋体" w:hint="default"/>
                <w:spacing w:val="-4"/>
                <w:sz w:val="18"/>
                <w:szCs w:val="18"/>
              </w:rPr>
              <w:t>产品化项目收益；</w:t>
            </w:r>
            <w:r>
              <w:rPr>
                <w:rFonts w:ascii="Times New Roman" w:hAnsi="Times New Roman" w:cs="Times New Roman" w:eastAsia="Times New Roman" w:hint="default"/>
                <w:spacing w:val="-4"/>
                <w:sz w:val="18"/>
                <w:szCs w:val="18"/>
              </w:rPr>
              <w:t>2,751,000.00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元为培育科技型企业</w:t>
            </w:r>
            <w:r>
              <w:rPr>
                <w:rFonts w:ascii="宋体" w:hAnsi="宋体" w:cs="宋体" w:eastAsia="宋体" w:hint="default"/>
                <w:spacing w:val="-88"/>
                <w:sz w:val="18"/>
                <w:szCs w:val="18"/>
              </w:rPr>
              <w:t> </w:t>
            </w:r>
            <w:r>
              <w:rPr>
                <w:rFonts w:ascii="宋体" w:hAnsi="宋体" w:cs="宋体" w:eastAsia="宋体" w:hint="default"/>
                <w:sz w:val="18"/>
                <w:szCs w:val="18"/>
              </w:rPr>
              <w:t>补助资金；</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元为创新创牌奖励</w:t>
            </w:r>
          </w:p>
        </w:tc>
      </w:tr>
      <w:tr>
        <w:trPr>
          <w:trHeight w:val="560" w:hRule="exact"/>
        </w:trPr>
        <w:tc>
          <w:tcPr>
            <w:tcW w:w="4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11" w:right="2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1418" w:type="dxa"/>
            <w:vMerge/>
            <w:tcBorders>
              <w:left w:val="single" w:sz="10" w:space="0" w:color="D2D2D2"/>
              <w:right w:val="single" w:sz="4" w:space="0" w:color="000000"/>
            </w:tcBorders>
          </w:tcPr>
          <w:p>
            <w:pPr/>
          </w:p>
        </w:tc>
        <w:tc>
          <w:tcPr>
            <w:tcW w:w="4040" w:type="dxa"/>
            <w:vMerge/>
            <w:tcBorders>
              <w:left w:val="single" w:sz="4" w:space="0" w:color="000000"/>
              <w:right w:val="single" w:sz="4" w:space="0" w:color="000000"/>
            </w:tcBorders>
          </w:tcPr>
          <w:p>
            <w:pPr/>
          </w:p>
        </w:tc>
      </w:tr>
      <w:tr>
        <w:trPr>
          <w:trHeight w:val="245" w:hRule="exact"/>
        </w:trPr>
        <w:tc>
          <w:tcPr>
            <w:tcW w:w="4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bl>
    <w:p>
      <w:pPr>
        <w:spacing w:after="0"/>
        <w:sectPr>
          <w:pgSz w:w="11910" w:h="16840"/>
          <w:pgMar w:header="768"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269" w:type="dxa"/>
        <w:tblLayout w:type="fixed"/>
        <w:tblCellMar>
          <w:top w:w="0" w:type="dxa"/>
          <w:left w:w="0" w:type="dxa"/>
          <w:bottom w:w="0" w:type="dxa"/>
          <w:right w:w="0" w:type="dxa"/>
        </w:tblCellMar>
        <w:tblLook w:val="01E0"/>
      </w:tblPr>
      <w:tblGrid>
        <w:gridCol w:w="4112"/>
        <w:gridCol w:w="1418"/>
        <w:gridCol w:w="4040"/>
      </w:tblGrid>
      <w:tr>
        <w:trPr>
          <w:trHeight w:val="330"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-887,952.14</w:t>
            </w:r>
            <w:r>
              <w:rPr>
                <w:rFonts w:ascii="Times New Roman"/>
                <w:sz w:val="18"/>
              </w:rPr>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1,350,190.70</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157,294.56</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63"/>
              <w:ind w:right="14"/>
              <w:jc w:val="right"/>
              <w:rPr>
                <w:rFonts w:ascii="Times New Roman" w:hAnsi="Times New Roman" w:cs="Times New Roman" w:eastAsia="Times New Roman" w:hint="default"/>
                <w:sz w:val="18"/>
                <w:szCs w:val="18"/>
              </w:rPr>
            </w:pPr>
            <w:r>
              <w:rPr>
                <w:rFonts w:ascii="Times New Roman"/>
                <w:spacing w:val="-1"/>
                <w:sz w:val="18"/>
              </w:rPr>
              <w:t>7,047,296.30</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63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left="273" w:right="1118"/>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70"/>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696" w:right="0"/>
        <w:jc w:val="left"/>
        <w:rPr>
          <w:b w:val="0"/>
          <w:bCs w:val="0"/>
        </w:rPr>
      </w:pPr>
      <w:bookmarkStart w:name="2、净资产收益率及每股收益" w:id="379"/>
      <w:bookmarkEnd w:id="37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280" w:type="dxa"/>
        <w:tblLayout w:type="fixed"/>
        <w:tblCellMar>
          <w:top w:w="0" w:type="dxa"/>
          <w:left w:w="0" w:type="dxa"/>
          <w:bottom w:w="0" w:type="dxa"/>
          <w:right w:w="0" w:type="dxa"/>
        </w:tblCellMar>
        <w:tblLook w:val="01E0"/>
      </w:tblPr>
      <w:tblGrid>
        <w:gridCol w:w="3675"/>
        <w:gridCol w:w="2056"/>
        <w:gridCol w:w="1913"/>
        <w:gridCol w:w="1913"/>
      </w:tblGrid>
      <w:tr>
        <w:trPr>
          <w:trHeight w:val="210" w:hRule="exact"/>
        </w:trPr>
        <w:tc>
          <w:tcPr>
            <w:tcW w:w="3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4" w:hRule="exact"/>
        </w:trPr>
        <w:tc>
          <w:tcPr>
            <w:tcW w:w="36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5" w:hRule="exact"/>
        </w:trPr>
        <w:tc>
          <w:tcPr>
            <w:tcW w:w="3675" w:type="dxa"/>
            <w:vMerge/>
            <w:tcBorders>
              <w:left w:val="single" w:sz="4" w:space="0" w:color="000000"/>
              <w:bottom w:val="nil" w:sz="6" w:space="0" w:color="auto"/>
              <w:right w:val="single" w:sz="4" w:space="0" w:color="000000"/>
            </w:tcBorders>
            <w:shd w:val="clear" w:color="auto" w:fill="D2D2D2"/>
          </w:tcPr>
          <w:p>
            <w:pPr/>
          </w:p>
        </w:tc>
        <w:tc>
          <w:tcPr>
            <w:tcW w:w="2056"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0" w:hRule="exact"/>
        </w:trPr>
        <w:tc>
          <w:tcPr>
            <w:tcW w:w="3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10"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0.13</w:t>
            </w:r>
          </w:p>
        </w:tc>
      </w:tr>
      <w:tr>
        <w:trPr>
          <w:trHeight w:val="730"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6"/>
              <w:ind w:left="11" w:right="5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 净利润</w:t>
            </w:r>
          </w:p>
        </w:tc>
        <w:tc>
          <w:tcPr>
            <w:tcW w:w="20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bl>
    <w:p>
      <w:pPr>
        <w:spacing w:line="240" w:lineRule="auto" w:before="2"/>
        <w:rPr>
          <w:rFonts w:ascii="宋体" w:hAnsi="宋体" w:cs="宋体" w:eastAsia="宋体" w:hint="default"/>
          <w:b/>
          <w:bCs/>
          <w:sz w:val="19"/>
          <w:szCs w:val="19"/>
        </w:rPr>
      </w:pPr>
    </w:p>
    <w:p>
      <w:pPr>
        <w:pStyle w:val="Heading3"/>
        <w:spacing w:line="240" w:lineRule="auto" w:before="35"/>
        <w:ind w:left="696" w:right="0"/>
        <w:jc w:val="left"/>
        <w:rPr>
          <w:b w:val="0"/>
          <w:bCs w:val="0"/>
        </w:rPr>
      </w:pPr>
      <w:bookmarkStart w:name="3、境内外会计准则下会计数据差异" w:id="380"/>
      <w:bookmarkEnd w:id="38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96" w:right="0"/>
        <w:jc w:val="left"/>
        <w:rPr>
          <w:b w:val="0"/>
          <w:bCs w:val="0"/>
        </w:rPr>
      </w:pPr>
      <w:bookmarkStart w:name="（1）同时按照国际会计准则与按中国会计准则披露的财务报告中净利润和净资产差异情况" w:id="381"/>
      <w:bookmarkEnd w:id="38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696" w:right="0"/>
        <w:jc w:val="left"/>
        <w:rPr>
          <w:b w:val="0"/>
          <w:bCs w:val="0"/>
        </w:rPr>
      </w:pPr>
      <w:bookmarkStart w:name="（2）同时按照境外会计准则与按中国会计准则披露的财务报告中净利润和净资产差异情况" w:id="382"/>
      <w:bookmarkEnd w:id="38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273" w:right="0" w:firstLine="422"/>
        <w:jc w:val="left"/>
        <w:rPr>
          <w:b w:val="0"/>
          <w:bCs w:val="0"/>
        </w:rPr>
      </w:pPr>
      <w:bookmarkStart w:name="（3）境内外会计准则下会计数据差异原因说明，对已经境外审计机构审计的数据进行差异" w:id="383"/>
      <w:bookmarkEnd w:id="38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w:t>
      </w:r>
      <w:r>
        <w:rPr>
          <w:w w:val="99"/>
        </w:rPr>
        <w:t> </w:t>
      </w:r>
      <w:r>
        <w:rPr/>
        <w:t>应注明该境外机构的名称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33"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696" w:right="0"/>
        <w:jc w:val="left"/>
        <w:rPr>
          <w:b w:val="0"/>
          <w:bCs w:val="0"/>
        </w:rPr>
      </w:pPr>
      <w:bookmarkStart w:name="4、其他" w:id="384"/>
      <w:bookmarkEnd w:id="384"/>
      <w:r>
        <w:rPr>
          <w:b w:val="0"/>
          <w:bCs w:val="0"/>
        </w:rPr>
      </w: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3" w:right="0"/>
        <w:jc w:val="left"/>
      </w:pPr>
      <w:r>
        <w:rPr/>
        <w:t>公司主要会计报表项目的异常情况及原因说明</w:t>
      </w:r>
    </w:p>
    <w:p>
      <w:pPr>
        <w:spacing w:line="240" w:lineRule="auto" w:before="1"/>
        <w:rPr>
          <w:rFonts w:ascii="宋体" w:hAnsi="宋体" w:cs="宋体" w:eastAsia="宋体" w:hint="default"/>
          <w:sz w:val="24"/>
          <w:szCs w:val="24"/>
        </w:rPr>
      </w:pPr>
    </w:p>
    <w:p>
      <w:pPr>
        <w:pStyle w:val="Heading5"/>
        <w:spacing w:line="240" w:lineRule="auto"/>
        <w:ind w:left="635" w:right="0"/>
        <w:jc w:val="left"/>
        <w:rPr>
          <w:b w:val="0"/>
          <w:bCs w:val="0"/>
        </w:rPr>
      </w:pPr>
      <w:r>
        <w:rPr/>
        <w:t>（</w:t>
      </w:r>
      <w:r>
        <w:rPr>
          <w:rFonts w:ascii="Times New Roman" w:hAnsi="Times New Roman" w:cs="Times New Roman" w:eastAsia="Times New Roman" w:hint="default"/>
        </w:rPr>
        <w:t>1</w:t>
      </w:r>
      <w:r>
        <w:rPr/>
        <w:t>）资产负债表变动简要分析（万元）</w:t>
      </w:r>
      <w:r>
        <w:rPr>
          <w:b w:val="0"/>
          <w:bCs w:val="0"/>
        </w:rPr>
      </w:r>
    </w:p>
    <w:p>
      <w:pPr>
        <w:spacing w:line="240" w:lineRule="auto" w:before="4"/>
        <w:rPr>
          <w:rFonts w:ascii="宋体" w:hAnsi="宋体" w:cs="宋体" w:eastAsia="宋体" w:hint="default"/>
          <w:b/>
          <w:bCs/>
          <w:sz w:val="22"/>
          <w:szCs w:val="22"/>
        </w:rPr>
      </w:pPr>
    </w:p>
    <w:tbl>
      <w:tblPr>
        <w:tblW w:w="0" w:type="auto"/>
        <w:jc w:val="left"/>
        <w:tblInd w:w="119" w:type="dxa"/>
        <w:tblLayout w:type="fixed"/>
        <w:tblCellMar>
          <w:top w:w="0" w:type="dxa"/>
          <w:left w:w="0" w:type="dxa"/>
          <w:bottom w:w="0" w:type="dxa"/>
          <w:right w:w="0" w:type="dxa"/>
        </w:tblCellMar>
        <w:tblLook w:val="01E0"/>
      </w:tblPr>
      <w:tblGrid>
        <w:gridCol w:w="2220"/>
        <w:gridCol w:w="1040"/>
        <w:gridCol w:w="936"/>
        <w:gridCol w:w="1063"/>
        <w:gridCol w:w="992"/>
        <w:gridCol w:w="3687"/>
      </w:tblGrid>
      <w:tr>
        <w:trPr>
          <w:trHeight w:val="536" w:hRule="exact"/>
        </w:trPr>
        <w:tc>
          <w:tcPr>
            <w:tcW w:w="222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04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9"/>
              <w:ind w:left="244"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93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9"/>
              <w:ind w:left="19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06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9"/>
              <w:ind w:left="16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99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变动比例</w:t>
            </w:r>
          </w:p>
        </w:tc>
        <w:tc>
          <w:tcPr>
            <w:tcW w:w="368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9"/>
              <w:ind w:right="1476"/>
              <w:jc w:val="right"/>
              <w:rPr>
                <w:rFonts w:ascii="宋体" w:hAnsi="宋体" w:cs="宋体" w:eastAsia="宋体" w:hint="default"/>
                <w:sz w:val="18"/>
                <w:szCs w:val="18"/>
              </w:rPr>
            </w:pPr>
            <w:r>
              <w:rPr>
                <w:rFonts w:ascii="宋体" w:hAnsi="宋体" w:cs="宋体" w:eastAsia="宋体" w:hint="default"/>
                <w:sz w:val="18"/>
                <w:szCs w:val="18"/>
              </w:rPr>
              <w:t>变动原因</w:t>
            </w:r>
          </w:p>
        </w:tc>
      </w:tr>
      <w:tr>
        <w:trPr>
          <w:trHeight w:val="570"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3,459.83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2,032.31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1,427.52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70.24%</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53"/>
              <w:jc w:val="left"/>
              <w:rPr>
                <w:rFonts w:ascii="宋体" w:hAnsi="宋体" w:cs="宋体" w:eastAsia="宋体" w:hint="default"/>
                <w:sz w:val="18"/>
                <w:szCs w:val="18"/>
              </w:rPr>
            </w:pPr>
            <w:r>
              <w:rPr>
                <w:rFonts w:ascii="宋体" w:hAnsi="宋体" w:cs="宋体" w:eastAsia="宋体" w:hint="default"/>
                <w:sz w:val="18"/>
                <w:szCs w:val="18"/>
              </w:rPr>
              <w:t>主要系本期经营活动中以票据作为结算方式 的量有所增加所致</w:t>
            </w:r>
          </w:p>
        </w:tc>
      </w:tr>
      <w:tr>
        <w:trPr>
          <w:trHeight w:val="449"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855.45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616.71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238.74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38.71%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13"/>
              <w:jc w:val="right"/>
              <w:rPr>
                <w:rFonts w:ascii="宋体" w:hAnsi="宋体" w:cs="宋体" w:eastAsia="宋体" w:hint="default"/>
                <w:sz w:val="18"/>
                <w:szCs w:val="18"/>
              </w:rPr>
            </w:pPr>
            <w:r>
              <w:rPr>
                <w:rFonts w:ascii="宋体" w:hAnsi="宋体" w:cs="宋体" w:eastAsia="宋体" w:hint="default"/>
                <w:sz w:val="18"/>
                <w:szCs w:val="18"/>
              </w:rPr>
              <w:t>主要系本期代垫款增加所致</w:t>
            </w:r>
          </w:p>
        </w:tc>
      </w:tr>
    </w:tbl>
    <w:p>
      <w:pPr>
        <w:spacing w:after="0" w:line="240" w:lineRule="auto"/>
        <w:jc w:val="right"/>
        <w:rPr>
          <w:rFonts w:ascii="宋体" w:hAnsi="宋体" w:cs="宋体" w:eastAsia="宋体" w:hint="default"/>
          <w:sz w:val="18"/>
          <w:szCs w:val="18"/>
        </w:rPr>
        <w:sectPr>
          <w:pgSz w:w="11910" w:h="16840"/>
          <w:pgMar w:header="768" w:footer="979" w:top="1100" w:bottom="1160" w:left="860" w:right="0"/>
        </w:sectPr>
      </w:pPr>
    </w:p>
    <w:p>
      <w:pPr>
        <w:spacing w:line="240" w:lineRule="auto" w:before="6"/>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2220"/>
        <w:gridCol w:w="1040"/>
        <w:gridCol w:w="936"/>
        <w:gridCol w:w="1063"/>
        <w:gridCol w:w="992"/>
        <w:gridCol w:w="3687"/>
      </w:tblGrid>
      <w:tr>
        <w:trPr>
          <w:trHeight w:val="449"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69.26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213.87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-144.61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-67.62%</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主要系期末待抵扣进项税减少</w:t>
            </w:r>
          </w:p>
        </w:tc>
      </w:tr>
      <w:tr>
        <w:trPr>
          <w:trHeight w:val="454" w:hRule="exact"/>
        </w:trPr>
        <w:tc>
          <w:tcPr>
            <w:tcW w:w="2220" w:type="dxa"/>
            <w:tcBorders>
              <w:top w:val="single" w:sz="4" w:space="0" w:color="000000"/>
              <w:left w:val="single" w:sz="4" w:space="0" w:color="000000"/>
              <w:bottom w:val="single" w:sz="8"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2,212.44</w:t>
            </w:r>
          </w:p>
        </w:tc>
        <w:tc>
          <w:tcPr>
            <w:tcW w:w="9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506.41</w:t>
            </w:r>
          </w:p>
        </w:tc>
        <w:tc>
          <w:tcPr>
            <w:tcW w:w="106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1,706.03</w:t>
            </w:r>
          </w:p>
        </w:tc>
        <w:tc>
          <w:tcPr>
            <w:tcW w:w="9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336.89%</w:t>
            </w:r>
          </w:p>
        </w:tc>
        <w:tc>
          <w:tcPr>
            <w:tcW w:w="36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主要系对株式会社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进行投资</w:t>
            </w:r>
          </w:p>
        </w:tc>
      </w:tr>
      <w:tr>
        <w:trPr>
          <w:trHeight w:val="455" w:hRule="exact"/>
        </w:trPr>
        <w:tc>
          <w:tcPr>
            <w:tcW w:w="2220"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8,581.10</w:t>
            </w:r>
          </w:p>
        </w:tc>
        <w:tc>
          <w:tcPr>
            <w:tcW w:w="9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12,895.15</w:t>
            </w:r>
          </w:p>
        </w:tc>
        <w:tc>
          <w:tcPr>
            <w:tcW w:w="106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w w:val="95"/>
                <w:sz w:val="18"/>
              </w:rPr>
              <w:t>-4,314.05</w:t>
            </w:r>
            <w:r>
              <w:rPr>
                <w:rFonts w:ascii="Times New Roman"/>
                <w:sz w:val="18"/>
              </w:rPr>
            </w:r>
          </w:p>
        </w:tc>
        <w:tc>
          <w:tcPr>
            <w:tcW w:w="9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-33.45%</w:t>
            </w:r>
          </w:p>
        </w:tc>
        <w:tc>
          <w:tcPr>
            <w:tcW w:w="36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主要系年末在产订单较上年末较少</w:t>
            </w:r>
          </w:p>
        </w:tc>
      </w:tr>
      <w:tr>
        <w:trPr>
          <w:trHeight w:val="449"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904.78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700.92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203.86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29.08%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主要系年末本公司年终奖计提数增加</w:t>
            </w:r>
          </w:p>
        </w:tc>
      </w:tr>
      <w:tr>
        <w:trPr>
          <w:trHeight w:val="580"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372.69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679.78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-307.09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103" w:right="153"/>
              <w:jc w:val="left"/>
              <w:rPr>
                <w:rFonts w:ascii="宋体" w:hAnsi="宋体" w:cs="宋体" w:eastAsia="宋体" w:hint="default"/>
                <w:sz w:val="18"/>
                <w:szCs w:val="18"/>
              </w:rPr>
            </w:pPr>
            <w:r>
              <w:rPr>
                <w:rFonts w:ascii="宋体" w:hAnsi="宋体" w:cs="宋体" w:eastAsia="宋体" w:hint="default"/>
                <w:sz w:val="18"/>
                <w:szCs w:val="18"/>
              </w:rPr>
              <w:t>主要系本年末应交增值税及企业所得税比上 年末减少所致</w:t>
            </w:r>
          </w:p>
        </w:tc>
      </w:tr>
      <w:tr>
        <w:trPr>
          <w:trHeight w:val="397"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2,900.00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z w:val="18"/>
              </w:rPr>
              <w:t>2,850.00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5700.00%</w:t>
            </w:r>
          </w:p>
        </w:tc>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2,900 </w:t>
            </w:r>
            <w:r>
              <w:rPr>
                <w:rFonts w:ascii="宋体" w:hAnsi="宋体" w:cs="宋体" w:eastAsia="宋体" w:hint="default"/>
                <w:sz w:val="18"/>
                <w:szCs w:val="18"/>
              </w:rPr>
              <w:t>万长期借款将在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tc>
      </w:tr>
      <w:tr>
        <w:trPr>
          <w:trHeight w:val="397"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4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2,900.00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5"/>
                <w:sz w:val="18"/>
              </w:rPr>
              <w:t>-2,900.00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687" w:type="dxa"/>
            <w:vMerge/>
            <w:tcBorders>
              <w:left w:val="single" w:sz="4" w:space="0" w:color="000000"/>
              <w:bottom w:val="single" w:sz="4" w:space="0" w:color="000000"/>
              <w:right w:val="single" w:sz="4" w:space="0" w:color="000000"/>
            </w:tcBorders>
          </w:tcPr>
          <w:p>
            <w:pPr/>
          </w:p>
        </w:tc>
      </w:tr>
      <w:tr>
        <w:trPr>
          <w:trHeight w:val="570" w:hRule="exact"/>
        </w:trPr>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1,964.29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1,262.52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701.77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55.58%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53"/>
              <w:jc w:val="left"/>
              <w:rPr>
                <w:rFonts w:ascii="宋体" w:hAnsi="宋体" w:cs="宋体" w:eastAsia="宋体" w:hint="default"/>
                <w:sz w:val="18"/>
                <w:szCs w:val="18"/>
              </w:rPr>
            </w:pPr>
            <w:r>
              <w:rPr>
                <w:rFonts w:ascii="宋体" w:hAnsi="宋体" w:cs="宋体" w:eastAsia="宋体" w:hint="default"/>
                <w:sz w:val="18"/>
                <w:szCs w:val="18"/>
              </w:rPr>
              <w:t>主要系本年度收到无人化智能热处理工厂及 智能制造专项政府补助资金所致</w:t>
            </w:r>
          </w:p>
        </w:tc>
      </w:tr>
    </w:tbl>
    <w:p>
      <w:pPr>
        <w:spacing w:line="240" w:lineRule="auto" w:before="5"/>
        <w:rPr>
          <w:rFonts w:ascii="宋体" w:hAnsi="宋体" w:cs="宋体" w:eastAsia="宋体" w:hint="default"/>
          <w:b/>
          <w:bCs/>
          <w:sz w:val="21"/>
          <w:szCs w:val="21"/>
        </w:rPr>
      </w:pPr>
    </w:p>
    <w:p>
      <w:pPr>
        <w:pStyle w:val="Heading5"/>
        <w:spacing w:line="240" w:lineRule="auto" w:before="44"/>
        <w:ind w:left="635" w:right="0"/>
        <w:jc w:val="left"/>
        <w:rPr>
          <w:b w:val="0"/>
          <w:bCs w:val="0"/>
        </w:rPr>
      </w:pPr>
      <w:r>
        <w:rPr/>
        <w:t>（</w:t>
      </w:r>
      <w:r>
        <w:rPr>
          <w:rFonts w:ascii="Times New Roman" w:hAnsi="Times New Roman" w:cs="Times New Roman" w:eastAsia="Times New Roman" w:hint="default"/>
        </w:rPr>
        <w:t>2</w:t>
      </w:r>
      <w:r>
        <w:rPr/>
        <w:t>）利润变动简要分析（万元）</w:t>
      </w:r>
      <w:r>
        <w:rPr>
          <w:b w:val="0"/>
          <w:bCs w:val="0"/>
        </w:rPr>
      </w:r>
    </w:p>
    <w:p>
      <w:pPr>
        <w:spacing w:line="240" w:lineRule="auto" w:before="10"/>
        <w:rPr>
          <w:rFonts w:ascii="宋体" w:hAnsi="宋体" w:cs="宋体" w:eastAsia="宋体" w:hint="default"/>
          <w:b/>
          <w:bCs/>
          <w:sz w:val="27"/>
          <w:szCs w:val="27"/>
        </w:rPr>
      </w:pPr>
    </w:p>
    <w:tbl>
      <w:tblPr>
        <w:tblW w:w="0" w:type="auto"/>
        <w:jc w:val="left"/>
        <w:tblInd w:w="119" w:type="dxa"/>
        <w:tblLayout w:type="fixed"/>
        <w:tblCellMar>
          <w:top w:w="0" w:type="dxa"/>
          <w:left w:w="0" w:type="dxa"/>
          <w:bottom w:w="0" w:type="dxa"/>
          <w:right w:w="0" w:type="dxa"/>
        </w:tblCellMar>
        <w:tblLook w:val="01E0"/>
      </w:tblPr>
      <w:tblGrid>
        <w:gridCol w:w="1660"/>
        <w:gridCol w:w="920"/>
        <w:gridCol w:w="846"/>
        <w:gridCol w:w="984"/>
        <w:gridCol w:w="992"/>
        <w:gridCol w:w="4536"/>
      </w:tblGrid>
      <w:tr>
        <w:trPr>
          <w:trHeight w:val="505" w:hRule="exact"/>
        </w:trPr>
        <w:tc>
          <w:tcPr>
            <w:tcW w:w="16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46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92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184"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84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right="146"/>
              <w:jc w:val="right"/>
              <w:rPr>
                <w:rFonts w:ascii="宋体" w:hAnsi="宋体" w:cs="宋体" w:eastAsia="宋体" w:hint="default"/>
                <w:sz w:val="18"/>
                <w:szCs w:val="18"/>
              </w:rPr>
            </w:pPr>
            <w:r>
              <w:rPr>
                <w:rFonts w:ascii="宋体" w:hAnsi="宋体" w:cs="宋体" w:eastAsia="宋体" w:hint="default"/>
                <w:sz w:val="18"/>
                <w:szCs w:val="18"/>
              </w:rPr>
              <w:t>上年数</w:t>
            </w:r>
          </w:p>
        </w:tc>
        <w:tc>
          <w:tcPr>
            <w:tcW w:w="9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right="12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99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right="131"/>
              <w:jc w:val="right"/>
              <w:rPr>
                <w:rFonts w:ascii="宋体" w:hAnsi="宋体" w:cs="宋体" w:eastAsia="宋体" w:hint="default"/>
                <w:sz w:val="18"/>
                <w:szCs w:val="18"/>
              </w:rPr>
            </w:pPr>
            <w:r>
              <w:rPr>
                <w:rFonts w:ascii="宋体" w:hAnsi="宋体" w:cs="宋体" w:eastAsia="宋体" w:hint="default"/>
                <w:sz w:val="18"/>
                <w:szCs w:val="18"/>
              </w:rPr>
              <w:t>变动比例</w:t>
            </w:r>
          </w:p>
        </w:tc>
        <w:tc>
          <w:tcPr>
            <w:tcW w:w="453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13" w:hRule="exact"/>
        </w:trPr>
        <w:tc>
          <w:tcPr>
            <w:tcW w:w="16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295.00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382.47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-87.47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-22.87%</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主要系本期应交增值税减少导致税金及附加减少</w:t>
            </w:r>
          </w:p>
        </w:tc>
      </w:tr>
      <w:tr>
        <w:trPr>
          <w:trHeight w:val="580" w:hRule="exact"/>
        </w:trPr>
        <w:tc>
          <w:tcPr>
            <w:tcW w:w="16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2,317.86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1,685.68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主要系销售产品的售后维护及服务费用增加所致</w:t>
            </w:r>
          </w:p>
        </w:tc>
      </w:tr>
      <w:tr>
        <w:trPr>
          <w:trHeight w:val="412" w:hRule="exact"/>
        </w:trPr>
        <w:tc>
          <w:tcPr>
            <w:tcW w:w="16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117.96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60.49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57.47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95.01%</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主要系本期外币汇兑损失增加及存款利息收入减少所致</w:t>
            </w:r>
          </w:p>
        </w:tc>
      </w:tr>
      <w:tr>
        <w:trPr>
          <w:trHeight w:val="413" w:hRule="exact"/>
        </w:trPr>
        <w:tc>
          <w:tcPr>
            <w:tcW w:w="16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317.60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250.79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66.81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26.64%</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主要系本期存货跌价准备计提数增加</w:t>
            </w:r>
          </w:p>
        </w:tc>
      </w:tr>
      <w:tr>
        <w:trPr>
          <w:trHeight w:val="412" w:hRule="exact"/>
        </w:trPr>
        <w:tc>
          <w:tcPr>
            <w:tcW w:w="16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537.38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760.16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-222.78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-29.31%</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主要系本期合营企业盐城高周波投资收益较去年减少</w:t>
            </w:r>
          </w:p>
        </w:tc>
      </w:tr>
    </w:tbl>
    <w:p>
      <w:pPr>
        <w:spacing w:after="0" w:line="240" w:lineRule="auto"/>
        <w:jc w:val="left"/>
        <w:rPr>
          <w:rFonts w:ascii="宋体" w:hAnsi="宋体" w:cs="宋体" w:eastAsia="宋体" w:hint="default"/>
          <w:sz w:val="18"/>
          <w:szCs w:val="18"/>
        </w:rPr>
        <w:sectPr>
          <w:pgSz w:w="11910" w:h="16840"/>
          <w:pgMar w:header="768" w:footer="979" w:top="1100" w:bottom="1160" w:left="8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286" w:right="0"/>
        <w:jc w:val="left"/>
        <w:rPr>
          <w:b w:val="0"/>
          <w:bCs w:val="0"/>
        </w:rPr>
      </w:pPr>
      <w:bookmarkStart w:name="第十一节 备查文件目录" w:id="385"/>
      <w:bookmarkEnd w:id="385"/>
      <w:r>
        <w:rPr>
          <w:b w:val="0"/>
          <w:bCs w:val="0"/>
        </w:rPr>
      </w:r>
      <w:bookmarkStart w:name="_bookmark10" w:id="386"/>
      <w:bookmarkEnd w:id="386"/>
      <w:r>
        <w:rPr>
          <w:b w:val="0"/>
          <w:bCs w:val="0"/>
        </w:rPr>
      </w:r>
      <w:r>
        <w:rPr/>
        <w:t>第十一节</w:t>
      </w:r>
      <w:r>
        <w:rPr>
          <w:spacing w:val="-8"/>
        </w:rPr>
        <w:t> </w:t>
      </w:r>
      <w:r>
        <w:rPr/>
        <w:t>备查文件目录</w:t>
      </w:r>
      <w:r>
        <w:rPr>
          <w:b w:val="0"/>
          <w:bCs w:val="0"/>
        </w:rPr>
      </w:r>
    </w:p>
    <w:p>
      <w:pPr>
        <w:pStyle w:val="Heading2"/>
        <w:spacing w:line="600" w:lineRule="atLeast" w:before="239"/>
        <w:ind w:left="515" w:right="0"/>
        <w:jc w:val="left"/>
        <w:rPr>
          <w:b w:val="0"/>
          <w:bCs w:val="0"/>
        </w:rPr>
      </w:pPr>
      <w:r>
        <w:rPr/>
        <w:t>一、载有公司董事长朱文明先生签名的</w:t>
      </w:r>
      <w:r>
        <w:rPr>
          <w:rFonts w:ascii="Times New Roman" w:hAnsi="Times New Roman" w:cs="Times New Roman" w:eastAsia="Times New Roman" w:hint="default"/>
        </w:rPr>
        <w:t>2015</w:t>
      </w:r>
      <w:r>
        <w:rPr/>
        <w:t>年年度报告。</w:t>
      </w:r>
      <w:r>
        <w:rPr>
          <w:w w:val="99"/>
        </w:rPr>
        <w:t> </w:t>
      </w:r>
      <w:r>
        <w:rPr>
          <w:spacing w:val="-4"/>
        </w:rPr>
        <w:t>二、载有公司法定代表人朱文明先生、主管会计工作负责人及会计机构负责人徐仕俊先生</w:t>
      </w:r>
      <w:r>
        <w:rPr>
          <w:b w:val="0"/>
          <w:bCs w:val="0"/>
          <w:spacing w:val="-4"/>
        </w:rPr>
      </w:r>
    </w:p>
    <w:p>
      <w:pPr>
        <w:pStyle w:val="Heading2"/>
        <w:spacing w:line="312" w:lineRule="exact"/>
        <w:ind w:right="0"/>
        <w:jc w:val="left"/>
        <w:rPr>
          <w:b w:val="0"/>
          <w:bCs w:val="0"/>
        </w:rPr>
      </w:pPr>
      <w:r>
        <w:rPr/>
        <w:t>签名并盖章的财务报表。</w:t>
      </w:r>
      <w:r>
        <w:rPr>
          <w:b w:val="0"/>
          <w:bCs w:val="0"/>
        </w:rPr>
      </w:r>
    </w:p>
    <w:p>
      <w:pPr>
        <w:spacing w:line="240" w:lineRule="auto" w:before="0"/>
        <w:rPr>
          <w:rFonts w:ascii="宋体" w:hAnsi="宋体" w:cs="宋体" w:eastAsia="宋体" w:hint="default"/>
          <w:b/>
          <w:bCs/>
          <w:sz w:val="26"/>
          <w:szCs w:val="26"/>
        </w:rPr>
      </w:pPr>
    </w:p>
    <w:p>
      <w:pPr>
        <w:pStyle w:val="Heading2"/>
        <w:spacing w:line="312" w:lineRule="exact"/>
        <w:ind w:right="0" w:firstLine="361"/>
        <w:jc w:val="left"/>
        <w:rPr>
          <w:b w:val="0"/>
          <w:bCs w:val="0"/>
        </w:rPr>
      </w:pPr>
      <w:r>
        <w:rPr>
          <w:spacing w:val="-4"/>
        </w:rPr>
        <w:t>三、载有众华会计师事务所（特殊普通合伙）盖章、注册会计师冯家俊先生、郑珮女士签</w:t>
      </w:r>
      <w:r>
        <w:rPr>
          <w:w w:val="99"/>
        </w:rPr>
        <w:t> </w:t>
      </w:r>
      <w:r>
        <w:rPr/>
        <w:t>名并盖章的公司</w:t>
      </w:r>
      <w:r>
        <w:rPr>
          <w:rFonts w:ascii="Times New Roman" w:hAnsi="Times New Roman" w:cs="Times New Roman" w:eastAsia="Times New Roman" w:hint="default"/>
        </w:rPr>
        <w:t>2015</w:t>
      </w:r>
      <w:r>
        <w:rPr/>
        <w:t>年度审计报告原件。</w:t>
      </w:r>
      <w:r>
        <w:rPr>
          <w:b w:val="0"/>
          <w:bCs w:val="0"/>
        </w:rPr>
      </w:r>
    </w:p>
    <w:p>
      <w:pPr>
        <w:spacing w:line="240" w:lineRule="auto" w:before="11"/>
        <w:rPr>
          <w:rFonts w:ascii="宋体" w:hAnsi="宋体" w:cs="宋体" w:eastAsia="宋体" w:hint="default"/>
          <w:b/>
          <w:bCs/>
          <w:sz w:val="23"/>
          <w:szCs w:val="23"/>
        </w:rPr>
      </w:pPr>
    </w:p>
    <w:p>
      <w:pPr>
        <w:pStyle w:val="Heading2"/>
        <w:spacing w:line="312" w:lineRule="exact"/>
        <w:ind w:left="154" w:right="0" w:firstLine="361"/>
        <w:jc w:val="left"/>
        <w:rPr>
          <w:b w:val="0"/>
          <w:bCs w:val="0"/>
        </w:rPr>
      </w:pPr>
      <w:r>
        <w:rPr>
          <w:spacing w:val="-4"/>
          <w:w w:val="99"/>
        </w:rPr>
        <w:t>四、报告期内在中国证券监督管理委员会指定报纸上公开披露过的所有公司文件的正本及</w:t>
      </w:r>
      <w:r>
        <w:rPr>
          <w:w w:val="99"/>
        </w:rPr>
        <w:t> </w:t>
      </w:r>
      <w:r>
        <w:rPr/>
        <w:t>公告的原稿。</w:t>
      </w:r>
      <w:r>
        <w:rPr>
          <w:b w:val="0"/>
          <w:bCs w:val="0"/>
        </w:rPr>
      </w:r>
    </w:p>
    <w:p>
      <w:pPr>
        <w:spacing w:line="240" w:lineRule="auto" w:before="2"/>
        <w:rPr>
          <w:rFonts w:ascii="宋体" w:hAnsi="宋体" w:cs="宋体" w:eastAsia="宋体" w:hint="default"/>
          <w:b/>
          <w:bCs/>
          <w:sz w:val="25"/>
          <w:szCs w:val="25"/>
        </w:rPr>
      </w:pPr>
    </w:p>
    <w:p>
      <w:pPr>
        <w:spacing w:before="0"/>
        <w:ind w:left="514" w:right="0" w:firstLine="0"/>
        <w:jc w:val="left"/>
        <w:rPr>
          <w:rFonts w:ascii="宋体" w:hAnsi="宋体" w:cs="宋体" w:eastAsia="宋体" w:hint="default"/>
          <w:sz w:val="24"/>
          <w:szCs w:val="24"/>
        </w:rPr>
      </w:pPr>
      <w:r>
        <w:rPr>
          <w:rFonts w:ascii="宋体" w:hAnsi="宋体" w:cs="宋体" w:eastAsia="宋体" w:hint="default"/>
          <w:sz w:val="24"/>
          <w:szCs w:val="24"/>
        </w:rPr>
        <w:t>以上文件的原件备置于公司证券部备查。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Heading2"/>
        <w:spacing w:line="367" w:lineRule="auto"/>
        <w:ind w:left="6129" w:right="1645" w:firstLine="472"/>
        <w:jc w:val="left"/>
        <w:rPr>
          <w:b w:val="0"/>
          <w:bCs w:val="0"/>
        </w:rPr>
      </w:pPr>
      <w:r>
        <w:rPr/>
        <w:t>法定代表人：</w:t>
      </w:r>
      <w:r>
        <w:rPr>
          <w:spacing w:val="-19"/>
        </w:rPr>
        <w:t> </w:t>
      </w:r>
      <w:r>
        <w:rPr/>
        <w:t>朱文明</w:t>
      </w:r>
      <w:r>
        <w:rPr>
          <w:w w:val="99"/>
        </w:rPr>
        <w:t> </w:t>
      </w:r>
      <w:r>
        <w:rPr/>
        <w:t>江苏丰东热技术股份有限公司</w:t>
      </w:r>
      <w:r>
        <w:rPr>
          <w:b w:val="0"/>
          <w:bCs w:val="0"/>
        </w:rPr>
      </w:r>
    </w:p>
    <w:p>
      <w:pPr>
        <w:spacing w:line="240" w:lineRule="auto" w:before="1"/>
        <w:rPr>
          <w:rFonts w:ascii="宋体" w:hAnsi="宋体" w:cs="宋体" w:eastAsia="宋体" w:hint="default"/>
          <w:b/>
          <w:bCs/>
          <w:sz w:val="19"/>
          <w:szCs w:val="19"/>
        </w:rPr>
      </w:pPr>
    </w:p>
    <w:p>
      <w:pPr>
        <w:pStyle w:val="Heading2"/>
        <w:spacing w:line="240" w:lineRule="auto"/>
        <w:ind w:left="6758" w:right="0"/>
        <w:jc w:val="left"/>
        <w:rPr>
          <w:b w:val="0"/>
          <w:bCs w:val="0"/>
        </w:rPr>
      </w:pPr>
      <w:r>
        <w:rPr/>
        <w:t>二〇一六年三月五日</w:t>
      </w:r>
      <w:r>
        <w:rPr>
          <w:b w:val="0"/>
          <w:bCs w:val="0"/>
        </w:rPr>
      </w:r>
    </w:p>
    <w:sectPr>
      <w:pgSz w:w="11910" w:h="16840"/>
      <w:pgMar w:header="768"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33104" type="#_x0000_t75" stroked="false">
          <v:imagedata r:id="rId1" o:title=""/>
        </v:shape>
      </w:pict>
    </w:r>
    <w:r>
      <w:rPr/>
      <w:pict>
        <v:shape style="position:absolute;margin-left:527.679993pt;margin-top:781.957947pt;width:13pt;height:11pt;mso-position-horizontal-relative:page;mso-position-vertical-relative:page;z-index:-833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33056" type="#_x0000_t75" stroked="false">
          <v:imagedata r:id="rId1" o:title=""/>
        </v:shape>
      </w:pict>
    </w:r>
    <w:r>
      <w:rPr/>
      <w:pict>
        <v:shape style="position:absolute;margin-left:524.179993pt;margin-top:781.957947pt;width:15.5pt;height:11pt;mso-position-horizontal-relative:page;mso-position-vertical-relative:page;z-index:-833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33008" type="#_x0000_t75" stroked="false">
          <v:imagedata r:id="rId1" o:title=""/>
        </v:shape>
      </w:pict>
    </w:r>
    <w:r>
      <w:rPr/>
      <w:pict>
        <v:shape style="position:absolute;margin-left:523.179993pt;margin-top:781.957947pt;width:17.5pt;height:11pt;mso-position-horizontal-relative:page;mso-position-vertical-relative:page;z-index:-832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199997pt;margin-top:38.399979pt;width:58.800003pt;height:13.5pt;mso-position-horizontal-relative:page;mso-position-vertical-relative:page;z-index:-833176" type="#_x0000_t75" stroked="false">
          <v:imagedata r:id="rId1" o:title=""/>
        </v:shape>
      </w:pict>
    </w:r>
    <w:r>
      <w:rPr/>
      <w:pict>
        <v:group style="position:absolute;margin-left:55.200001pt;margin-top:55.619984pt;width:485pt;height:.1pt;mso-position-horizontal-relative:page;mso-position-vertical-relative:page;z-index:-8331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833128" type="#_x0000_t202" filled="false" stroked="false">
          <v:textbox inset="0,0,0,0">
            <w:txbxContent>
              <w:p>
                <w:pPr>
                  <w:pStyle w:val="BodyText"/>
                  <w:spacing w:line="214" w:lineRule="exact"/>
                  <w:ind w:left="20" w:right="0"/>
                  <w:jc w:val="left"/>
                </w:pPr>
                <w:r>
                  <w:rPr/>
                  <w:t>江苏丰东热技术股份有限公司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8"/>
      <w:ind w:left="153"/>
    </w:pPr>
    <w:rPr>
      <w:rFonts w:ascii="宋体" w:hAnsi="宋体" w:eastAsia="宋体"/>
      <w:b/>
      <w:bCs/>
      <w:sz w:val="24"/>
      <w:szCs w:val="24"/>
    </w:rPr>
  </w:style>
  <w:style w:styleId="BodyText" w:type="paragraph">
    <w:name w:val="Body Text"/>
    <w:basedOn w:val="Normal"/>
    <w:uiPriority w:val="1"/>
    <w:qFormat/>
    <w:pPr>
      <w:ind w:left="51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576"/>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0"/>
      <w:szCs w:val="20"/>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http://www.fengdong.com/" TargetMode="External"/><Relationship Id="rId18" Type="http://schemas.openxmlformats.org/officeDocument/2006/relationships/hyperlink" Target="mailto:fengdong@fengdong.com" TargetMode="External"/><Relationship Id="rId19" Type="http://schemas.openxmlformats.org/officeDocument/2006/relationships/hyperlink" Target="http://www.cninfo.com.cn/" TargetMode="External"/><Relationship Id="rId20" Type="http://schemas.openxmlformats.org/officeDocument/2006/relationships/hyperlink" Target="http://baike.baidu.com/view/53669.htm" TargetMode="External"/><Relationship Id="rId21" Type="http://schemas.openxmlformats.org/officeDocument/2006/relationships/hyperlink" Target="http://baike.baidu.com/view/3841685.htm" TargetMode="External"/><Relationship Id="rId22" Type="http://schemas.openxmlformats.org/officeDocument/2006/relationships/hyperlink" Target="https://www.baidu.com/s?wd=%E8%88%AA%E7%A9%BA%E8%88%AA%E5%A4%A9&amp;amp;amp%3Btn=44039180_cpr&amp;amp;amp%3Bfenlei=mv6quAkxTZn0IZRqIHckPjm4nH00T1dBPycdrHnkPhD3P199nWw-0ZwV5Hcvrjm3rH6sPfKWUMw85HfYnjn4nH6sgvPsT6KdThsqpZwYTjCEQLGCpyw9Uz4Bmy-bIi4WUvYETgN-TLwGUv3EPjmLPWcsrjRz" TargetMode="External"/><Relationship Id="rId23" Type="http://schemas.openxmlformats.org/officeDocument/2006/relationships/hyperlink" Target="http://www.askci.com/reports/index167.html" TargetMode="External"/><Relationship Id="rId24" Type="http://schemas.openxmlformats.org/officeDocument/2006/relationships/hyperlink" Target="http://w/" TargetMode="External"/><Relationship Id="rId25" Type="http://schemas.openxmlformats.org/officeDocument/2006/relationships/hyperlink" Target="http://gh.askci.com/news/2014/12/19/141219101311.shtml" TargetMode="External"/><Relationship Id="rId26" Type="http://schemas.openxmlformats.org/officeDocument/2006/relationships/hyperlink" Target="http://www.cninfo.com.cn/information/companyinfo_n" TargetMode="External"/><Relationship Id="rId27" Type="http://schemas.openxmlformats.org/officeDocument/2006/relationships/image" Target="media/image13.jpe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hyperlink" Target="http://www.cninfo.com.cn/cn" TargetMode="Externa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hyperlink" Target="http://wiki.mbalib.com/wiki/%E6%94%B6%E7%9B%8A%E7%8E%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江苏丰东热技术股份有限公司</dc:creator>
  <dc:title>江苏丰东热技术股份有限公司2015年年度报告全文</dc:title>
  <dcterms:created xsi:type="dcterms:W3CDTF">2020-05-04T13:59:27Z</dcterms:created>
  <dcterms:modified xsi:type="dcterms:W3CDTF">2020-05-04T13:59:27Z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2016-03-07T00:00:00Z</vt:filetime>
  </property>
  <property fmtid="{D5CDD505-2E9C-101B-9397-08002B2CF9AE}" pid="3" name="Creator">
    <vt:lpwstr>Microsoft® Office Word 2007</vt:lpwstr>
  </property>
  <property fmtid="{D5CDD505-2E9C-101B-9397-08002B2CF9AE}" pid="4" name="LastSaved">
    <vt:filetime>2020-05-04T00:00:00Z</vt:filetime>
  </property>
</Properties>
</file>