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84pt;margin-top:27.80098pt;width:485.7pt;height:22.8pt;mso-position-horizontal-relative:page;mso-position-vertical-relative:page;z-index:-987160" coordorigin="1097,556" coordsize="9714,456">
            <v:group style="position:absolute;left:1104;top:982;width:9700;height:2" coordorigin="1104,982" coordsize="9700,2">
              <v:shape style="position:absolute;left:1104;top:982;width:9700;height:2" coordorigin="1104,982" coordsize="9700,0" path="m1104,982l10804,982e" filled="false" stroked="true" strokeweight=".72pt" strokecolor="#000000">
                <v:path arrowok="t"/>
              </v:shape>
              <v:shape style="position:absolute;left:1185;top:556;width:1474;height:456"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金财互联控股股份有限公司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54.84pt;margin-top:34.350983pt;width:485.7pt;height:22.8pt;mso-position-horizontal-relative:page;mso-position-vertical-relative:page;z-index:1048" coordorigin="1097,687" coordsize="9714,456">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85;top:687;width:1474;height:456"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805" w:right="1118"/>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367" w:lineRule="auto" w:before="230"/>
        <w:ind w:right="1118" w:firstLine="482"/>
        <w:jc w:val="left"/>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45" w:lineRule="auto" w:before="139"/>
        <w:ind w:right="1118" w:firstLine="482"/>
        <w:jc w:val="left"/>
        <w:rPr>
          <w:b w:val="0"/>
          <w:bCs w:val="0"/>
        </w:rPr>
      </w:pPr>
      <w:r>
        <w:rPr>
          <w:spacing w:val="2"/>
        </w:rPr>
        <w:t>公司负责人朱文明、主管会计工作负责人褚文兰及会计机构负责人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褚文</w:t>
      </w:r>
      <w:r>
        <w:rPr>
          <w:spacing w:val="2"/>
          <w:w w:val="99"/>
        </w:rPr>
        <w:t> </w:t>
      </w:r>
      <w:r>
        <w:rPr/>
        <w:t>兰声明：保证年度报告中财务报告的真实、准确、完整。</w:t>
      </w:r>
      <w:r>
        <w:rPr>
          <w:b w:val="0"/>
          <w:bCs w:val="0"/>
        </w:rPr>
      </w:r>
    </w:p>
    <w:p>
      <w:pPr>
        <w:pStyle w:val="Heading2"/>
        <w:spacing w:line="240" w:lineRule="auto" w:before="160"/>
        <w:ind w:left="636" w:right="1118"/>
        <w:jc w:val="left"/>
        <w:rPr>
          <w:b w:val="0"/>
          <w:bCs w:val="0"/>
        </w:rPr>
      </w:pPr>
      <w:r>
        <w:rPr/>
        <w:t>除下列董事外，其他董事亲自出席了审议本次年报的董事会会议</w:t>
      </w:r>
      <w:r>
        <w:rPr>
          <w:b w:val="0"/>
          <w:bCs w:val="0"/>
        </w:rPr>
      </w:r>
    </w:p>
    <w:p>
      <w:pPr>
        <w:spacing w:line="240" w:lineRule="auto" w:before="5"/>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季小琴</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公务</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陈丽花</w:t>
            </w:r>
          </w:p>
        </w:tc>
      </w:tr>
    </w:tbl>
    <w:p>
      <w:pPr>
        <w:spacing w:line="240" w:lineRule="auto" w:before="7"/>
        <w:rPr>
          <w:rFonts w:ascii="宋体" w:hAnsi="宋体" w:cs="宋体" w:eastAsia="宋体" w:hint="default"/>
          <w:b/>
          <w:bCs/>
          <w:sz w:val="13"/>
          <w:szCs w:val="13"/>
        </w:rPr>
      </w:pPr>
    </w:p>
    <w:p>
      <w:pPr>
        <w:pStyle w:val="Heading2"/>
        <w:spacing w:line="357" w:lineRule="auto" w:before="26"/>
        <w:ind w:right="1130" w:firstLine="482"/>
        <w:jc w:val="both"/>
        <w:rPr>
          <w:b w:val="0"/>
          <w:bCs w:val="0"/>
        </w:rPr>
      </w:pPr>
      <w:r>
        <w:rPr>
          <w:w w:val="95"/>
        </w:rPr>
        <w:t>本报告期不存在在生产经营状况、财务状况和持续盈利能力方面有严重不利影响的风险</w:t>
      </w:r>
      <w:r>
        <w:rPr>
          <w:w w:val="99"/>
        </w:rPr>
        <w:t> </w:t>
      </w:r>
      <w:r>
        <w:rPr/>
        <w:t>因素。对于公司经营中的相关风险分析，详见本报告</w:t>
      </w:r>
      <w:r>
        <w:rPr>
          <w:rFonts w:ascii="Times New Roman" w:hAnsi="Times New Roman" w:cs="Times New Roman" w:eastAsia="Times New Roman" w:hint="default"/>
        </w:rPr>
        <w:t>“</w:t>
      </w:r>
      <w:r>
        <w:rPr/>
        <w:t>第四节 经营情况讨论与分析</w:t>
      </w:r>
      <w:r>
        <w:rPr>
          <w:spacing w:val="-24"/>
        </w:rPr>
        <w:t> </w:t>
      </w:r>
      <w:r>
        <w:rPr/>
        <w:t>九、公</w:t>
      </w:r>
      <w:r>
        <w:rPr>
          <w:spacing w:val="1"/>
          <w:w w:val="99"/>
        </w:rPr>
        <w:t> </w:t>
      </w:r>
      <w:r>
        <w:rPr/>
        <w:t>司未来发展的展望（五）可能面临的风险及应对措施</w:t>
      </w:r>
      <w:r>
        <w:rPr>
          <w:rFonts w:ascii="Times New Roman" w:hAnsi="Times New Roman" w:cs="Times New Roman" w:eastAsia="Times New Roman" w:hint="default"/>
        </w:rPr>
        <w:t>”</w:t>
      </w:r>
      <w:r>
        <w:rPr/>
        <w:t>部分。</w:t>
      </w:r>
      <w:r>
        <w:rPr>
          <w:b w:val="0"/>
          <w:bCs w:val="0"/>
        </w:rPr>
      </w:r>
    </w:p>
    <w:p>
      <w:pPr>
        <w:pStyle w:val="Heading2"/>
        <w:spacing w:line="240" w:lineRule="auto" w:before="117"/>
        <w:ind w:left="636" w:right="0"/>
        <w:jc w:val="left"/>
        <w:rPr>
          <w:b w:val="0"/>
          <w:bCs w:val="0"/>
        </w:rPr>
      </w:pPr>
      <w:r>
        <w:rPr/>
        <w:t>公司经本次董事会审议通过的利润分配预案为：以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04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44"/>
        </w:rPr>
        <w:t> </w:t>
      </w:r>
      <w:r>
        <w:rPr/>
        <w:t>日的公司总股本</w:t>
      </w:r>
      <w:r>
        <w:rPr>
          <w:b w:val="0"/>
          <w:bCs w:val="0"/>
        </w:rPr>
      </w:r>
    </w:p>
    <w:p>
      <w:pPr>
        <w:pStyle w:val="Heading2"/>
        <w:spacing w:line="240" w:lineRule="auto" w:before="148"/>
        <w:ind w:right="0"/>
        <w:jc w:val="left"/>
        <w:rPr>
          <w:b w:val="0"/>
          <w:bCs w:val="0"/>
        </w:rPr>
      </w:pPr>
      <w:r>
        <w:rPr>
          <w:rFonts w:ascii="Times New Roman" w:hAnsi="Times New Roman" w:cs="Times New Roman" w:eastAsia="Times New Roman" w:hint="default"/>
        </w:rPr>
        <w:t>490,741,853</w:t>
      </w:r>
      <w:r>
        <w:rPr>
          <w:rFonts w:ascii="Times New Roman" w:hAnsi="Times New Roman" w:cs="Times New Roman" w:eastAsia="Times New Roman" w:hint="default"/>
          <w:spacing w:val="-3"/>
        </w:rPr>
        <w:t> </w:t>
      </w:r>
      <w:r>
        <w:rPr/>
        <w:t>股为基数，向全体股东每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股派发现金红利</w:t>
      </w:r>
      <w:r>
        <w:rPr>
          <w:spacing w:val="-62"/>
        </w:rPr>
        <w:t> </w:t>
      </w:r>
      <w:r>
        <w:rPr>
          <w:rFonts w:ascii="Times New Roman" w:hAnsi="Times New Roman" w:cs="Times New Roman" w:eastAsia="Times New Roman" w:hint="default"/>
        </w:rPr>
        <w:t>0.50</w:t>
      </w:r>
      <w:r>
        <w:rPr>
          <w:rFonts w:ascii="Times New Roman" w:hAnsi="Times New Roman" w:cs="Times New Roman" w:eastAsia="Times New Roman" w:hint="default"/>
          <w:spacing w:val="-3"/>
        </w:rPr>
        <w:t> </w:t>
      </w:r>
      <w:r>
        <w:rPr/>
        <w:t>元（含税），送红股</w:t>
      </w:r>
      <w:r>
        <w:rPr>
          <w:spacing w:val="-61"/>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股（含</w:t>
      </w:r>
      <w:r>
        <w:rPr>
          <w:b w:val="0"/>
          <w:bCs w:val="0"/>
        </w:rPr>
      </w:r>
    </w:p>
    <w:p>
      <w:pPr>
        <w:pStyle w:val="Heading2"/>
        <w:spacing w:line="240" w:lineRule="auto" w:before="147"/>
        <w:ind w:right="1118"/>
        <w:jc w:val="left"/>
        <w:rPr>
          <w:b w:val="0"/>
          <w:bCs w:val="0"/>
        </w:rPr>
      </w:pPr>
      <w:r>
        <w:rPr/>
        <w:t>税），以资本公积金向全体股东每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股。</w:t>
      </w:r>
      <w:r>
        <w:rPr>
          <w:b w:val="0"/>
          <w:bCs w:val="0"/>
        </w:rPr>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0"/>
        <w:rPr>
          <w:rFonts w:ascii="宋体" w:hAnsi="宋体" w:cs="宋体" w:eastAsia="宋体" w:hint="default"/>
          <w:b/>
          <w:bCs/>
          <w:sz w:val="20"/>
          <w:szCs w:val="20"/>
        </w:rPr>
      </w:pPr>
      <w:r>
        <w:rPr/>
        <w:pict>
          <v:group style="position:absolute;margin-left:54.84pt;margin-top:34.350983pt;width:485.7pt;height:22.8pt;mso-position-horizontal-relative:page;mso-position-vertical-relative:page;z-index:1072" coordorigin="1097,687" coordsize="9714,456">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85;top:687;width:1474;height:456"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723" w:val="left" w:leader="none"/>
        </w:tabs>
        <w:spacing w:before="123"/>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53"/>
          <w:szCs w:val="53"/>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8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before="188"/>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before="188"/>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before="188"/>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tabs>
          <w:tab w:pos="803" w:val="left" w:leader="none"/>
        </w:tabs>
        <w:spacing w:before="870"/>
        <w:ind w:left="0" w:right="977"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14"/>
        <w:gridCol w:w="545"/>
        <w:gridCol w:w="5612"/>
      </w:tblGrid>
      <w:tr>
        <w:trPr>
          <w:trHeight w:val="402" w:hRule="exact"/>
        </w:trPr>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公司、本公司、金财互联</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金财互联控股股份有限公司（系江苏丰东热技术股份有限公司更名）</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本公司全资子公司方欣科技有限公司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本公司全资子公司江苏丰东热技术有限公司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金财立信</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方欣科技下属公司浙江金财立信财务管理有限公司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北京恒利</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方欣科技下属公司北京方欣恒利科技有限公司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上海宝华威</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丰东热技术下属公司上海宝华威热处理设备有限公司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丰东热技术下属公司南京丰东热处理工程有限公司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丰东热技术下属公司天津丰东热处理有限公司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丰东热技术下属公司盐城丰东特种炉业有限公司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丰东热技术下属公司上海丰东热处理工程有限公司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丰东热技术下属公司常州鑫润丰东热处理工程有限公司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丰东热技术合营公司盐城高周波热炼有限公司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丰东热技术合营公司江苏石川岛丰东真空技术有限公司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丰东热技术联营公司广州丰东热炼有限公司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东润投资</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本公司控股股东江苏权健东润投资管理有限公司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北京众诚</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本公司股东北京众诚方圆投资中心（有限合伙）</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深圳金蝶</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本公司股东深圳市金蝶软件配套用品有限公司</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苏州松禾</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本公司股东苏州松禾成长二号创业投资中心（有限合伙）</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广州西域</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本公司股东广州西域洪昌互联网创业投资合伙企业（有限合伙）</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号计划</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本公司股东民生证券</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浦发银行</w:t>
            </w:r>
            <w:r>
              <w:rPr>
                <w:rFonts w:ascii="Times New Roman" w:hAnsi="Times New Roman" w:cs="Times New Roman" w:eastAsia="Times New Roman" w:hint="default"/>
                <w:sz w:val="18"/>
                <w:szCs w:val="18"/>
              </w:rPr>
              <w:t>-</w:t>
            </w:r>
            <w:r>
              <w:rPr>
                <w:rFonts w:ascii="宋体" w:hAnsi="宋体" w:cs="宋体" w:eastAsia="宋体" w:hint="default"/>
                <w:sz w:val="18"/>
                <w:szCs w:val="18"/>
              </w:rPr>
              <w:t>民生方欣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号集合资产管理计划</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4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6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headerReference w:type="default" r:id="rId9"/>
          <w:pgSz w:w="11910" w:h="16840"/>
          <w:pgMar w:header="687" w:footer="979" w:top="114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1"/>
        <w:spacing w:line="240" w:lineRule="auto"/>
        <w:ind w:left="2644" w:right="1118"/>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96"/>
        <w:gridCol w:w="2291"/>
        <w:gridCol w:w="2103"/>
        <w:gridCol w:w="2068"/>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291"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金财互联</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0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002530</w:t>
            </w:r>
          </w:p>
        </w:tc>
      </w:tr>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金财互联</w:t>
            </w:r>
          </w:p>
        </w:tc>
      </w:tr>
      <w:tr>
        <w:trPr>
          <w:trHeight w:val="401"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金财互联控股股份有限公司</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金财互联</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JC Finance &amp; Tax Interconnect Holdings</w:t>
            </w:r>
            <w:r>
              <w:rPr>
                <w:rFonts w:ascii="Times New Roman"/>
                <w:spacing w:val="-7"/>
                <w:sz w:val="18"/>
              </w:rPr>
              <w:t> </w:t>
            </w:r>
            <w:r>
              <w:rPr>
                <w:rFonts w:ascii="Times New Roman"/>
                <w:sz w:val="18"/>
              </w:rPr>
              <w:t>Ltd.</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朱文明</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江苏省盐城市大丰区经济开发区南翔西路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224100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江苏省盐城市大丰区经济开发区南翔西路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224100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tabs>
                <w:tab w:pos="2093" w:val="left" w:leader="none"/>
              </w:tabs>
              <w:spacing w:line="240" w:lineRule="auto" w:before="92"/>
              <w:ind w:left="27" w:right="0"/>
              <w:jc w:val="left"/>
              <w:rPr>
                <w:rFonts w:ascii="Times New Roman" w:hAnsi="Times New Roman" w:cs="Times New Roman" w:eastAsia="Times New Roman" w:hint="default"/>
                <w:sz w:val="18"/>
                <w:szCs w:val="18"/>
              </w:rPr>
            </w:pPr>
            <w:hyperlink r:id="rId10">
              <w:r>
                <w:rPr>
                  <w:rFonts w:ascii="Times New Roman"/>
                  <w:spacing w:val="-1"/>
                  <w:sz w:val="18"/>
                </w:rPr>
                <w:t>www.foresee.com.cn</w:t>
              </w:r>
            </w:hyperlink>
            <w:r>
              <w:rPr>
                <w:rFonts w:ascii="Times New Roman"/>
                <w:spacing w:val="-1"/>
                <w:sz w:val="18"/>
              </w:rPr>
              <w:tab/>
            </w:r>
            <w:hyperlink r:id="rId11">
              <w:r>
                <w:rPr>
                  <w:rFonts w:ascii="Times New Roman"/>
                  <w:spacing w:val="-1"/>
                  <w:sz w:val="18"/>
                </w:rPr>
                <w:t>www.fengdong.com</w:t>
              </w:r>
            </w:hyperlink>
          </w:p>
        </w:tc>
      </w:tr>
      <w:tr>
        <w:trPr>
          <w:trHeight w:val="40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4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hyperlink r:id="rId12">
              <w:r>
                <w:rPr>
                  <w:rFonts w:ascii="Times New Roman"/>
                  <w:sz w:val="18"/>
                </w:rPr>
                <w:t>JCHL@jc-interconnect.com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981"/>
        <w:gridCol w:w="3332"/>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王馨檬</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江苏省盐城市大丰区经济开发区南翔西路 </w:t>
            </w:r>
            <w:r>
              <w:rPr>
                <w:rFonts w:ascii="Times New Roman" w:hAnsi="Times New Roman" w:cs="Times New Roman" w:eastAsia="Times New Roman" w:hint="default"/>
                <w:sz w:val="18"/>
                <w:szCs w:val="18"/>
              </w:rPr>
              <w:t>333  </w:t>
            </w:r>
            <w:r>
              <w:rPr>
                <w:rFonts w:ascii="宋体" w:hAnsi="宋体" w:cs="宋体" w:eastAsia="宋体" w:hint="default"/>
                <w:sz w:val="18"/>
                <w:szCs w:val="18"/>
              </w:rPr>
              <w:t>号</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上海市长宁区金浜路 </w:t>
            </w:r>
            <w:r>
              <w:rPr>
                <w:rFonts w:ascii="Times New Roman" w:hAnsi="Times New Roman" w:cs="Times New Roman" w:eastAsia="Times New Roman" w:hint="default"/>
                <w:sz w:val="18"/>
                <w:szCs w:val="18"/>
              </w:rPr>
              <w:t>10  </w:t>
            </w:r>
            <w:r>
              <w:rPr>
                <w:rFonts w:ascii="宋体" w:hAnsi="宋体" w:cs="宋体" w:eastAsia="宋体" w:hint="default"/>
                <w:sz w:val="18"/>
                <w:szCs w:val="18"/>
              </w:rPr>
              <w:t>弄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0515-83282838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021-62615469</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0515-83282843</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021-62616452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9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fengdong@fengdong.com</w:t>
              </w:r>
            </w:hyperlink>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JCHL@jc-interconnect.com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2"/>
        <w:rPr>
          <w:rFonts w:ascii="宋体" w:hAnsi="宋体" w:cs="宋体" w:eastAsia="宋体" w:hint="default"/>
          <w:b/>
          <w:bCs/>
          <w:sz w:val="17"/>
          <w:szCs w:val="17"/>
        </w:rPr>
      </w:pPr>
    </w:p>
    <w:p>
      <w:pPr>
        <w:pStyle w:val="Heading2"/>
        <w:spacing w:line="240" w:lineRule="auto" w:before="26"/>
        <w:ind w:left="154" w:right="1118"/>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91320900608684500T</w:t>
            </w:r>
          </w:p>
        </w:tc>
      </w:tr>
      <w:tr>
        <w:trPr>
          <w:trHeight w:val="2938"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6"/>
                <w:szCs w:val="16"/>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公司上市以来主营业务的变 化情况（如有）</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年第一次临时股东大会审议，通过了《关于增加公司经营范围的议案》，同 意公司经营范围中增加“设备租赁”；增加后公司经营范围为：开发、生产热处理设备及其 辅助设备并销售本公司自产产品；承接金属零件的热处理加工业务；提供热处理设备的保修 维修服务；提供专业热处理技术咨询服务；设备租赁。</w:t>
            </w:r>
          </w:p>
          <w:p>
            <w:pPr>
              <w:pStyle w:val="TableParagraph"/>
              <w:spacing w:line="314" w:lineRule="auto" w:before="61"/>
              <w:ind w:left="22"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年第三次临时股东大会审议，通过了《关于修订公司章程的议案》，同意变 更公司名称、证券简称以及经营范围，变更后的经营范围为：实业投资；股权投资；投资咨 询；资产管理；税务服务；财务、税务咨询服务；互联网软、硬件产品研发、销售、技术服 务、系统集成服务；数据服务；金属材料热处理及表面改性设备的技术开发、技术咨询、制 造、销售及维修服务；房屋、设备租赁。</w:t>
            </w:r>
          </w:p>
        </w:tc>
      </w:tr>
      <w:tr>
        <w:trPr>
          <w:trHeight w:val="71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8"/>
        <w:jc w:val="left"/>
      </w:pPr>
      <w:r>
        <w:rPr/>
        <w:t>公司聘请的会计师事务所</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冯家俊、钟美玲</w:t>
            </w:r>
          </w:p>
        </w:tc>
      </w:tr>
    </w:tbl>
    <w:p>
      <w:pPr>
        <w:spacing w:line="240" w:lineRule="auto" w:before="8"/>
        <w:rPr>
          <w:rFonts w:ascii="宋体" w:hAnsi="宋体" w:cs="宋体" w:eastAsia="宋体" w:hint="default"/>
          <w:sz w:val="6"/>
          <w:szCs w:val="6"/>
        </w:rPr>
      </w:pPr>
    </w:p>
    <w:p>
      <w:pPr>
        <w:pStyle w:val="BodyText"/>
        <w:spacing w:line="240" w:lineRule="auto" w:before="44"/>
        <w:ind w:left="514" w:right="1118"/>
        <w:jc w:val="left"/>
      </w:pPr>
      <w:r>
        <w:rPr/>
        <w:t>公司聘请的报告期内履行持续督导职责的保荐机构</w:t>
      </w:r>
    </w:p>
    <w:p>
      <w:pPr>
        <w:spacing w:line="240" w:lineRule="auto" w:before="0"/>
        <w:rPr>
          <w:rFonts w:ascii="宋体" w:hAnsi="宋体" w:cs="宋体" w:eastAsia="宋体" w:hint="default"/>
          <w:sz w:val="15"/>
          <w:szCs w:val="15"/>
        </w:rPr>
      </w:pPr>
    </w:p>
    <w:p>
      <w:pPr>
        <w:pStyle w:val="BodyText"/>
        <w:spacing w:line="415"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65"/>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85"/>
        <w:gridCol w:w="3827"/>
        <w:gridCol w:w="1844"/>
        <w:gridCol w:w="1913"/>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1"/>
              <w:jc w:val="center"/>
              <w:rPr>
                <w:rFonts w:ascii="宋体" w:hAnsi="宋体" w:cs="宋体" w:eastAsia="宋体" w:hint="default"/>
                <w:sz w:val="18"/>
                <w:szCs w:val="18"/>
              </w:rPr>
            </w:pPr>
            <w:r>
              <w:rPr>
                <w:rFonts w:ascii="宋体" w:hAnsi="宋体" w:cs="宋体" w:eastAsia="宋体" w:hint="default"/>
                <w:sz w:val="18"/>
                <w:szCs w:val="18"/>
              </w:rPr>
              <w:t>浙江省杭州市杭大路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号黄龙世纪广场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陈亮、郑麒</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2016.11.21-2017.12.31</w:t>
            </w:r>
          </w:p>
        </w:tc>
      </w:tr>
      <w:tr>
        <w:trPr>
          <w:trHeight w:val="56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192"/>
              <w:jc w:val="left"/>
              <w:rPr>
                <w:rFonts w:ascii="宋体" w:hAnsi="宋体" w:cs="宋体" w:eastAsia="宋体" w:hint="default"/>
                <w:sz w:val="18"/>
                <w:szCs w:val="18"/>
              </w:rPr>
            </w:pPr>
            <w:r>
              <w:rPr>
                <w:rFonts w:ascii="宋体" w:hAnsi="宋体" w:cs="宋体" w:eastAsia="宋体" w:hint="default"/>
                <w:sz w:val="18"/>
                <w:szCs w:val="18"/>
              </w:rPr>
              <w:t>北京市东城区建国门内大街 </w:t>
            </w:r>
            <w:r>
              <w:rPr>
                <w:rFonts w:ascii="Times New Roman" w:hAnsi="Times New Roman" w:cs="Times New Roman" w:eastAsia="Times New Roman" w:hint="default"/>
                <w:sz w:val="18"/>
                <w:szCs w:val="18"/>
              </w:rPr>
              <w:t>28 </w:t>
            </w:r>
            <w:r>
              <w:rPr>
                <w:rFonts w:ascii="宋体" w:hAnsi="宋体" w:cs="宋体" w:eastAsia="宋体" w:hint="default"/>
                <w:sz w:val="18"/>
                <w:szCs w:val="18"/>
              </w:rPr>
              <w:t>号民生金融中 心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16-18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陆文昶、罗路歆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2016.11.21-2017.12.31</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公司是否需追溯调整或重述以前年度会计数据</w:t>
      </w:r>
    </w:p>
    <w:p>
      <w:pPr>
        <w:pStyle w:val="BodyText"/>
        <w:spacing w:line="240" w:lineRule="auto" w:before="115"/>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80"/>
        <w:gridCol w:w="1572"/>
        <w:gridCol w:w="1417"/>
        <w:gridCol w:w="1701"/>
        <w:gridCol w:w="1489"/>
      </w:tblGrid>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997,742,267.47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483,838,717.65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106.21%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434,809,121.88</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230,474,158.71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46,556,799.86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395.04%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33,841,036.15</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211,393,947.62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38,531,604.64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448.62%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26,793,739.85</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3380"/>
        <w:gridCol w:w="1572"/>
        <w:gridCol w:w="1417"/>
        <w:gridCol w:w="1701"/>
        <w:gridCol w:w="1489"/>
      </w:tblGrid>
      <w:tr>
        <w:trPr>
          <w:trHeight w:val="36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的净利润（元）</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187,604,575.10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221,984,043.48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39,361,618.55</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 </w:t>
            </w:r>
            <w:r>
              <w:rPr>
                <w:rFonts w:ascii="宋体" w:hAnsi="宋体" w:cs="宋体" w:eastAsia="宋体" w:hint="default"/>
                <w:sz w:val="18"/>
                <w:szCs w:val="18"/>
              </w:rPr>
              <w:t>个百分点</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4,793,419,172.33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4,277,110,591.30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999,628,027.82</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3,931,752,338.76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3,701,873,083.92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696,374,131.64</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1"/>
          <w:szCs w:val="21"/>
        </w:rPr>
      </w:pPr>
    </w:p>
    <w:p>
      <w:pPr>
        <w:pStyle w:val="Heading3"/>
        <w:spacing w:line="240" w:lineRule="auto"/>
        <w:ind w:left="556" w:right="1118"/>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2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19"/>
          <w:szCs w:val="19"/>
        </w:rPr>
      </w:pPr>
    </w:p>
    <w:p>
      <w:pPr>
        <w:pStyle w:val="Heading2"/>
        <w:spacing w:line="240" w:lineRule="auto"/>
        <w:ind w:right="1118"/>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089"/>
        <w:gridCol w:w="1373"/>
        <w:gridCol w:w="1361"/>
        <w:gridCol w:w="1361"/>
        <w:gridCol w:w="1361"/>
      </w:tblGrid>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149,120,791.81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197,647,235.45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259,953,023.72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391,021,216.49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30,052,311.12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49,006,370.20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69,233,404.08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82,182,073.31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归属于上市公司股东的扣除非经常性损益的净利润</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28,217,878.77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53,105,901.04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63,733,792.78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66,336,375.03</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-42,394,020.28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33,854,322.80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53,615,410.85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142,528,861.73</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上述财务指标或其加总数是否与公司已披露季度报告、半年度报告相关财务指标存在重大差异</w:t>
      </w:r>
    </w:p>
    <w:p>
      <w:pPr>
        <w:pStyle w:val="BodyText"/>
        <w:spacing w:line="240" w:lineRule="auto" w:before="116"/>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1287"/>
        <w:gridCol w:w="1134"/>
        <w:gridCol w:w="1134"/>
        <w:gridCol w:w="3330"/>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非流动资产处置损益（包括已计提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资产减值准备的冲销部分）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-2,289,543.31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2,113,588.62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101,006.90</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主要系丰东热技术下属公司南京丰东处置 生产线损失。</w:t>
            </w:r>
          </w:p>
        </w:tc>
      </w:tr>
    </w:tbl>
    <w:p>
      <w:pPr>
        <w:spacing w:after="0" w:line="316"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134"/>
        <w:gridCol w:w="1134"/>
        <w:gridCol w:w="3330"/>
      </w:tblGrid>
      <w:tr>
        <w:trPr>
          <w:trHeight w:val="57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 收返还、减免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1,878,303.61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1,967,440.60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807,254.53</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7"/>
              <w:jc w:val="left"/>
              <w:rPr>
                <w:rFonts w:ascii="宋体" w:hAnsi="宋体" w:cs="宋体" w:eastAsia="宋体" w:hint="default"/>
                <w:sz w:val="18"/>
                <w:szCs w:val="18"/>
              </w:rPr>
            </w:pPr>
            <w:r>
              <w:rPr>
                <w:rFonts w:ascii="宋体" w:hAnsi="宋体" w:cs="宋体" w:eastAsia="宋体" w:hint="default"/>
                <w:sz w:val="18"/>
                <w:szCs w:val="18"/>
              </w:rPr>
              <w:t>主要系丰东热技术下属公司重庆丰东收到 福利企业增值税返还。</w:t>
            </w:r>
          </w:p>
        </w:tc>
      </w:tr>
      <w:tr>
        <w:trPr>
          <w:trHeight w:val="249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5"/>
              <w:ind w:left="22" w:right="-39"/>
              <w:jc w:val="both"/>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业务密切相关，按照国家统一标准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定额或定量享受的政府补助除外）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15,697,298.54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8,397,238.28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8,534,472.27</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25"/>
              <w:ind w:left="22" w:right="19"/>
              <w:jc w:val="left"/>
              <w:rPr>
                <w:rFonts w:ascii="宋体" w:hAnsi="宋体" w:cs="宋体" w:eastAsia="宋体" w:hint="default"/>
                <w:sz w:val="18"/>
                <w:szCs w:val="18"/>
              </w:rPr>
            </w:pPr>
            <w:r>
              <w:rPr>
                <w:rFonts w:ascii="宋体" w:hAnsi="宋体" w:cs="宋体" w:eastAsia="宋体" w:hint="default"/>
                <w:sz w:val="18"/>
                <w:szCs w:val="18"/>
              </w:rPr>
              <w:t>本报告期内计入当期损益的政府补助中， 其中：</w:t>
            </w:r>
            <w:r>
              <w:rPr>
                <w:rFonts w:ascii="Times New Roman" w:hAnsi="Times New Roman" w:cs="Times New Roman" w:eastAsia="Times New Roman" w:hint="default"/>
                <w:sz w:val="18"/>
                <w:szCs w:val="18"/>
              </w:rPr>
              <w:t>4,720,000.00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元为财政贴息收入；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元为真空热处理设备智能化研 发和远程服务系统信息平台建设专项资 </w:t>
            </w:r>
            <w:r>
              <w:rPr>
                <w:rFonts w:ascii="宋体" w:hAnsi="宋体" w:cs="宋体" w:eastAsia="宋体" w:hint="default"/>
                <w:spacing w:val="-5"/>
                <w:sz w:val="18"/>
                <w:szCs w:val="18"/>
              </w:rPr>
              <w:t>金；</w:t>
            </w:r>
            <w:r>
              <w:rPr>
                <w:rFonts w:ascii="Times New Roman" w:hAnsi="Times New Roman" w:cs="Times New Roman" w:eastAsia="Times New Roman" w:hint="default"/>
                <w:spacing w:val="-5"/>
                <w:sz w:val="18"/>
                <w:szCs w:val="18"/>
              </w:rPr>
              <w:t>1,000,000.00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元为热处理设备智能化和</w:t>
            </w:r>
            <w:r>
              <w:rPr>
                <w:rFonts w:ascii="宋体" w:hAnsi="宋体" w:cs="宋体" w:eastAsia="宋体" w:hint="default"/>
                <w:spacing w:val="-87"/>
                <w:sz w:val="18"/>
                <w:szCs w:val="18"/>
              </w:rPr>
              <w:t> </w:t>
            </w:r>
            <w:r>
              <w:rPr>
                <w:rFonts w:ascii="宋体" w:hAnsi="宋体" w:cs="宋体" w:eastAsia="宋体" w:hint="default"/>
                <w:sz w:val="18"/>
                <w:szCs w:val="18"/>
              </w:rPr>
              <w:t>远程服务系统提升创新专项资金；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市级战略性新兴产业 发展专项资金；</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元为工贸科工 </w:t>
            </w:r>
            <w:r>
              <w:rPr>
                <w:rFonts w:ascii="宋体" w:hAnsi="宋体" w:cs="宋体" w:eastAsia="宋体" w:hint="default"/>
                <w:spacing w:val="-3"/>
                <w:sz w:val="18"/>
                <w:szCs w:val="18"/>
              </w:rPr>
              <w:t>业信息化转型升级奖励；</w:t>
            </w:r>
            <w:r>
              <w:rPr>
                <w:rFonts w:ascii="Times New Roman" w:hAnsi="Times New Roman" w:cs="Times New Roman" w:eastAsia="Times New Roman" w:hint="default"/>
                <w:spacing w:val="-3"/>
                <w:sz w:val="18"/>
                <w:szCs w:val="18"/>
              </w:rPr>
              <w:t>2,675,200.00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元为</w:t>
            </w:r>
            <w:r>
              <w:rPr>
                <w:rFonts w:ascii="宋体" w:hAnsi="宋体" w:cs="宋体" w:eastAsia="宋体" w:hint="default"/>
                <w:spacing w:val="-87"/>
                <w:sz w:val="18"/>
                <w:szCs w:val="18"/>
              </w:rPr>
              <w:t> </w:t>
            </w:r>
            <w:r>
              <w:rPr>
                <w:rFonts w:ascii="宋体" w:hAnsi="宋体" w:cs="宋体" w:eastAsia="宋体" w:hint="default"/>
                <w:sz w:val="18"/>
                <w:szCs w:val="18"/>
              </w:rPr>
              <w:t>研发经费补助。</w:t>
            </w:r>
          </w:p>
        </w:tc>
      </w:tr>
      <w:tr>
        <w:trPr>
          <w:trHeight w:val="153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 </w:t>
            </w:r>
            <w:r>
              <w:rPr>
                <w:rFonts w:ascii="宋体" w:hAnsi="宋体" w:cs="宋体" w:eastAsia="宋体" w:hint="default"/>
                <w:spacing w:val="-5"/>
                <w:sz w:val="18"/>
                <w:szCs w:val="18"/>
              </w:rPr>
              <w:t>效套期保值业务外，持有交易性金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融资产、交易性金融负债产生的公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允价值变动损益，以及处置交易性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金融资产、交易性金融负债和可供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出售金融资产取得的投资收益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9,480,377.44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55"/>
              <w:jc w:val="both"/>
              <w:rPr>
                <w:rFonts w:ascii="宋体" w:hAnsi="宋体" w:cs="宋体" w:eastAsia="宋体" w:hint="default"/>
                <w:sz w:val="18"/>
                <w:szCs w:val="18"/>
              </w:rPr>
            </w:pPr>
            <w:r>
              <w:rPr>
                <w:rFonts w:ascii="宋体" w:hAnsi="宋体" w:cs="宋体" w:eastAsia="宋体" w:hint="default"/>
                <w:sz w:val="18"/>
                <w:szCs w:val="18"/>
              </w:rPr>
              <w:t>主要系报告期内公司使用暂时闲置募集资 金和自有资金购买银行保本理财产品取得 的利息收入。</w:t>
            </w:r>
          </w:p>
        </w:tc>
      </w:tr>
      <w:tr>
        <w:trPr>
          <w:trHeight w:val="57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 入和支出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371,822.70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-1,084,383.84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-887,952.14</w:t>
            </w:r>
            <w:r>
              <w:rPr>
                <w:rFonts w:ascii="Times New Roman"/>
                <w:sz w:val="18"/>
              </w:rPr>
            </w:r>
          </w:p>
        </w:tc>
        <w:tc>
          <w:tcPr>
            <w:tcW w:w="3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5,539,701.10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2,126,124.59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1,350,190.70</w:t>
            </w:r>
          </w:p>
        </w:tc>
        <w:tc>
          <w:tcPr>
            <w:tcW w:w="3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39"/>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518,346.79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1,242,563.85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157,294.56</w:t>
            </w:r>
          </w:p>
        </w:tc>
        <w:tc>
          <w:tcPr>
            <w:tcW w:w="33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19,080,211.09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8,025,195.22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7,047,296.30</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left="153" w:right="1118"/>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149"/>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300" w:lineRule="auto"/>
        <w:ind w:left="153" w:right="1116" w:firstLine="360"/>
        <w:jc w:val="left"/>
      </w:pPr>
      <w:r>
        <w:rPr/>
        <w:t>公司报告期不存在将根据《公开发行证券的公司信息披露解释性公告第</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w:t>
      </w:r>
      <w:r>
        <w:rPr/>
        <w:t> 损益项目界定为经常性损益的项目的情形。</w:t>
      </w:r>
    </w:p>
    <w:p>
      <w:pPr>
        <w:spacing w:after="0" w:line="300" w:lineRule="auto"/>
        <w:jc w:val="left"/>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3447" w:right="1118"/>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54" w:right="1118"/>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4" w:right="7332"/>
        <w:jc w:val="left"/>
      </w:pPr>
      <w:r>
        <w:rPr/>
        <w:t>公司是否需要遵守特殊行业的披露要求 否</w:t>
      </w:r>
    </w:p>
    <w:p>
      <w:pPr>
        <w:pStyle w:val="BodyText"/>
        <w:spacing w:line="319" w:lineRule="auto" w:before="105"/>
        <w:ind w:left="154" w:right="1118" w:firstLine="360"/>
        <w:jc w:val="left"/>
      </w:pPr>
      <w:r>
        <w:rPr>
          <w:spacing w:val="-2"/>
        </w:rPr>
        <w:t>报告期内，公司一方面积极拓展互联网财税业务，聚焦财税大数据服务，推进金税、金财、大数据三大事业板块的协同</w:t>
      </w:r>
      <w:r>
        <w:rPr/>
        <w:t> 发展；另一方面继续巩固发展热处理设备制造业务，完善热处理专业服务连锁布局。</w:t>
      </w:r>
    </w:p>
    <w:p>
      <w:pPr>
        <w:pStyle w:val="Heading4"/>
        <w:spacing w:line="240" w:lineRule="auto" w:before="136"/>
        <w:ind w:right="1118"/>
        <w:jc w:val="left"/>
        <w:rPr>
          <w:b w:val="0"/>
          <w:bCs w:val="0"/>
        </w:rPr>
      </w:pPr>
      <w:r>
        <w:rPr/>
        <w:t>（一）</w:t>
      </w:r>
      <w:r>
        <w:rPr>
          <w:spacing w:val="-52"/>
        </w:rPr>
        <w:t> </w:t>
      </w:r>
      <w:r>
        <w:rPr/>
        <w:t>互联网财税业务</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left="154" w:right="1132" w:firstLine="360"/>
        <w:jc w:val="both"/>
      </w:pPr>
      <w:r>
        <w:rPr/>
        <w:t>方欣科技是一家国内领先的综合财税服务互联网公司，自</w:t>
      </w:r>
      <w:r>
        <w:rPr>
          <w:spacing w:val="-4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年成立以来，致力于构建企业、财税服务机构、财税专 </w:t>
      </w:r>
      <w:r>
        <w:rPr>
          <w:spacing w:val="-2"/>
        </w:rPr>
        <w:t>业人士以及金融机构的综合财税服务生态圈，为企业用户提供一站式的智慧财税、财富增值以及知识服务等互联网智慧财税</w:t>
      </w:r>
      <w:r>
        <w:rPr>
          <w:spacing w:val="-64"/>
        </w:rPr>
        <w:t> </w:t>
      </w:r>
      <w:r>
        <w:rPr>
          <w:spacing w:val="-64"/>
        </w:rPr>
      </w:r>
      <w:r>
        <w:rPr/>
        <w:t>大数据服务全产业链。</w:t>
      </w:r>
    </w:p>
    <w:p>
      <w:pPr>
        <w:pStyle w:val="BodyText"/>
        <w:spacing w:line="240" w:lineRule="auto" w:before="143"/>
        <w:ind w:left="514" w:right="0"/>
        <w:jc w:val="left"/>
      </w:pPr>
      <w:r>
        <w:rPr/>
        <w:t>截止报告期，公司的服务覆盖全国</w:t>
      </w:r>
      <w:r>
        <w:rPr>
          <w:spacing w:val="-36"/>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个省市，</w:t>
      </w:r>
      <w:r>
        <w:rPr>
          <w:rFonts w:ascii="Times New Roman" w:hAnsi="Times New Roman" w:cs="Times New Roman" w:eastAsia="Times New Roman" w:hint="default"/>
        </w:rPr>
        <w:t>800</w:t>
      </w:r>
      <w:r>
        <w:rPr>
          <w:rFonts w:ascii="Times New Roman" w:hAnsi="Times New Roman" w:cs="Times New Roman" w:eastAsia="Times New Roman" w:hint="default"/>
          <w:spacing w:val="8"/>
        </w:rPr>
        <w:t> </w:t>
      </w:r>
      <w:r>
        <w:rPr/>
        <w:t>多万企业用户，各项经营业绩指标较</w:t>
      </w:r>
      <w:r>
        <w:rPr>
          <w:spacing w:val="-3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年再上新的台阶。此外，</w:t>
      </w:r>
    </w:p>
    <w:p>
      <w:pPr>
        <w:pStyle w:val="BodyText"/>
        <w:spacing w:line="300" w:lineRule="auto" w:before="63"/>
        <w:ind w:left="153" w:right="111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年公司新注册申请了“金财互联”等</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个商标，并获得广东省诚信示范企业、知识产权管理体系认证企业、广东著名 </w:t>
      </w:r>
      <w:r>
        <w:rPr>
          <w:spacing w:val="-10"/>
        </w:rPr>
        <w:t>商标企业、</w:t>
      </w:r>
      <w:r>
        <w:rPr>
          <w:rFonts w:ascii="Times New Roman" w:hAnsi="Times New Roman" w:cs="Times New Roman" w:eastAsia="Times New Roman" w:hint="default"/>
          <w:spacing w:val="-10"/>
        </w:rPr>
        <w:t>2017</w:t>
      </w:r>
      <w:r>
        <w:rPr>
          <w:rFonts w:ascii="Times New Roman" w:hAnsi="Times New Roman" w:cs="Times New Roman" w:eastAsia="Times New Roman" w:hint="default"/>
          <w:spacing w:val="-3"/>
        </w:rPr>
        <w:t> </w:t>
      </w:r>
      <w:r>
        <w:rPr/>
        <w:t>年度优秀软件产品</w:t>
      </w:r>
      <w:r>
        <w:rPr>
          <w:rFonts w:ascii="Times New Roman" w:hAnsi="Times New Roman" w:cs="Times New Roman" w:eastAsia="Times New Roman" w:hint="default"/>
        </w:rPr>
        <w:t>-</w:t>
      </w:r>
      <w:r>
        <w:rPr/>
        <w:t>方欣电子税务局软件</w:t>
      </w:r>
      <w:r>
        <w:rPr>
          <w:spacing w:val="-48"/>
        </w:rPr>
        <w:t> </w:t>
      </w:r>
      <w:r>
        <w:rPr>
          <w:rFonts w:ascii="Times New Roman" w:hAnsi="Times New Roman" w:cs="Times New Roman" w:eastAsia="Times New Roman" w:hint="default"/>
          <w:spacing w:val="-10"/>
        </w:rPr>
        <w:t>V2.0</w:t>
      </w:r>
      <w:r>
        <w:rPr>
          <w:spacing w:val="-10"/>
        </w:rPr>
        <w:t>、</w:t>
      </w:r>
      <w:r>
        <w:rPr>
          <w:rFonts w:ascii="Times New Roman" w:hAnsi="Times New Roman" w:cs="Times New Roman" w:eastAsia="Times New Roman" w:hint="default"/>
          <w:spacing w:val="-10"/>
        </w:rPr>
        <w:t>2017</w:t>
      </w:r>
      <w:r>
        <w:rPr>
          <w:rFonts w:ascii="Times New Roman" w:hAnsi="Times New Roman" w:cs="Times New Roman" w:eastAsia="Times New Roman" w:hint="default"/>
          <w:spacing w:val="-3"/>
        </w:rPr>
        <w:t> </w:t>
      </w:r>
      <w:r>
        <w:rPr/>
        <w:t>年度优秀软件产品</w:t>
      </w:r>
      <w:r>
        <w:rPr>
          <w:rFonts w:ascii="Times New Roman" w:hAnsi="Times New Roman" w:cs="Times New Roman" w:eastAsia="Times New Roman" w:hint="default"/>
        </w:rPr>
        <w:t>-</w:t>
      </w:r>
      <w:r>
        <w:rPr/>
        <w:t>方欣财税管家企业版应用软件</w:t>
      </w:r>
      <w:r>
        <w:rPr>
          <w:spacing w:val="-48"/>
        </w:rPr>
        <w:t> </w:t>
      </w:r>
      <w:r>
        <w:rPr>
          <w:rFonts w:ascii="Times New Roman" w:hAnsi="Times New Roman" w:cs="Times New Roman" w:eastAsia="Times New Roman" w:hint="default"/>
        </w:rPr>
        <w:t>V1.0</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年度优秀软件产品</w:t>
      </w:r>
      <w:r>
        <w:rPr>
          <w:rFonts w:ascii="Times New Roman" w:hAnsi="Times New Roman" w:cs="Times New Roman" w:eastAsia="Times New Roman" w:hint="default"/>
        </w:rPr>
        <w:t>-</w:t>
      </w:r>
      <w:r>
        <w:rPr/>
        <w:t>方欣移动办税管理软件</w:t>
      </w:r>
      <w:r>
        <w:rPr>
          <w:spacing w:val="-46"/>
        </w:rPr>
        <w:t> </w:t>
      </w:r>
      <w:r>
        <w:rPr>
          <w:rFonts w:ascii="Times New Roman" w:hAnsi="Times New Roman" w:cs="Times New Roman" w:eastAsia="Times New Roman" w:hint="default"/>
        </w:rPr>
        <w:t>V1.0</w:t>
      </w:r>
      <w:r>
        <w:rPr>
          <w:rFonts w:ascii="Times New Roman" w:hAnsi="Times New Roman" w:cs="Times New Roman" w:eastAsia="Times New Roman" w:hint="default"/>
          <w:spacing w:val="-1"/>
        </w:rPr>
        <w:t> </w:t>
      </w:r>
      <w:r>
        <w:rPr/>
        <w:t>等荣誉，与广州大学等单位合作共建的“广东省智慧金财税工程技术 研究中心”也通过了广东省科技厅的认定。</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年公司共新增完成软件著作权登记</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项，完成专利申报受理</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项，软件产</w:t>
      </w:r>
    </w:p>
    <w:p>
      <w:pPr>
        <w:pStyle w:val="BodyText"/>
        <w:spacing w:line="240" w:lineRule="auto" w:before="14"/>
        <w:ind w:left="154" w:right="1118"/>
        <w:jc w:val="left"/>
      </w:pPr>
      <w:r>
        <w:rPr/>
        <w:t>品登记测试报告</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项，软件产品确认测试报告</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项。</w:t>
      </w:r>
    </w:p>
    <w:p>
      <w:pPr>
        <w:spacing w:line="240" w:lineRule="auto" w:before="12"/>
        <w:rPr>
          <w:rFonts w:ascii="宋体" w:hAnsi="宋体" w:cs="宋体" w:eastAsia="宋体" w:hint="default"/>
          <w:sz w:val="13"/>
          <w:szCs w:val="13"/>
        </w:rPr>
      </w:pPr>
    </w:p>
    <w:p>
      <w:pPr>
        <w:pStyle w:val="BodyText"/>
        <w:spacing w:line="312" w:lineRule="auto"/>
        <w:ind w:left="154" w:right="0" w:firstLine="360"/>
        <w:jc w:val="left"/>
      </w:pPr>
      <w:r>
        <w:rPr/>
        <w:t>方欣科技的主要产品分为系统集成服务、财税云服务、智慧电子税务局及相关服务，公司在</w:t>
      </w:r>
      <w:r>
        <w:rPr>
          <w:rFonts w:ascii="Times New Roman" w:hAnsi="Times New Roman" w:cs="Times New Roman" w:eastAsia="Times New Roman" w:hint="default"/>
        </w:rPr>
        <w:t>“</w:t>
      </w:r>
      <w:r>
        <w:rPr/>
        <w:t>打造平台、整合资源、融 </w:t>
      </w:r>
      <w:r>
        <w:rPr>
          <w:spacing w:val="-2"/>
        </w:rPr>
        <w:t>合生态、挖掘数据”的战略指导下，重点实施面向纳税人打造深度财税服务生态的“金财计划”和面向税务机关打造智能电</w:t>
      </w:r>
      <w:r>
        <w:rPr>
          <w:spacing w:val="-66"/>
        </w:rPr>
        <w:t> </w:t>
      </w:r>
      <w:r>
        <w:rPr>
          <w:spacing w:val="-66"/>
        </w:rPr>
      </w:r>
      <w:r>
        <w:rPr/>
        <w:t>子税务局的“金税计划”，实现双引擎驱动、互相辅助。通过</w:t>
      </w:r>
      <w:r>
        <w:rPr>
          <w:rFonts w:ascii="Times New Roman" w:hAnsi="Times New Roman" w:cs="Times New Roman" w:eastAsia="Times New Roman" w:hint="default"/>
        </w:rPr>
        <w:t>“</w:t>
      </w:r>
      <w:r>
        <w:rPr/>
        <w:t>企业服务平台</w:t>
      </w:r>
      <w:r>
        <w:rPr>
          <w:rFonts w:ascii="Times New Roman" w:hAnsi="Times New Roman" w:cs="Times New Roman" w:eastAsia="Times New Roman" w:hint="default"/>
        </w:rPr>
        <w:t>”</w:t>
      </w:r>
      <w:r>
        <w:rPr/>
        <w:t>升级为</w:t>
      </w:r>
      <w:r>
        <w:rPr>
          <w:rFonts w:ascii="Times New Roman" w:hAnsi="Times New Roman" w:cs="Times New Roman" w:eastAsia="Times New Roman" w:hint="default"/>
        </w:rPr>
        <w:t>“</w:t>
      </w:r>
      <w:r>
        <w:rPr/>
        <w:t>智能企业服务平台</w:t>
      </w:r>
      <w:r>
        <w:rPr>
          <w:rFonts w:ascii="Times New Roman" w:hAnsi="Times New Roman" w:cs="Times New Roman" w:eastAsia="Times New Roman" w:hint="default"/>
        </w:rPr>
        <w:t>”</w:t>
      </w:r>
      <w:r>
        <w:rPr/>
        <w:t>项目的逐步落地，</w:t>
      </w:r>
      <w:r>
        <w:rPr>
          <w:spacing w:val="-49"/>
        </w:rPr>
        <w:t> </w:t>
      </w:r>
      <w:r>
        <w:rPr>
          <w:spacing w:val="-2"/>
        </w:rPr>
        <w:t>解决企业在经营决策、成本效率、财税风控和金融服务等方面的智能化数据需求，实现企业财税风险识别、决策智能化、营</w:t>
      </w:r>
      <w:r>
        <w:rPr>
          <w:spacing w:val="-66"/>
        </w:rPr>
        <w:t> </w:t>
      </w:r>
      <w:r>
        <w:rPr>
          <w:spacing w:val="-66"/>
        </w:rPr>
      </w:r>
      <w:r>
        <w:rPr>
          <w:spacing w:val="-2"/>
        </w:rPr>
        <w:t>销精准化、成本精细化，帮助企业分析自身数据，进行自信的决策，降低企业风险，并通过工商、社保、海关、公安、司法</w:t>
      </w:r>
      <w:r>
        <w:rPr>
          <w:spacing w:val="-70"/>
        </w:rPr>
        <w:t> </w:t>
      </w:r>
      <w:r>
        <w:rPr>
          <w:spacing w:val="-70"/>
        </w:rPr>
      </w:r>
      <w:r>
        <w:rPr>
          <w:spacing w:val="-2"/>
        </w:rPr>
        <w:t>等外延数据整合，基于大数据面向千万以上企业提供行业情报、竞争情报、风险扫描、财务预警等智能化企业服务，满足现</w:t>
      </w:r>
      <w:r>
        <w:rPr>
          <w:spacing w:val="-66"/>
        </w:rPr>
        <w:t> </w:t>
      </w:r>
      <w:r>
        <w:rPr>
          <w:spacing w:val="-66"/>
        </w:rPr>
      </w:r>
      <w:r>
        <w:rPr/>
        <w:t>代智能企业需求。</w:t>
      </w:r>
    </w:p>
    <w:p>
      <w:pPr>
        <w:pStyle w:val="BodyText"/>
        <w:spacing w:line="314" w:lineRule="auto" w:before="141"/>
        <w:ind w:left="153" w:right="0" w:firstLine="360"/>
        <w:jc w:val="left"/>
      </w:pPr>
      <w:r>
        <w:rPr>
          <w:spacing w:val="-2"/>
        </w:rPr>
        <w:t>报告期内，公司与清华大学五道口金融学院签订了《战略合作备忘录》，借助清华百年来丰厚的教育教学资源，继续保</w:t>
      </w:r>
      <w:r>
        <w:rPr/>
        <w:t> </w:t>
      </w:r>
      <w:r>
        <w:rPr>
          <w:spacing w:val="-2"/>
        </w:rPr>
        <w:t>持与金融业界的紧密合作，保持方欣科技在互联网财税领域的行业敏感度与抓取力；与阿里巴巴集团旗下深圳市一达通企业</w:t>
      </w:r>
      <w:r>
        <w:rPr>
          <w:spacing w:val="-65"/>
        </w:rPr>
        <w:t> </w:t>
      </w:r>
      <w:r>
        <w:rPr>
          <w:spacing w:val="-65"/>
        </w:rPr>
      </w:r>
      <w:r>
        <w:rPr>
          <w:spacing w:val="-2"/>
        </w:rPr>
        <w:t>服务有限公司签订了《财税辅导服务合作协议书》，达成战略合作；利用公司在大数据资源、数据分析处理和应用领域的专</w:t>
      </w:r>
      <w:r>
        <w:rPr>
          <w:spacing w:val="-66"/>
        </w:rPr>
        <w:t> </w:t>
      </w:r>
      <w:r>
        <w:rPr>
          <w:spacing w:val="-66"/>
        </w:rPr>
      </w:r>
      <w:r>
        <w:rPr>
          <w:spacing w:val="-2"/>
        </w:rPr>
        <w:t>业能力，以及强大的线下服务资源的动员和组织能力，进一步拓展公司在财税服务及相关领域的风控能力和市场占有率，对</w:t>
      </w:r>
      <w:r>
        <w:rPr>
          <w:spacing w:val="-66"/>
        </w:rPr>
        <w:t> </w:t>
      </w:r>
      <w:r>
        <w:rPr>
          <w:spacing w:val="-66"/>
        </w:rPr>
      </w:r>
      <w:r>
        <w:rPr>
          <w:spacing w:val="-2"/>
        </w:rPr>
        <w:t>公司构建智慧财税生态、线上线下商业模式一体化具有重大意义。全资子公司金财互联数据服务有限公司与浙江经贸职业技</w:t>
      </w:r>
      <w:r>
        <w:rPr>
          <w:spacing w:val="-64"/>
        </w:rPr>
        <w:t> </w:t>
      </w:r>
      <w:r>
        <w:rPr>
          <w:spacing w:val="-64"/>
        </w:rPr>
      </w:r>
      <w:r>
        <w:rPr>
          <w:spacing w:val="-5"/>
        </w:rPr>
        <w:t>术学院签署了共建“江浙沪财税大数据中心”暨“江浙沪企业财税共享中心”的战略合作协议，“江浙沪企业财税共享中心”</w:t>
      </w:r>
      <w:r>
        <w:rPr>
          <w:spacing w:val="-80"/>
        </w:rPr>
        <w:t> </w:t>
      </w:r>
      <w:r>
        <w:rPr>
          <w:spacing w:val="-80"/>
        </w:rPr>
      </w:r>
      <w:r>
        <w:rPr/>
        <w:t>基于校企合作模式创建，依托丰富的财税经验、大数据处理技术及经贸学院深厚的学术师资力量，结合“互联网</w:t>
      </w:r>
      <w:r>
        <w:rPr>
          <w:rFonts w:ascii="Times New Roman" w:hAnsi="Times New Roman" w:cs="Times New Roman" w:eastAsia="Times New Roman" w:hint="default"/>
        </w:rPr>
        <w:t>+</w:t>
      </w:r>
      <w:r>
        <w:rPr/>
        <w:t>”模式，</w:t>
      </w:r>
      <w:r>
        <w:rPr>
          <w:spacing w:val="-16"/>
        </w:rPr>
        <w:t> </w:t>
      </w:r>
      <w:r>
        <w:rPr/>
        <w:t>实现财税服务规模化、平台化、智能化、数据化；采用互联网</w:t>
      </w:r>
      <w:r>
        <w:rPr>
          <w:rFonts w:ascii="Times New Roman" w:hAnsi="Times New Roman" w:cs="Times New Roman" w:eastAsia="Times New Roman" w:hint="default"/>
        </w:rPr>
        <w:t>+</w:t>
      </w:r>
      <w:r>
        <w:rPr/>
        <w:t>票据电子化</w:t>
      </w:r>
      <w:r>
        <w:rPr>
          <w:rFonts w:ascii="Times New Roman" w:hAnsi="Times New Roman" w:cs="Times New Roman" w:eastAsia="Times New Roman" w:hint="default"/>
        </w:rPr>
        <w:t>+</w:t>
      </w:r>
      <w:r>
        <w:rPr/>
        <w:t>人工智能等前沿科学信息技术，打通业财税数 据通道，真正实现业财税一体化。</w:t>
      </w:r>
    </w:p>
    <w:p>
      <w:pPr>
        <w:pStyle w:val="BodyText"/>
        <w:spacing w:line="240" w:lineRule="auto" w:before="139"/>
        <w:ind w:left="514" w:right="0"/>
        <w:jc w:val="left"/>
        <w:rPr>
          <w:rFonts w:ascii="Times New Roman" w:hAnsi="Times New Roman" w:cs="Times New Roman" w:eastAsia="Times New Roman" w:hint="default"/>
        </w:rPr>
      </w:pPr>
      <w:r>
        <w:rPr/>
        <w:t>方欣科技业务发展稳定，截止报告期，局端业务已经覆盖广东，福建</w:t>
      </w:r>
      <w:r>
        <w:rPr>
          <w:spacing w:val="-15"/>
        </w:rPr>
        <w:t> </w:t>
      </w:r>
      <w:r>
        <w:rPr/>
        <w:t>，贵州，青岛等</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个省市，企业用户数量超</w:t>
      </w:r>
      <w:r>
        <w:rPr>
          <w:spacing w:val="-53"/>
        </w:rPr>
        <w:t> </w:t>
      </w:r>
      <w:r>
        <w:rPr>
          <w:rFonts w:ascii="Times New Roman" w:hAnsi="Times New Roman" w:cs="Times New Roman" w:eastAsia="Times New Roman" w:hint="default"/>
        </w:rPr>
        <w:t>800</w:t>
      </w:r>
    </w:p>
    <w:p>
      <w:pPr>
        <w:pStyle w:val="BodyText"/>
        <w:spacing w:line="240" w:lineRule="auto" w:before="63"/>
        <w:ind w:left="153" w:right="1118"/>
        <w:jc w:val="left"/>
      </w:pPr>
      <w:r>
        <w:rPr/>
        <w:t>万，活跃用户数超</w:t>
      </w:r>
      <w:r>
        <w:rPr>
          <w:spacing w:val="-46"/>
        </w:rPr>
        <w:t> </w:t>
      </w:r>
      <w:r>
        <w:rPr>
          <w:rFonts w:ascii="Times New Roman" w:hAnsi="Times New Roman" w:cs="Times New Roman" w:eastAsia="Times New Roman" w:hint="default"/>
        </w:rPr>
        <w:t>700</w:t>
      </w:r>
      <w:r>
        <w:rPr>
          <w:rFonts w:ascii="Times New Roman" w:hAnsi="Times New Roman" w:cs="Times New Roman" w:eastAsia="Times New Roman" w:hint="default"/>
          <w:spacing w:val="-1"/>
        </w:rPr>
        <w:t> </w:t>
      </w:r>
      <w:r>
        <w:rPr/>
        <w:t>万，付费用户数近</w:t>
      </w:r>
      <w:r>
        <w:rPr>
          <w:spacing w:val="-46"/>
        </w:rPr>
        <w:t> </w:t>
      </w:r>
      <w:r>
        <w:rPr>
          <w:rFonts w:ascii="Times New Roman" w:hAnsi="Times New Roman" w:cs="Times New Roman" w:eastAsia="Times New Roman" w:hint="default"/>
        </w:rPr>
        <w:t>150</w:t>
      </w:r>
      <w:r>
        <w:rPr>
          <w:rFonts w:ascii="Times New Roman" w:hAnsi="Times New Roman" w:cs="Times New Roman" w:eastAsia="Times New Roman" w:hint="default"/>
          <w:spacing w:val="-1"/>
        </w:rPr>
        <w:t> </w:t>
      </w:r>
      <w:r>
        <w:rPr/>
        <w:t>万。</w:t>
      </w:r>
    </w:p>
    <w:p>
      <w:pPr>
        <w:spacing w:line="240" w:lineRule="auto" w:before="13"/>
        <w:rPr>
          <w:rFonts w:ascii="宋体" w:hAnsi="宋体" w:cs="宋体" w:eastAsia="宋体" w:hint="default"/>
          <w:sz w:val="13"/>
          <w:szCs w:val="13"/>
        </w:rPr>
      </w:pPr>
    </w:p>
    <w:p>
      <w:pPr>
        <w:pStyle w:val="BodyText"/>
        <w:spacing w:line="439" w:lineRule="auto"/>
        <w:ind w:left="514" w:right="1118" w:firstLine="1"/>
        <w:jc w:val="left"/>
      </w:pPr>
      <w:r>
        <w:rPr>
          <w:rFonts w:ascii="宋体" w:hAnsi="宋体" w:cs="宋体" w:eastAsia="宋体" w:hint="default"/>
          <w:b/>
          <w:bCs/>
        </w:rPr>
        <w:t>（二）热处理业务</w:t>
      </w:r>
      <w:r>
        <w:rPr>
          <w:rFonts w:ascii="宋体" w:hAnsi="宋体" w:cs="宋体" w:eastAsia="宋体" w:hint="default"/>
          <w:b/>
          <w:bCs/>
          <w:w w:val="99"/>
        </w:rPr>
        <w:t> </w:t>
      </w:r>
      <w:r>
        <w:rPr>
          <w:spacing w:val="-2"/>
        </w:rPr>
        <w:t>公司热处理板块业务涵盖了热处理设备制造、专业热处理加工、热处理设备售后服务及热处理技术咨询服务四大块。公</w:t>
      </w:r>
    </w:p>
    <w:p>
      <w:pPr>
        <w:spacing w:after="0" w:line="439"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32"/>
        <w:jc w:val="both"/>
      </w:pPr>
      <w:r>
        <w:rPr>
          <w:spacing w:val="-2"/>
        </w:rPr>
        <w:t>司制造的各类可控气氛热处理设备、真空热处理设备、非气氛加热设备等广泛应用于航空航天、军工、汽车零部件、工程机</w:t>
      </w:r>
      <w:r>
        <w:rPr>
          <w:spacing w:val="-66"/>
        </w:rPr>
        <w:t> </w:t>
      </w:r>
      <w:r>
        <w:rPr>
          <w:spacing w:val="-66"/>
        </w:rPr>
      </w:r>
      <w:r>
        <w:rPr>
          <w:spacing w:val="-2"/>
        </w:rPr>
        <w:t>械、机械基础件、石油化工、新能源等领域。不断提升的工艺技术研发能力、以客户为中心的快速服务能力成为热处理板块</w:t>
      </w:r>
      <w:r>
        <w:rPr>
          <w:spacing w:val="-66"/>
        </w:rPr>
        <w:t> </w:t>
      </w:r>
      <w:r>
        <w:rPr>
          <w:spacing w:val="-66"/>
        </w:rPr>
      </w:r>
      <w:r>
        <w:rPr/>
        <w:t>业绩驱动的主要因素。</w:t>
      </w:r>
    </w:p>
    <w:p>
      <w:pPr>
        <w:pStyle w:val="BodyText"/>
        <w:spacing w:line="312" w:lineRule="auto" w:before="136"/>
        <w:ind w:left="153" w:right="1118" w:firstLine="360"/>
        <w:jc w:val="left"/>
      </w:pPr>
      <w:r>
        <w:rPr/>
        <w:t>热处理及表面改性是机械制造的关键基础工艺，热处理工艺技术是《中国制造</w:t>
      </w:r>
      <w:r>
        <w:rPr>
          <w:spacing w:val="-45"/>
        </w:rPr>
        <w:t> </w:t>
      </w:r>
      <w:r>
        <w:rPr>
          <w:rFonts w:ascii="Times New Roman" w:hAnsi="Times New Roman" w:cs="Times New Roman" w:eastAsia="Times New Roman" w:hint="default"/>
        </w:rPr>
        <w:t>2025</w:t>
      </w:r>
      <w:r>
        <w:rPr/>
        <w:t>》中</w:t>
      </w:r>
      <w:r>
        <w:rPr>
          <w:rFonts w:ascii="Times New Roman" w:hAnsi="Times New Roman" w:cs="Times New Roman" w:eastAsia="Times New Roman" w:hint="default"/>
        </w:rPr>
        <w:t>“</w:t>
      </w:r>
      <w:r>
        <w:rPr/>
        <w:t>强基工程</w:t>
      </w:r>
      <w:r>
        <w:rPr>
          <w:rFonts w:ascii="Times New Roman" w:hAnsi="Times New Roman" w:cs="Times New Roman" w:eastAsia="Times New Roman" w:hint="default"/>
        </w:rPr>
        <w:t>”</w:t>
      </w:r>
      <w:r>
        <w:rPr/>
        <w:t>急需重点突破的先 </w:t>
      </w:r>
      <w:r>
        <w:rPr>
          <w:spacing w:val="-2"/>
        </w:rPr>
        <w:t>进基础工艺，对提升基础材料性能、保证关键核心零部件使用寿命有决定作用。在热处理过程中精准掌控和随机调整各类工</w:t>
      </w:r>
      <w:r>
        <w:rPr>
          <w:spacing w:val="-66"/>
        </w:rPr>
        <w:t> </w:t>
      </w:r>
      <w:r>
        <w:rPr>
          <w:spacing w:val="-66"/>
        </w:rPr>
      </w:r>
      <w:r>
        <w:rPr>
          <w:spacing w:val="-2"/>
        </w:rPr>
        <w:t>艺参数、气氛成分、表面沉积层化学成分、金相组织及分布状态、产品畸变规律及硬度分布会直接影响机械产品的可靠性和</w:t>
      </w:r>
      <w:r>
        <w:rPr>
          <w:spacing w:val="-66"/>
        </w:rPr>
        <w:t> </w:t>
      </w:r>
      <w:r>
        <w:rPr>
          <w:spacing w:val="-66"/>
        </w:rPr>
      </w:r>
      <w:r>
        <w:rPr/>
        <w:t>使用寿命。</w:t>
      </w:r>
    </w:p>
    <w:p>
      <w:pPr>
        <w:pStyle w:val="BodyText"/>
        <w:spacing w:line="319" w:lineRule="auto" w:before="141"/>
        <w:ind w:left="153" w:right="1033" w:firstLine="360"/>
        <w:jc w:val="left"/>
      </w:pPr>
      <w:r>
        <w:rPr/>
        <w:t>当前，我国热处理行业发展现状为：热处理企业随着城市发展规划和装备制造业的发展，开始进入到规范化发展阶段； 热处理行业把节能减排作为重点工作内容，推动以节能、减排、优质、高效为出发点的设备更新，加大力度淘汰落后产能；</w:t>
      </w:r>
      <w:r>
        <w:rPr>
          <w:spacing w:val="-85"/>
        </w:rPr>
        <w:t> </w:t>
      </w:r>
      <w:r>
        <w:rPr>
          <w:spacing w:val="-85"/>
        </w:rPr>
      </w:r>
      <w:r>
        <w:rPr/>
        <w:t>我国热处理技术装备与工艺材料开发创新能力增强，推广先进技术成绩显著，热处理行业工艺装备水平提升至一个新台阶；</w:t>
      </w:r>
      <w:r>
        <w:rPr>
          <w:spacing w:val="-85"/>
        </w:rPr>
        <w:t> </w:t>
      </w:r>
      <w:r>
        <w:rPr>
          <w:spacing w:val="-85"/>
        </w:rPr>
      </w:r>
      <w:r>
        <w:rPr>
          <w:spacing w:val="-2"/>
        </w:rPr>
        <w:t>我国热处理装备制造体系基本形成：真空热处理设备、可控气氛热处理设备、感应加热设备、淬火机床、数控淬火冷却设备</w:t>
      </w:r>
      <w:r>
        <w:rPr>
          <w:spacing w:val="-66"/>
        </w:rPr>
        <w:t> </w:t>
      </w:r>
      <w:r>
        <w:rPr>
          <w:spacing w:val="-66"/>
        </w:rPr>
      </w:r>
      <w:r>
        <w:rPr>
          <w:spacing w:val="-5"/>
        </w:rPr>
        <w:t>等均可实现本土化制造。但是，与工业发达国家相比，我国热处理行业仍存在如下差距：热处理加工产业整体上还是多而弱、</w:t>
      </w:r>
      <w:r>
        <w:rPr>
          <w:spacing w:val="-81"/>
        </w:rPr>
        <w:t> </w:t>
      </w:r>
      <w:r>
        <w:rPr>
          <w:spacing w:val="-81"/>
        </w:rPr>
      </w:r>
      <w:r>
        <w:rPr>
          <w:spacing w:val="-2"/>
        </w:rPr>
        <w:t>小而散、管理粗放，不利于产品质量的迅速提高；热处理技术创新能力仍较弱，两化融合进程缓慢；热处理企业能源管理制</w:t>
      </w:r>
      <w:r>
        <w:rPr>
          <w:spacing w:val="-66"/>
        </w:rPr>
        <w:t> </w:t>
      </w:r>
      <w:r>
        <w:rPr>
          <w:spacing w:val="-66"/>
        </w:rPr>
      </w:r>
      <w:r>
        <w:rPr>
          <w:spacing w:val="-2"/>
        </w:rPr>
        <w:t>度不完善，环保措施薄弱，节能环保型热处理装备普及率偏低；热处理共性技术研发不足，技术储备匮乏，影响高端设备和</w:t>
      </w:r>
      <w:r>
        <w:rPr>
          <w:spacing w:val="-66"/>
        </w:rPr>
        <w:t> </w:t>
      </w:r>
      <w:r>
        <w:rPr>
          <w:spacing w:val="-66"/>
        </w:rPr>
      </w:r>
      <w:r>
        <w:rPr/>
        <w:t>技术创新。热处理与机械制造业的发展态势息息相关，热处理行业将伴随着机械制造业景气度的变化而呈现出周期性特点。</w:t>
      </w:r>
    </w:p>
    <w:p>
      <w:pPr>
        <w:pStyle w:val="BodyText"/>
        <w:spacing w:line="309" w:lineRule="auto" w:before="136"/>
        <w:ind w:left="153" w:right="1130" w:firstLine="360"/>
        <w:jc w:val="both"/>
        <w:rPr>
          <w:rFonts w:ascii="Times New Roman" w:hAnsi="Times New Roman" w:cs="Times New Roman" w:eastAsia="Times New Roman" w:hint="default"/>
        </w:rPr>
      </w:pPr>
      <w:r>
        <w:rPr>
          <w:spacing w:val="-2"/>
        </w:rPr>
        <w:t>公司在智能可控气氛多用炉、智能化真空设备、智能等离子渗氮设备的开发及产业化推广应用方面取得了一系列科技成</w:t>
      </w:r>
      <w:r>
        <w:rPr/>
        <w:t> 果，有力地推动了我国热处理装备的技术进步和产业升级。</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年，公司被评为</w:t>
      </w:r>
      <w:r>
        <w:rPr>
          <w:rFonts w:ascii="Times New Roman" w:hAnsi="Times New Roman" w:cs="Times New Roman" w:eastAsia="Times New Roman" w:hint="default"/>
        </w:rPr>
        <w:t>“</w:t>
      </w:r>
      <w:r>
        <w:rPr/>
        <w:t>国家技术创新示范企业</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w:t>
      </w:r>
      <w:r>
        <w:rPr/>
        <w:t>中国机械 </w:t>
      </w:r>
      <w:r>
        <w:rPr>
          <w:spacing w:val="-2"/>
        </w:rPr>
        <w:t>工业科技进步二等奖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江苏省科学技术三等奖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江苏制造突出贡献奖</w:t>
      </w:r>
      <w:r>
        <w:rPr>
          <w:rFonts w:ascii="Times New Roman" w:hAnsi="Times New Roman" w:cs="Times New Roman" w:eastAsia="Times New Roman" w:hint="default"/>
          <w:spacing w:val="-2"/>
        </w:rPr>
        <w:t>”</w:t>
      </w:r>
      <w:r>
        <w:rPr>
          <w:spacing w:val="-2"/>
        </w:rPr>
        <w:t>等荣誉称号。报告期内，公司主持制定国家标准</w:t>
      </w:r>
      <w:r>
        <w:rPr>
          <w:spacing w:val="-16"/>
        </w:rPr>
        <w:t> </w:t>
      </w:r>
      <w:r>
        <w:rPr>
          <w:rFonts w:ascii="Times New Roman" w:hAnsi="Times New Roman" w:cs="Times New Roman" w:eastAsia="Times New Roman" w:hint="default"/>
        </w:rPr>
        <w:t>2</w:t>
      </w:r>
    </w:p>
    <w:p>
      <w:pPr>
        <w:pStyle w:val="BodyText"/>
        <w:spacing w:line="302" w:lineRule="auto" w:before="5"/>
        <w:ind w:left="153" w:right="1132"/>
        <w:jc w:val="both"/>
      </w:pPr>
      <w:r>
        <w:rPr>
          <w:spacing w:val="-3"/>
        </w:rPr>
        <w:t>项、行业标准</w:t>
      </w:r>
      <w:r>
        <w:rPr>
          <w:spacing w:val="-75"/>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项，引领行业发展方向与工艺技术进步及规范。公司坚持走科研成果产业化、产学研结合的道路，打造公司 的核心竞争力，使公司产品及服务保持国内领先。</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701"/>
        <w:gridCol w:w="7867"/>
      </w:tblGrid>
      <w:tr>
        <w:trPr>
          <w:trHeight w:val="682" w:hRule="exact"/>
        </w:trPr>
        <w:tc>
          <w:tcPr>
            <w:tcW w:w="1701"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6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55" w:hRule="exact"/>
        </w:trPr>
        <w:tc>
          <w:tcPr>
            <w:tcW w:w="1701"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86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本报告期末较上年同期减少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59.08%</w:t>
            </w:r>
            <w:r>
              <w:rPr>
                <w:rFonts w:ascii="宋体" w:hAnsi="宋体" w:cs="宋体" w:eastAsia="宋体" w:hint="default"/>
                <w:sz w:val="18"/>
                <w:szCs w:val="18"/>
              </w:rPr>
              <w:t>，主要系短期闲置资金购买短期保本理财产品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亿元所致</w:t>
            </w:r>
          </w:p>
        </w:tc>
      </w:tr>
      <w:tr>
        <w:trPr>
          <w:trHeight w:val="454" w:hRule="exact"/>
        </w:trPr>
        <w:tc>
          <w:tcPr>
            <w:tcW w:w="1701"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86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本报告期末较上年同期增加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54.05%</w:t>
            </w:r>
            <w:r>
              <w:rPr>
                <w:rFonts w:ascii="宋体" w:hAnsi="宋体" w:cs="宋体" w:eastAsia="宋体" w:hint="default"/>
                <w:sz w:val="18"/>
                <w:szCs w:val="18"/>
              </w:rPr>
              <w:t>，主要系热处理业务复苏，收到的票据增加所致</w:t>
            </w:r>
          </w:p>
        </w:tc>
      </w:tr>
      <w:tr>
        <w:trPr>
          <w:trHeight w:val="454" w:hRule="exact"/>
        </w:trPr>
        <w:tc>
          <w:tcPr>
            <w:tcW w:w="1701"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8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本报告期末较上年同期增加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70.52%</w:t>
            </w:r>
            <w:r>
              <w:rPr>
                <w:rFonts w:ascii="宋体" w:hAnsi="宋体" w:cs="宋体" w:eastAsia="宋体" w:hint="default"/>
                <w:sz w:val="18"/>
                <w:szCs w:val="18"/>
              </w:rPr>
              <w:t>，主要系收入增加、应收账款增加所致</w:t>
            </w:r>
          </w:p>
        </w:tc>
      </w:tr>
      <w:tr>
        <w:trPr>
          <w:trHeight w:val="595" w:hRule="exact"/>
        </w:trPr>
        <w:tc>
          <w:tcPr>
            <w:tcW w:w="1701" w:type="dxa"/>
            <w:tcBorders>
              <w:top w:val="single" w:sz="4" w:space="0" w:color="000000"/>
              <w:left w:val="single" w:sz="4" w:space="0" w:color="000000"/>
              <w:bottom w:val="single" w:sz="4" w:space="0" w:color="FFFFFF"/>
              <w:right w:val="single" w:sz="4" w:space="0" w:color="000000"/>
            </w:tcBorders>
            <w:shd w:val="clear" w:color="auto" w:fill="D9D9D9"/>
          </w:tcPr>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7867" w:type="dxa"/>
            <w:tcBorders>
              <w:top w:val="single" w:sz="4" w:space="0" w:color="000000"/>
              <w:left w:val="single" w:sz="4" w:space="0" w:color="000000"/>
              <w:bottom w:val="single" w:sz="4" w:space="0" w:color="FFFFFF"/>
              <w:right w:val="single" w:sz="4" w:space="0" w:color="000000"/>
            </w:tcBorders>
          </w:tcPr>
          <w:p>
            <w:pPr>
              <w:pStyle w:val="TableParagraph"/>
              <w:spacing w:line="240" w:lineRule="exact" w:before="52"/>
              <w:ind w:left="23" w:right="20"/>
              <w:jc w:val="left"/>
              <w:rPr>
                <w:rFonts w:ascii="宋体" w:hAnsi="宋体" w:cs="宋体" w:eastAsia="宋体" w:hint="default"/>
                <w:sz w:val="18"/>
                <w:szCs w:val="18"/>
              </w:rPr>
            </w:pPr>
            <w:r>
              <w:rPr>
                <w:rFonts w:ascii="宋体" w:hAnsi="宋体" w:cs="宋体" w:eastAsia="宋体" w:hint="default"/>
                <w:sz w:val="18"/>
                <w:szCs w:val="18"/>
              </w:rPr>
              <w:t>本报告期末较上年同期增加</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608.04%</w:t>
            </w:r>
            <w:r>
              <w:rPr>
                <w:rFonts w:ascii="宋体" w:hAnsi="宋体" w:cs="宋体" w:eastAsia="宋体" w:hint="default"/>
                <w:spacing w:val="-3"/>
                <w:sz w:val="18"/>
                <w:szCs w:val="18"/>
              </w:rPr>
              <w:t>，主要系业务扩张，支付股权受让款定金及经营所需预付款增加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所致</w:t>
            </w:r>
          </w:p>
        </w:tc>
      </w:tr>
      <w:tr>
        <w:trPr>
          <w:trHeight w:val="455" w:hRule="exact"/>
        </w:trPr>
        <w:tc>
          <w:tcPr>
            <w:tcW w:w="1701"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86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本报告期末较上年同期增加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31.82%</w:t>
            </w:r>
            <w:r>
              <w:rPr>
                <w:rFonts w:ascii="宋体" w:hAnsi="宋体" w:cs="宋体" w:eastAsia="宋体" w:hint="default"/>
                <w:sz w:val="18"/>
                <w:szCs w:val="18"/>
              </w:rPr>
              <w:t>，主要系销售扩大，存货相应增长所致</w:t>
            </w:r>
          </w:p>
        </w:tc>
      </w:tr>
      <w:tr>
        <w:trPr>
          <w:trHeight w:val="454" w:hRule="exact"/>
        </w:trPr>
        <w:tc>
          <w:tcPr>
            <w:tcW w:w="1701"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86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本报告期末较上年同期增加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13,068.12%</w:t>
            </w:r>
            <w:r>
              <w:rPr>
                <w:rFonts w:ascii="宋体" w:hAnsi="宋体" w:cs="宋体" w:eastAsia="宋体" w:hint="default"/>
                <w:spacing w:val="-80"/>
                <w:sz w:val="18"/>
                <w:szCs w:val="18"/>
              </w:rPr>
              <w:t>，</w:t>
            </w:r>
            <w:r>
              <w:rPr>
                <w:rFonts w:ascii="宋体" w:hAnsi="宋体" w:cs="宋体" w:eastAsia="宋体" w:hint="default"/>
                <w:spacing w:val="-2"/>
                <w:sz w:val="18"/>
                <w:szCs w:val="18"/>
              </w:rPr>
              <w:t>主</w:t>
            </w:r>
            <w:r>
              <w:rPr>
                <w:rFonts w:ascii="宋体" w:hAnsi="宋体" w:cs="宋体" w:eastAsia="宋体" w:hint="default"/>
                <w:sz w:val="18"/>
                <w:szCs w:val="18"/>
              </w:rPr>
              <w:t>要系短期闲置资金购买短期保本理财产品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亿元所致</w:t>
            </w:r>
          </w:p>
        </w:tc>
      </w:tr>
      <w:tr>
        <w:trPr>
          <w:trHeight w:val="454" w:hRule="exact"/>
        </w:trPr>
        <w:tc>
          <w:tcPr>
            <w:tcW w:w="1701"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86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本报告期末较上年同期增长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282.73%</w:t>
            </w:r>
            <w:r>
              <w:rPr>
                <w:rFonts w:ascii="宋体" w:hAnsi="宋体" w:cs="宋体" w:eastAsia="宋体" w:hint="default"/>
                <w:sz w:val="18"/>
                <w:szCs w:val="18"/>
              </w:rPr>
              <w:t>，主要系方欣科技参股上海企盈、杭州金才等所致</w:t>
            </w:r>
          </w:p>
        </w:tc>
      </w:tr>
      <w:tr>
        <w:trPr>
          <w:trHeight w:val="455" w:hRule="exact"/>
        </w:trPr>
        <w:tc>
          <w:tcPr>
            <w:tcW w:w="1701"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86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本报告期末较上年同期增长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48.98%</w:t>
            </w:r>
            <w:r>
              <w:rPr>
                <w:rFonts w:ascii="宋体" w:hAnsi="宋体" w:cs="宋体" w:eastAsia="宋体" w:hint="default"/>
                <w:sz w:val="18"/>
                <w:szCs w:val="18"/>
              </w:rPr>
              <w:t>，主要系资产减值损失计提递延所得税资产所致</w:t>
            </w:r>
          </w:p>
        </w:tc>
      </w:tr>
    </w:tbl>
    <w:p>
      <w:pPr>
        <w:spacing w:line="240" w:lineRule="auto" w:before="8"/>
        <w:rPr>
          <w:rFonts w:ascii="宋体" w:hAnsi="宋体" w:cs="宋体" w:eastAsia="宋体" w:hint="default"/>
          <w:b/>
          <w:bCs/>
          <w:sz w:val="19"/>
          <w:szCs w:val="19"/>
        </w:rPr>
      </w:pPr>
    </w:p>
    <w:p>
      <w:pPr>
        <w:pStyle w:val="Heading3"/>
        <w:spacing w:line="240" w:lineRule="auto" w:before="38"/>
        <w:ind w:right="1118"/>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87" w:footer="979" w:top="1140" w:bottom="1160" w:left="980" w:right="0"/>
        </w:sectPr>
      </w:pPr>
    </w:p>
    <w:p>
      <w:pPr>
        <w:spacing w:line="240" w:lineRule="auto" w:before="11"/>
        <w:rPr>
          <w:rFonts w:ascii="宋体" w:hAnsi="宋体" w:cs="宋体" w:eastAsia="宋体" w:hint="default"/>
          <w:sz w:val="17"/>
          <w:szCs w:val="17"/>
        </w:rPr>
      </w:pPr>
    </w:p>
    <w:p>
      <w:pPr>
        <w:pStyle w:val="Heading2"/>
        <w:spacing w:line="240" w:lineRule="auto" w:before="26"/>
        <w:ind w:left="154"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333"/>
        <w:jc w:val="left"/>
      </w:pPr>
      <w:r>
        <w:rPr/>
        <w:t>公司是否需要遵守特殊行业的披露要求 否</w:t>
      </w:r>
    </w:p>
    <w:p>
      <w:pPr>
        <w:pStyle w:val="Heading4"/>
        <w:spacing w:line="240" w:lineRule="auto" w:before="108"/>
        <w:ind w:right="1118"/>
        <w:jc w:val="left"/>
        <w:rPr>
          <w:b w:val="0"/>
          <w:bCs w:val="0"/>
        </w:rPr>
      </w:pPr>
      <w:bookmarkStart w:name="（一）互联网财税业务" w:id="23"/>
      <w:bookmarkEnd w:id="23"/>
      <w:r>
        <w:rPr>
          <w:b w:val="0"/>
          <w:bCs w:val="0"/>
        </w:rPr>
      </w:r>
      <w:r>
        <w:rPr/>
        <w:t>（一）互联网财税业务</w:t>
      </w:r>
      <w:r>
        <w:rPr>
          <w:b w:val="0"/>
          <w:bCs w:val="0"/>
        </w:rPr>
      </w:r>
    </w:p>
    <w:p>
      <w:pPr>
        <w:spacing w:line="240" w:lineRule="auto" w:before="0"/>
        <w:rPr>
          <w:rFonts w:ascii="宋体" w:hAnsi="宋体" w:cs="宋体" w:eastAsia="宋体" w:hint="default"/>
          <w:b/>
          <w:bCs/>
          <w:sz w:val="15"/>
          <w:szCs w:val="15"/>
        </w:rPr>
      </w:pPr>
    </w:p>
    <w:p>
      <w:pPr>
        <w:pStyle w:val="BodyText"/>
        <w:spacing w:line="338" w:lineRule="auto"/>
        <w:ind w:left="514" w:right="1118"/>
        <w:jc w:val="left"/>
      </w:pPr>
      <w:r>
        <w:rPr>
          <w:rFonts w:ascii="Times New Roman" w:hAnsi="Times New Roman" w:cs="Times New Roman" w:eastAsia="Times New Roman" w:hint="default"/>
        </w:rPr>
        <w:t>1</w:t>
      </w:r>
      <w:r>
        <w:rPr/>
        <w:t>、领先的技术研发和商业运作模式 </w:t>
      </w:r>
      <w:r>
        <w:rPr>
          <w:spacing w:val="-2"/>
        </w:rPr>
        <w:t>方欣科技是广东省战略性新兴产业骨干企业，取得国家规划布局内重点软件企业、高新技术企业认定证书，并拥有国家</w:t>
      </w:r>
    </w:p>
    <w:p>
      <w:pPr>
        <w:pStyle w:val="BodyText"/>
        <w:spacing w:line="338" w:lineRule="auto" w:before="4"/>
        <w:ind w:right="1118" w:hanging="360"/>
        <w:jc w:val="left"/>
      </w:pPr>
      <w:r>
        <w:rPr/>
        <w:t>软件与集成电路公共服务平台方欣</w:t>
      </w:r>
      <w:r>
        <w:rPr>
          <w:spacing w:val="-46"/>
        </w:rPr>
        <w:t> </w:t>
      </w:r>
      <w:r>
        <w:rPr>
          <w:rFonts w:ascii="Times New Roman" w:hAnsi="Times New Roman" w:cs="Times New Roman" w:eastAsia="Times New Roman" w:hint="default"/>
        </w:rPr>
        <w:t>SOA</w:t>
      </w:r>
      <w:r>
        <w:rPr>
          <w:rFonts w:ascii="Times New Roman" w:hAnsi="Times New Roman" w:cs="Times New Roman" w:eastAsia="Times New Roman" w:hint="default"/>
          <w:spacing w:val="-1"/>
        </w:rPr>
        <w:t> </w:t>
      </w:r>
      <w:r>
        <w:rPr/>
        <w:t>创新中心，博士后科研工作分站。 </w:t>
      </w:r>
      <w:r>
        <w:rPr>
          <w:spacing w:val="-2"/>
        </w:rPr>
        <w:t>方欣科技采用平台化的商业运作模式，利用领先的用户规模、数据规模和技术平台优势，通过整合财税、金融及产业链</w:t>
      </w:r>
    </w:p>
    <w:p>
      <w:pPr>
        <w:pStyle w:val="BodyText"/>
        <w:spacing w:line="302" w:lineRule="auto" w:before="2"/>
        <w:ind w:left="153" w:right="1133"/>
        <w:jc w:val="both"/>
      </w:pPr>
      <w:r>
        <w:rPr/>
        <w:t>合作伙伴等社会资源，采用“线上平台为主 </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线下实体为辅”的服务模式，为企业用户提供综合的财税服务。逐步构建的 智慧财税大数据服务平台已经形成了基于业财税数据和财税知识数据的数据服务能力。</w:t>
      </w:r>
    </w:p>
    <w:p>
      <w:pPr>
        <w:pStyle w:val="BodyText"/>
        <w:spacing w:line="302" w:lineRule="auto" w:before="68"/>
        <w:ind w:left="153" w:right="1119" w:firstLine="360"/>
        <w:jc w:val="left"/>
      </w:pPr>
      <w:r>
        <w:rPr/>
        <w:t>为适应平台化的运营模式，满足不同用户群体的个性化需求，快速响应市场，方欣科技采用“大中台 </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小前端”以及 对外提供开放</w:t>
      </w:r>
      <w:r>
        <w:rPr>
          <w:spacing w:val="-47"/>
        </w:rPr>
        <w:t> </w:t>
      </w:r>
      <w:r>
        <w:rPr>
          <w:rFonts w:ascii="Times New Roman" w:hAnsi="Times New Roman" w:cs="Times New Roman" w:eastAsia="Times New Roman" w:hint="default"/>
        </w:rPr>
        <w:t>API</w:t>
      </w:r>
      <w:r>
        <w:rPr>
          <w:rFonts w:ascii="Times New Roman" w:hAnsi="Times New Roman" w:cs="Times New Roman" w:eastAsia="Times New Roman" w:hint="default"/>
          <w:spacing w:val="-2"/>
        </w:rPr>
        <w:t> </w:t>
      </w:r>
      <w:r>
        <w:rPr/>
        <w:t>的平台化研发模式，具备业界领先的技术优势。</w:t>
      </w:r>
    </w:p>
    <w:p>
      <w:pPr>
        <w:pStyle w:val="BodyText"/>
        <w:spacing w:line="338" w:lineRule="auto" w:before="52"/>
        <w:ind w:left="514" w:right="1118"/>
        <w:jc w:val="left"/>
      </w:pPr>
      <w:r>
        <w:rPr>
          <w:rFonts w:ascii="Times New Roman" w:hAnsi="Times New Roman" w:cs="Times New Roman" w:eastAsia="Times New Roman" w:hint="default"/>
        </w:rPr>
        <w:t>2</w:t>
      </w:r>
      <w:r>
        <w:rPr/>
        <w:t>、领先的市场优势 </w:t>
      </w:r>
      <w:r>
        <w:rPr>
          <w:spacing w:val="-2"/>
        </w:rPr>
        <w:t>近些年，财税服务行业趋于正规化，市场集中度逐步提高，标准化、信息化成为规模化运营的重要抓手。方欣科技致力</w:t>
      </w:r>
    </w:p>
    <w:p>
      <w:pPr>
        <w:pStyle w:val="BodyText"/>
        <w:spacing w:line="319" w:lineRule="auto" w:before="2"/>
        <w:ind w:left="154" w:right="1133"/>
        <w:jc w:val="both"/>
      </w:pPr>
      <w:r>
        <w:rPr>
          <w:spacing w:val="-2"/>
        </w:rPr>
        <w:t>于多年的财税服务经验，凭借丰富的行业积累及专业优质的服务，在财税服务领域精耕细作，不断拓宽市场，报告期内，方</w:t>
      </w:r>
      <w:r>
        <w:rPr>
          <w:spacing w:val="-66"/>
        </w:rPr>
        <w:t> </w:t>
      </w:r>
      <w:r>
        <w:rPr>
          <w:spacing w:val="-66"/>
        </w:rPr>
      </w:r>
      <w:r>
        <w:rPr/>
        <w:t>欣科技新增了北京、青岛、大连、广西等省份及单列市，市场占有率处于领先地位。</w:t>
      </w:r>
    </w:p>
    <w:p>
      <w:pPr>
        <w:pStyle w:val="BodyText"/>
        <w:spacing w:line="338" w:lineRule="auto" w:before="56"/>
        <w:ind w:left="514" w:right="1032"/>
        <w:jc w:val="left"/>
      </w:pPr>
      <w:r>
        <w:rPr>
          <w:rFonts w:ascii="Times New Roman" w:hAnsi="Times New Roman" w:cs="Times New Roman" w:eastAsia="Times New Roman" w:hint="default"/>
        </w:rPr>
        <w:t>3</w:t>
      </w:r>
      <w:r>
        <w:rPr/>
        <w:t>、庞大的用户群体 方欣科技致力于财税行业多年，依托为企业提供各类财税产品和服务的先发优势，积累了庞大的在线注册用户。同时，</w:t>
      </w:r>
    </w:p>
    <w:p>
      <w:pPr>
        <w:pStyle w:val="BodyText"/>
        <w:spacing w:line="319" w:lineRule="auto" w:before="2"/>
        <w:ind w:left="154" w:right="1130"/>
        <w:jc w:val="both"/>
      </w:pPr>
      <w:r>
        <w:rPr>
          <w:spacing w:val="-2"/>
        </w:rPr>
        <w:t>公司通过建立事业合伙人机制，整合线下传统财税公司，并通过内拓外延，进一步扩张其它省份税局端和企业端市场，随着</w:t>
      </w:r>
      <w:r>
        <w:rPr>
          <w:spacing w:val="-65"/>
        </w:rPr>
        <w:t> </w:t>
      </w:r>
      <w:r>
        <w:rPr>
          <w:spacing w:val="-65"/>
        </w:rPr>
      </w:r>
      <w:r>
        <w:rPr/>
        <w:t>用户数的加速增长，形成稳定的企业用户群体。</w:t>
      </w:r>
    </w:p>
    <w:p>
      <w:pPr>
        <w:pStyle w:val="BodyText"/>
        <w:spacing w:line="338" w:lineRule="auto" w:before="56"/>
        <w:ind w:left="514" w:right="1032"/>
        <w:jc w:val="left"/>
      </w:pPr>
      <w:r>
        <w:rPr>
          <w:rFonts w:ascii="Times New Roman" w:hAnsi="Times New Roman" w:cs="Times New Roman" w:eastAsia="Times New Roman" w:hint="default"/>
        </w:rPr>
        <w:t>4</w:t>
      </w:r>
      <w:r>
        <w:rPr/>
        <w:t>、海量的数据积累 方欣科技多年来积累的庞大企业用户形成了海量的业财税数据（“业”指通过进、销项增值税发票，承载了企业交易、</w:t>
      </w:r>
    </w:p>
    <w:p>
      <w:pPr>
        <w:pStyle w:val="BodyText"/>
        <w:spacing w:line="319" w:lineRule="auto" w:before="2"/>
        <w:ind w:left="154" w:right="1131"/>
        <w:jc w:val="both"/>
      </w:pPr>
      <w:r>
        <w:rPr>
          <w:spacing w:val="-2"/>
        </w:rPr>
        <w:t>资金流向数据，反映了企业的业务情况；“财”指企业凭证及账套数据；“税”指企业涉税数据，反映了企业人财物和产供</w:t>
      </w:r>
      <w:r>
        <w:rPr>
          <w:spacing w:val="-67"/>
        </w:rPr>
        <w:t> </w:t>
      </w:r>
      <w:r>
        <w:rPr>
          <w:spacing w:val="-67"/>
        </w:rPr>
      </w:r>
      <w:r>
        <w:rPr>
          <w:spacing w:val="-2"/>
        </w:rPr>
        <w:t>销内部生态以及企业供应链及所处行业生态的经济活动，是企业服务领域最具价值的数据），利用互联网及大数据技术，通</w:t>
      </w:r>
      <w:r>
        <w:rPr>
          <w:spacing w:val="-66"/>
        </w:rPr>
        <w:t> </w:t>
      </w:r>
      <w:r>
        <w:rPr>
          <w:spacing w:val="-66"/>
        </w:rPr>
      </w:r>
      <w:r>
        <w:rPr>
          <w:spacing w:val="-2"/>
        </w:rPr>
        <w:t>过对用户的业财税数据进行归集整理、比对分析、深度挖掘，实现业财税数据和财税知识数据的数据服务输出能力和深度创</w:t>
      </w:r>
      <w:r>
        <w:rPr>
          <w:spacing w:val="-66"/>
        </w:rPr>
        <w:t> </w:t>
      </w:r>
      <w:r>
        <w:rPr>
          <w:spacing w:val="-66"/>
        </w:rPr>
      </w:r>
      <w:r>
        <w:rPr>
          <w:spacing w:val="-2"/>
        </w:rPr>
        <w:t>新增值应用，形成对所服务企业的有效的数据能力支撑，使用户更加信赖与依赖方欣科技，并以此为基础构建财税增值服务</w:t>
      </w:r>
      <w:r>
        <w:rPr>
          <w:spacing w:val="-66"/>
        </w:rPr>
        <w:t> </w:t>
      </w:r>
      <w:r>
        <w:rPr>
          <w:spacing w:val="-66"/>
        </w:rPr>
      </w:r>
      <w:r>
        <w:rPr/>
        <w:t>生态圈，形成公司的核心竞争力。</w:t>
      </w:r>
    </w:p>
    <w:p>
      <w:pPr>
        <w:pStyle w:val="BodyText"/>
        <w:spacing w:line="338" w:lineRule="auto" w:before="58"/>
        <w:ind w:left="514" w:right="1032"/>
        <w:jc w:val="left"/>
      </w:pPr>
      <w:r>
        <w:rPr>
          <w:rFonts w:ascii="Times New Roman" w:hAnsi="Times New Roman" w:cs="Times New Roman" w:eastAsia="Times New Roman" w:hint="default"/>
        </w:rPr>
        <w:t>5</w:t>
      </w:r>
      <w:r>
        <w:rPr/>
        <w:t>、专业的复合型的人才团队 方欣科技深耕财税行业多年，通过提供公开、公平、公正的人才环境，倡导“以奋斗者为本、天道酬勤”的人才理念，</w:t>
      </w:r>
    </w:p>
    <w:p>
      <w:pPr>
        <w:pStyle w:val="BodyText"/>
        <w:spacing w:line="319" w:lineRule="auto" w:before="2"/>
        <w:ind w:left="154" w:right="1133"/>
        <w:jc w:val="both"/>
      </w:pPr>
      <w:r>
        <w:rPr>
          <w:spacing w:val="-2"/>
        </w:rPr>
        <w:t>实行人才“双百计划”，大力引入财务、税务、金融、运营、营销、市场型人才，锻炼和打造了一支庞大的技术和产品研发</w:t>
      </w:r>
      <w:r>
        <w:rPr>
          <w:spacing w:val="-69"/>
        </w:rPr>
        <w:t> </w:t>
      </w:r>
      <w:r>
        <w:rPr>
          <w:spacing w:val="-69"/>
        </w:rPr>
      </w:r>
      <w:r>
        <w:rPr>
          <w:spacing w:val="-2"/>
        </w:rPr>
        <w:t>团队，积累和培养了大量的财税业务专家和互联网财税综合性人才。同时，方欣科技通过与清华大学五道口金融学院在学术</w:t>
      </w:r>
      <w:r>
        <w:rPr>
          <w:spacing w:val="-66"/>
        </w:rPr>
        <w:t> </w:t>
      </w:r>
      <w:r>
        <w:rPr>
          <w:spacing w:val="-66"/>
        </w:rPr>
      </w:r>
      <w:r>
        <w:rPr/>
        <w:t>研究、高层管理人才培养等领域开展合作，培养高层次、创新型、国际化的金融人才，为公司发展提供智力和人才支持。</w:t>
      </w:r>
    </w:p>
    <w:p>
      <w:pPr>
        <w:pStyle w:val="BodyText"/>
        <w:spacing w:line="432" w:lineRule="exact"/>
        <w:ind w:right="1118" w:firstLine="1"/>
        <w:jc w:val="left"/>
      </w:pPr>
      <w:bookmarkStart w:name="（二）热处理业务" w:id="24"/>
      <w:bookmarkEnd w:id="24"/>
      <w:r>
        <w:rPr/>
      </w:r>
      <w:r>
        <w:rPr>
          <w:rFonts w:ascii="宋体" w:hAnsi="宋体" w:cs="宋体" w:eastAsia="宋体" w:hint="default"/>
          <w:b/>
          <w:bCs/>
        </w:rPr>
        <w:t>（二）热处理业务</w:t>
      </w:r>
      <w:r>
        <w:rPr>
          <w:rFonts w:ascii="宋体" w:hAnsi="宋体" w:cs="宋体" w:eastAsia="宋体" w:hint="default"/>
          <w:b/>
          <w:bCs/>
          <w:w w:val="99"/>
        </w:rPr>
        <w:t> </w:t>
      </w:r>
      <w:r>
        <w:rPr>
          <w:spacing w:val="-2"/>
        </w:rPr>
        <w:t>丰东作为行业领先的综合热处理解决方案提供商，在热处理工艺、控制技术、制造结构、管理系统软件等领域拥有大量</w:t>
      </w:r>
    </w:p>
    <w:p>
      <w:pPr>
        <w:pStyle w:val="BodyText"/>
        <w:spacing w:line="319" w:lineRule="auto" w:before="15"/>
        <w:ind w:left="153" w:right="1132"/>
        <w:jc w:val="both"/>
      </w:pPr>
      <w:r>
        <w:rPr>
          <w:spacing w:val="-2"/>
        </w:rPr>
        <w:t>专利和科研成果。各类型热处理设备在国内外市场竞争中逐渐显现出技术优势和品牌优势。与国内竞争对手相比，公司拥有</w:t>
      </w:r>
      <w:r>
        <w:rPr>
          <w:spacing w:val="-66"/>
        </w:rPr>
        <w:t> </w:t>
      </w:r>
      <w:r>
        <w:rPr>
          <w:spacing w:val="-66"/>
        </w:rPr>
      </w:r>
      <w:r>
        <w:rPr>
          <w:spacing w:val="-2"/>
        </w:rPr>
        <w:t>完善的自主创新研发能力、相对齐全的工艺数据库系统、热处理连锁服务产业链布局以及为客户提供优质产品与专业技术服</w:t>
      </w:r>
      <w:r>
        <w:rPr>
          <w:spacing w:val="-64"/>
        </w:rPr>
        <w:t> </w:t>
      </w:r>
      <w:r>
        <w:rPr>
          <w:spacing w:val="-64"/>
        </w:rPr>
      </w:r>
      <w:r>
        <w:rPr/>
        <w:t>务的能力；与国际竞争对手相比，公司的竞争优势主要体现在较高的性价比和及时有效的售后服务。</w:t>
      </w:r>
    </w:p>
    <w:p>
      <w:pPr>
        <w:pStyle w:val="BodyText"/>
        <w:spacing w:line="338" w:lineRule="auto" w:before="56"/>
        <w:ind w:left="514" w:right="1118"/>
        <w:jc w:val="left"/>
      </w:pPr>
      <w:r>
        <w:rPr>
          <w:rFonts w:ascii="Times New Roman" w:hAnsi="Times New Roman" w:cs="Times New Roman" w:eastAsia="Times New Roman" w:hint="default"/>
        </w:rPr>
        <w:t>1</w:t>
      </w:r>
      <w:r>
        <w:rPr/>
        <w:t>、专业化研发优势 </w:t>
      </w:r>
      <w:r>
        <w:rPr>
          <w:spacing w:val="-2"/>
        </w:rPr>
        <w:t>公司具备完善的产品研究、开发和创新体系，拥有较强的产品研发能力、持续创新能力和项目产业化能力。公司重视产</w:t>
      </w:r>
    </w:p>
    <w:p>
      <w:pPr>
        <w:pStyle w:val="BodyText"/>
        <w:spacing w:line="240" w:lineRule="auto" w:before="2"/>
        <w:ind w:left="154" w:right="0"/>
        <w:jc w:val="both"/>
      </w:pPr>
      <w:r>
        <w:rPr/>
        <w:t>学研合作，在热处理数学模型和计算机模拟的研究与应用领域、热处理新工艺开发、热处理新产品开发等方面与上海交通大</w:t>
      </w:r>
    </w:p>
    <w:p>
      <w:pPr>
        <w:spacing w:after="0" w:line="240" w:lineRule="auto"/>
        <w:jc w:val="both"/>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31"/>
        <w:jc w:val="both"/>
      </w:pPr>
      <w:r>
        <w:rPr>
          <w:spacing w:val="-2"/>
        </w:rPr>
        <w:t>学、南京航空航天大学、大连理工大学、青岛科技大学等知名高校进行了长期而卓有成效的合作。公司拥有国家认定企业技</w:t>
      </w:r>
      <w:r>
        <w:rPr>
          <w:spacing w:val="-66"/>
        </w:rPr>
        <w:t> </w:t>
      </w:r>
      <w:r>
        <w:rPr>
          <w:spacing w:val="-66"/>
        </w:rPr>
      </w:r>
      <w:r>
        <w:rPr/>
        <w:t>术中心，国家认可实验室、国家级博士后科研工作站和企业院士工作站等研发平台，技术研发能力雄厚。</w:t>
      </w:r>
    </w:p>
    <w:p>
      <w:pPr>
        <w:pStyle w:val="BodyText"/>
        <w:spacing w:line="338" w:lineRule="auto" w:before="56"/>
        <w:ind w:left="514" w:right="1145"/>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月，针对客户个性化需求的持续增加，公司新设立“技术研发部”，致力于非标热处理设备的研发。 公司积极顺应无人化智能化装备发展趋势，</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年内已完成</w:t>
      </w:r>
      <w:r>
        <w:rPr>
          <w:rFonts w:ascii="Times New Roman" w:hAnsi="Times New Roman" w:cs="Times New Roman" w:eastAsia="Times New Roman" w:hint="default"/>
        </w:rPr>
        <w:t>“</w:t>
      </w:r>
      <w:r>
        <w:rPr/>
        <w:t>无人化智能热处理工厂</w:t>
      </w:r>
      <w:r>
        <w:rPr>
          <w:rFonts w:ascii="Times New Roman" w:hAnsi="Times New Roman" w:cs="Times New Roman" w:eastAsia="Times New Roman" w:hint="default"/>
        </w:rPr>
        <w:t>”</w:t>
      </w:r>
      <w:r>
        <w:rPr/>
        <w:t>的主要研发内容，</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月顺</w:t>
      </w:r>
    </w:p>
    <w:p>
      <w:pPr>
        <w:pStyle w:val="BodyText"/>
        <w:spacing w:line="232" w:lineRule="exact"/>
        <w:ind w:left="153" w:right="0"/>
        <w:jc w:val="both"/>
      </w:pPr>
      <w:r>
        <w:rPr/>
        <w:t>利通过江苏省经信委中期验收，并计划于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月通过工信部最终验收。</w:t>
      </w:r>
    </w:p>
    <w:p>
      <w:pPr>
        <w:pStyle w:val="BodyText"/>
        <w:spacing w:line="240" w:lineRule="auto" w:before="102"/>
        <w:ind w:right="1118"/>
        <w:jc w:val="left"/>
      </w:pPr>
      <w:r>
        <w:rPr>
          <w:rFonts w:ascii="Times New Roman" w:hAnsi="Times New Roman" w:cs="Times New Roman" w:eastAsia="Times New Roman" w:hint="default"/>
        </w:rPr>
        <w:t>2</w:t>
      </w:r>
      <w:r>
        <w:rPr/>
        <w:t>、质量及品牌优势</w:t>
      </w:r>
    </w:p>
    <w:p>
      <w:pPr>
        <w:pStyle w:val="BodyText"/>
        <w:spacing w:line="300" w:lineRule="auto" w:before="101"/>
        <w:ind w:left="153" w:right="942" w:firstLine="360"/>
        <w:jc w:val="left"/>
      </w:pPr>
      <w:r>
        <w:rPr/>
        <w:t>公司在国内热处理行业率先通过了</w:t>
      </w:r>
      <w:r>
        <w:rPr>
          <w:spacing w:val="-46"/>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1"/>
        </w:rPr>
        <w:t> </w:t>
      </w:r>
      <w:r>
        <w:rPr/>
        <w:t>质量体系认证和</w:t>
      </w:r>
      <w:r>
        <w:rPr>
          <w:spacing w:val="-46"/>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1"/>
        </w:rPr>
        <w:t> </w:t>
      </w:r>
      <w:r>
        <w:rPr/>
        <w:t>环境体系认证，专业热处理加工企业均通过了 </w:t>
      </w:r>
      <w:r>
        <w:rPr>
          <w:rFonts w:ascii="Times New Roman" w:hAnsi="Times New Roman" w:cs="Times New Roman" w:eastAsia="Times New Roman" w:hint="default"/>
        </w:rPr>
        <w:t>TS16949</w:t>
      </w:r>
      <w:r>
        <w:rPr>
          <w:rFonts w:ascii="Times New Roman" w:hAnsi="Times New Roman" w:cs="Times New Roman" w:eastAsia="Times New Roman" w:hint="default"/>
          <w:spacing w:val="28"/>
        </w:rPr>
        <w:t> </w:t>
      </w:r>
      <w:r>
        <w:rPr>
          <w:spacing w:val="-2"/>
        </w:rPr>
        <w:t>汽车质量体系认证。各热处理加工企业陆续通过或正在接受国内外汽车及工程机械等领域各大主机厂的评审与认证，</w:t>
      </w:r>
      <w:r>
        <w:rPr>
          <w:spacing w:val="-85"/>
        </w:rPr>
        <w:t> </w:t>
      </w:r>
      <w:r>
        <w:rPr>
          <w:spacing w:val="-85"/>
        </w:rPr>
      </w:r>
      <w:r>
        <w:rPr/>
        <w:t>纷纷进入到各大主机厂的供应商体系。</w:t>
      </w:r>
    </w:p>
    <w:p>
      <w:pPr>
        <w:pStyle w:val="BodyText"/>
        <w:spacing w:line="319" w:lineRule="auto" w:before="71"/>
        <w:ind w:left="153" w:right="1118" w:firstLine="360"/>
        <w:jc w:val="left"/>
      </w:pPr>
      <w:r>
        <w:rPr>
          <w:spacing w:val="-2"/>
        </w:rPr>
        <w:t>公司牵头主持起草并获公布实施的《热处理质量管理体系》国家标准，正成为全国高质量热处理加工企业全面接轨国际</w:t>
      </w:r>
      <w:r>
        <w:rPr/>
        <w:t> 热处理</w:t>
      </w:r>
      <w:r>
        <w:rPr>
          <w:spacing w:val="-47"/>
        </w:rPr>
        <w:t> </w:t>
      </w:r>
      <w:r>
        <w:rPr>
          <w:rFonts w:ascii="Times New Roman" w:hAnsi="Times New Roman" w:cs="Times New Roman" w:eastAsia="Times New Roman" w:hint="default"/>
        </w:rPr>
        <w:t>CQI-9</w:t>
      </w:r>
      <w:r>
        <w:rPr>
          <w:rFonts w:ascii="Times New Roman" w:hAnsi="Times New Roman" w:cs="Times New Roman" w:eastAsia="Times New Roman" w:hint="default"/>
          <w:spacing w:val="-1"/>
        </w:rPr>
        <w:t> </w:t>
      </w:r>
      <w:r>
        <w:rPr/>
        <w:t>质量体系标准的指导性标准。</w:t>
      </w:r>
    </w:p>
    <w:p>
      <w:pPr>
        <w:pStyle w:val="BodyText"/>
        <w:spacing w:line="319" w:lineRule="auto" w:before="35"/>
        <w:ind w:left="153" w:right="1118" w:firstLine="360"/>
        <w:jc w:val="left"/>
      </w:pPr>
      <w:r>
        <w:rPr>
          <w:spacing w:val="-5"/>
        </w:rPr>
        <w:t>“丰”品牌在热处理及机械制造相关领域具有较高的认知度和知名度，公司产品在汽车零部件、机械基础件、工程机械、</w:t>
      </w:r>
      <w:r>
        <w:rPr/>
        <w:t> 航空航天、军工、船舶等行业具有较高信誉度，得到了市场的高度认可。</w:t>
      </w:r>
    </w:p>
    <w:p>
      <w:pPr>
        <w:pStyle w:val="BodyText"/>
        <w:spacing w:line="240" w:lineRule="auto" w:before="56"/>
        <w:ind w:right="1118"/>
        <w:jc w:val="left"/>
      </w:pPr>
      <w:r>
        <w:rPr/>
        <w:t>公司的质量及品牌优势为公司在未来的市场开拓和竞争中长期占据并保持优势地位打下了良好的基础。</w:t>
      </w:r>
    </w:p>
    <w:p>
      <w:pPr>
        <w:pStyle w:val="BodyText"/>
        <w:spacing w:line="338" w:lineRule="auto" w:before="117"/>
        <w:ind w:right="1118"/>
        <w:jc w:val="left"/>
      </w:pPr>
      <w:r>
        <w:rPr>
          <w:rFonts w:ascii="Times New Roman" w:hAnsi="Times New Roman" w:cs="Times New Roman" w:eastAsia="Times New Roman" w:hint="default"/>
        </w:rPr>
        <w:t>3</w:t>
      </w:r>
      <w:r>
        <w:rPr/>
        <w:t>、人才优势 </w:t>
      </w:r>
      <w:r>
        <w:rPr>
          <w:spacing w:val="-2"/>
        </w:rPr>
        <w:t>公司高度重视业内优秀人才的引进，通过实施有效的招聘政策和培训计划，引进新生力量，为公司业务的发展提供相匹</w:t>
      </w:r>
    </w:p>
    <w:p>
      <w:pPr>
        <w:pStyle w:val="BodyText"/>
        <w:spacing w:line="319" w:lineRule="auto" w:before="2"/>
        <w:ind w:left="153" w:right="1133"/>
        <w:jc w:val="both"/>
      </w:pPr>
      <w:r>
        <w:rPr>
          <w:spacing w:val="-2"/>
        </w:rPr>
        <w:t>配的人才储备。同时，公司十分注重人才培养，每年邀请行业专家、产学研合作高校的教授来公司举办技术讲座和交流，经</w:t>
      </w:r>
      <w:r>
        <w:rPr>
          <w:spacing w:val="-66"/>
        </w:rPr>
        <w:t> </w:t>
      </w:r>
      <w:r>
        <w:rPr>
          <w:spacing w:val="-66"/>
        </w:rPr>
      </w:r>
      <w:r>
        <w:rPr>
          <w:spacing w:val="-2"/>
        </w:rPr>
        <w:t>常安排技术人员参加国际、国内热处理展览会、技术交流会。公司持续强化企业文化建设，提升企业凝聚力和向心力，提高</w:t>
      </w:r>
      <w:r>
        <w:rPr>
          <w:spacing w:val="-66"/>
        </w:rPr>
        <w:t> </w:t>
      </w:r>
      <w:r>
        <w:rPr>
          <w:spacing w:val="-66"/>
        </w:rPr>
      </w:r>
      <w:r>
        <w:rPr/>
        <w:t>员工的归属感，核心管理团队和关键技术人员结构稳定，风格稳健，为公司持续健康发展提供了根本保障。</w:t>
      </w:r>
    </w:p>
    <w:p>
      <w:pPr>
        <w:pStyle w:val="BodyText"/>
        <w:spacing w:line="240" w:lineRule="auto" w:before="56"/>
        <w:ind w:right="1118"/>
        <w:jc w:val="left"/>
      </w:pPr>
      <w:r>
        <w:rPr>
          <w:rFonts w:ascii="Times New Roman" w:hAnsi="Times New Roman" w:cs="Times New Roman" w:eastAsia="Times New Roman" w:hint="default"/>
        </w:rPr>
        <w:t>4</w:t>
      </w:r>
      <w:r>
        <w:rPr/>
        <w:t>、生产管理优势</w:t>
      </w:r>
    </w:p>
    <w:p>
      <w:pPr>
        <w:pStyle w:val="BodyText"/>
        <w:spacing w:line="312" w:lineRule="auto" w:before="102"/>
        <w:ind w:left="153" w:right="1131" w:firstLine="450"/>
        <w:jc w:val="both"/>
      </w:pPr>
      <w:r>
        <w:rPr/>
        <w:t>经过近</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2"/>
        </w:rPr>
        <w:t>年的运营，公司已形成一套具有公司特色、科学高效、运作有序的管理机制。在热处理设备制造及加工服务</w:t>
      </w:r>
      <w:r>
        <w:rPr/>
        <w:t> </w:t>
      </w:r>
      <w:r>
        <w:rPr>
          <w:spacing w:val="-2"/>
        </w:rPr>
        <w:t>领域积累了丰富的开发、生产和管理经验，培养了一支精干的生产管理团队和一大批技术娴熟的技工，形成了较为完善的生</w:t>
      </w:r>
      <w:r>
        <w:rPr>
          <w:spacing w:val="-66"/>
        </w:rPr>
        <w:t> </w:t>
      </w:r>
      <w:r>
        <w:rPr>
          <w:spacing w:val="-66"/>
        </w:rPr>
      </w:r>
      <w:r>
        <w:rPr>
          <w:spacing w:val="-5"/>
        </w:rPr>
        <w:t>产管理体系。通过加强生产环节的控制，引进高端生产检测设备，产品生产效率得到提升，产品性能及质量也得到有效保证，</w:t>
      </w:r>
      <w:r>
        <w:rPr>
          <w:spacing w:val="-82"/>
        </w:rPr>
        <w:t> </w:t>
      </w:r>
      <w:r>
        <w:rPr>
          <w:spacing w:val="-82"/>
        </w:rPr>
      </w:r>
      <w:r>
        <w:rPr/>
        <w:t>确保了公司的产品竞争优势。</w:t>
      </w:r>
    </w:p>
    <w:p>
      <w:pPr>
        <w:pStyle w:val="BodyText"/>
        <w:spacing w:line="338" w:lineRule="auto" w:before="62"/>
        <w:ind w:left="514" w:right="1118"/>
        <w:jc w:val="left"/>
      </w:pPr>
      <w:r>
        <w:rPr>
          <w:rFonts w:ascii="Times New Roman" w:hAnsi="Times New Roman" w:cs="Times New Roman" w:eastAsia="Times New Roman" w:hint="default"/>
        </w:rPr>
        <w:t>5</w:t>
      </w:r>
      <w:r>
        <w:rPr/>
        <w:t>、客户服务优势 </w:t>
      </w:r>
      <w:r>
        <w:rPr>
          <w:spacing w:val="-2"/>
        </w:rPr>
        <w:t>公司坚持以客户需求为导向，向客户提供全周期服务。从与客户初次沟通开始，倾听客户需求，站在客户的角度推荐最</w:t>
      </w:r>
    </w:p>
    <w:p>
      <w:pPr>
        <w:pStyle w:val="BodyText"/>
        <w:spacing w:line="314" w:lineRule="auto" w:before="2"/>
        <w:ind w:left="154" w:right="1132"/>
        <w:jc w:val="both"/>
      </w:pPr>
      <w:r>
        <w:rPr>
          <w:spacing w:val="-2"/>
        </w:rPr>
        <w:t>经济的热处理解决方案；营销担当全程跟踪，及时沟通并反馈客户需求，确保公司技术研发部门或生产制造部门能够快速响</w:t>
      </w:r>
      <w:r>
        <w:rPr>
          <w:spacing w:val="-66"/>
        </w:rPr>
        <w:t> </w:t>
      </w:r>
      <w:r>
        <w:rPr>
          <w:spacing w:val="-66"/>
        </w:rPr>
      </w:r>
      <w:r>
        <w:rPr>
          <w:spacing w:val="-2"/>
        </w:rPr>
        <w:t>应，及时做出相关调整；设备交付客户现场，公司派遣成熟的设计和制造担当，带领工程人员为客户提供快速、周到的安装</w:t>
      </w:r>
      <w:r>
        <w:rPr>
          <w:spacing w:val="-66"/>
        </w:rPr>
        <w:t> </w:t>
      </w:r>
      <w:r>
        <w:rPr>
          <w:spacing w:val="-66"/>
        </w:rPr>
      </w:r>
      <w:r>
        <w:rPr>
          <w:spacing w:val="-2"/>
        </w:rPr>
        <w:t>调试服务；公司营销管理部及时建立客户档案，在设备验收完成后及时复制传递给售后服务部门，由售后服务部及时跟进后</w:t>
      </w:r>
      <w:r>
        <w:rPr>
          <w:spacing w:val="-66"/>
        </w:rPr>
        <w:t> </w:t>
      </w:r>
      <w:r>
        <w:rPr>
          <w:spacing w:val="-66"/>
        </w:rPr>
      </w:r>
      <w:r>
        <w:rPr/>
        <w:t>续服务，针对客户的售后服务需求，公司实施</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小时响应机制，真正做到想客户所想，急客户所急，保障客户热处理设备 </w:t>
      </w:r>
      <w:r>
        <w:rPr>
          <w:spacing w:val="-5"/>
        </w:rPr>
        <w:t>的正常运行。通过专业用心的技术服务和客户需求的快速有效响应，为公司赢得了良好的客户口碑，树立了良好的市场形象。</w:t>
      </w:r>
    </w:p>
    <w:p>
      <w:pPr>
        <w:spacing w:after="0" w:line="314" w:lineRule="auto"/>
        <w:jc w:val="both"/>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2966" w:right="1118"/>
        <w:jc w:val="left"/>
        <w:rPr>
          <w:b w:val="0"/>
          <w:bCs w:val="0"/>
        </w:rPr>
      </w:pPr>
      <w:bookmarkStart w:name="第四节 经营情况讨论与分析" w:id="25"/>
      <w:bookmarkEnd w:id="25"/>
      <w:r>
        <w:rPr>
          <w:b w:val="0"/>
          <w:bCs w:val="0"/>
        </w:rPr>
      </w:r>
      <w:bookmarkStart w:name="_bookmark3" w:id="26"/>
      <w:bookmarkEnd w:id="26"/>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7"/>
      <w:bookmarkEnd w:id="27"/>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13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5"/>
        </w:rPr>
        <w:t> </w:t>
      </w:r>
      <w:r>
        <w:rPr>
          <w:spacing w:val="-2"/>
        </w:rPr>
        <w:t>年是真正意义上公司实施“互联网财税服务</w:t>
      </w:r>
      <w:r>
        <w:rPr>
          <w:rFonts w:ascii="Times New Roman" w:hAnsi="Times New Roman" w:cs="Times New Roman" w:eastAsia="Times New Roman" w:hint="default"/>
          <w:spacing w:val="-2"/>
        </w:rPr>
        <w:t>+</w:t>
      </w:r>
      <w:r>
        <w:rPr>
          <w:spacing w:val="-2"/>
        </w:rPr>
        <w:t>热处理设备制造及服务”双轨发展战略的第一年，两大业务板块双双</w:t>
      </w:r>
      <w:r>
        <w:rPr/>
        <w:t> 发力，报告期内，公司实现营业收入</w:t>
      </w:r>
      <w:r>
        <w:rPr>
          <w:spacing w:val="-46"/>
        </w:rPr>
        <w:t> </w:t>
      </w:r>
      <w:r>
        <w:rPr>
          <w:rFonts w:ascii="Times New Roman" w:hAnsi="Times New Roman" w:cs="Times New Roman" w:eastAsia="Times New Roman" w:hint="default"/>
        </w:rPr>
        <w:t>99,774.23</w:t>
      </w:r>
      <w:r>
        <w:rPr>
          <w:rFonts w:ascii="Times New Roman" w:hAnsi="Times New Roman" w:cs="Times New Roman" w:eastAsia="Times New Roman" w:hint="default"/>
          <w:spacing w:val="-1"/>
        </w:rPr>
        <w:t> </w:t>
      </w:r>
      <w:r>
        <w:rPr/>
        <w:t>万元，比上年增长</w:t>
      </w:r>
      <w:r>
        <w:rPr>
          <w:spacing w:val="-46"/>
        </w:rPr>
        <w:t> </w:t>
      </w:r>
      <w:r>
        <w:rPr>
          <w:rFonts w:ascii="Times New Roman" w:hAnsi="Times New Roman" w:cs="Times New Roman" w:eastAsia="Times New Roman" w:hint="default"/>
        </w:rPr>
        <w:t>106.21%</w:t>
      </w:r>
      <w:r>
        <w:rPr/>
        <w:t>；实现利润总额及归属于上市公司股东的净利润 分别为</w:t>
      </w:r>
      <w:r>
        <w:rPr>
          <w:spacing w:val="-47"/>
        </w:rPr>
        <w:t> </w:t>
      </w:r>
      <w:r>
        <w:rPr>
          <w:rFonts w:ascii="Times New Roman" w:hAnsi="Times New Roman" w:cs="Times New Roman" w:eastAsia="Times New Roman" w:hint="default"/>
        </w:rPr>
        <w:t>27,234.09</w:t>
      </w:r>
      <w:r>
        <w:rPr>
          <w:rFonts w:ascii="Times New Roman" w:hAnsi="Times New Roman" w:cs="Times New Roman" w:eastAsia="Times New Roman" w:hint="default"/>
          <w:spacing w:val="-2"/>
        </w:rPr>
        <w:t> </w:t>
      </w:r>
      <w:r>
        <w:rPr/>
        <w:t>万元和</w:t>
      </w:r>
      <w:r>
        <w:rPr>
          <w:spacing w:val="-47"/>
        </w:rPr>
        <w:t> </w:t>
      </w:r>
      <w:r>
        <w:rPr>
          <w:rFonts w:ascii="Times New Roman" w:hAnsi="Times New Roman" w:cs="Times New Roman" w:eastAsia="Times New Roman" w:hint="default"/>
        </w:rPr>
        <w:t>23,047.42</w:t>
      </w:r>
      <w:r>
        <w:rPr>
          <w:rFonts w:ascii="Times New Roman" w:hAnsi="Times New Roman" w:cs="Times New Roman" w:eastAsia="Times New Roman" w:hint="default"/>
          <w:spacing w:val="-2"/>
        </w:rPr>
        <w:t> </w:t>
      </w:r>
      <w:r>
        <w:rPr/>
        <w:t>万元，较上年分别增长</w:t>
      </w:r>
      <w:r>
        <w:rPr>
          <w:spacing w:val="-47"/>
        </w:rPr>
        <w:t> </w:t>
      </w:r>
      <w:r>
        <w:rPr>
          <w:rFonts w:ascii="Times New Roman" w:hAnsi="Times New Roman" w:cs="Times New Roman" w:eastAsia="Times New Roman" w:hint="default"/>
        </w:rPr>
        <w:t>378.42%</w:t>
      </w:r>
      <w:r>
        <w:rPr/>
        <w:t>和</w:t>
      </w:r>
      <w:r>
        <w:rPr>
          <w:spacing w:val="-47"/>
        </w:rPr>
        <w:t> </w:t>
      </w:r>
      <w:r>
        <w:rPr>
          <w:rFonts w:ascii="Times New Roman" w:hAnsi="Times New Roman" w:cs="Times New Roman" w:eastAsia="Times New Roman" w:hint="default"/>
        </w:rPr>
        <w:t>395.04%</w:t>
      </w:r>
      <w:r>
        <w:rPr/>
        <w:t>。</w:t>
      </w:r>
    </w:p>
    <w:p>
      <w:pPr>
        <w:pStyle w:val="Heading4"/>
        <w:spacing w:line="240" w:lineRule="auto" w:before="133"/>
        <w:ind w:left="606" w:right="1118"/>
        <w:jc w:val="left"/>
        <w:rPr>
          <w:b w:val="0"/>
          <w:bCs w:val="0"/>
        </w:rPr>
      </w:pPr>
      <w:bookmarkStart w:name="（一）互联网财税业务" w:id="28"/>
      <w:bookmarkEnd w:id="28"/>
      <w:r>
        <w:rPr>
          <w:b w:val="0"/>
          <w:bCs w:val="0"/>
        </w:rPr>
      </w:r>
      <w:r>
        <w:rPr/>
        <w:t>（一）互联网财税业务</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0"/>
        <w:jc w:val="left"/>
        <w:rPr>
          <w:rFonts w:ascii="Times New Roman" w:hAnsi="Times New Roman" w:cs="Times New Roman" w:eastAsia="Times New Roman" w:hint="default"/>
        </w:rPr>
      </w:pPr>
      <w:r>
        <w:rPr/>
        <w:t>报告期内，公司互联网财税业务实现营业收入</w:t>
      </w:r>
      <w:r>
        <w:rPr>
          <w:spacing w:val="-48"/>
        </w:rPr>
        <w:t> </w:t>
      </w:r>
      <w:r>
        <w:rPr>
          <w:rFonts w:ascii="Times New Roman" w:hAnsi="Times New Roman" w:cs="Times New Roman" w:eastAsia="Times New Roman" w:hint="default"/>
        </w:rPr>
        <w:t>50,566.2</w:t>
      </w:r>
      <w:r>
        <w:rPr>
          <w:rFonts w:ascii="Times New Roman" w:hAnsi="Times New Roman" w:cs="Times New Roman" w:eastAsia="Times New Roman" w:hint="default"/>
          <w:spacing w:val="-4"/>
        </w:rPr>
        <w:t> </w:t>
      </w:r>
      <w:r>
        <w:rPr/>
        <w:t>万元，比上年同期增长</w:t>
      </w:r>
      <w:r>
        <w:rPr>
          <w:spacing w:val="-49"/>
        </w:rPr>
        <w:t> </w:t>
      </w:r>
      <w:r>
        <w:rPr>
          <w:rFonts w:ascii="Times New Roman" w:hAnsi="Times New Roman" w:cs="Times New Roman" w:eastAsia="Times New Roman" w:hint="default"/>
        </w:rPr>
        <w:t>41.74%</w:t>
      </w:r>
      <w:r>
        <w:rPr/>
        <w:t>，其中财税云服务收入</w:t>
      </w:r>
      <w:r>
        <w:rPr>
          <w:spacing w:val="-49"/>
        </w:rPr>
        <w:t> </w:t>
      </w:r>
      <w:r>
        <w:rPr>
          <w:rFonts w:ascii="Times New Roman" w:hAnsi="Times New Roman" w:cs="Times New Roman" w:eastAsia="Times New Roman" w:hint="default"/>
        </w:rPr>
        <w:t>22,843.18</w:t>
      </w:r>
    </w:p>
    <w:p>
      <w:pPr>
        <w:pStyle w:val="BodyText"/>
        <w:spacing w:line="302" w:lineRule="auto" w:before="63"/>
        <w:ind w:left="153" w:right="1142"/>
        <w:jc w:val="both"/>
      </w:pPr>
      <w:r>
        <w:rPr/>
        <w:t>万元，技术服务收入</w:t>
      </w:r>
      <w:r>
        <w:rPr>
          <w:spacing w:val="-47"/>
        </w:rPr>
        <w:t> </w:t>
      </w:r>
      <w:r>
        <w:rPr>
          <w:rFonts w:ascii="Times New Roman" w:hAnsi="Times New Roman" w:cs="Times New Roman" w:eastAsia="Times New Roman" w:hint="default"/>
        </w:rPr>
        <w:t>6,529.34</w:t>
      </w:r>
      <w:r>
        <w:rPr>
          <w:rFonts w:ascii="Times New Roman" w:hAnsi="Times New Roman" w:cs="Times New Roman" w:eastAsia="Times New Roman" w:hint="default"/>
          <w:spacing w:val="-2"/>
        </w:rPr>
        <w:t> </w:t>
      </w:r>
      <w:r>
        <w:rPr/>
        <w:t>万元，产品及开发服务收入</w:t>
      </w:r>
      <w:r>
        <w:rPr>
          <w:spacing w:val="-47"/>
        </w:rPr>
        <w:t> </w:t>
      </w:r>
      <w:r>
        <w:rPr>
          <w:rFonts w:ascii="Times New Roman" w:hAnsi="Times New Roman" w:cs="Times New Roman" w:eastAsia="Times New Roman" w:hint="default"/>
        </w:rPr>
        <w:t>10,076.95</w:t>
      </w:r>
      <w:r>
        <w:rPr>
          <w:rFonts w:ascii="Times New Roman" w:hAnsi="Times New Roman" w:cs="Times New Roman" w:eastAsia="Times New Roman" w:hint="default"/>
          <w:spacing w:val="-2"/>
        </w:rPr>
        <w:t> </w:t>
      </w:r>
      <w:r>
        <w:rPr/>
        <w:t>万元，</w:t>
      </w:r>
      <w:r>
        <w:rPr>
          <w:spacing w:val="-3"/>
        </w:rPr>
        <w:t> </w:t>
      </w:r>
      <w:r>
        <w:rPr/>
        <w:t>系统集成收入</w:t>
      </w:r>
      <w:r>
        <w:rPr>
          <w:spacing w:val="-47"/>
        </w:rPr>
        <w:t> </w:t>
      </w:r>
      <w:r>
        <w:rPr>
          <w:rFonts w:ascii="Times New Roman" w:hAnsi="Times New Roman" w:cs="Times New Roman" w:eastAsia="Times New Roman" w:hint="default"/>
        </w:rPr>
        <w:t>11,116.79</w:t>
      </w:r>
      <w:r>
        <w:rPr>
          <w:rFonts w:ascii="Times New Roman" w:hAnsi="Times New Roman" w:cs="Times New Roman" w:eastAsia="Times New Roman" w:hint="default"/>
          <w:spacing w:val="-2"/>
        </w:rPr>
        <w:t> </w:t>
      </w:r>
      <w:r>
        <w:rPr/>
        <w:t>万元；实现利润总额及 归属于上市公司股东的净利润分别为</w:t>
      </w:r>
      <w:r>
        <w:rPr>
          <w:spacing w:val="-46"/>
        </w:rPr>
        <w:t> </w:t>
      </w:r>
      <w:r>
        <w:rPr>
          <w:rFonts w:ascii="Times New Roman" w:hAnsi="Times New Roman" w:cs="Times New Roman" w:eastAsia="Times New Roman" w:hint="default"/>
        </w:rPr>
        <w:t>19,938.84</w:t>
      </w:r>
      <w:r>
        <w:rPr>
          <w:rFonts w:ascii="Times New Roman" w:hAnsi="Times New Roman" w:cs="Times New Roman" w:eastAsia="Times New Roman" w:hint="default"/>
          <w:spacing w:val="-1"/>
        </w:rPr>
        <w:t> </w:t>
      </w:r>
      <w:r>
        <w:rPr/>
        <w:t>万元和</w:t>
      </w:r>
      <w:r>
        <w:rPr>
          <w:spacing w:val="-46"/>
        </w:rPr>
        <w:t> </w:t>
      </w:r>
      <w:r>
        <w:rPr>
          <w:rFonts w:ascii="Times New Roman" w:hAnsi="Times New Roman" w:cs="Times New Roman" w:eastAsia="Times New Roman" w:hint="default"/>
        </w:rPr>
        <w:t>18,004.17</w:t>
      </w:r>
      <w:r>
        <w:rPr>
          <w:rFonts w:ascii="Times New Roman" w:hAnsi="Times New Roman" w:cs="Times New Roman" w:eastAsia="Times New Roman" w:hint="default"/>
          <w:spacing w:val="-1"/>
        </w:rPr>
        <w:t> </w:t>
      </w:r>
      <w:r>
        <w:rPr/>
        <w:t>万元，较上年同期分别增长</w:t>
      </w:r>
      <w:r>
        <w:rPr>
          <w:spacing w:val="-46"/>
        </w:rPr>
        <w:t> </w:t>
      </w:r>
      <w:r>
        <w:rPr>
          <w:rFonts w:ascii="Times New Roman" w:hAnsi="Times New Roman" w:cs="Times New Roman" w:eastAsia="Times New Roman" w:hint="default"/>
        </w:rPr>
        <w:t>55.02%</w:t>
      </w:r>
      <w:r>
        <w:rPr/>
        <w:t>和</w:t>
      </w:r>
      <w:r>
        <w:rPr>
          <w:spacing w:val="-46"/>
        </w:rPr>
        <w:t> </w:t>
      </w:r>
      <w:r>
        <w:rPr>
          <w:rFonts w:ascii="Times New Roman" w:hAnsi="Times New Roman" w:cs="Times New Roman" w:eastAsia="Times New Roman" w:hint="default"/>
        </w:rPr>
        <w:t>46.72%</w:t>
      </w:r>
      <w:r>
        <w:rPr/>
        <w:t>。</w:t>
      </w:r>
    </w:p>
    <w:p>
      <w:pPr>
        <w:pStyle w:val="BodyText"/>
        <w:spacing w:line="312" w:lineRule="auto" w:before="50"/>
        <w:ind w:left="153"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年是方欣科技落实“构建企业服务平台生态”三年战略目标的开拓之年，在“打造平台、整合资源、融合生态、 </w:t>
      </w:r>
      <w:r>
        <w:rPr>
          <w:spacing w:val="-2"/>
        </w:rPr>
        <w:t>挖掘数据”的战略导向下，重点实施面向纳税人打造深度财税服务生态的“金财计划”和面向税务机关打造智能电子税务局</w:t>
      </w:r>
      <w:r>
        <w:rPr>
          <w:spacing w:val="-66"/>
        </w:rPr>
        <w:t> </w:t>
      </w:r>
      <w:r>
        <w:rPr>
          <w:spacing w:val="-66"/>
        </w:rPr>
      </w:r>
      <w:r>
        <w:rPr>
          <w:spacing w:val="-2"/>
        </w:rPr>
        <w:t>的“金税计划”，实现双擎驱动、互相辅助，坚持“抱诚守真、开放精进、成人达己”的核心价值观，紧抓财税改革带来的</w:t>
      </w:r>
      <w:r>
        <w:rPr>
          <w:spacing w:val="-71"/>
        </w:rPr>
        <w:t> </w:t>
      </w:r>
      <w:r>
        <w:rPr>
          <w:spacing w:val="-71"/>
        </w:rPr>
      </w:r>
      <w:r>
        <w:rPr/>
        <w:t>企业财税服务市场的发展机遇，精诚团结、砥砺前行。</w:t>
      </w:r>
    </w:p>
    <w:p>
      <w:pPr>
        <w:pStyle w:val="BodyText"/>
        <w:spacing w:line="319" w:lineRule="auto" w:before="61"/>
        <w:ind w:left="154" w:right="1131" w:firstLine="360"/>
        <w:jc w:val="both"/>
      </w:pPr>
      <w:r>
        <w:rPr>
          <w:spacing w:val="-2"/>
        </w:rPr>
        <w:t>报告期内，方欣科技依托自身创建的系统集成服务、财税云服务、智慧电子税务局及相关服务三大类产品业务，通过在</w:t>
      </w:r>
      <w:r>
        <w:rPr/>
        <w:t> </w:t>
      </w:r>
      <w:r>
        <w:rPr>
          <w:spacing w:val="-2"/>
        </w:rPr>
        <w:t>日常运营过程中积累的大量用户数和企业行为数据，形成了多区域、多用户、多数据、高粘度的互联网财税生态圈，具体如</w:t>
      </w:r>
      <w:r>
        <w:rPr>
          <w:spacing w:val="-66"/>
        </w:rPr>
        <w:t> </w:t>
      </w:r>
      <w:r>
        <w:rPr>
          <w:spacing w:val="-66"/>
        </w:rPr>
      </w:r>
      <w:r>
        <w:rPr/>
        <w:t>下：</w:t>
      </w:r>
    </w:p>
    <w:p>
      <w:pPr>
        <w:pStyle w:val="BodyText"/>
        <w:spacing w:line="338" w:lineRule="auto" w:before="56"/>
        <w:ind w:left="514" w:right="1118"/>
        <w:jc w:val="left"/>
      </w:pPr>
      <w:r>
        <w:rPr>
          <w:rFonts w:ascii="Times New Roman" w:hAnsi="Times New Roman" w:cs="Times New Roman" w:eastAsia="Times New Roman" w:hint="default"/>
        </w:rPr>
        <w:t>1</w:t>
      </w:r>
      <w:r>
        <w:rPr/>
        <w:t>、系统集成服务 </w:t>
      </w:r>
      <w:r>
        <w:rPr>
          <w:spacing w:val="-2"/>
        </w:rPr>
        <w:t>方欣科技的系统集成业务是根据客户的信息化需求，设计出符合客户实际需求的软硬件解决方案。信息系统集成解决方</w:t>
      </w:r>
    </w:p>
    <w:p>
      <w:pPr>
        <w:pStyle w:val="BodyText"/>
        <w:spacing w:line="300" w:lineRule="auto" w:before="2"/>
        <w:ind w:left="153" w:right="1132"/>
        <w:jc w:val="both"/>
      </w:pPr>
      <w:r>
        <w:rPr/>
        <w:t>案包括基于云服务的智能安防、水纹监测、交通监测、视频会议、智能网络</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服务管控等内容。报告期内，方欣科技研发 了方欣安防综合集成管理平台</w:t>
      </w:r>
      <w:r>
        <w:rPr>
          <w:spacing w:val="-47"/>
        </w:rPr>
        <w:t> </w:t>
      </w:r>
      <w:r>
        <w:rPr>
          <w:rFonts w:ascii="Times New Roman" w:hAnsi="Times New Roman" w:cs="Times New Roman" w:eastAsia="Times New Roman" w:hint="default"/>
          <w:spacing w:val="-3"/>
        </w:rPr>
        <w:t>V1.0</w:t>
      </w:r>
      <w:r>
        <w:rPr>
          <w:spacing w:val="-3"/>
        </w:rPr>
        <w:t>、方欣电视</w:t>
      </w:r>
      <w:r>
        <w:rPr>
          <w:spacing w:val="-47"/>
        </w:rPr>
        <w:t> </w:t>
      </w:r>
      <w:r>
        <w:rPr>
          <w:rFonts w:ascii="Times New Roman" w:hAnsi="Times New Roman" w:cs="Times New Roman" w:eastAsia="Times New Roman" w:hint="default"/>
        </w:rPr>
        <w:t>IPTV</w:t>
      </w:r>
      <w:r>
        <w:rPr>
          <w:rFonts w:ascii="Times New Roman" w:hAnsi="Times New Roman" w:cs="Times New Roman" w:eastAsia="Times New Roman" w:hint="default"/>
          <w:spacing w:val="-2"/>
        </w:rPr>
        <w:t> </w:t>
      </w:r>
      <w:r>
        <w:rPr>
          <w:spacing w:val="-3"/>
        </w:rPr>
        <w:t>直播管理软件、方欣</w:t>
      </w:r>
      <w:r>
        <w:rPr>
          <w:spacing w:val="-47"/>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运维服务管理软件</w:t>
      </w:r>
      <w:r>
        <w:rPr>
          <w:spacing w:val="-47"/>
        </w:rPr>
        <w:t> </w:t>
      </w:r>
      <w:r>
        <w:rPr>
          <w:rFonts w:ascii="Times New Roman" w:hAnsi="Times New Roman" w:cs="Times New Roman" w:eastAsia="Times New Roman" w:hint="default"/>
        </w:rPr>
        <w:t>V1.0</w:t>
      </w:r>
      <w:r>
        <w:rPr>
          <w:rFonts w:ascii="Times New Roman" w:hAnsi="Times New Roman" w:cs="Times New Roman" w:eastAsia="Times New Roman" w:hint="default"/>
          <w:spacing w:val="-1"/>
        </w:rPr>
        <w:t> </w:t>
      </w:r>
      <w:r>
        <w:rPr/>
        <w:t>等软件，在系统集成行 业保持着其较强的竞争力。</w:t>
      </w:r>
    </w:p>
    <w:p>
      <w:pPr>
        <w:pStyle w:val="BodyText"/>
        <w:spacing w:line="240" w:lineRule="auto" w:before="71"/>
        <w:ind w:right="1118"/>
        <w:jc w:val="left"/>
      </w:pPr>
      <w:r>
        <w:rPr>
          <w:rFonts w:ascii="Times New Roman" w:hAnsi="Times New Roman" w:cs="Times New Roman" w:eastAsia="Times New Roman" w:hint="default"/>
        </w:rPr>
        <w:t>2</w:t>
      </w:r>
      <w:r>
        <w:rPr/>
        <w:t>、财税云服务</w:t>
      </w:r>
    </w:p>
    <w:p>
      <w:pPr>
        <w:pStyle w:val="BodyText"/>
        <w:spacing w:line="338" w:lineRule="auto" w:before="102"/>
        <w:ind w:left="514" w:right="1032"/>
        <w:jc w:val="left"/>
      </w:pPr>
      <w:r>
        <w:rPr>
          <w:rFonts w:ascii="Times New Roman" w:hAnsi="Times New Roman" w:cs="Times New Roman" w:eastAsia="Times New Roman" w:hint="default"/>
        </w:rPr>
        <w:t>2.1 </w:t>
      </w:r>
      <w:r>
        <w:rPr/>
        <w:t>企业端及其增值服务 方欣科技在企业财税服务领域已经具有多年的运营经验，积累了丰富的互联网财税产品，包括：凭证管家、办税管家、</w:t>
      </w:r>
    </w:p>
    <w:p>
      <w:pPr>
        <w:pStyle w:val="BodyText"/>
        <w:spacing w:line="312" w:lineRule="auto" w:before="2"/>
        <w:ind w:left="153" w:right="1130"/>
        <w:jc w:val="both"/>
      </w:pPr>
      <w:r>
        <w:rPr>
          <w:spacing w:val="-2"/>
        </w:rPr>
        <w:t>财务管家、财税管家、培训管家等。以业财税一体化为核心，构建连接用户（包含企业、各种中介机构、政府管理机构、个</w:t>
      </w:r>
      <w:r>
        <w:rPr>
          <w:spacing w:val="-67"/>
        </w:rPr>
        <w:t> </w:t>
      </w:r>
      <w:r>
        <w:rPr>
          <w:spacing w:val="-67"/>
        </w:rPr>
      </w:r>
      <w:r>
        <w:rPr/>
        <w:t>人）、设备（</w:t>
      </w:r>
      <w:r>
        <w:rPr>
          <w:rFonts w:ascii="Times New Roman" w:hAnsi="Times New Roman" w:cs="Times New Roman" w:eastAsia="Times New Roman" w:hint="default"/>
        </w:rPr>
        <w:t>PC</w:t>
      </w:r>
      <w:r>
        <w:rPr/>
        <w:t>、移动终端、专用终端）、应用（涵盖用户财务、办税、资金、内部管理如企业管理、</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管理等全生态 </w:t>
      </w:r>
      <w:r>
        <w:rPr>
          <w:spacing w:val="-2"/>
        </w:rPr>
        <w:t>链服务应用）、服务（各种线上线下服务）的智能云连接平台，重点解决发票、财务、报税、企业管理全面协同功能。报告</w:t>
      </w:r>
      <w:r>
        <w:rPr>
          <w:spacing w:val="-69"/>
        </w:rPr>
        <w:t> </w:t>
      </w:r>
      <w:r>
        <w:rPr>
          <w:spacing w:val="-69"/>
        </w:rPr>
      </w:r>
      <w:r>
        <w:rPr>
          <w:spacing w:val="-4"/>
        </w:rPr>
        <w:t>期内，方欣科技研发的方欣财税管家企业版应用软件</w:t>
      </w:r>
      <w:r>
        <w:rPr>
          <w:spacing w:val="-59"/>
        </w:rPr>
        <w:t> </w:t>
      </w:r>
      <w:r>
        <w:rPr>
          <w:rFonts w:ascii="Times New Roman" w:hAnsi="Times New Roman" w:cs="Times New Roman" w:eastAsia="Times New Roman" w:hint="default"/>
          <w:spacing w:val="-7"/>
        </w:rPr>
        <w:t>V1.0</w:t>
      </w:r>
      <w:r>
        <w:rPr>
          <w:spacing w:val="-7"/>
        </w:rPr>
        <w:t>、方欣移动办税管理软件</w:t>
      </w:r>
      <w:r>
        <w:rPr>
          <w:spacing w:val="-60"/>
        </w:rPr>
        <w:t> </w:t>
      </w:r>
      <w:r>
        <w:rPr>
          <w:rFonts w:ascii="Times New Roman" w:hAnsi="Times New Roman" w:cs="Times New Roman" w:eastAsia="Times New Roman" w:hint="default"/>
        </w:rPr>
        <w:t>V1.0</w:t>
      </w:r>
      <w:r>
        <w:rPr>
          <w:rFonts w:ascii="Times New Roman" w:hAnsi="Times New Roman" w:cs="Times New Roman" w:eastAsia="Times New Roman" w:hint="default"/>
          <w:spacing w:val="-16"/>
        </w:rPr>
        <w:t> </w:t>
      </w:r>
      <w:r>
        <w:rPr/>
        <w:t>获得广州市软件行业协会颁发的</w:t>
      </w:r>
      <w:r>
        <w:rPr>
          <w:spacing w:val="-59"/>
        </w:rPr>
        <w:t> </w:t>
      </w:r>
      <w:r>
        <w:rPr>
          <w:rFonts w:ascii="Times New Roman" w:hAnsi="Times New Roman" w:cs="Times New Roman" w:eastAsia="Times New Roman" w:hint="default"/>
        </w:rPr>
        <w:t>2017 </w:t>
      </w:r>
      <w:r>
        <w:rPr>
          <w:spacing w:val="-2"/>
        </w:rPr>
        <w:t>年优秀软件产品的荣誉，稳固了方欣科技在企业端业务的发展。截止报告期，公司的服务新增了北京、青岛、大连、广西等</w:t>
      </w:r>
      <w:r>
        <w:rPr>
          <w:spacing w:val="-67"/>
        </w:rPr>
        <w:t> </w:t>
      </w:r>
      <w:r>
        <w:rPr>
          <w:spacing w:val="-67"/>
        </w:rPr>
      </w:r>
      <w:r>
        <w:rPr/>
        <w:t>省份及单列市，覆盖了全国</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个省市，服务于</w:t>
      </w:r>
      <w:r>
        <w:rPr>
          <w:spacing w:val="-46"/>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多万企业用户，付费用户数近</w:t>
      </w:r>
      <w:r>
        <w:rPr>
          <w:spacing w:val="-46"/>
        </w:rPr>
        <w:t> </w:t>
      </w:r>
      <w:r>
        <w:rPr>
          <w:rFonts w:ascii="Times New Roman" w:hAnsi="Times New Roman" w:cs="Times New Roman" w:eastAsia="Times New Roman" w:hint="default"/>
        </w:rPr>
        <w:t>150 </w:t>
      </w:r>
      <w:r>
        <w:rPr/>
        <w:t>万。</w:t>
      </w:r>
    </w:p>
    <w:p>
      <w:pPr>
        <w:pStyle w:val="BodyText"/>
        <w:spacing w:line="338" w:lineRule="auto" w:before="42"/>
        <w:ind w:left="514" w:right="1118"/>
        <w:jc w:val="left"/>
      </w:pPr>
      <w:r>
        <w:rPr>
          <w:rFonts w:ascii="Times New Roman" w:hAnsi="Times New Roman" w:cs="Times New Roman" w:eastAsia="Times New Roman" w:hint="default"/>
        </w:rPr>
        <w:t>2.2 </w:t>
      </w:r>
      <w:r>
        <w:rPr/>
        <w:t>大数据及其增值服务 </w:t>
      </w:r>
      <w:r>
        <w:rPr>
          <w:spacing w:val="-1"/>
        </w:rPr>
        <w:t>方欣科技根据其财税云服务中的云</w:t>
      </w:r>
      <w:r>
        <w:rPr>
          <w:rFonts w:ascii="Times New Roman" w:hAnsi="Times New Roman" w:cs="Times New Roman" w:eastAsia="Times New Roman" w:hint="default"/>
          <w:spacing w:val="-1"/>
        </w:rPr>
        <w:t>+</w:t>
      </w:r>
      <w:r>
        <w:rPr>
          <w:spacing w:val="-1"/>
        </w:rPr>
        <w:t>端模式，在企业自愿及授权的前提下，基于企业基本信息、申报和发票信息、财务</w:t>
      </w:r>
    </w:p>
    <w:p>
      <w:pPr>
        <w:pStyle w:val="BodyText"/>
        <w:spacing w:line="217" w:lineRule="exact"/>
        <w:ind w:left="153" w:right="0"/>
        <w:jc w:val="both"/>
      </w:pPr>
      <w:r>
        <w:rPr/>
        <w:t>信息以及其他外部数据，依托大数据、云计算、人工智能等先进技术，为各级税务机关提供全方位全覆盖的数据分析能力，</w:t>
      </w:r>
    </w:p>
    <w:p>
      <w:pPr>
        <w:pStyle w:val="BodyText"/>
        <w:spacing w:line="319" w:lineRule="auto" w:before="76"/>
        <w:ind w:left="153" w:right="1133"/>
        <w:jc w:val="both"/>
      </w:pPr>
      <w:r>
        <w:rPr>
          <w:spacing w:val="-2"/>
        </w:rPr>
        <w:t>为企业提供基于财税大数据的精准营销、决策分析、智能数据服务等不同的数据服务能力，满足不同层级、不同部门、不同</w:t>
      </w:r>
      <w:r>
        <w:rPr>
          <w:spacing w:val="-66"/>
        </w:rPr>
        <w:t> </w:t>
      </w:r>
      <w:r>
        <w:rPr>
          <w:spacing w:val="-66"/>
        </w:rPr>
      </w:r>
      <w:r>
        <w:rPr/>
        <w:t>对象的数据服务需求，以数据驱动业务创新，进一步深耕财税领域服务。</w:t>
      </w:r>
    </w:p>
    <w:p>
      <w:pPr>
        <w:pStyle w:val="BodyText"/>
        <w:spacing w:line="240" w:lineRule="auto" w:before="56"/>
        <w:ind w:right="1118"/>
        <w:jc w:val="left"/>
      </w:pPr>
      <w:r>
        <w:rPr>
          <w:rFonts w:ascii="Times New Roman" w:hAnsi="Times New Roman" w:cs="Times New Roman" w:eastAsia="Times New Roman" w:hint="default"/>
        </w:rPr>
        <w:t>3</w:t>
      </w:r>
      <w:r>
        <w:rPr/>
        <w:t>、智慧电子税务局及相关服务</w:t>
      </w:r>
    </w:p>
    <w:p>
      <w:pPr>
        <w:pStyle w:val="BodyText"/>
        <w:spacing w:line="300" w:lineRule="auto" w:before="102"/>
        <w:ind w:left="153" w:right="1140" w:firstLine="360"/>
        <w:jc w:val="both"/>
      </w:pPr>
      <w:r>
        <w:rPr/>
        <w:t>智慧电子税务局是方欣科技以</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年电子办税信息化产品积累为基础、以国家税务总局金税三期工程纳税服务工程为依 托、以国家税务总局提出的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税务</w:t>
      </w:r>
      <w:r>
        <w:rPr>
          <w:rFonts w:ascii="Times New Roman" w:hAnsi="Times New Roman" w:cs="Times New Roman" w:eastAsia="Times New Roman" w:hint="default"/>
        </w:rPr>
        <w:t>”</w:t>
      </w:r>
      <w:r>
        <w:rPr/>
        <w:t>行动计划为纲要，顺应国家发展需求继续深耕税局端市场，为各级税务机关提供</w:t>
      </w:r>
    </w:p>
    <w:p>
      <w:pPr>
        <w:spacing w:after="0" w:line="300" w:lineRule="auto"/>
        <w:jc w:val="both"/>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4" w:lineRule="auto" w:before="44"/>
        <w:ind w:left="154" w:right="1131"/>
        <w:jc w:val="both"/>
      </w:pPr>
      <w:r>
        <w:rPr/>
        <w:t>行业领先的智慧电子税务局综合解决方案与配套服务，支撑税务机关向广大纳税人提供便捷、高效、易用、安全的互联网</w:t>
      </w:r>
      <w:r>
        <w:rPr>
          <w:rFonts w:ascii="Times New Roman" w:hAnsi="Times New Roman" w:cs="Times New Roman" w:eastAsia="Times New Roman" w:hint="default"/>
        </w:rPr>
        <w:t>+ </w:t>
      </w:r>
      <w:r>
        <w:rPr>
          <w:spacing w:val="-9"/>
        </w:rPr>
        <w:t>办税服务体验。依托拳头产品“智慧电子税务局”，大力拓展网报服务市场，新增了北京市、青岛市、大连市、广西等省（市）</w:t>
      </w:r>
      <w:r>
        <w:rPr>
          <w:spacing w:val="-36"/>
        </w:rPr>
        <w:t> </w:t>
      </w:r>
      <w:r>
        <w:rPr>
          <w:spacing w:val="-36"/>
        </w:rPr>
      </w:r>
      <w:r>
        <w:rPr>
          <w:spacing w:val="-2"/>
        </w:rPr>
        <w:t>的网报服务，并通过合作渠道接入四川、海南等地，网报服务用户数量得到进一步增长，为金财用户的拓展提供了强有力的</w:t>
      </w:r>
      <w:r>
        <w:rPr>
          <w:spacing w:val="-66"/>
        </w:rPr>
        <w:t> </w:t>
      </w:r>
      <w:r>
        <w:rPr>
          <w:spacing w:val="-66"/>
        </w:rPr>
      </w:r>
      <w:r>
        <w:rPr>
          <w:spacing w:val="-2"/>
        </w:rPr>
        <w:t>基础。报告期内，方欣科技协助各地税务机关开展超过百场纳税人辅导和培训，在业内树立了良好的服务口碑；研发的方欣</w:t>
      </w:r>
      <w:r>
        <w:rPr>
          <w:spacing w:val="-66"/>
        </w:rPr>
        <w:t> </w:t>
      </w:r>
      <w:r>
        <w:rPr>
          <w:spacing w:val="-66"/>
        </w:rPr>
      </w:r>
      <w:r>
        <w:rPr/>
        <w:t>电子税务局软件</w:t>
      </w:r>
      <w:r>
        <w:rPr>
          <w:spacing w:val="-46"/>
        </w:rPr>
        <w:t> </w:t>
      </w:r>
      <w:r>
        <w:rPr>
          <w:rFonts w:ascii="Times New Roman" w:hAnsi="Times New Roman" w:cs="Times New Roman" w:eastAsia="Times New Roman" w:hint="default"/>
        </w:rPr>
        <w:t>V2.0</w:t>
      </w:r>
      <w:r>
        <w:rPr>
          <w:rFonts w:ascii="Times New Roman" w:hAnsi="Times New Roman" w:cs="Times New Roman" w:eastAsia="Times New Roman" w:hint="default"/>
          <w:spacing w:val="-1"/>
        </w:rPr>
        <w:t> </w:t>
      </w:r>
      <w:r>
        <w:rPr/>
        <w:t>获得广州市软件行业协会颁发</w:t>
      </w:r>
      <w:r>
        <w:rPr>
          <w:spacing w:val="-46"/>
        </w:rPr>
        <w:t> </w:t>
      </w:r>
      <w:r>
        <w:rPr>
          <w:rFonts w:ascii="Times New Roman" w:hAnsi="Times New Roman" w:cs="Times New Roman" w:eastAsia="Times New Roman" w:hint="default"/>
        </w:rPr>
        <w:t>2017 </w:t>
      </w:r>
      <w:r>
        <w:rPr/>
        <w:t>年度优秀软件产品的荣誉，进一步巩固了局端客户的粘性。</w:t>
      </w:r>
    </w:p>
    <w:p>
      <w:pPr>
        <w:pStyle w:val="BodyText"/>
        <w:spacing w:line="307" w:lineRule="auto" w:before="39"/>
        <w:ind w:left="154" w:right="1132" w:firstLine="360"/>
        <w:jc w:val="both"/>
      </w:pPr>
      <w:r>
        <w:rPr/>
        <w:t>截止报告期末，方欣科技已覆盖全国</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spacing w:val="-3"/>
        </w:rPr>
        <w:t>个省及单列市，市场占有率稳步提高，各项经营业绩指标较</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年再上新的台 </w:t>
      </w:r>
      <w:r>
        <w:rPr>
          <w:spacing w:val="-5"/>
        </w:rPr>
        <w:t>阶。此外，</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3"/>
        </w:rPr>
        <w:t> </w:t>
      </w:r>
      <w:r>
        <w:rPr>
          <w:spacing w:val="-3"/>
        </w:rPr>
        <w:t>年公司新注册申请了“金财互联”等</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个商标，并获得广东省诚信示范企业、知识产权管理体系认证企业、 </w:t>
      </w:r>
      <w:r>
        <w:rPr>
          <w:spacing w:val="-5"/>
        </w:rPr>
        <w:t>广东著名商标企业、广州市著名商标企业等荣誉称号，与广州大学等单位合作共建的“广东省智慧金财税工程技术研究中心”</w:t>
      </w:r>
      <w:r>
        <w:rPr>
          <w:spacing w:val="-79"/>
        </w:rPr>
        <w:t> </w:t>
      </w:r>
      <w:r>
        <w:rPr>
          <w:spacing w:val="-79"/>
        </w:rPr>
      </w:r>
      <w:r>
        <w:rPr/>
        <w:t>也通过了广东省科技厅的认定。</w:t>
      </w:r>
    </w:p>
    <w:p>
      <w:pPr>
        <w:pStyle w:val="Heading4"/>
        <w:spacing w:line="240" w:lineRule="auto" w:before="146"/>
        <w:ind w:left="606" w:right="1118"/>
        <w:jc w:val="left"/>
        <w:rPr>
          <w:b w:val="0"/>
          <w:bCs w:val="0"/>
        </w:rPr>
      </w:pPr>
      <w:bookmarkStart w:name="（二）热处理业务" w:id="29"/>
      <w:bookmarkEnd w:id="29"/>
      <w:r>
        <w:rPr>
          <w:b w:val="0"/>
          <w:bCs w:val="0"/>
        </w:rPr>
      </w:r>
      <w:r>
        <w:rPr/>
        <w:t>（二）热处理业务</w:t>
      </w:r>
      <w:r>
        <w:rPr>
          <w:b w:val="0"/>
          <w:bCs w:val="0"/>
        </w:rPr>
      </w:r>
    </w:p>
    <w:p>
      <w:pPr>
        <w:spacing w:line="240" w:lineRule="auto" w:before="12"/>
        <w:rPr>
          <w:rFonts w:ascii="宋体" w:hAnsi="宋体" w:cs="宋体" w:eastAsia="宋体" w:hint="default"/>
          <w:b/>
          <w:bCs/>
          <w:sz w:val="14"/>
          <w:szCs w:val="14"/>
        </w:rPr>
      </w:pPr>
    </w:p>
    <w:p>
      <w:pPr>
        <w:pStyle w:val="BodyText"/>
        <w:spacing w:line="309" w:lineRule="auto"/>
        <w:ind w:left="154" w:right="1040" w:firstLine="360"/>
        <w:jc w:val="both"/>
      </w:pPr>
      <w:r>
        <w:rPr/>
        <w:t>受“中国制造</w:t>
      </w:r>
      <w:r>
        <w:rPr>
          <w:spacing w:val="-46"/>
        </w:rPr>
        <w:t> </w:t>
      </w:r>
      <w:r>
        <w:rPr>
          <w:rFonts w:ascii="Times New Roman" w:hAnsi="Times New Roman" w:cs="Times New Roman" w:eastAsia="Times New Roman" w:hint="default"/>
        </w:rPr>
        <w:t>2025</w:t>
      </w:r>
      <w:r>
        <w:rPr/>
        <w:t>”深入实施、装备制造业和高技术产业持续快速发展等带动，优质高端供给增长对推动制造业整体 </w:t>
      </w:r>
      <w:r>
        <w:rPr>
          <w:spacing w:val="-2"/>
        </w:rPr>
        <w:t>上升的作用日益突出。作为实体经济发展新动能的装备制造业、高技术产业取得稳步快速发展。在此背景下，公司热处理业</w:t>
      </w:r>
      <w:r>
        <w:rPr>
          <w:spacing w:val="-66"/>
        </w:rPr>
        <w:t> </w:t>
      </w:r>
      <w:r>
        <w:rPr>
          <w:spacing w:val="-66"/>
        </w:rPr>
      </w:r>
      <w:r>
        <w:rPr/>
        <w:t>务</w:t>
      </w:r>
      <w:r>
        <w:rPr>
          <w:spacing w:val="-45"/>
        </w:rPr>
        <w:t> </w:t>
      </w:r>
      <w:r>
        <w:rPr>
          <w:rFonts w:ascii="Times New Roman" w:hAnsi="Times New Roman" w:cs="Times New Roman" w:eastAsia="Times New Roman" w:hint="default"/>
        </w:rPr>
        <w:t>2017 </w:t>
      </w:r>
      <w:r>
        <w:rPr/>
        <w:t>年度呈现稳中有升的发展态势，经营业绩也实现了大幅增长。报告期内，热处理业务实现营业收入</w:t>
      </w:r>
      <w:r>
        <w:rPr>
          <w:spacing w:val="-44"/>
        </w:rPr>
        <w:t> </w:t>
      </w:r>
      <w:r>
        <w:rPr>
          <w:rFonts w:ascii="Times New Roman" w:hAnsi="Times New Roman" w:cs="Times New Roman" w:eastAsia="Times New Roman" w:hint="default"/>
        </w:rPr>
        <w:t>49,078.54</w:t>
      </w:r>
      <w:r>
        <w:rPr>
          <w:rFonts w:ascii="Times New Roman" w:hAnsi="Times New Roman" w:cs="Times New Roman" w:eastAsia="Times New Roman" w:hint="default"/>
          <w:spacing w:val="2"/>
        </w:rPr>
        <w:t> </w:t>
      </w:r>
      <w:r>
        <w:rPr/>
        <w:t>万元，</w:t>
      </w:r>
    </w:p>
    <w:p>
      <w:pPr>
        <w:pStyle w:val="BodyText"/>
        <w:spacing w:line="240" w:lineRule="auto" w:before="5"/>
        <w:ind w:left="153" w:right="0"/>
        <w:jc w:val="both"/>
      </w:pPr>
      <w:r>
        <w:rPr/>
        <w:t>较上年增长</w:t>
      </w:r>
      <w:r>
        <w:rPr>
          <w:spacing w:val="-46"/>
        </w:rPr>
        <w:t> </w:t>
      </w:r>
      <w:r>
        <w:rPr>
          <w:rFonts w:ascii="Times New Roman" w:hAnsi="Times New Roman" w:cs="Times New Roman" w:eastAsia="Times New Roman" w:hint="default"/>
        </w:rPr>
        <w:t>26.95%</w:t>
      </w:r>
      <w:r>
        <w:rPr/>
        <w:t>，实现利润总额及归属于母公司股东的净利润分别为</w:t>
      </w:r>
      <w:r>
        <w:rPr>
          <w:spacing w:val="-46"/>
        </w:rPr>
        <w:t> </w:t>
      </w:r>
      <w:r>
        <w:rPr>
          <w:rFonts w:ascii="Times New Roman" w:hAnsi="Times New Roman" w:cs="Times New Roman" w:eastAsia="Times New Roman" w:hint="default"/>
        </w:rPr>
        <w:t>7,682.62</w:t>
      </w:r>
      <w:r>
        <w:rPr>
          <w:rFonts w:ascii="Times New Roman" w:hAnsi="Times New Roman" w:cs="Times New Roman" w:eastAsia="Times New Roman" w:hint="default"/>
          <w:spacing w:val="-1"/>
        </w:rPr>
        <w:t> </w:t>
      </w:r>
      <w:r>
        <w:rPr/>
        <w:t>万元和</w:t>
      </w:r>
      <w:r>
        <w:rPr>
          <w:spacing w:val="-46"/>
        </w:rPr>
        <w:t> </w:t>
      </w:r>
      <w:r>
        <w:rPr>
          <w:rFonts w:ascii="Times New Roman" w:hAnsi="Times New Roman" w:cs="Times New Roman" w:eastAsia="Times New Roman" w:hint="default"/>
        </w:rPr>
        <w:t>5,287. 52</w:t>
      </w:r>
      <w:r>
        <w:rPr>
          <w:rFonts w:ascii="Times New Roman" w:hAnsi="Times New Roman" w:cs="Times New Roman" w:eastAsia="Times New Roman" w:hint="default"/>
          <w:spacing w:val="-1"/>
        </w:rPr>
        <w:t> </w:t>
      </w:r>
      <w:r>
        <w:rPr/>
        <w:t>万元，较上年分别增长</w:t>
      </w:r>
    </w:p>
    <w:p>
      <w:pPr>
        <w:pStyle w:val="BodyText"/>
        <w:spacing w:line="240" w:lineRule="auto" w:before="64"/>
        <w:ind w:left="154" w:right="0"/>
        <w:jc w:val="both"/>
      </w:pPr>
      <w:r>
        <w:rPr>
          <w:rFonts w:ascii="Times New Roman" w:hAnsi="Times New Roman" w:cs="Times New Roman" w:eastAsia="Times New Roman" w:hint="default"/>
        </w:rPr>
        <w:t>515.05%</w:t>
      </w:r>
      <w:r>
        <w:rPr/>
        <w:t>和</w:t>
      </w:r>
      <w:r>
        <w:rPr>
          <w:spacing w:val="-47"/>
        </w:rPr>
        <w:t> </w:t>
      </w:r>
      <w:r>
        <w:rPr>
          <w:rFonts w:ascii="Times New Roman" w:hAnsi="Times New Roman" w:cs="Times New Roman" w:eastAsia="Times New Roman" w:hint="default"/>
        </w:rPr>
        <w:t>761.22%</w:t>
      </w:r>
      <w:r>
        <w:rPr/>
        <w:t>。</w:t>
      </w:r>
    </w:p>
    <w:p>
      <w:pPr>
        <w:pStyle w:val="BodyText"/>
        <w:spacing w:line="240" w:lineRule="auto" w:before="103"/>
        <w:ind w:left="514" w:right="1118"/>
        <w:jc w:val="left"/>
      </w:pPr>
      <w:r>
        <w:rPr/>
        <w:t>公司热处理业务</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年度经营业绩较上年度有大幅增长，主要原因如下：</w:t>
      </w:r>
    </w:p>
    <w:p>
      <w:pPr>
        <w:pStyle w:val="BodyText"/>
        <w:spacing w:line="240" w:lineRule="auto" w:before="102"/>
        <w:ind w:right="1118"/>
        <w:jc w:val="left"/>
      </w:pPr>
      <w:r>
        <w:rPr>
          <w:rFonts w:ascii="Times New Roman" w:hAnsi="Times New Roman" w:cs="Times New Roman" w:eastAsia="Times New Roman" w:hint="default"/>
        </w:rPr>
        <w:t>1</w:t>
      </w:r>
      <w:r>
        <w:rPr/>
        <w:t>、热处理业务</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年度实现营业收入</w:t>
      </w:r>
      <w:r>
        <w:rPr>
          <w:spacing w:val="-46"/>
        </w:rPr>
        <w:t> </w:t>
      </w:r>
      <w:r>
        <w:rPr>
          <w:rFonts w:ascii="Times New Roman" w:hAnsi="Times New Roman" w:cs="Times New Roman" w:eastAsia="Times New Roman" w:hint="default"/>
        </w:rPr>
        <w:t>49,078.54 </w:t>
      </w:r>
      <w:r>
        <w:rPr/>
        <w:t>万元，较上年度增长</w:t>
      </w:r>
      <w:r>
        <w:rPr>
          <w:spacing w:val="-46"/>
        </w:rPr>
        <w:t> </w:t>
      </w:r>
      <w:r>
        <w:rPr>
          <w:rFonts w:ascii="Times New Roman" w:hAnsi="Times New Roman" w:cs="Times New Roman" w:eastAsia="Times New Roman" w:hint="default"/>
        </w:rPr>
        <w:t>26.95%</w:t>
      </w:r>
      <w:r>
        <w:rPr/>
        <w:t>。</w:t>
      </w:r>
    </w:p>
    <w:p>
      <w:pPr>
        <w:pStyle w:val="BodyText"/>
        <w:spacing w:line="300" w:lineRule="auto" w:before="101"/>
        <w:ind w:left="154" w:right="1200" w:firstLine="360"/>
        <w:jc w:val="both"/>
      </w:pPr>
      <w:r>
        <w:rPr>
          <w:rFonts w:ascii="Times New Roman" w:hAnsi="Times New Roman" w:cs="Times New Roman" w:eastAsia="Times New Roman" w:hint="default"/>
        </w:rPr>
        <w:t>2</w:t>
      </w:r>
      <w:r>
        <w:rPr/>
        <w:t>、随着收入的快速提升，规模效应也逐步凸显，表现在毛利率水平的显著提升。</w:t>
      </w:r>
      <w:r>
        <w:rPr>
          <w:rFonts w:ascii="Times New Roman" w:hAnsi="Times New Roman" w:cs="Times New Roman" w:eastAsia="Times New Roman" w:hint="default"/>
        </w:rPr>
        <w:t>2017 </w:t>
      </w:r>
      <w:r>
        <w:rPr/>
        <w:t>年度综合毛利率达</w:t>
      </w:r>
      <w:r>
        <w:rPr>
          <w:spacing w:val="-47"/>
        </w:rPr>
        <w:t> </w:t>
      </w:r>
      <w:r>
        <w:rPr>
          <w:rFonts w:ascii="Times New Roman" w:hAnsi="Times New Roman" w:cs="Times New Roman" w:eastAsia="Times New Roman" w:hint="default"/>
        </w:rPr>
        <w:t>32.18%</w:t>
      </w:r>
      <w:r>
        <w:rPr/>
        <w:t>，比 上年度增长</w:t>
      </w:r>
      <w:r>
        <w:rPr>
          <w:spacing w:val="-46"/>
        </w:rPr>
        <w:t> </w:t>
      </w:r>
      <w:r>
        <w:rPr>
          <w:rFonts w:ascii="Times New Roman" w:hAnsi="Times New Roman" w:cs="Times New Roman" w:eastAsia="Times New Roman" w:hint="default"/>
        </w:rPr>
        <w:t>6.14</w:t>
      </w:r>
      <w:r>
        <w:rPr>
          <w:rFonts w:ascii="Times New Roman" w:hAnsi="Times New Roman" w:cs="Times New Roman" w:eastAsia="Times New Roman" w:hint="default"/>
          <w:spacing w:val="-1"/>
        </w:rPr>
        <w:t> </w:t>
      </w:r>
      <w:r>
        <w:rPr/>
        <w:t>个百分点，其中热处理设备毛利率</w:t>
      </w:r>
      <w:r>
        <w:rPr>
          <w:spacing w:val="-46"/>
        </w:rPr>
        <w:t> </w:t>
      </w:r>
      <w:r>
        <w:rPr>
          <w:rFonts w:ascii="Times New Roman" w:hAnsi="Times New Roman" w:cs="Times New Roman" w:eastAsia="Times New Roman" w:hint="default"/>
        </w:rPr>
        <w:t>24.78%</w:t>
      </w:r>
      <w:r>
        <w:rPr/>
        <w:t>，比上年度增长</w:t>
      </w:r>
      <w:r>
        <w:rPr>
          <w:spacing w:val="-46"/>
        </w:rPr>
        <w:t> </w:t>
      </w:r>
      <w:r>
        <w:rPr>
          <w:rFonts w:ascii="Times New Roman" w:hAnsi="Times New Roman" w:cs="Times New Roman" w:eastAsia="Times New Roman" w:hint="default"/>
        </w:rPr>
        <w:t>7.49</w:t>
      </w:r>
      <w:r>
        <w:rPr>
          <w:rFonts w:ascii="Times New Roman" w:hAnsi="Times New Roman" w:cs="Times New Roman" w:eastAsia="Times New Roman" w:hint="default"/>
          <w:spacing w:val="-1"/>
        </w:rPr>
        <w:t> </w:t>
      </w:r>
      <w:r>
        <w:rPr/>
        <w:t>个百分点，热处理加工毛利率</w:t>
      </w:r>
      <w:r>
        <w:rPr>
          <w:spacing w:val="-46"/>
        </w:rPr>
        <w:t> </w:t>
      </w:r>
      <w:r>
        <w:rPr>
          <w:rFonts w:ascii="Times New Roman" w:hAnsi="Times New Roman" w:cs="Times New Roman" w:eastAsia="Times New Roman" w:hint="default"/>
        </w:rPr>
        <w:t>36.08%</w:t>
      </w:r>
      <w:r>
        <w:rPr/>
        <w:t>，比 上年度增长</w:t>
      </w:r>
      <w:r>
        <w:rPr>
          <w:spacing w:val="-46"/>
        </w:rPr>
        <w:t> </w:t>
      </w:r>
      <w:r>
        <w:rPr>
          <w:rFonts w:ascii="Times New Roman" w:hAnsi="Times New Roman" w:cs="Times New Roman" w:eastAsia="Times New Roman" w:hint="default"/>
        </w:rPr>
        <w:t>4.54</w:t>
      </w:r>
      <w:r>
        <w:rPr>
          <w:rFonts w:ascii="Times New Roman" w:hAnsi="Times New Roman" w:cs="Times New Roman" w:eastAsia="Times New Roman" w:hint="default"/>
          <w:spacing w:val="-1"/>
        </w:rPr>
        <w:t> </w:t>
      </w:r>
      <w:r>
        <w:rPr/>
        <w:t>个百分点，其它业务（含售后服务）毛利率</w:t>
      </w:r>
      <w:r>
        <w:rPr>
          <w:spacing w:val="-46"/>
        </w:rPr>
        <w:t> </w:t>
      </w:r>
      <w:r>
        <w:rPr>
          <w:rFonts w:ascii="Times New Roman" w:hAnsi="Times New Roman" w:cs="Times New Roman" w:eastAsia="Times New Roman" w:hint="default"/>
        </w:rPr>
        <w:t>44.93%</w:t>
      </w:r>
      <w:r>
        <w:rPr/>
        <w:t>，比上年度增长</w:t>
      </w:r>
      <w:r>
        <w:rPr>
          <w:spacing w:val="-46"/>
        </w:rPr>
        <w:t> </w:t>
      </w:r>
      <w:r>
        <w:rPr>
          <w:rFonts w:ascii="Times New Roman" w:hAnsi="Times New Roman" w:cs="Times New Roman" w:eastAsia="Times New Roman" w:hint="default"/>
        </w:rPr>
        <w:t>5.01 </w:t>
      </w:r>
      <w:r>
        <w:rPr/>
        <w:t>个百分点。</w:t>
      </w:r>
    </w:p>
    <w:p>
      <w:pPr>
        <w:pStyle w:val="BodyText"/>
        <w:spacing w:line="240" w:lineRule="auto" w:before="53"/>
        <w:ind w:right="1118"/>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年度财务费用</w:t>
      </w:r>
      <w:r>
        <w:rPr>
          <w:rFonts w:ascii="Times New Roman" w:hAnsi="Times New Roman" w:cs="Times New Roman" w:eastAsia="Times New Roman" w:hint="default"/>
        </w:rPr>
        <w:t>-535.54</w:t>
      </w:r>
      <w:r>
        <w:rPr>
          <w:rFonts w:ascii="Times New Roman" w:hAnsi="Times New Roman" w:cs="Times New Roman" w:eastAsia="Times New Roman" w:hint="default"/>
          <w:spacing w:val="-1"/>
        </w:rPr>
        <w:t> </w:t>
      </w:r>
      <w:r>
        <w:rPr/>
        <w:t>万元，较上年度减少</w:t>
      </w:r>
      <w:r>
        <w:rPr>
          <w:spacing w:val="-46"/>
        </w:rPr>
        <w:t> </w:t>
      </w:r>
      <w:r>
        <w:rPr>
          <w:rFonts w:ascii="Times New Roman" w:hAnsi="Times New Roman" w:cs="Times New Roman" w:eastAsia="Times New Roman" w:hint="default"/>
        </w:rPr>
        <w:t>668.37</w:t>
      </w:r>
      <w:r>
        <w:rPr>
          <w:rFonts w:ascii="Times New Roman" w:hAnsi="Times New Roman" w:cs="Times New Roman" w:eastAsia="Times New Roman" w:hint="default"/>
          <w:spacing w:val="-1"/>
        </w:rPr>
        <w:t> </w:t>
      </w:r>
      <w:r>
        <w:rPr/>
        <w:t>万元，主要由于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年度收到贷款贴息</w:t>
      </w:r>
      <w:r>
        <w:rPr>
          <w:spacing w:val="-46"/>
        </w:rPr>
        <w:t> </w:t>
      </w:r>
      <w:r>
        <w:rPr>
          <w:rFonts w:ascii="Times New Roman" w:hAnsi="Times New Roman" w:cs="Times New Roman" w:eastAsia="Times New Roman" w:hint="default"/>
        </w:rPr>
        <w:t>472</w:t>
      </w:r>
      <w:r>
        <w:rPr>
          <w:rFonts w:ascii="Times New Roman" w:hAnsi="Times New Roman" w:cs="Times New Roman" w:eastAsia="Times New Roman" w:hint="default"/>
          <w:spacing w:val="-1"/>
        </w:rPr>
        <w:t> </w:t>
      </w:r>
      <w:r>
        <w:rPr/>
        <w:t>万元所致。</w:t>
      </w:r>
    </w:p>
    <w:p>
      <w:pPr>
        <w:pStyle w:val="BodyText"/>
        <w:spacing w:line="240" w:lineRule="auto" w:before="101"/>
        <w:ind w:right="1118"/>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年度联营、合营企业经营业绩大幅提升，公司实现对联营、合营企业的投资收益</w:t>
      </w:r>
      <w:r>
        <w:rPr>
          <w:spacing w:val="-45"/>
        </w:rPr>
        <w:t> </w:t>
      </w:r>
      <w:r>
        <w:rPr>
          <w:rFonts w:ascii="Times New Roman" w:hAnsi="Times New Roman" w:cs="Times New Roman" w:eastAsia="Times New Roman" w:hint="default"/>
        </w:rPr>
        <w:t>918.11</w:t>
      </w:r>
      <w:r>
        <w:rPr>
          <w:rFonts w:ascii="Times New Roman" w:hAnsi="Times New Roman" w:cs="Times New Roman" w:eastAsia="Times New Roman" w:hint="default"/>
          <w:spacing w:val="-1"/>
        </w:rPr>
        <w:t> </w:t>
      </w:r>
      <w:r>
        <w:rPr/>
        <w:t>万元，较上年度增加</w:t>
      </w:r>
    </w:p>
    <w:p>
      <w:pPr>
        <w:pStyle w:val="BodyText"/>
        <w:spacing w:line="240" w:lineRule="auto" w:before="64"/>
        <w:ind w:left="153" w:right="0"/>
        <w:jc w:val="both"/>
      </w:pPr>
      <w:r>
        <w:rPr>
          <w:rFonts w:ascii="Times New Roman" w:hAnsi="Times New Roman" w:cs="Times New Roman" w:eastAsia="Times New Roman" w:hint="default"/>
        </w:rPr>
        <w:t>674.96 </w:t>
      </w:r>
      <w:r>
        <w:rPr/>
        <w:t>万元。</w:t>
      </w:r>
    </w:p>
    <w:p>
      <w:pPr>
        <w:pStyle w:val="BodyText"/>
        <w:spacing w:line="240" w:lineRule="auto" w:before="102"/>
        <w:ind w:right="1118"/>
        <w:jc w:val="left"/>
      </w:pPr>
      <w:r>
        <w:rPr/>
        <w:t>备注：上述热处理业务</w:t>
      </w:r>
      <w:r>
        <w:rPr>
          <w:spacing w:val="-46"/>
        </w:rPr>
        <w:t> </w:t>
      </w:r>
      <w:r>
        <w:rPr>
          <w:rFonts w:ascii="Times New Roman" w:hAnsi="Times New Roman" w:cs="Times New Roman" w:eastAsia="Times New Roman" w:hint="default"/>
        </w:rPr>
        <w:t>2017 </w:t>
      </w:r>
      <w:r>
        <w:rPr/>
        <w:t>年度经营相关指标为热处理板块业务模拟合并数据，与审计报告数据有微小差异。</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二、主营业务分析" w:id="30"/>
      <w:bookmarkEnd w:id="30"/>
      <w:r>
        <w:rPr>
          <w:b w:val="0"/>
          <w:bCs w:val="0"/>
        </w:rPr>
      </w:r>
      <w:r>
        <w:rPr/>
        <w:t>二、主营业务分析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概述" w:id="31"/>
      <w:bookmarkEnd w:id="31"/>
      <w:r>
        <w:rPr>
          <w:b w:val="0"/>
          <w:bCs w:val="0"/>
        </w:rPr>
      </w: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587" w:right="1118"/>
        <w:jc w:val="left"/>
      </w:pPr>
      <w:r>
        <w:rPr/>
        <w:t>报告期内，公司互联网财税业务和热处理业务均实现较大幅度增长，具体情况如下表：</w:t>
      </w:r>
    </w:p>
    <w:p>
      <w:pPr>
        <w:pStyle w:val="BodyText"/>
        <w:spacing w:line="240" w:lineRule="auto" w:before="76"/>
        <w:ind w:left="0" w:right="1409"/>
        <w:jc w:val="right"/>
      </w:pPr>
      <w:r>
        <w:rPr/>
        <w:t>单位：元</w:t>
      </w:r>
    </w:p>
    <w:p>
      <w:pPr>
        <w:spacing w:line="240" w:lineRule="auto" w:before="3"/>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2408"/>
        <w:gridCol w:w="1419"/>
        <w:gridCol w:w="1417"/>
        <w:gridCol w:w="1134"/>
        <w:gridCol w:w="3083"/>
      </w:tblGrid>
      <w:tr>
        <w:trPr>
          <w:trHeight w:val="485"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11" w:val="left" w:leader="none"/>
              </w:tabs>
              <w:spacing w:line="240" w:lineRule="auto" w:before="65"/>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34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年度</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34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年度</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200" w:right="0"/>
              <w:jc w:val="left"/>
              <w:rPr>
                <w:rFonts w:ascii="宋体" w:hAnsi="宋体" w:cs="宋体" w:eastAsia="宋体" w:hint="default"/>
                <w:sz w:val="18"/>
                <w:szCs w:val="18"/>
              </w:rPr>
            </w:pPr>
            <w:r>
              <w:rPr>
                <w:rFonts w:ascii="宋体" w:hAnsi="宋体" w:cs="宋体" w:eastAsia="宋体" w:hint="default"/>
                <w:b/>
                <w:bCs/>
                <w:sz w:val="18"/>
                <w:szCs w:val="18"/>
              </w:rPr>
              <w:t>变动幅度</w:t>
            </w:r>
            <w:r>
              <w:rPr>
                <w:rFonts w:ascii="宋体" w:hAnsi="宋体" w:cs="宋体" w:eastAsia="宋体" w:hint="default"/>
                <w:sz w:val="18"/>
                <w:szCs w:val="18"/>
              </w:rPr>
            </w:r>
          </w:p>
        </w:tc>
        <w:tc>
          <w:tcPr>
            <w:tcW w:w="30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362" w:right="0"/>
              <w:jc w:val="left"/>
              <w:rPr>
                <w:rFonts w:ascii="宋体" w:hAnsi="宋体" w:cs="宋体" w:eastAsia="宋体" w:hint="default"/>
                <w:sz w:val="18"/>
                <w:szCs w:val="18"/>
              </w:rPr>
            </w:pPr>
            <w:r>
              <w:rPr>
                <w:rFonts w:ascii="宋体" w:hAnsi="宋体" w:cs="宋体" w:eastAsia="宋体" w:hint="default"/>
                <w:b/>
                <w:bCs/>
                <w:sz w:val="18"/>
                <w:szCs w:val="18"/>
              </w:rPr>
              <w:t>同比变动</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tc>
      </w:tr>
      <w:tr>
        <w:trPr>
          <w:trHeight w:val="428"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997,742,267.47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right"/>
              <w:rPr>
                <w:rFonts w:ascii="Times New Roman" w:hAnsi="Times New Roman" w:cs="Times New Roman" w:eastAsia="Times New Roman" w:hint="default"/>
                <w:sz w:val="18"/>
                <w:szCs w:val="18"/>
              </w:rPr>
            </w:pPr>
            <w:r>
              <w:rPr>
                <w:rFonts w:ascii="Times New Roman"/>
                <w:spacing w:val="-1"/>
                <w:sz w:val="18"/>
              </w:rPr>
              <w:t>483,838,717.65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right"/>
              <w:rPr>
                <w:rFonts w:ascii="Times New Roman" w:hAnsi="Times New Roman" w:cs="Times New Roman" w:eastAsia="Times New Roman" w:hint="default"/>
                <w:sz w:val="18"/>
                <w:szCs w:val="18"/>
              </w:rPr>
            </w:pPr>
            <w:r>
              <w:rPr>
                <w:rFonts w:ascii="Times New Roman"/>
                <w:sz w:val="18"/>
              </w:rPr>
              <w:t>106.21%</w:t>
            </w:r>
          </w:p>
        </w:tc>
        <w:tc>
          <w:tcPr>
            <w:tcW w:w="30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07" w:lineRule="auto"/>
              <w:ind w:left="4" w:right="5"/>
              <w:jc w:val="both"/>
              <w:rPr>
                <w:rFonts w:ascii="宋体" w:hAnsi="宋体" w:cs="宋体" w:eastAsia="宋体" w:hint="default"/>
                <w:sz w:val="18"/>
                <w:szCs w:val="18"/>
              </w:rPr>
            </w:pPr>
            <w:r>
              <w:rPr>
                <w:rFonts w:ascii="宋体" w:hAnsi="宋体" w:cs="宋体" w:eastAsia="宋体" w:hint="default"/>
                <w:sz w:val="18"/>
                <w:szCs w:val="18"/>
              </w:rPr>
              <w:t>主要系互联网财税业务</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年度并入合 并报表范围的月份数比</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年度多了</w:t>
            </w:r>
            <w:r>
              <w:rPr>
                <w:rFonts w:ascii="Times New Roman" w:hAnsi="Times New Roman" w:cs="Times New Roman" w:eastAsia="Times New Roman" w:hint="default"/>
                <w:sz w:val="18"/>
                <w:szCs w:val="18"/>
              </w:rPr>
              <w:t>10 </w:t>
            </w:r>
            <w:r>
              <w:rPr>
                <w:rFonts w:ascii="宋体" w:hAnsi="宋体" w:cs="宋体" w:eastAsia="宋体" w:hint="default"/>
                <w:sz w:val="18"/>
                <w:szCs w:val="18"/>
              </w:rPr>
              <w:t>个月，且互联网财税业务、热处理业务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年度业绩较上年均有较大幅度提升</w:t>
            </w:r>
          </w:p>
        </w:tc>
      </w:tr>
      <w:tr>
        <w:trPr>
          <w:trHeight w:val="427"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542,497,560.48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321,258,357.10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68.87%</w:t>
            </w:r>
          </w:p>
        </w:tc>
        <w:tc>
          <w:tcPr>
            <w:tcW w:w="3083" w:type="dxa"/>
            <w:vMerge/>
            <w:tcBorders>
              <w:left w:val="single" w:sz="4" w:space="0" w:color="000000"/>
              <w:right w:val="single" w:sz="4" w:space="0" w:color="000000"/>
            </w:tcBorders>
          </w:tcPr>
          <w:p>
            <w:pPr/>
          </w:p>
        </w:tc>
      </w:tr>
      <w:tr>
        <w:trPr>
          <w:trHeight w:val="427"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39,487,154.23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23,800,136.97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65.91%</w:t>
            </w:r>
          </w:p>
        </w:tc>
        <w:tc>
          <w:tcPr>
            <w:tcW w:w="3083" w:type="dxa"/>
            <w:vMerge/>
            <w:tcBorders>
              <w:left w:val="single" w:sz="4" w:space="0" w:color="000000"/>
              <w:right w:val="single" w:sz="4" w:space="0" w:color="000000"/>
            </w:tcBorders>
          </w:tcPr>
          <w:p>
            <w:pPr/>
          </w:p>
        </w:tc>
      </w:tr>
      <w:tr>
        <w:trPr>
          <w:trHeight w:val="426"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159,550,374.67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79,225,221.38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101.39%</w:t>
            </w:r>
          </w:p>
        </w:tc>
        <w:tc>
          <w:tcPr>
            <w:tcW w:w="3083" w:type="dxa"/>
            <w:vMerge/>
            <w:tcBorders>
              <w:left w:val="single" w:sz="4" w:space="0" w:color="000000"/>
              <w:right w:val="single" w:sz="4" w:space="0" w:color="000000"/>
            </w:tcBorders>
          </w:tcPr>
          <w:p>
            <w:pPr/>
          </w:p>
        </w:tc>
      </w:tr>
      <w:tr>
        <w:trPr>
          <w:trHeight w:val="428"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
              <w:jc w:val="right"/>
              <w:rPr>
                <w:rFonts w:ascii="Times New Roman" w:hAnsi="Times New Roman" w:cs="Times New Roman" w:eastAsia="Times New Roman" w:hint="default"/>
                <w:sz w:val="18"/>
                <w:szCs w:val="18"/>
              </w:rPr>
            </w:pPr>
            <w:r>
              <w:rPr>
                <w:rFonts w:ascii="Times New Roman"/>
                <w:spacing w:val="-1"/>
                <w:sz w:val="18"/>
              </w:rPr>
              <w:t>-9,836,034.52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right"/>
              <w:rPr>
                <w:rFonts w:ascii="Times New Roman" w:hAnsi="Times New Roman" w:cs="Times New Roman" w:eastAsia="Times New Roman" w:hint="default"/>
                <w:sz w:val="18"/>
                <w:szCs w:val="18"/>
              </w:rPr>
            </w:pPr>
            <w:r>
              <w:rPr>
                <w:rFonts w:ascii="Times New Roman"/>
                <w:spacing w:val="-1"/>
                <w:sz w:val="18"/>
              </w:rPr>
              <w:t>1,220,803.80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right"/>
              <w:rPr>
                <w:rFonts w:ascii="Times New Roman" w:hAnsi="Times New Roman" w:cs="Times New Roman" w:eastAsia="Times New Roman" w:hint="default"/>
                <w:sz w:val="18"/>
                <w:szCs w:val="18"/>
              </w:rPr>
            </w:pPr>
            <w:r>
              <w:rPr>
                <w:rFonts w:ascii="Times New Roman"/>
                <w:w w:val="95"/>
                <w:sz w:val="18"/>
              </w:rPr>
              <w:t>-905.70%</w:t>
            </w:r>
            <w:r>
              <w:rPr>
                <w:rFonts w:ascii="Times New Roman"/>
                <w:sz w:val="18"/>
              </w:rPr>
            </w:r>
          </w:p>
        </w:tc>
        <w:tc>
          <w:tcPr>
            <w:tcW w:w="3083" w:type="dxa"/>
            <w:vMerge/>
            <w:tcBorders>
              <w:left w:val="single" w:sz="4" w:space="0" w:color="000000"/>
              <w:right w:val="single" w:sz="4" w:space="0" w:color="000000"/>
            </w:tcBorders>
          </w:tcPr>
          <w:p>
            <w:pPr/>
          </w:p>
        </w:tc>
      </w:tr>
      <w:tr>
        <w:trPr>
          <w:trHeight w:val="427"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272,340,893.25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56,924,910.11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378.42%</w:t>
            </w:r>
          </w:p>
        </w:tc>
        <w:tc>
          <w:tcPr>
            <w:tcW w:w="3083" w:type="dxa"/>
            <w:vMerge/>
            <w:tcBorders>
              <w:left w:val="single" w:sz="4" w:space="0" w:color="000000"/>
              <w:right w:val="single" w:sz="4" w:space="0" w:color="000000"/>
            </w:tcBorders>
          </w:tcPr>
          <w:p>
            <w:pPr/>
          </w:p>
        </w:tc>
      </w:tr>
      <w:tr>
        <w:trPr>
          <w:trHeight w:val="428" w:hRule="exact"/>
        </w:trPr>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230,474,158.71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46,556,799.86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395.04%</w:t>
            </w:r>
          </w:p>
        </w:tc>
        <w:tc>
          <w:tcPr>
            <w:tcW w:w="3083" w:type="dxa"/>
            <w:vMerge/>
            <w:tcBorders>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417"/>
        <w:gridCol w:w="1134"/>
        <w:gridCol w:w="3083"/>
      </w:tblGrid>
      <w:tr>
        <w:trPr>
          <w:trHeight w:val="57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6"/>
              <w:ind w:left="4" w:right="0"/>
              <w:jc w:val="left"/>
              <w:rPr>
                <w:rFonts w:ascii="宋体" w:hAnsi="宋体" w:cs="宋体" w:eastAsia="宋体" w:hint="default"/>
                <w:sz w:val="18"/>
                <w:szCs w:val="18"/>
              </w:rPr>
            </w:pPr>
            <w:r>
              <w:rPr>
                <w:rFonts w:ascii="宋体" w:hAnsi="宋体" w:cs="宋体" w:eastAsia="宋体" w:hint="default"/>
                <w:sz w:val="18"/>
                <w:szCs w:val="18"/>
              </w:rPr>
              <w:t>研发投入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95,182,305.94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42,150,840.01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125.81%</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3"/>
              <w:ind w:left="4" w:right="6"/>
              <w:jc w:val="left"/>
              <w:rPr>
                <w:rFonts w:ascii="宋体" w:hAnsi="宋体" w:cs="宋体" w:eastAsia="宋体" w:hint="default"/>
                <w:sz w:val="18"/>
                <w:szCs w:val="18"/>
              </w:rPr>
            </w:pPr>
            <w:r>
              <w:rPr>
                <w:rFonts w:ascii="宋体" w:hAnsi="宋体" w:cs="宋体" w:eastAsia="宋体" w:hint="default"/>
                <w:spacing w:val="10"/>
                <w:sz w:val="18"/>
                <w:szCs w:val="18"/>
              </w:rPr>
              <w:t>主要系互联网财税业务并表月份数增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加，且研发投入较上年度有大幅增长</w:t>
            </w:r>
          </w:p>
        </w:tc>
      </w:tr>
      <w:tr>
        <w:trPr>
          <w:trHeight w:val="427"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187,604,575.10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221,984,043.48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-15.49%</w:t>
            </w:r>
          </w:p>
        </w:tc>
        <w:tc>
          <w:tcPr>
            <w:tcW w:w="3083"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4"/>
              <w:ind w:left="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18"/>
                <w:szCs w:val="18"/>
              </w:rPr>
            </w:pPr>
            <w:r>
              <w:rPr>
                <w:rFonts w:ascii="Times New Roman"/>
                <w:spacing w:val="-1"/>
                <w:sz w:val="18"/>
              </w:rPr>
              <w:t>-1,264,959,396.60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18"/>
                <w:szCs w:val="18"/>
              </w:rPr>
            </w:pPr>
            <w:r>
              <w:rPr>
                <w:rFonts w:ascii="Times New Roman"/>
                <w:spacing w:val="-1"/>
                <w:sz w:val="18"/>
              </w:rPr>
              <w:t>51,163,537.58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Times New Roman" w:hAnsi="Times New Roman" w:cs="Times New Roman" w:eastAsia="Times New Roman" w:hint="default"/>
                <w:sz w:val="18"/>
                <w:szCs w:val="18"/>
              </w:rPr>
            </w:pPr>
            <w:r>
              <w:rPr>
                <w:rFonts w:ascii="Times New Roman"/>
                <w:w w:val="95"/>
                <w:sz w:val="18"/>
              </w:rPr>
              <w:t>-2572.38%</w:t>
            </w:r>
            <w:r>
              <w:rPr>
                <w:rFonts w:ascii="Times New Roman"/>
                <w:sz w:val="18"/>
              </w:rPr>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 w:right="4"/>
              <w:jc w:val="left"/>
              <w:rPr>
                <w:rFonts w:ascii="宋体" w:hAnsi="宋体" w:cs="宋体" w:eastAsia="宋体" w:hint="default"/>
                <w:sz w:val="18"/>
                <w:szCs w:val="18"/>
              </w:rPr>
            </w:pPr>
            <w:r>
              <w:rPr>
                <w:rFonts w:ascii="宋体" w:hAnsi="宋体" w:cs="宋体" w:eastAsia="宋体" w:hint="default"/>
                <w:sz w:val="18"/>
                <w:szCs w:val="18"/>
              </w:rPr>
              <w:t>主要系本年对外股权投资增加及部分闲 置资金投资保本理财产品</w:t>
            </w:r>
          </w:p>
        </w:tc>
      </w:tr>
      <w:tr>
        <w:trPr>
          <w:trHeight w:val="427"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32,662,969.56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1,301,147,798.22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-97.49%</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主要系本年融资需求较上年减少所致</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收入与成本" w:id="32"/>
      <w:bookmarkEnd w:id="32"/>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营业收入构成" w:id="33"/>
      <w:bookmarkEnd w:id="33"/>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2"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997,742,267.47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483,838,717.65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106.21%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492,079,652.38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386,588,275.51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27.29%</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227,121,465.29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47,611,527.44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377.03%</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278,541,149.80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49,638,914.70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461.13%</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216,409,781.78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177,683,756.59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21.79%</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218,801,873.65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160,540,960.97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36.29%</w:t>
            </w:r>
          </w:p>
        </w:tc>
      </w:tr>
      <w:tr>
        <w:trPr>
          <w:trHeight w:val="39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227,121,465.29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47,611,527.44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377.03%</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67,713,726.01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16,247,643.06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316.76%</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产品及开发服务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100,769,495.47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21,735,519.75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363.62%</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110,057,928.32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11,655,751.89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844.24%</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56,867,996.95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48,363,557.95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7,587,645.01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6,958,996.58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54,120,569.13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21,687,082.87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149.55%</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341,324,762.46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245,804,383.68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50.80%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38.86%</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443,475,599.31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129,729,539.31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241.85%</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10,906,277.20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4,153,652.83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162.57%</w:t>
            </w:r>
          </w:p>
        </w:tc>
      </w:tr>
      <w:tr>
        <w:trPr>
          <w:trHeight w:val="3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73,865,359.26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34,500,382.87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114.10%</w:t>
            </w:r>
          </w:p>
        </w:tc>
      </w:tr>
      <w:tr>
        <w:trPr>
          <w:trHeight w:val="39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34,153,330.23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16,897,724.33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102.12%</w:t>
            </w:r>
          </w:p>
        </w:tc>
      </w:tr>
      <w:tr>
        <w:trPr>
          <w:trHeight w:val="3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32,308,724.87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24,106,955.18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34.02%</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5"/>
        <w:rPr>
          <w:rFonts w:ascii="宋体" w:hAnsi="宋体" w:cs="宋体" w:eastAsia="宋体" w:hint="default"/>
          <w:sz w:val="19"/>
          <w:szCs w:val="19"/>
        </w:rPr>
      </w:pPr>
    </w:p>
    <w:p>
      <w:pPr>
        <w:pStyle w:val="Heading3"/>
        <w:spacing w:line="240" w:lineRule="auto" w:before="38"/>
        <w:ind w:right="1118"/>
        <w:jc w:val="left"/>
        <w:rPr>
          <w:b w:val="0"/>
          <w:bCs w:val="0"/>
        </w:rPr>
      </w:pPr>
      <w:bookmarkStart w:name="（2）占公司营业收入或营业利润10%以上的行业、产品或地区情况" w:id="34"/>
      <w:bookmarkEnd w:id="34"/>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687" w:footer="979" w:top="1140" w:bottom="1160" w:left="980" w:right="0"/>
        </w:sectPr>
      </w:pPr>
    </w:p>
    <w:p>
      <w:pPr>
        <w:pStyle w:val="BodyText"/>
        <w:spacing w:line="35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575" w:space="4985"/>
            <w:col w:w="237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004"/>
        <w:gridCol w:w="1417"/>
        <w:gridCol w:w="1418"/>
        <w:gridCol w:w="1633"/>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3" w:right="72"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3" w:right="72"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31" w:right="90" w:hanging="540"/>
              <w:jc w:val="left"/>
              <w:rPr>
                <w:rFonts w:ascii="宋体" w:hAnsi="宋体" w:cs="宋体" w:eastAsia="宋体" w:hint="default"/>
                <w:sz w:val="18"/>
                <w:szCs w:val="18"/>
              </w:rPr>
            </w:pPr>
            <w:r>
              <w:rPr>
                <w:rFonts w:ascii="宋体" w:hAnsi="宋体" w:cs="宋体" w:eastAsia="宋体" w:hint="default"/>
                <w:sz w:val="18"/>
                <w:szCs w:val="18"/>
              </w:rPr>
              <w:t>毛利率比上年同期 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492,079,652.38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334,860,877.58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227,121,465.29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56,043,463.32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362.79%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278,541,149.80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151,593,219.58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552.81%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216,409,781.78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162,179,185.73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218,801,873.65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138,361,517.68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25.89%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227,121,465.29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56,043,463.32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362.79%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67,713,726.01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34,968,297.33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397.16%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产品及开发服务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100,769,495.47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32,892,743.06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339.29%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110,057,928.32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83,732,179.19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862.40%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56,867,996.95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34,320,174.17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18.12%</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7,587,645.01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3,459,228.39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-43.89%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54,120,569.13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29,162,048.84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70.88%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341,324,762.46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215,183,139.07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443,475,599.31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201,885,504.10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223.63%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10,906,277.20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6,209,990.01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297.49%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73,865,359.26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43,651,462.55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114.10%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111.69%</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34,153,330.23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24,639,939.79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127.46%</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32,308,724.87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18,306,247.72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-2.25%</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3）公司实物销售收入是否大于劳务收入" w:id="35"/>
      <w:bookmarkEnd w:id="35"/>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机械制造业</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43.30%</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76.19%</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18"/>
        <w:jc w:val="left"/>
      </w:pPr>
      <w:r>
        <w:rPr>
          <w:rFonts w:ascii="Times New Roman" w:hAnsi="Times New Roman" w:cs="Times New Roman" w:eastAsia="Times New Roman" w:hint="default"/>
        </w:rPr>
        <w:t>1</w:t>
      </w:r>
      <w:r>
        <w:rPr/>
        <w:t>、生产量本年比上年同期增长</w:t>
      </w:r>
      <w:r>
        <w:rPr>
          <w:spacing w:val="-46"/>
        </w:rPr>
        <w:t> </w:t>
      </w:r>
      <w:r>
        <w:rPr>
          <w:rFonts w:ascii="Times New Roman" w:hAnsi="Times New Roman" w:cs="Times New Roman" w:eastAsia="Times New Roman" w:hint="default"/>
        </w:rPr>
        <w:t>43.30%</w:t>
      </w:r>
      <w:r>
        <w:rPr/>
        <w:t>，主要系本年客户订单增长所致。</w:t>
      </w:r>
    </w:p>
    <w:p>
      <w:pPr>
        <w:pStyle w:val="BodyText"/>
        <w:spacing w:line="240" w:lineRule="auto" w:before="102"/>
        <w:ind w:right="1118"/>
        <w:jc w:val="left"/>
      </w:pPr>
      <w:r>
        <w:rPr>
          <w:rFonts w:ascii="Times New Roman" w:hAnsi="Times New Roman" w:cs="Times New Roman" w:eastAsia="Times New Roman" w:hint="default"/>
        </w:rPr>
        <w:t>2</w:t>
      </w:r>
      <w:r>
        <w:rPr/>
        <w:t>、库存量本年比上年同期增长</w:t>
      </w:r>
      <w:r>
        <w:rPr>
          <w:spacing w:val="-46"/>
        </w:rPr>
        <w:t> </w:t>
      </w:r>
      <w:r>
        <w:rPr>
          <w:rFonts w:ascii="Times New Roman" w:hAnsi="Times New Roman" w:cs="Times New Roman" w:eastAsia="Times New Roman" w:hint="default"/>
        </w:rPr>
        <w:t>76.19%</w:t>
      </w:r>
      <w:r>
        <w:rPr/>
        <w:t>，主要系期末客户订单增长引起生产增加所致。</w:t>
      </w:r>
    </w:p>
    <w:p>
      <w:pPr>
        <w:spacing w:line="240" w:lineRule="auto" w:before="6"/>
        <w:rPr>
          <w:rFonts w:ascii="宋体" w:hAnsi="宋体" w:cs="宋体" w:eastAsia="宋体" w:hint="default"/>
          <w:sz w:val="26"/>
          <w:szCs w:val="26"/>
        </w:rPr>
      </w:pPr>
    </w:p>
    <w:p>
      <w:pPr>
        <w:pStyle w:val="Heading3"/>
        <w:spacing w:line="240" w:lineRule="auto"/>
        <w:ind w:left="556" w:right="1118"/>
        <w:jc w:val="left"/>
        <w:rPr>
          <w:b w:val="0"/>
          <w:bCs w:val="0"/>
        </w:rPr>
      </w:pPr>
      <w:bookmarkStart w:name="（4）公司已签订的重大销售合同截至本报告期的履行情况" w:id="36"/>
      <w:bookmarkEnd w:id="36"/>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5）营业成本构成" w:id="37"/>
      <w:bookmarkEnd w:id="37"/>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18"/>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25"/>
        <w:gridCol w:w="1418"/>
        <w:gridCol w:w="1418"/>
        <w:gridCol w:w="1274"/>
        <w:gridCol w:w="1419"/>
        <w:gridCol w:w="1349"/>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334,860,877.58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285,926,760.83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企业云服务</w:t>
            </w: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56,043,463.32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12,109,946.41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电子税务</w:t>
            </w: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151,593,219.58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23,221,649.86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552.81%</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热处理设备销售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162,179,185.73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146,960,071.59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138,361,517.68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109,910,362.43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财税云服务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56,043,463.32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12,109,946.41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34,968,297.33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7,033,604.68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产品及开发服务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32,892,743.06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7,487,733.79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83,732,179.19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8,700,311.39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34,320,174.17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29,056,326.81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18.12%</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6）报告期内合并范围是否发生变动" w:id="38"/>
      <w:bookmarkEnd w:id="38"/>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9" w:lineRule="auto" w:before="101"/>
        <w:ind w:left="154" w:right="1133"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月公司新设全资子公司江苏丰东热技术有限公司，公司于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月将热处理业务相关的资产（包含公 </w:t>
      </w:r>
      <w:r>
        <w:rPr>
          <w:spacing w:val="-2"/>
        </w:rPr>
        <w:t>司对热处理业务板块控股及参股公司持有的股权）、负债、业务、资质、合同、人员及其他一切权利与义务转移至全资子公</w:t>
      </w:r>
      <w:r>
        <w:rPr>
          <w:spacing w:val="-72"/>
        </w:rPr>
        <w:t> </w:t>
      </w:r>
      <w:r>
        <w:rPr>
          <w:spacing w:val="-72"/>
        </w:rPr>
      </w:r>
      <w:r>
        <w:rPr/>
        <w:t>司丰东热技术。</w:t>
      </w:r>
    </w:p>
    <w:p>
      <w:pPr>
        <w:spacing w:after="0" w:line="309" w:lineRule="auto"/>
        <w:jc w:val="both"/>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02" w:lineRule="auto" w:before="44"/>
        <w:ind w:left="154" w:right="1116"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月，上海宝华威热处理设备有限公司及其控股子公司艾普零件制造（苏州）有限公司纳入公司合并报表范 围。</w:t>
      </w:r>
    </w:p>
    <w:p>
      <w:pPr>
        <w:pStyle w:val="BodyText"/>
        <w:spacing w:line="240" w:lineRule="auto" w:before="68"/>
        <w:ind w:left="514" w:right="0"/>
        <w:jc w:val="left"/>
      </w:pPr>
      <w:r>
        <w:rPr>
          <w:rFonts w:ascii="Times New Roman" w:hAnsi="Times New Roman" w:cs="Times New Roman" w:eastAsia="Times New Roman" w:hint="default"/>
        </w:rPr>
        <w:t>3</w:t>
      </w:r>
      <w:r>
        <w:rPr/>
        <w:t>、本公司于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月将所持北京丰东建通工业炉科技有限公司（以下简称</w:t>
      </w:r>
      <w:r>
        <w:rPr>
          <w:rFonts w:ascii="Times New Roman" w:hAnsi="Times New Roman" w:cs="Times New Roman" w:eastAsia="Times New Roman" w:hint="default"/>
        </w:rPr>
        <w:t>“</w:t>
      </w:r>
      <w:r>
        <w:rPr/>
        <w:t>北京丰东</w:t>
      </w:r>
      <w:r>
        <w:rPr>
          <w:rFonts w:ascii="Times New Roman" w:hAnsi="Times New Roman" w:cs="Times New Roman" w:eastAsia="Times New Roman" w:hint="default"/>
        </w:rPr>
        <w:t>”</w:t>
      </w:r>
      <w:r>
        <w:rPr/>
        <w:t>）</w:t>
      </w:r>
      <w:r>
        <w:rPr>
          <w:rFonts w:ascii="Times New Roman" w:hAnsi="Times New Roman" w:cs="Times New Roman" w:eastAsia="Times New Roman" w:hint="default"/>
        </w:rPr>
        <w:t>65%</w:t>
      </w:r>
      <w:r>
        <w:rPr/>
        <w:t>股权全部转让，北京丰</w:t>
      </w:r>
    </w:p>
    <w:p>
      <w:pPr>
        <w:pStyle w:val="BodyText"/>
        <w:spacing w:line="240" w:lineRule="auto" w:before="64"/>
        <w:ind w:left="153" w:right="1118"/>
        <w:jc w:val="left"/>
      </w:pPr>
      <w:r>
        <w:rPr/>
        <w:t>东自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月起不再纳入公司合并报表范围。</w:t>
      </w:r>
    </w:p>
    <w:p>
      <w:pPr>
        <w:pStyle w:val="BodyText"/>
        <w:spacing w:line="312" w:lineRule="auto" w:before="103"/>
        <w:ind w:left="153" w:right="1031" w:firstLine="360"/>
        <w:jc w:val="left"/>
      </w:pPr>
      <w:r>
        <w:rPr>
          <w:rFonts w:ascii="Times New Roman" w:hAnsi="Times New Roman" w:cs="Times New Roman" w:eastAsia="Times New Roman" w:hint="default"/>
          <w:spacing w:val="-6"/>
        </w:rPr>
        <w:t>4</w:t>
      </w:r>
      <w:r>
        <w:rPr>
          <w:spacing w:val="-6"/>
        </w:rPr>
        <w:t>、公司全资子公司方欣科技有限公司</w:t>
      </w:r>
      <w:r>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spacing w:val="-3"/>
        </w:rPr>
        <w:t>年新纳入合并报表范围的子公司及下属公司有：金财互联数据服务有限公司、</w:t>
      </w:r>
      <w:r>
        <w:rPr/>
        <w:t> </w:t>
      </w:r>
      <w:r>
        <w:rPr>
          <w:spacing w:val="-2"/>
        </w:rPr>
        <w:t>方欣智慧财税服务有限公司、浙江金财立信财务管理有限公司、北京方欣恒利科技有限公司、上海金财企盈企业服务有限公</w:t>
      </w:r>
      <w:r>
        <w:rPr>
          <w:spacing w:val="-66"/>
        </w:rPr>
        <w:t> </w:t>
      </w:r>
      <w:r>
        <w:rPr>
          <w:spacing w:val="-66"/>
        </w:rPr>
      </w:r>
      <w:r>
        <w:rPr>
          <w:spacing w:val="-2"/>
        </w:rPr>
        <w:t>司、东莞市金财互联信息科技有限公司、江门市金财互联数据服务有限公司、浙江立信之友软件有限公司、黄山怀信商务信</w:t>
      </w:r>
      <w:r>
        <w:rPr>
          <w:spacing w:val="-66"/>
        </w:rPr>
        <w:t> </w:t>
      </w:r>
      <w:r>
        <w:rPr>
          <w:spacing w:val="-66"/>
        </w:rPr>
      </w:r>
      <w:r>
        <w:rPr/>
        <w:t>息咨询有限公司、新疆金财立信财务管理有限公司、上海灏友企业服务有限公司。</w:t>
      </w:r>
    </w:p>
    <w:p>
      <w:pPr>
        <w:spacing w:line="240" w:lineRule="auto" w:before="4"/>
        <w:rPr>
          <w:rFonts w:ascii="宋体" w:hAnsi="宋体" w:cs="宋体" w:eastAsia="宋体" w:hint="default"/>
          <w:sz w:val="23"/>
          <w:szCs w:val="23"/>
        </w:rPr>
      </w:pPr>
    </w:p>
    <w:p>
      <w:pPr>
        <w:pStyle w:val="Heading3"/>
        <w:spacing w:line="240" w:lineRule="auto"/>
        <w:ind w:left="556" w:right="1118"/>
        <w:jc w:val="left"/>
        <w:rPr>
          <w:b w:val="0"/>
          <w:bCs w:val="0"/>
        </w:rPr>
      </w:pPr>
      <w:bookmarkStart w:name="（7）公司报告期内业务、产品或服务发生重大变化或调整有关情况" w:id="39"/>
      <w:bookmarkEnd w:id="39"/>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8）主要销售客户和主要供应商情况" w:id="40"/>
      <w:bookmarkEnd w:id="40"/>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18"/>
        <w:jc w:val="left"/>
      </w:pPr>
      <w:r>
        <w:rPr/>
        <w:t>公司主要销售客户情况</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5955"/>
        <w:gridCol w:w="3614"/>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169,816,738.22</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17.02%</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514" w:right="111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791"/>
        <w:gridCol w:w="3606"/>
        <w:gridCol w:w="2550"/>
        <w:gridCol w:w="2622"/>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82,919,974.43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43,595,614.62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14,962,048.15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14,184,285.23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14,154,815.79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169,816,738.22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17.02%</w:t>
            </w:r>
          </w:p>
        </w:tc>
      </w:tr>
    </w:tbl>
    <w:p>
      <w:pPr>
        <w:pStyle w:val="BodyText"/>
        <w:spacing w:line="240" w:lineRule="auto" w:before="51"/>
        <w:ind w:left="514" w:right="1118"/>
        <w:jc w:val="left"/>
      </w:pPr>
      <w:r>
        <w:rPr/>
        <w:t>主要客户其他情况说明</w:t>
      </w:r>
    </w:p>
    <w:p>
      <w:pPr>
        <w:spacing w:line="240" w:lineRule="auto" w:before="12"/>
        <w:rPr>
          <w:rFonts w:ascii="宋体" w:hAnsi="宋体" w:cs="宋体" w:eastAsia="宋体" w:hint="default"/>
          <w:sz w:val="14"/>
          <w:szCs w:val="14"/>
        </w:rPr>
      </w:pPr>
    </w:p>
    <w:p>
      <w:pPr>
        <w:pStyle w:val="BodyText"/>
        <w:spacing w:line="415"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5955"/>
        <w:gridCol w:w="3614"/>
      </w:tblGrid>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126,843,614.08</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28.31%</w:t>
            </w:r>
          </w:p>
        </w:tc>
      </w:tr>
      <w:tr>
        <w:trPr>
          <w:trHeight w:val="402"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r>
    </w:tbl>
    <w:p>
      <w:pPr>
        <w:pStyle w:val="BodyText"/>
        <w:spacing w:line="240" w:lineRule="auto" w:before="51"/>
        <w:ind w:left="514" w:right="111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912"/>
        <w:gridCol w:w="3473"/>
        <w:gridCol w:w="2550"/>
        <w:gridCol w:w="2622"/>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40,427,350.43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912"/>
        <w:gridCol w:w="3473"/>
        <w:gridCol w:w="2550"/>
        <w:gridCol w:w="2622"/>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11,088,301.23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8,912,537.36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4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7,890,244.27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5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94,398,433.29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43.65%</w:t>
            </w:r>
          </w:p>
        </w:tc>
      </w:tr>
    </w:tbl>
    <w:p>
      <w:pPr>
        <w:spacing w:line="240" w:lineRule="auto" w:before="8"/>
        <w:rPr>
          <w:rFonts w:ascii="宋体" w:hAnsi="宋体" w:cs="宋体" w:eastAsia="宋体" w:hint="default"/>
          <w:sz w:val="6"/>
          <w:szCs w:val="6"/>
        </w:rPr>
      </w:pPr>
    </w:p>
    <w:p>
      <w:pPr>
        <w:pStyle w:val="BodyText"/>
        <w:spacing w:line="240" w:lineRule="auto" w:before="44"/>
        <w:ind w:left="514" w:right="1118"/>
        <w:jc w:val="left"/>
      </w:pPr>
      <w:r>
        <w:rPr/>
        <w:t>主要供应商其他情况说明</w:t>
      </w:r>
    </w:p>
    <w:p>
      <w:pPr>
        <w:spacing w:line="240" w:lineRule="auto" w:before="0"/>
        <w:rPr>
          <w:rFonts w:ascii="宋体" w:hAnsi="宋体" w:cs="宋体" w:eastAsia="宋体" w:hint="default"/>
          <w:sz w:val="15"/>
          <w:szCs w:val="15"/>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费用" w:id="41"/>
      <w:bookmarkEnd w:id="41"/>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38"/>
        <w:gridCol w:w="1570"/>
        <w:gridCol w:w="1559"/>
        <w:gridCol w:w="1560"/>
        <w:gridCol w:w="3330"/>
      </w:tblGrid>
      <w:tr>
        <w:trPr>
          <w:trHeight w:val="39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7"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39,487,154.23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23,800,136.97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65.91%</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主要系本报告期内营业收入增长所致</w:t>
            </w:r>
          </w:p>
        </w:tc>
      </w:tr>
      <w:tr>
        <w:trPr>
          <w:trHeight w:val="397"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159,550,374.67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79,225,211.38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101.39%</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主要系本报告期内营业收入增长所致</w:t>
            </w:r>
          </w:p>
        </w:tc>
      </w:tr>
      <w:tr>
        <w:trPr>
          <w:trHeight w:val="125"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0"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-9,836,034.52</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1,220,803.80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21" w:right="0"/>
              <w:jc w:val="left"/>
              <w:rPr>
                <w:rFonts w:ascii="Times New Roman" w:hAnsi="Times New Roman" w:cs="Times New Roman" w:eastAsia="Times New Roman" w:hint="default"/>
                <w:sz w:val="18"/>
                <w:szCs w:val="18"/>
              </w:rPr>
            </w:pPr>
            <w:r>
              <w:rPr>
                <w:rFonts w:ascii="Times New Roman"/>
                <w:sz w:val="18"/>
              </w:rPr>
              <w:t>-905.70%</w:t>
            </w:r>
          </w:p>
        </w:tc>
        <w:tc>
          <w:tcPr>
            <w:tcW w:w="3330" w:type="dxa"/>
            <w:vMerge w:val="restart"/>
            <w:tcBorders>
              <w:top w:val="single" w:sz="4" w:space="0" w:color="000000"/>
              <w:left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主要系本报告期内收到政府贴息收入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万元，募集资金利息收入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814.87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45"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0"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4、研发投入" w:id="42"/>
      <w:bookmarkEnd w:id="42"/>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Heading4"/>
        <w:spacing w:line="240" w:lineRule="auto"/>
        <w:ind w:right="1118"/>
        <w:jc w:val="left"/>
        <w:rPr>
          <w:b w:val="0"/>
          <w:bCs w:val="0"/>
        </w:rPr>
      </w:pPr>
      <w:bookmarkStart w:name="（一）互联网财税业务" w:id="43"/>
      <w:bookmarkEnd w:id="43"/>
      <w:r>
        <w:rPr>
          <w:b w:val="0"/>
          <w:bCs w:val="0"/>
        </w:rPr>
      </w:r>
      <w:r>
        <w:rPr/>
        <w:t>（一）互联网财税业务</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left="153" w:right="1131" w:firstLine="36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spacing w:val="-3"/>
        </w:rPr>
        <w:t>年是方欣科技落实</w:t>
      </w:r>
      <w:r>
        <w:rPr>
          <w:rFonts w:ascii="Times New Roman" w:hAnsi="Times New Roman" w:cs="Times New Roman" w:eastAsia="Times New Roman" w:hint="default"/>
          <w:spacing w:val="-3"/>
        </w:rPr>
        <w:t>“</w:t>
      </w:r>
      <w:r>
        <w:rPr>
          <w:spacing w:val="-3"/>
        </w:rPr>
        <w:t>构建企业服务平台生态</w:t>
      </w:r>
      <w:r>
        <w:rPr>
          <w:rFonts w:ascii="Times New Roman" w:hAnsi="Times New Roman" w:cs="Times New Roman" w:eastAsia="Times New Roman" w:hint="default"/>
          <w:spacing w:val="-3"/>
        </w:rPr>
        <w:t>”</w:t>
      </w:r>
      <w:r>
        <w:rPr>
          <w:spacing w:val="-3"/>
        </w:rPr>
        <w:t>三年战略目标的开拓之年，公司在“打造平台、整合资源、融合生态、</w:t>
      </w:r>
      <w:r>
        <w:rPr/>
        <w:t> </w:t>
      </w:r>
      <w:r>
        <w:rPr>
          <w:spacing w:val="-2"/>
        </w:rPr>
        <w:t>挖掘数据”的战略导向下，重点实施面向纳税人打造深度财税服务生态的“金财计划”和面向税务机关打造智能电子税务局</w:t>
      </w:r>
      <w:r>
        <w:rPr>
          <w:spacing w:val="-76"/>
        </w:rPr>
        <w:t> </w:t>
      </w:r>
      <w:r>
        <w:rPr>
          <w:spacing w:val="-76"/>
        </w:rPr>
      </w:r>
      <w:r>
        <w:rPr>
          <w:spacing w:val="-5"/>
        </w:rPr>
        <w:t>的“金税计划”，实现双擎驱动、互相辅助，并通过持续的研发和运营、服务创新，实现方欣科技全面、快速、可持续发展。</w:t>
      </w:r>
    </w:p>
    <w:p>
      <w:pPr>
        <w:pStyle w:val="BodyText"/>
        <w:spacing w:line="300" w:lineRule="auto" w:before="62"/>
        <w:ind w:left="153" w:right="1132" w:firstLine="360"/>
        <w:jc w:val="both"/>
      </w:pPr>
      <w:r>
        <w:rPr>
          <w:rFonts w:ascii="Times New Roman" w:hAnsi="Times New Roman" w:cs="Times New Roman" w:eastAsia="Times New Roman" w:hint="default"/>
        </w:rPr>
        <w:t>1</w:t>
      </w:r>
      <w:r>
        <w:rPr/>
        <w:t>、报告期内，方欣科技研发了方欣安防综合集成管理平台</w:t>
      </w:r>
      <w:r>
        <w:rPr>
          <w:spacing w:val="-58"/>
        </w:rPr>
        <w:t> </w:t>
      </w:r>
      <w:r>
        <w:rPr>
          <w:rFonts w:ascii="Times New Roman" w:hAnsi="Times New Roman" w:cs="Times New Roman" w:eastAsia="Times New Roman" w:hint="default"/>
        </w:rPr>
        <w:t>V1.0</w:t>
      </w:r>
      <w:r>
        <w:rPr/>
        <w:t>、方欣电视</w:t>
      </w:r>
      <w:r>
        <w:rPr>
          <w:spacing w:val="-58"/>
        </w:rPr>
        <w:t> </w:t>
      </w:r>
      <w:r>
        <w:rPr>
          <w:rFonts w:ascii="Times New Roman" w:hAnsi="Times New Roman" w:cs="Times New Roman" w:eastAsia="Times New Roman" w:hint="default"/>
        </w:rPr>
        <w:t>IPTV</w:t>
      </w:r>
      <w:r>
        <w:rPr>
          <w:rFonts w:ascii="Times New Roman" w:hAnsi="Times New Roman" w:cs="Times New Roman" w:eastAsia="Times New Roman" w:hint="default"/>
          <w:spacing w:val="-13"/>
        </w:rPr>
        <w:t> </w:t>
      </w:r>
      <w:r>
        <w:rPr/>
        <w:t>直播管理软件、方欣</w:t>
      </w:r>
      <w:r>
        <w:rPr>
          <w:spacing w:val="-58"/>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t>运维服务管理 软件</w:t>
      </w:r>
      <w:r>
        <w:rPr>
          <w:spacing w:val="-56"/>
        </w:rPr>
        <w:t> </w:t>
      </w:r>
      <w:r>
        <w:rPr>
          <w:rFonts w:ascii="Times New Roman" w:hAnsi="Times New Roman" w:cs="Times New Roman" w:eastAsia="Times New Roman" w:hint="default"/>
        </w:rPr>
        <w:t>V1.0</w:t>
      </w:r>
      <w:r>
        <w:rPr>
          <w:rFonts w:ascii="Times New Roman" w:hAnsi="Times New Roman" w:cs="Times New Roman" w:eastAsia="Times New Roman" w:hint="default"/>
          <w:spacing w:val="-10"/>
        </w:rPr>
        <w:t> </w:t>
      </w:r>
      <w:r>
        <w:rPr/>
        <w:t>等软件，在系统集成行业保持着其较强的竞争力；研发的方欣财税管家企业版应用软件</w:t>
      </w:r>
      <w:r>
        <w:rPr>
          <w:spacing w:val="-55"/>
        </w:rPr>
        <w:t> </w:t>
      </w:r>
      <w:r>
        <w:rPr>
          <w:rFonts w:ascii="Times New Roman" w:hAnsi="Times New Roman" w:cs="Times New Roman" w:eastAsia="Times New Roman" w:hint="default"/>
        </w:rPr>
        <w:t>V1.0</w:t>
      </w:r>
      <w:r>
        <w:rPr/>
        <w:t>、方欣移动办税管理 软件</w:t>
      </w:r>
      <w:r>
        <w:rPr>
          <w:spacing w:val="-46"/>
        </w:rPr>
        <w:t> </w:t>
      </w:r>
      <w:r>
        <w:rPr>
          <w:rFonts w:ascii="Times New Roman" w:hAnsi="Times New Roman" w:cs="Times New Roman" w:eastAsia="Times New Roman" w:hint="default"/>
        </w:rPr>
        <w:t>V1.0 </w:t>
      </w:r>
      <w:r>
        <w:rPr/>
        <w:t>等获得了广州市软件行业协会颁发的</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年优秀软件产品的荣誉，稳固了方欣科技在企业端业务的发展。</w:t>
      </w:r>
    </w:p>
    <w:p>
      <w:pPr>
        <w:pStyle w:val="BodyText"/>
        <w:spacing w:line="300" w:lineRule="auto" w:before="51"/>
        <w:ind w:left="153" w:right="1123" w:firstLine="360"/>
        <w:jc w:val="left"/>
      </w:pPr>
      <w:r>
        <w:rPr>
          <w:rFonts w:ascii="Times New Roman" w:hAnsi="Times New Roman" w:cs="Times New Roman" w:eastAsia="Times New Roman" w:hint="default"/>
        </w:rPr>
        <w:t>2</w:t>
      </w:r>
      <w:r>
        <w:rPr/>
        <w:t>、报告期内，方欣科技持续研发基于代账服务机构的金财管家（代账版）和基于自建账企业的金财管家产品，以业财 </w:t>
      </w:r>
      <w:r>
        <w:rPr>
          <w:spacing w:val="-3"/>
        </w:rPr>
        <w:t>税一体化为核心，构建连接用户（包含企业、各种中介机构、政府管理机构、个人）、设备（</w:t>
      </w:r>
      <w:r>
        <w:rPr>
          <w:rFonts w:ascii="Times New Roman" w:hAnsi="Times New Roman" w:cs="Times New Roman" w:eastAsia="Times New Roman" w:hint="default"/>
          <w:spacing w:val="-3"/>
        </w:rPr>
        <w:t>PC</w:t>
      </w:r>
      <w:r>
        <w:rPr>
          <w:spacing w:val="-3"/>
        </w:rPr>
        <w:t>、移动终端、专用终端）、</w:t>
      </w:r>
      <w:r>
        <w:rPr>
          <w:spacing w:val="-49"/>
        </w:rPr>
        <w:t> </w:t>
      </w:r>
      <w:r>
        <w:rPr>
          <w:spacing w:val="-49"/>
        </w:rPr>
      </w:r>
      <w:r>
        <w:rPr/>
        <w:t>应用（涵盖用户财务、办税、资金、内部管理如企业管理、</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管理等全生态链服务应用）、服务（各种线上线下服务） 的智能云连接平台，重点解决发票、财务、报税、企业管理全面协同功能。</w:t>
      </w:r>
    </w:p>
    <w:p>
      <w:pPr>
        <w:pStyle w:val="BodyText"/>
        <w:spacing w:line="240" w:lineRule="auto" w:before="71"/>
        <w:ind w:left="514" w:right="0"/>
        <w:jc w:val="left"/>
      </w:pPr>
      <w:r>
        <w:rPr>
          <w:rFonts w:ascii="Times New Roman" w:hAnsi="Times New Roman" w:cs="Times New Roman" w:eastAsia="Times New Roman" w:hint="default"/>
        </w:rPr>
        <w:t>3</w:t>
      </w:r>
      <w:r>
        <w:rPr/>
        <w:t>、报告期内，方欣科技新研发《电子税务局国地税联合办税软件》产品套件推广覆盖广东、福建、贵州、青海、山东</w:t>
      </w:r>
    </w:p>
    <w:p>
      <w:pPr>
        <w:pStyle w:val="BodyText"/>
        <w:spacing w:line="302" w:lineRule="auto" w:before="63"/>
        <w:ind w:left="154" w:right="11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spacing w:val="-1"/>
        </w:rPr>
        <w:t>个省份，产品成熟度较高，良好满足国务院关于国地税务机关合并这一重大工作中，面向纳税人提供互联网公共服务的要</w:t>
      </w:r>
      <w:r>
        <w:rPr>
          <w:spacing w:val="-88"/>
        </w:rPr>
        <w:t> </w:t>
      </w:r>
      <w:r>
        <w:rPr>
          <w:spacing w:val="-88"/>
        </w:rPr>
      </w:r>
      <w:r>
        <w:rPr/>
        <w:t>求。</w:t>
      </w:r>
    </w:p>
    <w:p>
      <w:pPr>
        <w:pStyle w:val="BodyText"/>
        <w:spacing w:line="309" w:lineRule="auto" w:before="68"/>
        <w:ind w:left="154" w:right="1130" w:firstLine="360"/>
        <w:jc w:val="both"/>
      </w:pPr>
      <w:r>
        <w:rPr>
          <w:rFonts w:ascii="Times New Roman" w:hAnsi="Times New Roman" w:cs="Times New Roman" w:eastAsia="Times New Roman" w:hint="default"/>
        </w:rPr>
        <w:t>4</w:t>
      </w:r>
      <w:r>
        <w:rPr/>
        <w:t>、报告期内，方欣科技新设立“产品研究院”，研发建设财税共享中心产品，同时除维护公司公共技术管理工作外， </w:t>
      </w:r>
      <w:r>
        <w:rPr>
          <w:spacing w:val="-2"/>
        </w:rPr>
        <w:t>对运营平台进行统筹升级，建设《方欣服务与运营支撑软件》平台，打通主流线上支付渠道、打造智能客服系统、强化用户</w:t>
      </w:r>
      <w:r>
        <w:rPr>
          <w:spacing w:val="-67"/>
        </w:rPr>
        <w:t> </w:t>
      </w:r>
      <w:r>
        <w:rPr>
          <w:spacing w:val="-67"/>
        </w:rPr>
      </w:r>
      <w:r>
        <w:rPr/>
        <w:t>分析与产品推介平台、完善财税知识服务社区，实现对全国用户提供集中化的运营级服务支持与管理能力。</w:t>
      </w:r>
    </w:p>
    <w:p>
      <w:pPr>
        <w:pStyle w:val="BodyText"/>
        <w:spacing w:line="302" w:lineRule="auto" w:before="63"/>
        <w:ind w:left="154" w:right="1124" w:firstLine="360"/>
        <w:jc w:val="left"/>
      </w:pPr>
      <w:r>
        <w:rPr>
          <w:rFonts w:ascii="Times New Roman" w:hAnsi="Times New Roman" w:cs="Times New Roman" w:eastAsia="Times New Roman" w:hint="default"/>
          <w:spacing w:val="-4"/>
        </w:rPr>
        <w:t>5</w:t>
      </w:r>
      <w:r>
        <w:rPr>
          <w:spacing w:val="-4"/>
        </w:rPr>
        <w:t>、方欣科技</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年内共新增完成软件著作权登记</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项，完成专利申报受理</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项，软件产品登记测试报告</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spacing w:val="-5"/>
        </w:rPr>
        <w:t>项，软件</w:t>
      </w:r>
      <w:r>
        <w:rPr/>
        <w:t> 产品确认测试报告</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项。新申请了</w:t>
      </w:r>
      <w:r>
        <w:rPr>
          <w:spacing w:val="-46"/>
        </w:rPr>
        <w:t> </w:t>
      </w:r>
      <w:r>
        <w:rPr>
          <w:rFonts w:ascii="Times New Roman" w:hAnsi="Times New Roman" w:cs="Times New Roman" w:eastAsia="Times New Roman" w:hint="default"/>
        </w:rPr>
        <w:t>ITSS</w:t>
      </w:r>
      <w:r>
        <w:rPr>
          <w:rFonts w:ascii="Times New Roman" w:hAnsi="Times New Roman" w:cs="Times New Roman" w:eastAsia="Times New Roman" w:hint="default"/>
          <w:spacing w:val="-2"/>
        </w:rPr>
        <w:t> </w:t>
      </w:r>
      <w:r>
        <w:rPr/>
        <w:t>认证四级认证，完成了</w:t>
      </w:r>
      <w:r>
        <w:rPr>
          <w:spacing w:val="-46"/>
        </w:rPr>
        <w:t> </w:t>
      </w:r>
      <w:r>
        <w:rPr>
          <w:rFonts w:ascii="Times New Roman" w:hAnsi="Times New Roman" w:cs="Times New Roman" w:eastAsia="Times New Roman" w:hint="default"/>
        </w:rPr>
        <w:t>ISO9001\20000\27001</w:t>
      </w:r>
      <w:r>
        <w:rPr>
          <w:rFonts w:ascii="Times New Roman" w:hAnsi="Times New Roman" w:cs="Times New Roman" w:eastAsia="Times New Roman" w:hint="default"/>
          <w:spacing w:val="-1"/>
        </w:rPr>
        <w:t> </w:t>
      </w:r>
      <w:r>
        <w:rPr/>
        <w:t>的年审。</w:t>
      </w:r>
    </w:p>
    <w:p>
      <w:pPr>
        <w:pStyle w:val="Heading4"/>
        <w:spacing w:line="240" w:lineRule="auto" w:before="131"/>
        <w:ind w:right="1118"/>
        <w:jc w:val="left"/>
        <w:rPr>
          <w:b w:val="0"/>
          <w:bCs w:val="0"/>
        </w:rPr>
      </w:pPr>
      <w:bookmarkStart w:name="（二）热处理业务" w:id="44"/>
      <w:bookmarkEnd w:id="44"/>
      <w:r>
        <w:rPr>
          <w:b w:val="0"/>
          <w:bCs w:val="0"/>
        </w:rPr>
      </w:r>
      <w:r>
        <w:rPr/>
        <w:t>（二）热处理业务</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right="1118"/>
        <w:jc w:val="left"/>
      </w:pPr>
      <w:r>
        <w:rPr/>
        <w:t>报告期内，公司热处理板块研发投入金额为</w:t>
      </w:r>
      <w:r>
        <w:rPr>
          <w:spacing w:val="-45"/>
        </w:rPr>
        <w:t> </w:t>
      </w:r>
      <w:r>
        <w:rPr>
          <w:rFonts w:ascii="Times New Roman" w:hAnsi="Times New Roman" w:cs="Times New Roman" w:eastAsia="Times New Roman" w:hint="default"/>
        </w:rPr>
        <w:t>1,690</w:t>
      </w:r>
      <w:r>
        <w:rPr>
          <w:rFonts w:ascii="Times New Roman" w:hAnsi="Times New Roman" w:cs="Times New Roman" w:eastAsia="Times New Roman" w:hint="default"/>
          <w:spacing w:val="-1"/>
        </w:rPr>
        <w:t> </w:t>
      </w:r>
      <w:r>
        <w:rPr/>
        <w:t>万元，具体情况如下：</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00" w:lineRule="auto" w:before="44"/>
        <w:ind w:left="154" w:right="1131" w:firstLine="360"/>
        <w:jc w:val="both"/>
      </w:pPr>
      <w:r>
        <w:rPr>
          <w:rFonts w:ascii="Times New Roman" w:hAnsi="Times New Roman" w:cs="Times New Roman" w:eastAsia="Times New Roman" w:hint="default"/>
          <w:spacing w:val="-4"/>
        </w:rPr>
        <w:t>1</w:t>
      </w:r>
      <w:r>
        <w:rPr>
          <w:spacing w:val="-4"/>
        </w:rPr>
        <w:t>、“无人化智能热处理工厂”项目于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月通过江苏省经信委组织的中期验收，该项目新建了智能热处理设备与 物流系统，自主开发了热处理</w:t>
      </w:r>
      <w:r>
        <w:rPr>
          <w:spacing w:val="-66"/>
        </w:rPr>
        <w:t> </w:t>
      </w:r>
      <w:r>
        <w:rPr>
          <w:rFonts w:ascii="Times New Roman" w:hAnsi="Times New Roman" w:cs="Times New Roman" w:eastAsia="Times New Roman" w:hint="default"/>
        </w:rPr>
        <w:t>APS/MES/ERP</w:t>
      </w:r>
      <w:r>
        <w:rPr>
          <w:rFonts w:ascii="Times New Roman" w:hAnsi="Times New Roman" w:cs="Times New Roman" w:eastAsia="Times New Roman" w:hint="default"/>
          <w:spacing w:val="-21"/>
        </w:rPr>
        <w:t> </w:t>
      </w:r>
      <w:r>
        <w:rPr/>
        <w:t>智能化管理软件系统、热处理工艺模拟仿真系统，完成了热处理设备远程监控 </w:t>
      </w:r>
      <w:r>
        <w:rPr>
          <w:spacing w:val="-2"/>
        </w:rPr>
        <w:t>及故障自诊断系统，实现了全程物流及热处理生产的无人化（少人化）生产管理。目前正在进一步完善</w:t>
      </w:r>
      <w:r>
        <w:rPr>
          <w:rFonts w:ascii="Times New Roman" w:hAnsi="Times New Roman" w:cs="Times New Roman" w:eastAsia="Times New Roman" w:hint="default"/>
          <w:spacing w:val="-2"/>
        </w:rPr>
        <w:t>“</w:t>
      </w:r>
      <w:r>
        <w:rPr>
          <w:spacing w:val="-2"/>
        </w:rPr>
        <w:t>热处理工艺数据库</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t>模块功能，本项目计划于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年上半年完成项目终验收。</w:t>
      </w:r>
    </w:p>
    <w:p>
      <w:pPr>
        <w:pStyle w:val="BodyText"/>
        <w:spacing w:line="302" w:lineRule="auto" w:before="51"/>
        <w:ind w:left="153" w:right="1158" w:firstLine="360"/>
        <w:jc w:val="both"/>
      </w:pPr>
      <w:r>
        <w:rPr>
          <w:rFonts w:ascii="Times New Roman" w:hAnsi="Times New Roman" w:cs="Times New Roman" w:eastAsia="Times New Roman" w:hint="default"/>
        </w:rPr>
        <w:t>2</w:t>
      </w:r>
      <w:r>
        <w:rPr/>
        <w:t>、与上海交通大学联合研发的</w:t>
      </w:r>
      <w:r>
        <w:rPr>
          <w:rFonts w:ascii="Times New Roman" w:hAnsi="Times New Roman" w:cs="Times New Roman" w:eastAsia="Times New Roman" w:hint="default"/>
        </w:rPr>
        <w:t>“</w:t>
      </w:r>
      <w:r>
        <w:rPr/>
        <w:t>江苏省重载齿轮热处理模拟仿真</w:t>
      </w:r>
      <w:r>
        <w:rPr>
          <w:rFonts w:ascii="Times New Roman" w:hAnsi="Times New Roman" w:cs="Times New Roman" w:eastAsia="Times New Roman" w:hint="default"/>
        </w:rPr>
        <w:t>”</w:t>
      </w:r>
      <w:r>
        <w:rPr/>
        <w:t>项目进展顺利，已完成了重载齿轮的相变动力学参数 分析模型、渗碳工艺模型、以及渗碳工艺辅助自生成软件的开发工作，本项目预计于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年底全部完成。</w:t>
      </w:r>
    </w:p>
    <w:p>
      <w:pPr>
        <w:pStyle w:val="BodyText"/>
        <w:spacing w:line="302" w:lineRule="auto" w:before="50"/>
        <w:ind w:left="153" w:right="1148" w:firstLine="360"/>
        <w:jc w:val="both"/>
      </w:pPr>
      <w:r>
        <w:rPr>
          <w:rFonts w:ascii="Times New Roman" w:hAnsi="Times New Roman" w:cs="Times New Roman" w:eastAsia="Times New Roman" w:hint="default"/>
        </w:rPr>
        <w:t>3</w:t>
      </w:r>
      <w:r>
        <w:rPr/>
        <w:t>、研制成功</w:t>
      </w:r>
      <w:r>
        <w:rPr>
          <w:rFonts w:ascii="Times New Roman" w:hAnsi="Times New Roman" w:cs="Times New Roman" w:eastAsia="Times New Roman" w:hint="default"/>
        </w:rPr>
        <w:t>“GDX</w:t>
      </w:r>
      <w:r>
        <w:rPr>
          <w:rFonts w:ascii="Times New Roman" w:hAnsi="Times New Roman" w:cs="Times New Roman" w:eastAsia="Times New Roman" w:hint="default"/>
        </w:rPr>
        <w:t>-1000/1000/450</w:t>
      </w:r>
      <w:r>
        <w:rPr>
          <w:rFonts w:ascii="Times New Roman" w:hAnsi="Times New Roman" w:cs="Times New Roman" w:eastAsia="Times New Roman" w:hint="default"/>
          <w:spacing w:val="43"/>
        </w:rPr>
        <w:t> </w:t>
      </w:r>
      <w:r>
        <w:rPr/>
        <w:t>辊底式球化退火炉生产线</w:t>
      </w:r>
      <w:r>
        <w:rPr>
          <w:rFonts w:ascii="Times New Roman" w:hAnsi="Times New Roman" w:cs="Times New Roman" w:eastAsia="Times New Roman" w:hint="default"/>
        </w:rPr>
        <w:t>”</w:t>
      </w:r>
      <w:r>
        <w:rPr/>
        <w:t>，配置前后真空室，实现氮基保护气氛条件下的大批量轴 承锻件的球化退火，具有无（微）氧化脱碳、节电、节气、生产效率高、产品质量稳定、自动化程度高等特点。</w:t>
      </w:r>
    </w:p>
    <w:p>
      <w:pPr>
        <w:pStyle w:val="BodyText"/>
        <w:spacing w:line="300" w:lineRule="auto" w:before="68"/>
        <w:ind w:left="153" w:right="1179" w:firstLine="360"/>
        <w:jc w:val="both"/>
      </w:pPr>
      <w:r>
        <w:rPr>
          <w:rFonts w:ascii="Times New Roman" w:hAnsi="Times New Roman" w:cs="Times New Roman" w:eastAsia="Times New Roman" w:hint="default"/>
        </w:rPr>
        <w:t>4</w:t>
      </w:r>
      <w:r>
        <w:rPr/>
        <w:t>、研制成功</w:t>
      </w:r>
      <w:r>
        <w:rPr>
          <w:rFonts w:ascii="Times New Roman" w:hAnsi="Times New Roman" w:cs="Times New Roman" w:eastAsia="Times New Roman" w:hint="default"/>
        </w:rPr>
        <w:t>“TM150150</w:t>
      </w:r>
      <w:r>
        <w:rPr>
          <w:rFonts w:ascii="Times New Roman" w:hAnsi="Times New Roman" w:cs="Times New Roman" w:eastAsia="Times New Roman" w:hint="default"/>
        </w:rPr>
        <w:t>-S</w:t>
      </w:r>
      <w:r>
        <w:rPr>
          <w:rFonts w:ascii="Times New Roman" w:hAnsi="Times New Roman" w:cs="Times New Roman" w:eastAsia="Times New Roman" w:hint="default"/>
          <w:spacing w:val="44"/>
        </w:rPr>
        <w:t> </w:t>
      </w:r>
      <w:r>
        <w:rPr/>
        <w:t>稳定杆链条式连续回火炉</w:t>
      </w:r>
      <w:r>
        <w:rPr>
          <w:rFonts w:ascii="Times New Roman" w:hAnsi="Times New Roman" w:cs="Times New Roman" w:eastAsia="Times New Roman" w:hint="default"/>
        </w:rPr>
        <w:t>”</w:t>
      </w:r>
      <w:r>
        <w:rPr/>
        <w:t>，采用天然气加热、双排链条驱动，可适应于不同型号车用稳定 杆的装料支撑自动调节，自动完成上料、升温、保温、冷却、出料等过程，温度均匀性</w:t>
      </w:r>
      <w:r>
        <w:rPr>
          <w:rFonts w:ascii="Times New Roman" w:hAnsi="Times New Roman" w:cs="Times New Roman" w:eastAsia="Times New Roman" w:hint="default"/>
        </w:rPr>
        <w:t>±5</w:t>
      </w:r>
      <w:r>
        <w:rPr/>
        <w:t>℃，设备自动化性能及控温精度 处于国内领先水平。</w:t>
      </w:r>
    </w:p>
    <w:p>
      <w:pPr>
        <w:pStyle w:val="BodyText"/>
        <w:spacing w:line="240" w:lineRule="auto" w:before="70"/>
        <w:ind w:right="0"/>
        <w:jc w:val="left"/>
      </w:pPr>
      <w:r>
        <w:rPr>
          <w:rFonts w:ascii="Times New Roman" w:hAnsi="Times New Roman" w:cs="Times New Roman" w:eastAsia="Times New Roman" w:hint="default"/>
        </w:rPr>
        <w:t>5</w:t>
      </w:r>
      <w:r>
        <w:rPr/>
        <w:t>、公司</w:t>
      </w:r>
      <w:r>
        <w:rPr>
          <w:spacing w:val="-46"/>
        </w:rPr>
        <w:t> </w:t>
      </w:r>
      <w:r>
        <w:rPr>
          <w:rFonts w:ascii="Times New Roman" w:hAnsi="Times New Roman" w:cs="Times New Roman" w:eastAsia="Times New Roman" w:hint="default"/>
        </w:rPr>
        <w:t>2017 </w:t>
      </w:r>
      <w:r>
        <w:rPr/>
        <w:t>年内获得专利授权</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项，其中发明专利</w:t>
      </w:r>
      <w:r>
        <w:rPr>
          <w:spacing w:val="-46"/>
        </w:rPr>
        <w:t> </w:t>
      </w:r>
      <w:r>
        <w:rPr>
          <w:rFonts w:ascii="Times New Roman" w:hAnsi="Times New Roman" w:cs="Times New Roman" w:eastAsia="Times New Roman" w:hint="default"/>
        </w:rPr>
        <w:t>9 </w:t>
      </w:r>
      <w:r>
        <w:rPr/>
        <w:t>项；新增软件著作权</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件；主持制定国家标准</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项、行业标准</w:t>
      </w:r>
    </w:p>
    <w:p>
      <w:pPr>
        <w:pStyle w:val="BodyText"/>
        <w:spacing w:line="302" w:lineRule="auto" w:before="63"/>
        <w:ind w:left="153" w:right="11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项，获批颁布实施国家标准</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项；发表专业论文</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篇。</w:t>
      </w:r>
      <w:r>
        <w:rPr>
          <w:spacing w:val="-4"/>
        </w:rPr>
        <w:t> </w:t>
      </w:r>
      <w:r>
        <w:rPr/>
        <w:t>公司被评为</w:t>
      </w:r>
      <w:r>
        <w:rPr>
          <w:rFonts w:ascii="Times New Roman" w:hAnsi="Times New Roman" w:cs="Times New Roman" w:eastAsia="Times New Roman" w:hint="default"/>
        </w:rPr>
        <w:t>“</w:t>
      </w:r>
      <w:r>
        <w:rPr/>
        <w:t>国家技术创新示范企业</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w:t>
      </w:r>
      <w:r>
        <w:rPr/>
        <w:t>中国机械工业科技进 步二等奖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江苏省科学技术三等奖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江苏制造突出贡献奖</w:t>
      </w:r>
      <w:r>
        <w:rPr>
          <w:rFonts w:ascii="Times New Roman" w:hAnsi="Times New Roman" w:cs="Times New Roman" w:eastAsia="Times New Roman" w:hint="default"/>
        </w:rPr>
        <w:t>”</w:t>
      </w:r>
      <w:r>
        <w:rPr/>
        <w:t>等荣誉称号。</w:t>
      </w:r>
    </w:p>
    <w:p>
      <w:pPr>
        <w:pStyle w:val="BodyText"/>
        <w:spacing w:line="240" w:lineRule="auto" w:before="52"/>
        <w:ind w:left="514" w:right="1118"/>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3"/>
        <w:gridCol w:w="2138"/>
        <w:gridCol w:w="1985"/>
        <w:gridCol w:w="1913"/>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41.07%</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95,182,305.94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42,150,840.01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125.81%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34,481,425.72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研发投入总额占营业收入的比重较上年发生显著变化的原因</w:t>
      </w:r>
    </w:p>
    <w:p>
      <w:pPr>
        <w:pStyle w:val="BodyText"/>
        <w:spacing w:line="415" w:lineRule="auto" w:before="11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35" w:lineRule="exact"/>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left="153"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年方欣科技按上市公司的规范，加强了研发项目的管控和内审，通过过程度量和严格内审，公司能清楚地区分产 </w:t>
      </w:r>
      <w:r>
        <w:rPr>
          <w:spacing w:val="-5"/>
        </w:rPr>
        <w:t>品研发的研究阶段和开发阶段。研究阶段发生的支出费用，于发生时计入当期损益；对于满足资本化条件的开发阶段的支出，</w:t>
      </w:r>
      <w:r>
        <w:rPr>
          <w:spacing w:val="-79"/>
        </w:rPr>
        <w:t> </w:t>
      </w:r>
      <w:r>
        <w:rPr>
          <w:spacing w:val="-79"/>
        </w:rPr>
      </w:r>
      <w:r>
        <w:rPr>
          <w:spacing w:val="-2"/>
        </w:rPr>
        <w:t>进行资本化处理。报告期内，公司的智慧财税服务互联平台、企业大数据创新服务平台等项目处于开发阶段，这些项目满足</w:t>
      </w:r>
      <w:r>
        <w:rPr>
          <w:spacing w:val="-66"/>
        </w:rPr>
        <w:t> </w:t>
      </w:r>
      <w:r>
        <w:rPr>
          <w:spacing w:val="-66"/>
        </w:rPr>
      </w:r>
      <w:r>
        <w:rPr/>
        <w:t>资本化的要求，本期确认资本化研发支出。</w:t>
      </w:r>
    </w:p>
    <w:p>
      <w:pPr>
        <w:spacing w:line="240" w:lineRule="auto" w:before="5"/>
        <w:rPr>
          <w:rFonts w:ascii="宋体" w:hAnsi="宋体" w:cs="宋体" w:eastAsia="宋体" w:hint="default"/>
          <w:sz w:val="23"/>
          <w:szCs w:val="23"/>
        </w:rPr>
      </w:pPr>
    </w:p>
    <w:p>
      <w:pPr>
        <w:pStyle w:val="Heading3"/>
        <w:spacing w:line="240" w:lineRule="auto"/>
        <w:ind w:left="556" w:right="1118"/>
        <w:jc w:val="left"/>
        <w:rPr>
          <w:b w:val="0"/>
          <w:bCs w:val="0"/>
        </w:rPr>
      </w:pPr>
      <w:bookmarkStart w:name="5、现金流" w:id="45"/>
      <w:bookmarkEnd w:id="45"/>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3"/>
        <w:gridCol w:w="1998"/>
        <w:gridCol w:w="1984"/>
        <w:gridCol w:w="2054"/>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1,032,971,193.34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689,233,367.28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49.87%</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845,366,618.24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467,249,323.80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187,604,575.10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221,984,043.48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1,134,466,198.29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24,770,892.03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4,479.84%</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533"/>
        <w:gridCol w:w="1998"/>
        <w:gridCol w:w="1984"/>
        <w:gridCol w:w="2054"/>
      </w:tblGrid>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2,399,425,594.89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-26,392,645.55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-9,191.27%</w:t>
            </w:r>
            <w:r>
              <w:rPr>
                <w:rFonts w:ascii="Times New Roman"/>
                <w:sz w:val="18"/>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-1,264,959,396.60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51,163,537.58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-2,572.38%</w:t>
            </w:r>
            <w:r>
              <w:rPr>
                <w:rFonts w:ascii="Times New Roman"/>
                <w:sz w:val="18"/>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227,780,000.00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1,383,827,563.63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-83.54%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195,117,030.44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82,679,765.41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135.99%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32,662,969.56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1,301,147,798.22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-97.49%</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-1,044,957,982.18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1,573,926,833.76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-166.39%</w:t>
            </w:r>
            <w:r>
              <w:rPr>
                <w:rFonts w:ascii="Times New Roman"/>
                <w:sz w:val="18"/>
              </w:rPr>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相关数据同比发生重大变动的主要影响因素说明</w:t>
      </w:r>
    </w:p>
    <w:p>
      <w:pPr>
        <w:spacing w:line="240" w:lineRule="auto" w:before="0"/>
        <w:rPr>
          <w:rFonts w:ascii="宋体" w:hAnsi="宋体" w:cs="宋体" w:eastAsia="宋体" w:hint="default"/>
          <w:sz w:val="15"/>
          <w:szCs w:val="15"/>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spacing w:val="-3"/>
        </w:rPr>
        <w:t>1</w:t>
      </w:r>
      <w:r>
        <w:rPr>
          <w:spacing w:val="-3"/>
        </w:rPr>
        <w:t>、投资活动产生的现金流量净额本年比上年同期下降</w:t>
      </w:r>
      <w:r>
        <w:rPr>
          <w:spacing w:val="-73"/>
        </w:rPr>
        <w:t> </w:t>
      </w:r>
      <w:r>
        <w:rPr>
          <w:rFonts w:ascii="Times New Roman" w:hAnsi="Times New Roman" w:cs="Times New Roman" w:eastAsia="Times New Roman" w:hint="default"/>
        </w:rPr>
        <w:t>2,572.37%</w:t>
      </w:r>
      <w:r>
        <w:rPr/>
        <w:t>，主要系本年对外股权投资及投资保本理财产品所致；</w:t>
      </w:r>
    </w:p>
    <w:p>
      <w:pPr>
        <w:spacing w:line="240" w:lineRule="auto" w:before="13"/>
        <w:rPr>
          <w:rFonts w:ascii="宋体" w:hAnsi="宋体" w:cs="宋体" w:eastAsia="宋体" w:hint="default"/>
          <w:sz w:val="13"/>
          <w:szCs w:val="13"/>
        </w:rPr>
      </w:pPr>
    </w:p>
    <w:p>
      <w:pPr>
        <w:pStyle w:val="BodyText"/>
        <w:spacing w:line="415" w:lineRule="auto"/>
        <w:ind w:right="2323"/>
        <w:jc w:val="left"/>
      </w:pPr>
      <w:r>
        <w:rPr>
          <w:rFonts w:ascii="Times New Roman" w:hAnsi="Times New Roman" w:cs="Times New Roman" w:eastAsia="Times New Roman" w:hint="default"/>
        </w:rPr>
        <w:t>2</w:t>
      </w:r>
      <w:r>
        <w:rPr/>
        <w:t>、筹资活动产生的现金流量净额本年比上年同期下降</w:t>
      </w:r>
      <w:r>
        <w:rPr>
          <w:spacing w:val="-45"/>
        </w:rPr>
        <w:t> </w:t>
      </w:r>
      <w:r>
        <w:rPr>
          <w:rFonts w:ascii="Times New Roman" w:hAnsi="Times New Roman" w:cs="Times New Roman" w:eastAsia="Times New Roman" w:hint="default"/>
        </w:rPr>
        <w:t>97.49%</w:t>
      </w:r>
      <w:r>
        <w:rPr/>
        <w:t>，主要系本年融资需求较上年减少所致。 报告期内公司经营活动产生的现金净流量与本年度净利润存在重大差异的原因说明</w:t>
      </w:r>
    </w:p>
    <w:p>
      <w:pPr>
        <w:pStyle w:val="BodyText"/>
        <w:spacing w:line="240" w:lineRule="auto" w:before="65"/>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0" w:right="8449"/>
        <w:jc w:val="center"/>
        <w:rPr>
          <w:b w:val="0"/>
          <w:bCs w:val="0"/>
        </w:rPr>
      </w:pPr>
      <w:bookmarkStart w:name="三、非主营业务分析" w:id="46"/>
      <w:bookmarkEnd w:id="46"/>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418"/>
        <w:gridCol w:w="3969"/>
        <w:gridCol w:w="1631"/>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2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3" w:space="0" w:color="D2D2D2"/>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18,660,881.23</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6.85%</w:t>
            </w:r>
          </w:p>
        </w:tc>
        <w:tc>
          <w:tcPr>
            <w:tcW w:w="3969" w:type="dxa"/>
            <w:vMerge w:val="restart"/>
            <w:tcBorders>
              <w:top w:val="single" w:sz="4" w:space="0" w:color="000000"/>
              <w:left w:val="single" w:sz="4" w:space="0" w:color="000000"/>
              <w:right w:val="single" w:sz="4" w:space="0" w:color="000000"/>
            </w:tcBorders>
          </w:tcPr>
          <w:p>
            <w:pPr>
              <w:pStyle w:val="TableParagraph"/>
              <w:spacing w:line="244" w:lineRule="auto" w:before="21"/>
              <w:ind w:left="22" w:right="155"/>
              <w:jc w:val="left"/>
              <w:rPr>
                <w:rFonts w:ascii="宋体" w:hAnsi="宋体" w:cs="宋体" w:eastAsia="宋体" w:hint="default"/>
                <w:sz w:val="18"/>
                <w:szCs w:val="18"/>
              </w:rPr>
            </w:pPr>
            <w:r>
              <w:rPr>
                <w:rFonts w:ascii="宋体" w:hAnsi="宋体" w:cs="宋体" w:eastAsia="宋体" w:hint="default"/>
                <w:sz w:val="18"/>
                <w:szCs w:val="18"/>
              </w:rPr>
              <w:t>主要系合营公司利润增加及购买保本理财产品产 生收益所致</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45"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7" w:type="dxa"/>
            <w:vMerge/>
            <w:tcBorders>
              <w:left w:val="single" w:sz="13"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24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16,299,410.50</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19" w:right="0"/>
              <w:jc w:val="left"/>
              <w:rPr>
                <w:rFonts w:ascii="Times New Roman" w:hAnsi="Times New Roman" w:cs="Times New Roman" w:eastAsia="Times New Roman" w:hint="default"/>
                <w:sz w:val="18"/>
                <w:szCs w:val="18"/>
              </w:rPr>
            </w:pPr>
            <w:r>
              <w:rPr>
                <w:rFonts w:ascii="Times New Roman"/>
                <w:sz w:val="18"/>
              </w:rPr>
              <w:t>5.98%</w:t>
            </w:r>
          </w:p>
        </w:tc>
        <w:tc>
          <w:tcPr>
            <w:tcW w:w="3969" w:type="dxa"/>
            <w:vMerge w:val="restart"/>
            <w:tcBorders>
              <w:top w:val="single" w:sz="4" w:space="0" w:color="000000"/>
              <w:left w:val="single" w:sz="4" w:space="0" w:color="000000"/>
              <w:right w:val="single" w:sz="4" w:space="0" w:color="000000"/>
            </w:tcBorders>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3"/>
                <w:sz w:val="18"/>
                <w:szCs w:val="18"/>
              </w:rPr>
              <w:t>主要系收入规模增长引起应收账款增加，相应坏账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准备计提增加及对部分呆滞存货增加计提存货跌 价准备所致</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0"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7"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3969"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245"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3969"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5,856,256.89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主要系政府补助</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800,332.54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主要包括固定资产报废损失、捐赠等支出</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四、资产及负债状况分析" w:id="47"/>
      <w:bookmarkEnd w:id="47"/>
      <w:r>
        <w:rPr>
          <w:b w:val="0"/>
          <w:bCs w:val="0"/>
        </w:rPr>
      </w:r>
      <w:r>
        <w:rPr/>
        <w:t>四、资产及负债状况分析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18"/>
        <w:jc w:val="left"/>
        <w:rPr>
          <w:b w:val="0"/>
          <w:bCs w:val="0"/>
        </w:rPr>
      </w:pPr>
      <w:bookmarkStart w:name="1、资产构成重大变动情况" w:id="48"/>
      <w:bookmarkEnd w:id="48"/>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1419"/>
        <w:gridCol w:w="709"/>
        <w:gridCol w:w="708"/>
        <w:gridCol w:w="3332"/>
      </w:tblGrid>
      <w:tr>
        <w:trPr>
          <w:trHeight w:val="15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2" w:type="dxa"/>
            <w:vMerge w:val="restart"/>
            <w:tcBorders>
              <w:top w:val="single" w:sz="4" w:space="0" w:color="000000"/>
              <w:left w:val="single" w:sz="4" w:space="0" w:color="000000"/>
              <w:right w:val="single" w:sz="4" w:space="0" w:color="000000"/>
            </w:tcBorders>
            <w:shd w:val="clear" w:color="auto" w:fill="D2D2D2"/>
          </w:tcPr>
          <w:p>
            <w:pPr/>
          </w:p>
        </w:tc>
      </w:tr>
      <w:tr>
        <w:trPr>
          <w:trHeight w:val="160"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2126" w:type="dxa"/>
            <w:gridSpan w:val="2"/>
            <w:vMerge/>
            <w:tcBorders>
              <w:left w:val="single" w:sz="4" w:space="0" w:color="000000"/>
              <w:bottom w:val="single" w:sz="4" w:space="0" w:color="000000"/>
              <w:right w:val="single" w:sz="4" w:space="0" w:color="000000"/>
            </w:tcBorders>
            <w:shd w:val="clear" w:color="auto" w:fill="D2D2D2"/>
          </w:tcPr>
          <w:p>
            <w:pPr/>
          </w:p>
        </w:tc>
        <w:tc>
          <w:tcPr>
            <w:tcW w:w="2128"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85" w:lineRule="auto" w:before="21"/>
              <w:ind w:left="167" w:right="168"/>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3332"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79" w:right="7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right w:val="single" w:sz="4" w:space="0" w:color="000000"/>
            </w:tcBorders>
            <w:shd w:val="clear" w:color="auto" w:fill="D2D2D2"/>
          </w:tcPr>
          <w:p>
            <w:pPr/>
          </w:p>
        </w:tc>
        <w:tc>
          <w:tcPr>
            <w:tcW w:w="33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5" w:hRule="exact"/>
        </w:trPr>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3332"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3332" w:type="dxa"/>
            <w:vMerge w:val="restart"/>
            <w:tcBorders>
              <w:top w:val="nil" w:sz="6" w:space="0" w:color="auto"/>
              <w:left w:val="single" w:sz="4" w:space="0" w:color="000000"/>
              <w:right w:val="single" w:sz="4" w:space="0" w:color="000000"/>
            </w:tcBorders>
            <w:shd w:val="clear" w:color="auto" w:fill="D2D2D2"/>
          </w:tcPr>
          <w:p>
            <w:pPr/>
          </w:p>
        </w:tc>
      </w:tr>
      <w:tr>
        <w:trPr>
          <w:trHeight w:val="13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2" w:type="dxa"/>
            <w:vMerge/>
            <w:tcBorders>
              <w:left w:val="single" w:sz="4" w:space="0" w:color="000000"/>
              <w:bottom w:val="single" w:sz="4" w:space="0" w:color="000000"/>
              <w:right w:val="single" w:sz="4" w:space="0" w:color="000000"/>
            </w:tcBorders>
            <w:shd w:val="clear" w:color="auto" w:fill="D2D2D2"/>
          </w:tcPr>
          <w:p>
            <w:pPr/>
          </w:p>
        </w:tc>
      </w:tr>
      <w:tr>
        <w:trPr>
          <w:trHeight w:val="12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52" w:space="0" w:color="D2D2D2"/>
              <w:left w:val="single" w:sz="13" w:space="0" w:color="D2D2D2"/>
              <w:right w:val="single" w:sz="4" w:space="0" w:color="000000"/>
            </w:tcBorders>
          </w:tcPr>
          <w:p>
            <w:pPr>
              <w:pStyle w:val="TableParagraph"/>
              <w:spacing w:line="240" w:lineRule="auto" w:before="123"/>
              <w:ind w:left="108" w:right="0"/>
              <w:jc w:val="left"/>
              <w:rPr>
                <w:rFonts w:ascii="Times New Roman" w:hAnsi="Times New Roman" w:cs="Times New Roman" w:eastAsia="Times New Roman" w:hint="default"/>
                <w:sz w:val="18"/>
                <w:szCs w:val="18"/>
              </w:rPr>
            </w:pPr>
            <w:r>
              <w:rPr>
                <w:rFonts w:ascii="Times New Roman"/>
                <w:sz w:val="18"/>
              </w:rPr>
              <w:t>723,201,091.00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15.09%</w:t>
            </w:r>
          </w:p>
        </w:tc>
        <w:tc>
          <w:tcPr>
            <w:tcW w:w="1419" w:type="dxa"/>
            <w:vMerge w:val="restart"/>
            <w:tcBorders>
              <w:top w:val="single" w:sz="52" w:space="0" w:color="D2D2D2"/>
              <w:left w:val="single" w:sz="4" w:space="0" w:color="000000"/>
              <w:right w:val="single" w:sz="4" w:space="0" w:color="000000"/>
            </w:tcBorders>
          </w:tcPr>
          <w:p>
            <w:pPr>
              <w:pStyle w:val="TableParagraph"/>
              <w:spacing w:line="240" w:lineRule="auto" w:before="123"/>
              <w:ind w:left="124" w:right="0"/>
              <w:jc w:val="left"/>
              <w:rPr>
                <w:rFonts w:ascii="Times New Roman" w:hAnsi="Times New Roman" w:cs="Times New Roman" w:eastAsia="Times New Roman" w:hint="default"/>
                <w:sz w:val="18"/>
                <w:szCs w:val="18"/>
              </w:rPr>
            </w:pPr>
            <w:r>
              <w:rPr>
                <w:rFonts w:ascii="Times New Roman"/>
                <w:sz w:val="18"/>
              </w:rPr>
              <w:t>1,767,266,832.14</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41.32%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-26.23%</w:t>
            </w:r>
          </w:p>
        </w:tc>
        <w:tc>
          <w:tcPr>
            <w:tcW w:w="3332" w:type="dxa"/>
            <w:vMerge w:val="restart"/>
            <w:tcBorders>
              <w:top w:val="single" w:sz="4" w:space="0" w:color="000000"/>
              <w:left w:val="single" w:sz="4" w:space="0" w:color="000000"/>
              <w:right w:val="single" w:sz="4" w:space="0" w:color="000000"/>
            </w:tcBorders>
          </w:tcPr>
          <w:p>
            <w:pPr>
              <w:pStyle w:val="TableParagraph"/>
              <w:spacing w:line="244" w:lineRule="auto" w:before="21"/>
              <w:ind w:left="22" w:right="57"/>
              <w:jc w:val="left"/>
              <w:rPr>
                <w:rFonts w:ascii="宋体" w:hAnsi="宋体" w:cs="宋体" w:eastAsia="宋体" w:hint="default"/>
                <w:sz w:val="18"/>
                <w:szCs w:val="18"/>
              </w:rPr>
            </w:pPr>
            <w:r>
              <w:rPr>
                <w:rFonts w:ascii="宋体" w:hAnsi="宋体" w:cs="宋体" w:eastAsia="宋体" w:hint="default"/>
                <w:sz w:val="18"/>
                <w:szCs w:val="18"/>
              </w:rPr>
              <w:t>主要系公司利用短期闲置资金购买银行保 本理财产品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亿元所致</w:t>
            </w:r>
          </w:p>
        </w:tc>
      </w:tr>
      <w:tr>
        <w:trPr>
          <w:trHeight w:val="445"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125"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3" w:space="0" w:color="D2D2D2"/>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370,991,271.13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7.74%</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217,567,470.11</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5.09%</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2.65%</w:t>
            </w:r>
          </w:p>
        </w:tc>
        <w:tc>
          <w:tcPr>
            <w:tcW w:w="3332" w:type="dxa"/>
            <w:vMerge w:val="restart"/>
            <w:tcBorders>
              <w:top w:val="single" w:sz="4" w:space="0" w:color="000000"/>
              <w:left w:val="single" w:sz="4" w:space="0" w:color="000000"/>
              <w:right w:val="single" w:sz="4" w:space="0" w:color="000000"/>
            </w:tcBorders>
          </w:tcPr>
          <w:p>
            <w:pPr>
              <w:pStyle w:val="TableParagraph"/>
              <w:spacing w:line="244" w:lineRule="auto" w:before="21"/>
              <w:ind w:left="22" w:right="57"/>
              <w:jc w:val="left"/>
              <w:rPr>
                <w:rFonts w:ascii="宋体" w:hAnsi="宋体" w:cs="宋体" w:eastAsia="宋体" w:hint="default"/>
                <w:sz w:val="18"/>
                <w:szCs w:val="18"/>
              </w:rPr>
            </w:pPr>
            <w:r>
              <w:rPr>
                <w:rFonts w:ascii="宋体" w:hAnsi="宋体" w:cs="宋体" w:eastAsia="宋体" w:hint="default"/>
                <w:sz w:val="18"/>
                <w:szCs w:val="18"/>
              </w:rPr>
              <w:t>主要系收入大幅增加，应收账款相应增长 所致</w:t>
            </w:r>
          </w:p>
        </w:tc>
      </w:tr>
      <w:tr>
        <w:trPr>
          <w:trHeight w:val="445"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199,436,303.37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151,298,479.73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0.62%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主要系销售扩大、存货相应增长所致</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1419"/>
        <w:gridCol w:w="709"/>
        <w:gridCol w:w="708"/>
        <w:gridCol w:w="3332"/>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100,042,003.17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93,137,125.01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266,404,604.73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242,659,628.87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-0.11%</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22,248,087.03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29,315,553.95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333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187,000,000.00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主要系子公司方欣科技扩大经营、增加借 款所致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2,149,950.44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主要系新增购并子公司长期借款转入所致</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937,701,747.30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7,120,997.21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7"/>
              <w:jc w:val="left"/>
              <w:rPr>
                <w:rFonts w:ascii="宋体" w:hAnsi="宋体" w:cs="宋体" w:eastAsia="宋体" w:hint="default"/>
                <w:sz w:val="18"/>
                <w:szCs w:val="18"/>
              </w:rPr>
            </w:pPr>
            <w:r>
              <w:rPr>
                <w:rFonts w:ascii="宋体" w:hAnsi="宋体" w:cs="宋体" w:eastAsia="宋体" w:hint="default"/>
                <w:sz w:val="18"/>
                <w:szCs w:val="18"/>
              </w:rPr>
              <w:t>主要系短期闲置资金购买短期保本理财产 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亿元所致</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2、以公允价值计量的资产和负债" w:id="49"/>
      <w:bookmarkEnd w:id="49"/>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6"/>
          <w:szCs w:val="26"/>
        </w:rPr>
      </w:pPr>
    </w:p>
    <w:p>
      <w:pPr>
        <w:spacing w:line="559" w:lineRule="auto" w:before="0"/>
        <w:ind w:left="514"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50"/>
      <w:bookmarkEnd w:id="50"/>
      <w:r>
        <w:rPr>
          <w:rFonts w:ascii="宋体" w:hAnsi="宋体" w:cs="宋体" w:eastAsia="宋体" w:hint="default"/>
          <w:sz w:val="18"/>
          <w:szCs w:val="18"/>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、截至报告期末的资产权利受限情况</w:t>
      </w:r>
      <w:r>
        <w:rPr>
          <w:rFonts w:ascii="宋体" w:hAnsi="宋体" w:cs="宋体" w:eastAsia="宋体" w:hint="default"/>
          <w:b/>
          <w:bCs/>
          <w:w w:val="99"/>
          <w:sz w:val="20"/>
          <w:szCs w:val="20"/>
        </w:rPr>
        <w:t> </w:t>
      </w:r>
      <w:r>
        <w:rPr>
          <w:rFonts w:ascii="宋体" w:hAnsi="宋体" w:cs="宋体" w:eastAsia="宋体" w:hint="default"/>
          <w:sz w:val="18"/>
          <w:szCs w:val="18"/>
        </w:rPr>
        <w:t>不适用</w:t>
      </w:r>
    </w:p>
    <w:p>
      <w:pPr>
        <w:pStyle w:val="Heading2"/>
        <w:spacing w:line="240" w:lineRule="auto" w:before="89"/>
        <w:ind w:left="0" w:right="8690"/>
        <w:jc w:val="center"/>
        <w:rPr>
          <w:b w:val="0"/>
          <w:bCs w:val="0"/>
        </w:rPr>
      </w:pPr>
      <w:bookmarkStart w:name="五、投资状况分析" w:id="51"/>
      <w:bookmarkEnd w:id="51"/>
      <w:r>
        <w:rPr>
          <w:b w:val="0"/>
          <w:bCs w:val="0"/>
        </w:rPr>
      </w:r>
      <w:r>
        <w:rPr/>
        <w:t>五、投资状况分析</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总体情况" w:id="52"/>
      <w:bookmarkEnd w:id="52"/>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1,028,867,899.42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1,800,000,000.00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-42.84%</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2、报告期内获取的重大的股权投资情况" w:id="53"/>
      <w:bookmarkEnd w:id="53"/>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8"/>
        <w:gridCol w:w="1276"/>
        <w:gridCol w:w="566"/>
        <w:gridCol w:w="568"/>
        <w:gridCol w:w="425"/>
        <w:gridCol w:w="426"/>
        <w:gridCol w:w="425"/>
        <w:gridCol w:w="709"/>
        <w:gridCol w:w="568"/>
        <w:gridCol w:w="708"/>
        <w:gridCol w:w="283"/>
        <w:gridCol w:w="568"/>
        <w:gridCol w:w="425"/>
        <w:gridCol w:w="566"/>
        <w:gridCol w:w="1492"/>
      </w:tblGrid>
      <w:tr>
        <w:trPr>
          <w:trHeight w:val="1290"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8" w:right="99"/>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26"/>
              <w:ind w:left="452" w:right="451"/>
              <w:jc w:val="center"/>
              <w:rPr>
                <w:rFonts w:ascii="宋体" w:hAnsi="宋体" w:cs="宋体" w:eastAsia="宋体" w:hint="default"/>
                <w:sz w:val="18"/>
                <w:szCs w:val="18"/>
              </w:rPr>
            </w:pPr>
            <w:r>
              <w:rPr>
                <w:rFonts w:ascii="宋体" w:hAnsi="宋体" w:cs="宋体" w:eastAsia="宋体" w:hint="default"/>
                <w:sz w:val="18"/>
                <w:szCs w:val="18"/>
              </w:rPr>
              <w:t>主要 业务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26"/>
              <w:ind w:left="99" w:right="96"/>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6" w:right="2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7" w:right="2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116" w:right="26"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59" w:right="7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7" w:right="78"/>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46" w:right="44"/>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98" w:right="99"/>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6" w:right="2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01"/>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244" w:lineRule="auto" w:before="10"/>
              <w:ind w:left="98" w:right="96"/>
              <w:jc w:val="left"/>
              <w:rPr>
                <w:rFonts w:ascii="宋体" w:hAnsi="宋体" w:cs="宋体" w:eastAsia="宋体" w:hint="default"/>
                <w:sz w:val="18"/>
                <w:szCs w:val="18"/>
              </w:rPr>
            </w:pPr>
            <w:r>
              <w:rPr>
                <w:rFonts w:ascii="宋体" w:hAnsi="宋体" w:cs="宋体" w:eastAsia="宋体" w:hint="default"/>
                <w:sz w:val="18"/>
                <w:szCs w:val="18"/>
              </w:rPr>
              <w:t>（如 有）</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1"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44"/>
              <w:ind w:left="381"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2274"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江苏 丰东 热技 术有 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热处理设备及 其辅助设备的 </w:t>
            </w:r>
            <w:r>
              <w:rPr>
                <w:rFonts w:ascii="宋体" w:hAnsi="宋体" w:cs="宋体" w:eastAsia="宋体" w:hint="default"/>
                <w:spacing w:val="-6"/>
                <w:sz w:val="18"/>
                <w:szCs w:val="18"/>
              </w:rPr>
              <w:t>研发、制造、销</w:t>
            </w:r>
            <w:r>
              <w:rPr>
                <w:rFonts w:ascii="宋体" w:hAnsi="宋体" w:cs="宋体" w:eastAsia="宋体" w:hint="default"/>
                <w:sz w:val="18"/>
                <w:szCs w:val="18"/>
              </w:rPr>
              <w:t> </w:t>
            </w:r>
            <w:r>
              <w:rPr>
                <w:rFonts w:ascii="宋体" w:hAnsi="宋体" w:cs="宋体" w:eastAsia="宋体" w:hint="default"/>
                <w:spacing w:val="-6"/>
                <w:sz w:val="18"/>
                <w:szCs w:val="18"/>
              </w:rPr>
              <w:t>售；金属零件的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热处理加工；热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处理设备的保 修维修等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647,20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7,899.</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6"/>
              <w:ind w:left="61"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热处 理设 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工商注 </w:t>
            </w:r>
            <w:r>
              <w:rPr>
                <w:rFonts w:ascii="宋体" w:hAnsi="宋体" w:cs="宋体" w:eastAsia="宋体" w:hint="default"/>
                <w:spacing w:val="-18"/>
                <w:sz w:val="18"/>
                <w:szCs w:val="18"/>
              </w:rPr>
              <w:t>册，且正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常经营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,130.2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1"/>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362" w:lineRule="auto" w:before="3"/>
              <w:ind w:left="23" w:right="27"/>
              <w:jc w:val="left"/>
              <w:rPr>
                <w:rFonts w:ascii="Times New Roman" w:hAnsi="Times New Roman" w:cs="Times New Roman" w:eastAsia="Times New Roman" w:hint="default"/>
                <w:sz w:val="18"/>
                <w:szCs w:val="18"/>
              </w:rPr>
            </w:pPr>
            <w:r>
              <w:rPr>
                <w:rFonts w:ascii="Times New Roman"/>
                <w:sz w:val="18"/>
              </w:rPr>
              <w:t>/disclosure/szse_sm</w:t>
            </w:r>
            <w:r>
              <w:rPr>
                <w:rFonts w:ascii="Times New Roman"/>
                <w:w w:val="99"/>
                <w:sz w:val="18"/>
              </w:rPr>
              <w:t> </w:t>
            </w:r>
            <w:r>
              <w:rPr>
                <w:rFonts w:ascii="Times New Roman"/>
                <w:sz w:val="18"/>
              </w:rPr>
              <w:t>e/bulletin_detail/tru</w:t>
            </w:r>
            <w:r>
              <w:rPr>
                <w:rFonts w:ascii="Times New Roman"/>
                <w:sz w:val="18"/>
              </w:rPr>
              <w:t> e/1202998261?ann ounceTime=2017-0 1-07</w:t>
            </w:r>
          </w:p>
        </w:tc>
      </w:tr>
      <w:tr>
        <w:trPr>
          <w:trHeight w:val="81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173"/>
              <w:jc w:val="both"/>
              <w:rPr>
                <w:rFonts w:ascii="宋体" w:hAnsi="宋体" w:cs="宋体" w:eastAsia="宋体" w:hint="default"/>
                <w:sz w:val="18"/>
                <w:szCs w:val="18"/>
              </w:rPr>
            </w:pPr>
            <w:r>
              <w:rPr>
                <w:rFonts w:ascii="宋体" w:hAnsi="宋体" w:cs="宋体" w:eastAsia="宋体" w:hint="default"/>
                <w:sz w:val="18"/>
                <w:szCs w:val="18"/>
              </w:rPr>
              <w:t>上海 宝华 威热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17"/>
              <w:jc w:val="left"/>
              <w:rPr>
                <w:rFonts w:ascii="宋体" w:hAnsi="宋体" w:cs="宋体" w:eastAsia="宋体" w:hint="default"/>
                <w:sz w:val="18"/>
                <w:szCs w:val="18"/>
              </w:rPr>
            </w:pPr>
            <w:r>
              <w:rPr>
                <w:rFonts w:ascii="宋体" w:hAnsi="宋体" w:cs="宋体" w:eastAsia="宋体" w:hint="default"/>
                <w:sz w:val="18"/>
                <w:szCs w:val="18"/>
              </w:rPr>
              <w:t>热处理设备及 相关设备的制 造和维修服务，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27,940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34"/>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-2033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热处 理设 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22" w:right="23"/>
              <w:jc w:val="both"/>
              <w:rPr>
                <w:rFonts w:ascii="宋体" w:hAnsi="宋体" w:cs="宋体" w:eastAsia="宋体" w:hint="default"/>
                <w:sz w:val="18"/>
                <w:szCs w:val="18"/>
              </w:rPr>
            </w:pPr>
            <w:r>
              <w:rPr>
                <w:rFonts w:ascii="宋体" w:hAnsi="宋体" w:cs="宋体" w:eastAsia="宋体" w:hint="default"/>
                <w:sz w:val="18"/>
                <w:szCs w:val="18"/>
              </w:rPr>
              <w:t>已完成 工商变 </w:t>
            </w:r>
            <w:r>
              <w:rPr>
                <w:rFonts w:ascii="宋体" w:hAnsi="宋体" w:cs="宋体" w:eastAsia="宋体" w:hint="default"/>
                <w:spacing w:val="-18"/>
                <w:sz w:val="18"/>
                <w:szCs w:val="18"/>
              </w:rPr>
              <w:t>更，公司</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3,240,</w:t>
            </w:r>
          </w:p>
          <w:p>
            <w:pPr>
              <w:pStyle w:val="TableParagraph"/>
              <w:spacing w:line="240" w:lineRule="auto" w:before="34"/>
              <w:ind w:left="39" w:right="0"/>
              <w:jc w:val="left"/>
              <w:rPr>
                <w:rFonts w:ascii="Times New Roman" w:hAnsi="Times New Roman" w:cs="Times New Roman" w:eastAsia="Times New Roman" w:hint="default"/>
                <w:sz w:val="18"/>
                <w:szCs w:val="18"/>
              </w:rPr>
            </w:pPr>
            <w:r>
              <w:rPr>
                <w:rFonts w:ascii="Times New Roman"/>
                <w:sz w:val="18"/>
              </w:rPr>
              <w:t>980.93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84"/>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84"/>
              <w:ind w:left="23" w:right="61"/>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sz w:val="18"/>
              </w:rPr>
              <w:t>/disclosure/szse_sm</w:t>
            </w:r>
          </w:p>
        </w:tc>
      </w:tr>
    </w:tbl>
    <w:p>
      <w:pPr>
        <w:spacing w:after="0" w:line="240" w:lineRule="auto"/>
        <w:jc w:val="lef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568"/>
        <w:gridCol w:w="1276"/>
        <w:gridCol w:w="566"/>
        <w:gridCol w:w="568"/>
        <w:gridCol w:w="425"/>
        <w:gridCol w:w="426"/>
        <w:gridCol w:w="425"/>
        <w:gridCol w:w="709"/>
        <w:gridCol w:w="568"/>
        <w:gridCol w:w="708"/>
        <w:gridCol w:w="283"/>
        <w:gridCol w:w="568"/>
        <w:gridCol w:w="425"/>
        <w:gridCol w:w="566"/>
        <w:gridCol w:w="1492"/>
      </w:tblGrid>
      <w:tr>
        <w:trPr>
          <w:trHeight w:val="101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73"/>
              <w:jc w:val="both"/>
              <w:rPr>
                <w:rFonts w:ascii="宋体" w:hAnsi="宋体" w:cs="宋体" w:eastAsia="宋体" w:hint="default"/>
                <w:sz w:val="18"/>
                <w:szCs w:val="18"/>
              </w:rPr>
            </w:pPr>
            <w:r>
              <w:rPr>
                <w:rFonts w:ascii="宋体" w:hAnsi="宋体" w:cs="宋体" w:eastAsia="宋体" w:hint="default"/>
                <w:sz w:val="18"/>
                <w:szCs w:val="18"/>
              </w:rPr>
              <w:t>处理 设备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61"/>
              <w:jc w:val="left"/>
              <w:rPr>
                <w:rFonts w:ascii="宋体" w:hAnsi="宋体" w:cs="宋体" w:eastAsia="宋体" w:hint="default"/>
                <w:sz w:val="18"/>
                <w:szCs w:val="18"/>
              </w:rPr>
            </w:pPr>
            <w:r>
              <w:rPr>
                <w:rFonts w:ascii="宋体" w:hAnsi="宋体" w:cs="宋体" w:eastAsia="宋体" w:hint="default"/>
                <w:sz w:val="18"/>
                <w:szCs w:val="18"/>
              </w:rPr>
              <w:t>销售公司自产 产品</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33"/>
              <w:jc w:val="left"/>
              <w:rPr>
                <w:rFonts w:ascii="宋体" w:hAnsi="宋体" w:cs="宋体" w:eastAsia="宋体" w:hint="default"/>
                <w:sz w:val="18"/>
                <w:szCs w:val="18"/>
              </w:rPr>
            </w:pP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4"/>
              <w:ind w:left="23" w:right="35"/>
              <w:jc w:val="both"/>
              <w:rPr>
                <w:rFonts w:ascii="Times New Roman" w:hAnsi="Times New Roman" w:cs="Times New Roman" w:eastAsia="Times New Roman" w:hint="default"/>
                <w:sz w:val="18"/>
                <w:szCs w:val="18"/>
              </w:rPr>
            </w:pPr>
            <w:r>
              <w:rPr>
                <w:rFonts w:ascii="Times New Roman"/>
                <w:sz w:val="18"/>
              </w:rPr>
              <w:t>e/bulletin_detail/tru e/1203038559?ann ounceTime=2017-0 1-23%2007:59</w:t>
            </w:r>
          </w:p>
        </w:tc>
      </w:tr>
      <w:tr>
        <w:trPr>
          <w:trHeight w:val="177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73"/>
              <w:jc w:val="both"/>
              <w:rPr>
                <w:rFonts w:ascii="宋体" w:hAnsi="宋体" w:cs="宋体" w:eastAsia="宋体" w:hint="default"/>
                <w:sz w:val="18"/>
                <w:szCs w:val="18"/>
              </w:rPr>
            </w:pPr>
            <w:r>
              <w:rPr>
                <w:rFonts w:ascii="宋体" w:hAnsi="宋体" w:cs="宋体" w:eastAsia="宋体" w:hint="default"/>
                <w:sz w:val="18"/>
                <w:szCs w:val="18"/>
              </w:rPr>
              <w:t>方欣 智慧 财税 服务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4" w:lineRule="auto"/>
              <w:ind w:left="22" w:right="20"/>
              <w:jc w:val="left"/>
              <w:rPr>
                <w:rFonts w:ascii="宋体" w:hAnsi="宋体" w:cs="宋体" w:eastAsia="宋体" w:hint="default"/>
                <w:sz w:val="18"/>
                <w:szCs w:val="18"/>
              </w:rPr>
            </w:pPr>
            <w:r>
              <w:rPr>
                <w:rFonts w:ascii="宋体" w:hAnsi="宋体" w:cs="宋体" w:eastAsia="宋体" w:hint="default"/>
                <w:sz w:val="18"/>
                <w:szCs w:val="18"/>
              </w:rPr>
              <w:t>企业管理咨询 </w:t>
            </w:r>
            <w:r>
              <w:rPr>
                <w:rFonts w:ascii="宋体" w:hAnsi="宋体" w:cs="宋体" w:eastAsia="宋体" w:hint="default"/>
                <w:spacing w:val="-6"/>
                <w:sz w:val="18"/>
                <w:szCs w:val="18"/>
              </w:rPr>
              <w:t>服务；企业财务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咨询服务等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33"/>
              <w:ind w:left="40"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left="61"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4" w:lineRule="auto"/>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4,059,</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531.56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61"/>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278" w:lineRule="auto" w:before="1"/>
              <w:ind w:left="23" w:right="27"/>
              <w:jc w:val="left"/>
              <w:rPr>
                <w:rFonts w:ascii="Times New Roman" w:hAnsi="Times New Roman" w:cs="Times New Roman" w:eastAsia="Times New Roman" w:hint="default"/>
                <w:sz w:val="18"/>
                <w:szCs w:val="18"/>
              </w:rPr>
            </w:pPr>
            <w:r>
              <w:rPr>
                <w:rFonts w:ascii="Times New Roman"/>
                <w:sz w:val="18"/>
              </w:rPr>
              <w:t>/disclosure/szse_sm</w:t>
            </w:r>
            <w:r>
              <w:rPr>
                <w:rFonts w:ascii="Times New Roman"/>
                <w:w w:val="99"/>
                <w:sz w:val="18"/>
              </w:rPr>
              <w:t> </w:t>
            </w:r>
            <w:r>
              <w:rPr>
                <w:rFonts w:ascii="Times New Roman"/>
                <w:sz w:val="18"/>
              </w:rPr>
              <w:t>e/bulletin_detail/tru</w:t>
            </w:r>
            <w:r>
              <w:rPr>
                <w:rFonts w:ascii="Times New Roman"/>
                <w:sz w:val="18"/>
              </w:rPr>
              <w:t> e/1203126810?ann ounceTime=2017-0 3-03</w:t>
            </w:r>
          </w:p>
        </w:tc>
      </w:tr>
      <w:tr>
        <w:trPr>
          <w:trHeight w:val="177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73"/>
              <w:jc w:val="both"/>
              <w:rPr>
                <w:rFonts w:ascii="宋体" w:hAnsi="宋体" w:cs="宋体" w:eastAsia="宋体" w:hint="default"/>
                <w:sz w:val="18"/>
                <w:szCs w:val="18"/>
              </w:rPr>
            </w:pPr>
            <w:r>
              <w:rPr>
                <w:rFonts w:ascii="宋体" w:hAnsi="宋体" w:cs="宋体" w:eastAsia="宋体" w:hint="default"/>
                <w:sz w:val="18"/>
                <w:szCs w:val="18"/>
              </w:rPr>
              <w:t>金财 互联 数据 服务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4" w:lineRule="auto"/>
              <w:ind w:left="22" w:right="20"/>
              <w:jc w:val="left"/>
              <w:rPr>
                <w:rFonts w:ascii="宋体" w:hAnsi="宋体" w:cs="宋体" w:eastAsia="宋体" w:hint="default"/>
                <w:sz w:val="18"/>
                <w:szCs w:val="18"/>
              </w:rPr>
            </w:pPr>
            <w:r>
              <w:rPr>
                <w:rFonts w:ascii="宋体" w:hAnsi="宋体" w:cs="宋体" w:eastAsia="宋体" w:hint="default"/>
                <w:sz w:val="18"/>
                <w:szCs w:val="18"/>
              </w:rPr>
              <w:t>数据处理和存 </w:t>
            </w:r>
            <w:r>
              <w:rPr>
                <w:rFonts w:ascii="宋体" w:hAnsi="宋体" w:cs="宋体" w:eastAsia="宋体" w:hint="default"/>
                <w:spacing w:val="-6"/>
                <w:sz w:val="18"/>
                <w:szCs w:val="18"/>
              </w:rPr>
              <w:t>储服务；信息系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统集成服务等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4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33"/>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left="355" w:right="0"/>
              <w:jc w:val="left"/>
              <w:rPr>
                <w:rFonts w:ascii="Times New Roman" w:hAnsi="Times New Roman" w:cs="Times New Roman" w:eastAsia="Times New Roman" w:hint="default"/>
                <w:sz w:val="18"/>
                <w:szCs w:val="18"/>
              </w:rPr>
            </w:pPr>
            <w:r>
              <w:rPr>
                <w:rFonts w:ascii="Times New Roman"/>
                <w:sz w:val="18"/>
              </w:rPr>
              <w:t>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33"/>
              <w:ind w:left="61" w:right="0"/>
              <w:jc w:val="left"/>
              <w:rPr>
                <w:rFonts w:ascii="Times New Roman" w:hAnsi="Times New Roman" w:cs="Times New Roman" w:eastAsia="Times New Roman" w:hint="default"/>
                <w:sz w:val="18"/>
                <w:szCs w:val="18"/>
              </w:rPr>
            </w:pPr>
            <w:r>
              <w:rPr>
                <w:rFonts w:ascii="Times New Roman"/>
                <w:sz w:val="18"/>
              </w:rPr>
              <w:t>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4" w:lineRule="auto"/>
              <w:ind w:left="22" w:right="33"/>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-2,830,</w:t>
            </w:r>
          </w:p>
          <w:p>
            <w:pPr>
              <w:pStyle w:val="TableParagraph"/>
              <w:spacing w:line="240" w:lineRule="auto" w:before="33"/>
              <w:ind w:left="39" w:right="0"/>
              <w:jc w:val="left"/>
              <w:rPr>
                <w:rFonts w:ascii="Times New Roman" w:hAnsi="Times New Roman" w:cs="Times New Roman" w:eastAsia="Times New Roman" w:hint="default"/>
                <w:sz w:val="18"/>
                <w:szCs w:val="18"/>
              </w:rPr>
            </w:pPr>
            <w:r>
              <w:rPr>
                <w:rFonts w:ascii="Times New Roman"/>
                <w:sz w:val="18"/>
              </w:rPr>
              <w:t>164.04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61"/>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278" w:lineRule="auto" w:before="1"/>
              <w:ind w:left="23" w:right="27"/>
              <w:jc w:val="left"/>
              <w:rPr>
                <w:rFonts w:ascii="Times New Roman" w:hAnsi="Times New Roman" w:cs="Times New Roman" w:eastAsia="Times New Roman" w:hint="default"/>
                <w:sz w:val="18"/>
                <w:szCs w:val="18"/>
              </w:rPr>
            </w:pPr>
            <w:r>
              <w:rPr>
                <w:rFonts w:ascii="Times New Roman"/>
                <w:sz w:val="18"/>
              </w:rPr>
              <w:t>/disclosure/szse_sm</w:t>
            </w:r>
            <w:r>
              <w:rPr>
                <w:rFonts w:ascii="Times New Roman"/>
                <w:w w:val="99"/>
                <w:sz w:val="18"/>
              </w:rPr>
              <w:t> </w:t>
            </w:r>
            <w:r>
              <w:rPr>
                <w:rFonts w:ascii="Times New Roman"/>
                <w:sz w:val="18"/>
              </w:rPr>
              <w:t>e/bulletin_detail/tru</w:t>
            </w:r>
            <w:r>
              <w:rPr>
                <w:rFonts w:ascii="Times New Roman"/>
                <w:sz w:val="18"/>
              </w:rPr>
              <w:t> e/1203376852?ann ounceTime=2017-0 4-25</w:t>
            </w:r>
          </w:p>
        </w:tc>
      </w:tr>
      <w:tr>
        <w:trPr>
          <w:trHeight w:val="177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73"/>
              <w:jc w:val="both"/>
              <w:rPr>
                <w:rFonts w:ascii="宋体" w:hAnsi="宋体" w:cs="宋体" w:eastAsia="宋体" w:hint="default"/>
                <w:sz w:val="18"/>
                <w:szCs w:val="18"/>
              </w:rPr>
            </w:pPr>
            <w:r>
              <w:rPr>
                <w:rFonts w:ascii="宋体" w:hAnsi="宋体" w:cs="宋体" w:eastAsia="宋体" w:hint="default"/>
                <w:sz w:val="18"/>
                <w:szCs w:val="18"/>
              </w:rPr>
              <w:t>上海 企盈 信息 技术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从事（信息、网</w:t>
            </w:r>
            <w:r>
              <w:rPr>
                <w:rFonts w:ascii="宋体" w:hAnsi="宋体" w:cs="宋体" w:eastAsia="宋体" w:hint="default"/>
                <w:sz w:val="18"/>
                <w:szCs w:val="18"/>
              </w:rPr>
              <w:t> </w:t>
            </w:r>
            <w:r>
              <w:rPr>
                <w:rFonts w:ascii="宋体" w:hAnsi="宋体" w:cs="宋体" w:eastAsia="宋体" w:hint="default"/>
                <w:spacing w:val="-6"/>
                <w:sz w:val="18"/>
                <w:szCs w:val="18"/>
              </w:rPr>
              <w:t>络、电子）科技</w:t>
            </w:r>
            <w:r>
              <w:rPr>
                <w:rFonts w:ascii="宋体" w:hAnsi="宋体" w:cs="宋体" w:eastAsia="宋体" w:hint="default"/>
                <w:sz w:val="18"/>
                <w:szCs w:val="18"/>
              </w:rPr>
              <w:t> 领域内的技术 </w:t>
            </w:r>
            <w:r>
              <w:rPr>
                <w:rFonts w:ascii="宋体" w:hAnsi="宋体" w:cs="宋体" w:eastAsia="宋体" w:hint="default"/>
                <w:spacing w:val="-6"/>
                <w:sz w:val="18"/>
                <w:szCs w:val="18"/>
              </w:rPr>
              <w:t>开发、技术转让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28,000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4" w:lineRule="auto"/>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-2027</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02"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61"/>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278" w:lineRule="auto" w:before="1"/>
              <w:ind w:left="23" w:right="27"/>
              <w:jc w:val="left"/>
              <w:rPr>
                <w:rFonts w:ascii="Times New Roman" w:hAnsi="Times New Roman" w:cs="Times New Roman" w:eastAsia="Times New Roman" w:hint="default"/>
                <w:sz w:val="18"/>
                <w:szCs w:val="18"/>
              </w:rPr>
            </w:pPr>
            <w:r>
              <w:rPr>
                <w:rFonts w:ascii="Times New Roman"/>
                <w:sz w:val="18"/>
              </w:rPr>
              <w:t>/disclosure/szse_sm</w:t>
            </w:r>
            <w:r>
              <w:rPr>
                <w:rFonts w:ascii="Times New Roman"/>
                <w:w w:val="99"/>
                <w:sz w:val="18"/>
              </w:rPr>
              <w:t> </w:t>
            </w:r>
            <w:r>
              <w:rPr>
                <w:rFonts w:ascii="Times New Roman"/>
                <w:sz w:val="18"/>
              </w:rPr>
              <w:t>e/bulletin_detail/tru</w:t>
            </w:r>
            <w:r>
              <w:rPr>
                <w:rFonts w:ascii="Times New Roman"/>
                <w:sz w:val="18"/>
              </w:rPr>
              <w:t> e/1203470407?ann ounceTime=2017-0 5-03</w:t>
            </w:r>
          </w:p>
        </w:tc>
      </w:tr>
      <w:tr>
        <w:trPr>
          <w:trHeight w:val="177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浙江 金财 立信 财务 管理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2" w:right="20"/>
              <w:jc w:val="left"/>
              <w:rPr>
                <w:rFonts w:ascii="宋体" w:hAnsi="宋体" w:cs="宋体" w:eastAsia="宋体" w:hint="default"/>
                <w:sz w:val="18"/>
                <w:szCs w:val="18"/>
              </w:rPr>
            </w:pPr>
            <w:r>
              <w:rPr>
                <w:rFonts w:ascii="宋体" w:hAnsi="宋体" w:cs="宋体" w:eastAsia="宋体" w:hint="default"/>
                <w:sz w:val="18"/>
                <w:szCs w:val="18"/>
              </w:rPr>
              <w:t>服务：代理记 </w:t>
            </w:r>
            <w:r>
              <w:rPr>
                <w:rFonts w:ascii="宋体" w:hAnsi="宋体" w:cs="宋体" w:eastAsia="宋体" w:hint="default"/>
                <w:spacing w:val="-6"/>
                <w:sz w:val="18"/>
                <w:szCs w:val="18"/>
              </w:rPr>
              <w:t>账，财务信息咨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询，税务信息咨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z w:val="18"/>
              </w:rPr>
              <w:t>76,500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4" w:lineRule="auto"/>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928,06</w:t>
            </w:r>
          </w:p>
          <w:p>
            <w:pPr>
              <w:pStyle w:val="TableParagraph"/>
              <w:spacing w:line="240" w:lineRule="auto" w:before="33"/>
              <w:ind w:left="196" w:right="0"/>
              <w:jc w:val="center"/>
              <w:rPr>
                <w:rFonts w:ascii="Times New Roman" w:hAnsi="Times New Roman" w:cs="Times New Roman" w:eastAsia="Times New Roman" w:hint="default"/>
                <w:sz w:val="18"/>
                <w:szCs w:val="18"/>
              </w:rPr>
            </w:pPr>
            <w:r>
              <w:rPr>
                <w:rFonts w:ascii="Times New Roman"/>
                <w:sz w:val="18"/>
              </w:rPr>
              <w:t>0.59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03" w:lineRule="exact"/>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61"/>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278" w:lineRule="auto" w:before="1"/>
              <w:ind w:left="23" w:right="27"/>
              <w:jc w:val="left"/>
              <w:rPr>
                <w:rFonts w:ascii="Times New Roman" w:hAnsi="Times New Roman" w:cs="Times New Roman" w:eastAsia="Times New Roman" w:hint="default"/>
                <w:sz w:val="18"/>
                <w:szCs w:val="18"/>
              </w:rPr>
            </w:pPr>
            <w:r>
              <w:rPr>
                <w:rFonts w:ascii="Times New Roman"/>
                <w:sz w:val="18"/>
              </w:rPr>
              <w:t>/disclosure/szse_sm</w:t>
            </w:r>
            <w:r>
              <w:rPr>
                <w:rFonts w:ascii="Times New Roman"/>
                <w:w w:val="99"/>
                <w:sz w:val="18"/>
              </w:rPr>
              <w:t> </w:t>
            </w:r>
            <w:r>
              <w:rPr>
                <w:rFonts w:ascii="Times New Roman"/>
                <w:sz w:val="18"/>
              </w:rPr>
              <w:t>e/bulletin_detail/tru</w:t>
            </w:r>
            <w:r>
              <w:rPr>
                <w:rFonts w:ascii="Times New Roman"/>
                <w:sz w:val="18"/>
              </w:rPr>
              <w:t> e/1203470407?ann ounceTime=2017-0 5-03</w:t>
            </w:r>
          </w:p>
        </w:tc>
      </w:tr>
      <w:tr>
        <w:trPr>
          <w:trHeight w:val="177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73"/>
              <w:jc w:val="both"/>
              <w:rPr>
                <w:rFonts w:ascii="宋体" w:hAnsi="宋体" w:cs="宋体" w:eastAsia="宋体" w:hint="default"/>
                <w:sz w:val="18"/>
                <w:szCs w:val="18"/>
              </w:rPr>
            </w:pPr>
            <w:r>
              <w:rPr>
                <w:rFonts w:ascii="宋体" w:hAnsi="宋体" w:cs="宋体" w:eastAsia="宋体" w:hint="default"/>
                <w:sz w:val="18"/>
                <w:szCs w:val="18"/>
              </w:rPr>
              <w:t>北京 方欣 恒利 科技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z w:val="18"/>
                <w:szCs w:val="18"/>
              </w:rPr>
              <w:t>第二类增值电 信业务中的信 </w:t>
            </w:r>
            <w:r>
              <w:rPr>
                <w:rFonts w:ascii="宋体" w:hAnsi="宋体" w:cs="宋体" w:eastAsia="宋体" w:hint="default"/>
                <w:spacing w:val="-6"/>
                <w:sz w:val="18"/>
                <w:szCs w:val="18"/>
              </w:rPr>
              <w:t>息服务业务（仅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限互联网信息 </w:t>
            </w:r>
            <w:r>
              <w:rPr>
                <w:rFonts w:ascii="宋体" w:hAnsi="宋体" w:cs="宋体" w:eastAsia="宋体" w:hint="default"/>
                <w:spacing w:val="-6"/>
                <w:sz w:val="18"/>
                <w:szCs w:val="18"/>
              </w:rPr>
              <w:t>服务），网络技</w:t>
            </w:r>
            <w:r>
              <w:rPr>
                <w:rFonts w:ascii="宋体" w:hAnsi="宋体" w:cs="宋体" w:eastAsia="宋体" w:hint="default"/>
                <w:sz w:val="18"/>
                <w:szCs w:val="18"/>
              </w:rPr>
              <w:t> </w:t>
            </w:r>
            <w:r>
              <w:rPr>
                <w:rFonts w:ascii="宋体" w:hAnsi="宋体" w:cs="宋体" w:eastAsia="宋体" w:hint="default"/>
                <w:spacing w:val="-6"/>
                <w:sz w:val="18"/>
                <w:szCs w:val="18"/>
              </w:rPr>
              <w:t>术开发、技术咨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91,000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4" w:lineRule="auto"/>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129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杭州 金才 科技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计算机软件、网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络技术的技术 </w:t>
            </w:r>
            <w:r>
              <w:rPr>
                <w:rFonts w:ascii="宋体" w:hAnsi="宋体" w:cs="宋体" w:eastAsia="宋体" w:hint="default"/>
                <w:spacing w:val="-6"/>
                <w:sz w:val="18"/>
                <w:szCs w:val="18"/>
              </w:rPr>
              <w:t>开发，技术服务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34,020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exact" w:before="13"/>
              <w:ind w:left="22" w:right="164"/>
              <w:jc w:val="left"/>
              <w:rPr>
                <w:rFonts w:ascii="宋体" w:hAnsi="宋体" w:cs="宋体" w:eastAsia="宋体" w:hint="default"/>
                <w:sz w:val="18"/>
                <w:szCs w:val="18"/>
              </w:rPr>
            </w:pPr>
            <w:r>
              <w:rPr>
                <w:rFonts w:ascii="宋体" w:hAnsi="宋体" w:cs="宋体" w:eastAsia="宋体" w:hint="default"/>
                <w:sz w:val="18"/>
                <w:szCs w:val="18"/>
              </w:rPr>
              <w:t>日 </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201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东莞 市金 财互 联信 息科 技有 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0"/>
              <w:ind w:left="22" w:right="161"/>
              <w:jc w:val="left"/>
              <w:rPr>
                <w:rFonts w:ascii="宋体" w:hAnsi="宋体" w:cs="宋体" w:eastAsia="宋体" w:hint="default"/>
                <w:sz w:val="18"/>
                <w:szCs w:val="18"/>
              </w:rPr>
            </w:pPr>
            <w:r>
              <w:rPr>
                <w:rFonts w:ascii="宋体" w:hAnsi="宋体" w:cs="宋体" w:eastAsia="宋体" w:hint="default"/>
                <w:sz w:val="18"/>
                <w:szCs w:val="18"/>
              </w:rPr>
              <w:t>计算机软件开 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51.0</w:t>
            </w:r>
          </w:p>
          <w:p>
            <w:pPr>
              <w:pStyle w:val="TableParagraph"/>
              <w:spacing w:line="240" w:lineRule="auto" w:before="33"/>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0"/>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exact" w:before="13"/>
              <w:ind w:left="22" w:right="164"/>
              <w:jc w:val="left"/>
              <w:rPr>
                <w:rFonts w:ascii="宋体" w:hAnsi="宋体" w:cs="宋体" w:eastAsia="宋体" w:hint="default"/>
                <w:sz w:val="18"/>
                <w:szCs w:val="18"/>
              </w:rPr>
            </w:pPr>
            <w:r>
              <w:rPr>
                <w:rFonts w:ascii="宋体" w:hAnsi="宋体" w:cs="宋体" w:eastAsia="宋体" w:hint="default"/>
                <w:sz w:val="18"/>
                <w:szCs w:val="18"/>
              </w:rPr>
              <w:t>日 </w:t>
            </w:r>
            <w:r>
              <w:rPr>
                <w:rFonts w:ascii="Times New Roman" w:hAnsi="Times New Roman" w:cs="Times New Roman" w:eastAsia="Times New Roman" w:hint="default"/>
                <w:sz w:val="18"/>
                <w:szCs w:val="18"/>
              </w:rPr>
              <w:t>-</w:t>
            </w: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-156,1</w:t>
            </w:r>
          </w:p>
          <w:p>
            <w:pPr>
              <w:pStyle w:val="TableParagraph"/>
              <w:spacing w:line="240" w:lineRule="auto" w:before="33"/>
              <w:ind w:left="129" w:right="0"/>
              <w:jc w:val="left"/>
              <w:rPr>
                <w:rFonts w:ascii="Times New Roman" w:hAnsi="Times New Roman" w:cs="Times New Roman" w:eastAsia="Times New Roman" w:hint="default"/>
                <w:sz w:val="18"/>
                <w:szCs w:val="18"/>
              </w:rPr>
            </w:pPr>
            <w:r>
              <w:rPr>
                <w:rFonts w:ascii="Times New Roman"/>
                <w:sz w:val="18"/>
              </w:rPr>
              <w:t>27.04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r>
        <w:trPr>
          <w:trHeight w:val="77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广州 湛蓝 数据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20"/>
              <w:jc w:val="both"/>
              <w:rPr>
                <w:rFonts w:ascii="宋体" w:hAnsi="宋体" w:cs="宋体" w:eastAsia="宋体" w:hint="default"/>
                <w:sz w:val="18"/>
                <w:szCs w:val="18"/>
              </w:rPr>
            </w:pPr>
            <w:r>
              <w:rPr>
                <w:rFonts w:ascii="宋体" w:hAnsi="宋体" w:cs="宋体" w:eastAsia="宋体" w:hint="default"/>
                <w:sz w:val="18"/>
                <w:szCs w:val="18"/>
              </w:rPr>
              <w:t>信息电子技术 服务</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计算机技 </w:t>
            </w:r>
            <w:r>
              <w:rPr>
                <w:rFonts w:ascii="宋体" w:hAnsi="宋体" w:cs="宋体" w:eastAsia="宋体" w:hint="default"/>
                <w:spacing w:val="-6"/>
                <w:sz w:val="18"/>
                <w:szCs w:val="18"/>
              </w:rPr>
              <w:t>术开发、技术服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34"/>
              <w:ind w:left="40"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34"/>
              <w:ind w:left="151" w:right="0"/>
              <w:jc w:val="left"/>
              <w:rPr>
                <w:rFonts w:ascii="Times New Roman" w:hAnsi="Times New Roman" w:cs="Times New Roman" w:eastAsia="Times New Roman" w:hint="default"/>
                <w:sz w:val="18"/>
                <w:szCs w:val="18"/>
              </w:rPr>
            </w:pPr>
            <w:r>
              <w:rPr>
                <w:rFonts w:ascii="Times New Roman"/>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1"/>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73"/>
              <w:jc w:val="left"/>
              <w:rPr>
                <w:rFonts w:ascii="宋体" w:hAnsi="宋体" w:cs="宋体" w:eastAsia="宋体" w:hint="default"/>
                <w:sz w:val="18"/>
                <w:szCs w:val="18"/>
              </w:rPr>
            </w:pPr>
            <w:r>
              <w:rPr>
                <w:rFonts w:ascii="宋体" w:hAnsi="宋体" w:cs="宋体" w:eastAsia="宋体" w:hint="default"/>
                <w:sz w:val="18"/>
                <w:szCs w:val="18"/>
              </w:rPr>
              <w:t>互联 网财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未达披露标准</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568"/>
        <w:gridCol w:w="1276"/>
        <w:gridCol w:w="566"/>
        <w:gridCol w:w="568"/>
        <w:gridCol w:w="425"/>
        <w:gridCol w:w="426"/>
        <w:gridCol w:w="425"/>
        <w:gridCol w:w="709"/>
        <w:gridCol w:w="568"/>
        <w:gridCol w:w="708"/>
        <w:gridCol w:w="283"/>
        <w:gridCol w:w="568"/>
        <w:gridCol w:w="425"/>
        <w:gridCol w:w="566"/>
        <w:gridCol w:w="1492"/>
      </w:tblGrid>
      <w:tr>
        <w:trPr>
          <w:trHeight w:val="77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73"/>
              <w:jc w:val="both"/>
              <w:rPr>
                <w:rFonts w:ascii="宋体" w:hAnsi="宋体" w:cs="宋体" w:eastAsia="宋体" w:hint="default"/>
                <w:sz w:val="18"/>
                <w:szCs w:val="18"/>
              </w:rPr>
            </w:pPr>
            <w:r>
              <w:rPr>
                <w:rFonts w:ascii="宋体" w:hAnsi="宋体" w:cs="宋体" w:eastAsia="宋体" w:hint="default"/>
                <w:sz w:val="18"/>
                <w:szCs w:val="18"/>
              </w:rPr>
              <w:t>科技 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3"/>
              <w:jc w:val="center"/>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长期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33"/>
              <w:jc w:val="left"/>
              <w:rPr>
                <w:rFonts w:ascii="宋体" w:hAnsi="宋体" w:cs="宋体" w:eastAsia="宋体" w:hint="default"/>
                <w:sz w:val="18"/>
                <w:szCs w:val="18"/>
              </w:rPr>
            </w:pP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2010" w:hRule="exact"/>
        </w:trPr>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苏州 方泽 投资 合伙 企业</w:t>
            </w:r>
          </w:p>
          <w:p>
            <w:pPr>
              <w:pStyle w:val="TableParagraph"/>
              <w:spacing w:line="244" w:lineRule="auto" w:before="1"/>
              <w:ind w:left="22" w:right="173"/>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1"/>
              <w:ind w:left="22" w:right="20"/>
              <w:jc w:val="left"/>
              <w:rPr>
                <w:rFonts w:ascii="宋体" w:hAnsi="宋体" w:cs="宋体" w:eastAsia="宋体" w:hint="default"/>
                <w:sz w:val="18"/>
                <w:szCs w:val="18"/>
              </w:rPr>
            </w:pPr>
            <w:r>
              <w:rPr>
                <w:rFonts w:ascii="宋体" w:hAnsi="宋体" w:cs="宋体" w:eastAsia="宋体" w:hint="default"/>
                <w:spacing w:val="-6"/>
                <w:sz w:val="18"/>
                <w:szCs w:val="18"/>
              </w:rPr>
              <w:t>股权投资、创业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新设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33"/>
              <w:ind w:left="40" w:right="0"/>
              <w:jc w:val="left"/>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33"/>
              <w:ind w:left="21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1"/>
              <w:ind w:left="22" w:right="3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4" w:lineRule="auto"/>
              <w:ind w:left="22" w:right="173"/>
              <w:jc w:val="both"/>
              <w:rPr>
                <w:rFonts w:ascii="宋体" w:hAnsi="宋体" w:cs="宋体" w:eastAsia="宋体" w:hint="default"/>
                <w:sz w:val="18"/>
                <w:szCs w:val="18"/>
              </w:rPr>
            </w:pPr>
            <w:r>
              <w:rPr>
                <w:rFonts w:ascii="宋体" w:hAnsi="宋体" w:cs="宋体" w:eastAsia="宋体" w:hint="default"/>
                <w:sz w:val="18"/>
                <w:szCs w:val="18"/>
              </w:rPr>
              <w:t>互联 网财 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4" w:lineRule="auto"/>
              <w:ind w:left="22" w:right="23"/>
              <w:jc w:val="left"/>
              <w:rPr>
                <w:rFonts w:ascii="宋体" w:hAnsi="宋体" w:cs="宋体" w:eastAsia="宋体" w:hint="default"/>
                <w:sz w:val="18"/>
                <w:szCs w:val="18"/>
              </w:rPr>
            </w:pPr>
            <w:r>
              <w:rPr>
                <w:rFonts w:ascii="宋体" w:hAnsi="宋体" w:cs="宋体" w:eastAsia="宋体" w:hint="default"/>
                <w:sz w:val="18"/>
                <w:szCs w:val="18"/>
              </w:rPr>
              <w:t>已完成 工商登 </w:t>
            </w:r>
            <w:r>
              <w:rPr>
                <w:rFonts w:ascii="宋体" w:hAnsi="宋体" w:cs="宋体" w:eastAsia="宋体" w:hint="default"/>
                <w:spacing w:val="-18"/>
                <w:sz w:val="18"/>
                <w:szCs w:val="18"/>
              </w:rPr>
              <w:t>记，公司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正常经 营</w:t>
            </w:r>
          </w:p>
        </w:tc>
        <w:tc>
          <w:tcPr>
            <w:tcW w:w="283"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2" w:lineRule="exact" w:before="130"/>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78" w:lineRule="auto"/>
              <w:ind w:left="23" w:right="61"/>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278" w:lineRule="auto" w:before="1"/>
              <w:ind w:left="23" w:right="27"/>
              <w:jc w:val="left"/>
              <w:rPr>
                <w:rFonts w:ascii="Times New Roman" w:hAnsi="Times New Roman" w:cs="Times New Roman" w:eastAsia="Times New Roman" w:hint="default"/>
                <w:sz w:val="18"/>
                <w:szCs w:val="18"/>
              </w:rPr>
            </w:pPr>
            <w:r>
              <w:rPr>
                <w:rFonts w:ascii="Times New Roman"/>
                <w:sz w:val="18"/>
              </w:rPr>
              <w:t>/disclosure/szse_sm</w:t>
            </w:r>
            <w:r>
              <w:rPr>
                <w:rFonts w:ascii="Times New Roman"/>
                <w:w w:val="99"/>
                <w:sz w:val="18"/>
              </w:rPr>
              <w:t> </w:t>
            </w:r>
            <w:r>
              <w:rPr>
                <w:rFonts w:ascii="Times New Roman"/>
                <w:sz w:val="18"/>
              </w:rPr>
              <w:t>e/bulletin_detail/tru</w:t>
            </w:r>
            <w:r>
              <w:rPr>
                <w:rFonts w:ascii="Times New Roman"/>
                <w:sz w:val="18"/>
              </w:rPr>
              <w:t> e/1203032254?ann ounceTime=2017-0 1-20</w:t>
            </w:r>
          </w:p>
        </w:tc>
      </w:tr>
      <w:tr>
        <w:trPr>
          <w:trHeight w:val="810" w:hRule="exact"/>
        </w:trPr>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 w:right="0"/>
              <w:jc w:val="center"/>
              <w:rPr>
                <w:rFonts w:ascii="Times New Roman" w:hAnsi="Times New Roman" w:cs="Times New Roman" w:eastAsia="Times New Roman" w:hint="default"/>
                <w:sz w:val="18"/>
                <w:szCs w:val="18"/>
              </w:rPr>
            </w:pPr>
            <w:r>
              <w:rPr>
                <w:rFonts w:ascii="Times New Roman"/>
                <w:sz w:val="18"/>
              </w:rPr>
              <w:t>1,028,</w:t>
            </w:r>
          </w:p>
          <w:p>
            <w:pPr>
              <w:pStyle w:val="TableParagraph"/>
              <w:spacing w:line="240" w:lineRule="auto" w:before="33"/>
              <w:ind w:left="18" w:right="0"/>
              <w:jc w:val="center"/>
              <w:rPr>
                <w:rFonts w:ascii="Times New Roman" w:hAnsi="Times New Roman" w:cs="Times New Roman" w:eastAsia="Times New Roman" w:hint="default"/>
                <w:sz w:val="18"/>
                <w:szCs w:val="18"/>
              </w:rPr>
            </w:pPr>
            <w:r>
              <w:rPr>
                <w:rFonts w:ascii="Times New Roman"/>
                <w:sz w:val="18"/>
              </w:rPr>
              <w:t>867,89</w:t>
            </w:r>
          </w:p>
          <w:p>
            <w:pPr>
              <w:pStyle w:val="TableParagraph"/>
              <w:spacing w:line="240" w:lineRule="auto" w:before="33"/>
              <w:ind w:left="198" w:right="0"/>
              <w:jc w:val="center"/>
              <w:rPr>
                <w:rFonts w:ascii="Times New Roman" w:hAnsi="Times New Roman" w:cs="Times New Roman" w:eastAsia="Times New Roman" w:hint="default"/>
                <w:sz w:val="18"/>
                <w:szCs w:val="18"/>
              </w:rPr>
            </w:pPr>
            <w:r>
              <w:rPr>
                <w:rFonts w:ascii="Times New Roman"/>
                <w:sz w:val="18"/>
              </w:rPr>
              <w:t>9.42</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6"/>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33"/>
              <w:ind w:left="138" w:right="0"/>
              <w:jc w:val="center"/>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53,720</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,412.2</w:t>
            </w:r>
          </w:p>
          <w:p>
            <w:pPr>
              <w:pStyle w:val="TableParagraph"/>
              <w:spacing w:line="240" w:lineRule="auto" w:before="33"/>
              <w:ind w:right="22"/>
              <w:jc w:val="right"/>
              <w:rPr>
                <w:rFonts w:ascii="Times New Roman" w:hAnsi="Times New Roman" w:cs="Times New Roman" w:eastAsia="Times New Roman" w:hint="default"/>
                <w:sz w:val="18"/>
                <w:szCs w:val="18"/>
              </w:rPr>
            </w:pPr>
            <w:r>
              <w:rPr>
                <w:rFonts w:ascii="Times New Roman"/>
                <w:sz w:val="18"/>
              </w:rPr>
              <w:t>4</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8"/>
        <w:ind w:right="1118"/>
        <w:jc w:val="left"/>
        <w:rPr>
          <w:b w:val="0"/>
          <w:bCs w:val="0"/>
        </w:rPr>
      </w:pPr>
      <w:bookmarkStart w:name="3、报告期内正在进行的重大的非股权投资情况" w:id="54"/>
      <w:bookmarkEnd w:id="54"/>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4、以公允价值计量的金融资产" w:id="55"/>
      <w:bookmarkEnd w:id="55"/>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5、募集资金使用情况" w:id="56"/>
      <w:bookmarkEnd w:id="56"/>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1）募集资金总体使用情况" w:id="57"/>
      <w:bookmarkEnd w:id="57"/>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pict>
          <v:group style="position:absolute;margin-left:491.76001pt;margin-top:75.121735pt;width:43pt;height:30pt;mso-position-horizontal-relative:page;mso-position-vertical-relative:paragraph;z-index:-987088" coordorigin="9835,1502" coordsize="860,600">
            <v:shape style="position:absolute;left:9835;top:1502;width:860;height:600" coordorigin="9835,1502" coordsize="860,600" path="m9835,2102l10694,2102,10694,1502,9835,1502,9835,2102xe" filled="true" fillcolor="#ffffff" stroked="false">
              <v:path arrowok="t"/>
              <v:fill type="solid"/>
            </v:shape>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0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4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3" w:right="0"/>
              <w:jc w:val="left"/>
              <w:rPr>
                <w:rFonts w:ascii="Times New Roman" w:hAnsi="Times New Roman" w:cs="Times New Roman" w:eastAsia="Times New Roman" w:hint="default"/>
                <w:sz w:val="18"/>
                <w:szCs w:val="18"/>
              </w:rPr>
            </w:pPr>
            <w:r>
              <w:rPr>
                <w:rFonts w:ascii="Times New Roman"/>
                <w:sz w:val="18"/>
              </w:rPr>
              <w:t>116,430.72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93" w:right="0"/>
              <w:jc w:val="center"/>
              <w:rPr>
                <w:rFonts w:ascii="Times New Roman" w:hAnsi="Times New Roman" w:cs="Times New Roman" w:eastAsia="Times New Roman" w:hint="default"/>
                <w:sz w:val="18"/>
                <w:szCs w:val="18"/>
              </w:rPr>
            </w:pPr>
            <w:r>
              <w:rPr>
                <w:rFonts w:ascii="Times New Roman"/>
                <w:sz w:val="18"/>
              </w:rPr>
              <w:t>41,853.87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92" w:right="0"/>
              <w:jc w:val="center"/>
              <w:rPr>
                <w:rFonts w:ascii="Times New Roman" w:hAnsi="Times New Roman" w:cs="Times New Roman" w:eastAsia="Times New Roman" w:hint="default"/>
                <w:sz w:val="18"/>
                <w:szCs w:val="18"/>
              </w:rPr>
            </w:pPr>
            <w:r>
              <w:rPr>
                <w:rFonts w:ascii="Times New Roman"/>
                <w:sz w:val="18"/>
              </w:rPr>
              <w:t>41,853.87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21"/>
              <w:jc w:val="right"/>
              <w:rPr>
                <w:rFonts w:ascii="Times New Roman" w:hAnsi="Times New Roman" w:cs="Times New Roman" w:eastAsia="Times New Roman" w:hint="default"/>
                <w:sz w:val="18"/>
                <w:szCs w:val="18"/>
              </w:rPr>
            </w:pPr>
            <w:r>
              <w:rPr>
                <w:rFonts w:ascii="Times New Roman"/>
                <w:sz w:val="18"/>
              </w:rPr>
              <w:t>74,576.85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115"/>
              <w:jc w:val="both"/>
              <w:rPr>
                <w:rFonts w:ascii="宋体" w:hAnsi="宋体" w:cs="宋体" w:eastAsia="宋体" w:hint="default"/>
                <w:sz w:val="18"/>
                <w:szCs w:val="18"/>
              </w:rPr>
            </w:pPr>
            <w:r>
              <w:rPr>
                <w:rFonts w:ascii="宋体" w:hAnsi="宋体" w:cs="宋体" w:eastAsia="宋体" w:hint="default"/>
                <w:sz w:val="18"/>
                <w:szCs w:val="18"/>
              </w:rPr>
              <w:t>报告期内 公司尚未 使用的募 集资金均 存放于专 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116,430.72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41,853.87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41,853.87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74,576.85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53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7" w:lineRule="auto" w:before="24"/>
              <w:ind w:left="22" w:right="22" w:firstLine="360"/>
              <w:jc w:val="both"/>
              <w:rPr>
                <w:rFonts w:ascii="宋体" w:hAnsi="宋体" w:cs="宋体" w:eastAsia="宋体" w:hint="default"/>
                <w:sz w:val="18"/>
                <w:szCs w:val="18"/>
              </w:rPr>
            </w:pPr>
            <w:r>
              <w:rPr>
                <w:rFonts w:ascii="宋体" w:hAnsi="宋体" w:cs="宋体" w:eastAsia="宋体" w:hint="default"/>
                <w:spacing w:val="-1"/>
                <w:sz w:val="18"/>
                <w:szCs w:val="18"/>
              </w:rPr>
              <w:t>根据中国证券监督管理委员会《关于核准江苏丰东热技术股份有限公司向徐正军等发行股份购买资产并募集配套资金</w:t>
            </w:r>
            <w:r>
              <w:rPr>
                <w:rFonts w:ascii="宋体" w:hAnsi="宋体" w:cs="宋体" w:eastAsia="宋体" w:hint="default"/>
                <w:sz w:val="18"/>
                <w:szCs w:val="18"/>
              </w:rPr>
              <w:t> </w:t>
            </w:r>
            <w:r>
              <w:rPr>
                <w:rFonts w:ascii="宋体" w:hAnsi="宋体" w:cs="宋体" w:eastAsia="宋体" w:hint="default"/>
                <w:spacing w:val="-3"/>
                <w:sz w:val="18"/>
                <w:szCs w:val="18"/>
              </w:rPr>
              <w:t>的批复》（证监许可〔</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2334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号），核准本公司非公开发行不超过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74,349,440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股新股募集本次发行股份购买资产的配 套资金，分别由朱文明、束昱辉、民生方欣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号计划、谢兵及徐锦宏以现金按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股认购，募集资金总额为</w:t>
            </w:r>
          </w:p>
          <w:p>
            <w:pPr>
              <w:pStyle w:val="TableParagraph"/>
              <w:spacing w:line="23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1,199,999,961.60  </w:t>
            </w:r>
            <w:r>
              <w:rPr>
                <w:rFonts w:ascii="宋体" w:hAnsi="宋体" w:cs="宋体" w:eastAsia="宋体" w:hint="default"/>
                <w:sz w:val="18"/>
                <w:szCs w:val="18"/>
              </w:rPr>
              <w:t>元，扣除公司依据财务顾问协议应支付给浙商证券的财务顾问费用（含税）</w:t>
            </w:r>
            <w:r>
              <w:rPr>
                <w:rFonts w:ascii="Times New Roman" w:hAnsi="Times New Roman" w:cs="Times New Roman" w:eastAsia="Times New Roman" w:hint="default"/>
                <w:sz w:val="18"/>
                <w:szCs w:val="18"/>
              </w:rPr>
              <w:t>21,200,000.00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元后，募集资</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1,178,799,961.60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日全部存入本公司在江苏大丰农村商业银行股份有限公司开立的募集资</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金验资专户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3209820521010000040819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账户中。</w:t>
            </w:r>
          </w:p>
        </w:tc>
      </w:tr>
    </w:tbl>
    <w:p>
      <w:pPr>
        <w:spacing w:after="0" w:line="245" w:lineRule="exact"/>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
        <w:rPr>
          <w:rFonts w:ascii="宋体" w:hAnsi="宋体" w:cs="宋体" w:eastAsia="宋体" w:hint="default"/>
          <w:sz w:val="23"/>
          <w:szCs w:val="23"/>
        </w:rPr>
      </w:pPr>
    </w:p>
    <w:p>
      <w:pPr>
        <w:spacing w:line="1010" w:lineRule="exact"/>
        <w:ind w:left="154" w:right="0" w:firstLine="0"/>
        <w:rPr>
          <w:rFonts w:ascii="宋体" w:hAnsi="宋体" w:cs="宋体" w:eastAsia="宋体" w:hint="default"/>
          <w:sz w:val="20"/>
          <w:szCs w:val="20"/>
        </w:rPr>
      </w:pPr>
      <w:r>
        <w:rPr>
          <w:rFonts w:ascii="宋体" w:hAnsi="宋体" w:cs="宋体" w:eastAsia="宋体" w:hint="default"/>
          <w:position w:val="-19"/>
          <w:sz w:val="20"/>
          <w:szCs w:val="20"/>
        </w:rPr>
        <w:pict>
          <v:shape style="width:478.3pt;height:50.55pt;mso-position-horizontal-relative:char;mso-position-vertical-relative:line" type="#_x0000_t202" filled="false" stroked="true" strokeweight=".48pt" strokecolor="#000000">
            <w10:anchorlock/>
            <v:textbox inset="0,0,0,0">
              <w:txbxContent>
                <w:p>
                  <w:pPr>
                    <w:pStyle w:val="BodyText"/>
                    <w:spacing w:line="240" w:lineRule="exact"/>
                    <w:ind w:left="22" w:right="20" w:firstLine="360"/>
                    <w:jc w:val="left"/>
                  </w:pPr>
                  <w:r>
                    <w:rPr>
                      <w:spacing w:val="-4"/>
                    </w:rPr>
                    <w:t>上述募集资金总额扣减本次非公开发行直接相关的财务顾问费、律师费、会计师费及其他发行费用</w:t>
                  </w:r>
                  <w:r>
                    <w:rPr>
                      <w:spacing w:val="-45"/>
                    </w:rPr>
                    <w:t> </w:t>
                  </w:r>
                  <w:r>
                    <w:rPr>
                      <w:rFonts w:ascii="Times New Roman" w:hAnsi="Times New Roman" w:cs="Times New Roman" w:eastAsia="Times New Roman" w:hint="default"/>
                    </w:rPr>
                    <w:t>33,672,397.97 </w:t>
                  </w:r>
                  <w:r>
                    <w:rPr>
                      <w:spacing w:val="-30"/>
                    </w:rPr>
                    <w:t>元（不</w:t>
                  </w:r>
                  <w:r>
                    <w:rPr/>
                    <w:t> 含税）后，募集资金净额为</w:t>
                  </w:r>
                  <w:r>
                    <w:rPr>
                      <w:spacing w:val="-46"/>
                    </w:rPr>
                    <w:t> </w:t>
                  </w:r>
                  <w:r>
                    <w:rPr>
                      <w:rFonts w:ascii="Times New Roman" w:hAnsi="Times New Roman" w:cs="Times New Roman" w:eastAsia="Times New Roman" w:hint="default"/>
                    </w:rPr>
                    <w:t>1,166,327,563.63</w:t>
                  </w:r>
                  <w:r>
                    <w:rPr>
                      <w:rFonts w:ascii="Times New Roman" w:hAnsi="Times New Roman" w:cs="Times New Roman" w:eastAsia="Times New Roman" w:hint="default"/>
                      <w:spacing w:val="44"/>
                    </w:rPr>
                    <w:t> </w:t>
                  </w:r>
                  <w:r>
                    <w:rPr/>
                    <w:t>元，众华会计师事务所（特殊普通合伙）已于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日对公司本次</w:t>
                  </w:r>
                </w:p>
                <w:p>
                  <w:pPr>
                    <w:pStyle w:val="BodyText"/>
                    <w:spacing w:line="226" w:lineRule="exact"/>
                    <w:ind w:left="22" w:right="0"/>
                    <w:jc w:val="left"/>
                  </w:pPr>
                  <w:r>
                    <w:rPr/>
                    <w:t>非公开发行的募集资金到位情况进行了验资，并出具了众会字（</w:t>
                  </w:r>
                  <w:r>
                    <w:rPr>
                      <w:rFonts w:ascii="Times New Roman" w:hAnsi="Times New Roman" w:cs="Times New Roman" w:eastAsia="Times New Roman" w:hint="default"/>
                    </w:rPr>
                    <w:t>2016</w:t>
                  </w:r>
                  <w:r>
                    <w:rPr/>
                    <w:t>）第</w:t>
                  </w:r>
                  <w:r>
                    <w:rPr>
                      <w:spacing w:val="-46"/>
                    </w:rPr>
                    <w:t> </w:t>
                  </w:r>
                  <w:r>
                    <w:rPr>
                      <w:rFonts w:ascii="Times New Roman" w:hAnsi="Times New Roman" w:cs="Times New Roman" w:eastAsia="Times New Roman" w:hint="default"/>
                    </w:rPr>
                    <w:t>6131</w:t>
                  </w:r>
                  <w:r>
                    <w:rPr>
                      <w:rFonts w:ascii="Times New Roman" w:hAnsi="Times New Roman" w:cs="Times New Roman" w:eastAsia="Times New Roman" w:hint="default"/>
                      <w:spacing w:val="-1"/>
                    </w:rPr>
                    <w:t> </w:t>
                  </w:r>
                  <w:r>
                    <w:rPr/>
                    <w:t>号《江苏丰东热技术股份有限公司验资报</w:t>
                  </w:r>
                </w:p>
                <w:p>
                  <w:pPr>
                    <w:pStyle w:val="BodyText"/>
                    <w:spacing w:line="245" w:lineRule="exact"/>
                    <w:ind w:left="22" w:right="0"/>
                    <w:jc w:val="left"/>
                  </w:pPr>
                  <w:r>
                    <w:rPr/>
                    <w:t>告》验资确认。扣除发行费增值税</w:t>
                  </w:r>
                  <w:r>
                    <w:rPr>
                      <w:spacing w:val="-47"/>
                    </w:rPr>
                    <w:t> </w:t>
                  </w:r>
                  <w:r>
                    <w:rPr>
                      <w:rFonts w:ascii="Times New Roman" w:hAnsi="Times New Roman" w:cs="Times New Roman" w:eastAsia="Times New Roman" w:hint="default"/>
                    </w:rPr>
                    <w:t>2,020,343.88</w:t>
                  </w:r>
                  <w:r>
                    <w:rPr>
                      <w:rFonts w:ascii="Times New Roman" w:hAnsi="Times New Roman" w:cs="Times New Roman" w:eastAsia="Times New Roman" w:hint="default"/>
                      <w:spacing w:val="-1"/>
                    </w:rPr>
                    <w:t> </w:t>
                  </w:r>
                  <w:r>
                    <w:rPr/>
                    <w:t>元，实际募集资金余额为</w:t>
                  </w:r>
                  <w:r>
                    <w:rPr>
                      <w:spacing w:val="-47"/>
                    </w:rPr>
                    <w:t> </w:t>
                  </w:r>
                  <w:r>
                    <w:rPr>
                      <w:rFonts w:ascii="Times New Roman" w:hAnsi="Times New Roman" w:cs="Times New Roman" w:eastAsia="Times New Roman" w:hint="default"/>
                    </w:rPr>
                    <w:t>1,164,307,219.75</w:t>
                  </w:r>
                  <w:r>
                    <w:rPr>
                      <w:rFonts w:ascii="Times New Roman" w:hAnsi="Times New Roman" w:cs="Times New Roman" w:eastAsia="Times New Roman" w:hint="default"/>
                      <w:spacing w:val="-1"/>
                    </w:rPr>
                    <w:t> </w:t>
                  </w:r>
                  <w:r>
                    <w:rPr/>
                    <w:t>元。</w:t>
                  </w:r>
                </w:p>
              </w:txbxContent>
            </v:textbox>
          </v:shape>
        </w:pict>
      </w:r>
      <w:r>
        <w:rPr>
          <w:rFonts w:ascii="宋体" w:hAnsi="宋体" w:cs="宋体" w:eastAsia="宋体" w:hint="default"/>
          <w:position w:val="-19"/>
          <w:sz w:val="20"/>
          <w:szCs w:val="20"/>
        </w:rPr>
      </w:r>
    </w:p>
    <w:p>
      <w:pPr>
        <w:spacing w:line="240" w:lineRule="auto" w:before="1"/>
        <w:rPr>
          <w:rFonts w:ascii="宋体" w:hAnsi="宋体" w:cs="宋体" w:eastAsia="宋体" w:hint="default"/>
          <w:sz w:val="20"/>
          <w:szCs w:val="20"/>
        </w:rPr>
      </w:pPr>
    </w:p>
    <w:p>
      <w:pPr>
        <w:pStyle w:val="Heading3"/>
        <w:spacing w:line="240" w:lineRule="auto" w:before="38"/>
        <w:ind w:right="1118"/>
        <w:jc w:val="left"/>
        <w:rPr>
          <w:b w:val="0"/>
          <w:bCs w:val="0"/>
        </w:rPr>
      </w:pPr>
      <w:bookmarkStart w:name="（2）募集资金承诺项目情况" w:id="58"/>
      <w:bookmarkEnd w:id="58"/>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705"/>
        <w:gridCol w:w="995"/>
        <w:gridCol w:w="593"/>
        <w:gridCol w:w="851"/>
        <w:gridCol w:w="850"/>
        <w:gridCol w:w="713"/>
        <w:gridCol w:w="843"/>
        <w:gridCol w:w="716"/>
        <w:gridCol w:w="705"/>
        <w:gridCol w:w="779"/>
      </w:tblGrid>
      <w:tr>
        <w:trPr>
          <w:trHeight w:val="1050"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555" w:right="10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9" w:right="4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44" w:right="3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84" w:right="107"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34" w:right="8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4"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9" w:right="92"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36" w:lineRule="exact"/>
              <w:ind w:left="-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0" w:right="8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57" w:right="10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50" w:right="10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 w:right="4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30" w:hRule="exact"/>
        </w:trPr>
        <w:tc>
          <w:tcPr>
            <w:tcW w:w="95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5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0"/>
              <w:jc w:val="left"/>
              <w:rPr>
                <w:rFonts w:ascii="宋体" w:hAnsi="宋体" w:cs="宋体" w:eastAsia="宋体" w:hint="default"/>
                <w:sz w:val="18"/>
                <w:szCs w:val="18"/>
              </w:rPr>
            </w:pPr>
            <w:r>
              <w:rPr>
                <w:rFonts w:ascii="宋体" w:hAnsi="宋体" w:cs="宋体" w:eastAsia="宋体" w:hint="default"/>
                <w:sz w:val="18"/>
                <w:szCs w:val="18"/>
              </w:rPr>
              <w:t>智慧财税服务互联平 台</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9,941.63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9,941.63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18.08%</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0"/>
              <w:jc w:val="left"/>
              <w:rPr>
                <w:rFonts w:ascii="宋体" w:hAnsi="宋体" w:cs="宋体" w:eastAsia="宋体" w:hint="default"/>
                <w:sz w:val="18"/>
                <w:szCs w:val="18"/>
              </w:rPr>
            </w:pPr>
            <w:r>
              <w:rPr>
                <w:rFonts w:ascii="宋体" w:hAnsi="宋体" w:cs="宋体" w:eastAsia="宋体" w:hint="default"/>
                <w:sz w:val="18"/>
                <w:szCs w:val="18"/>
              </w:rPr>
              <w:t>企业大数据创新服务 平台</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1,912.24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1,912.24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6.37%</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0"/>
              <w:jc w:val="left"/>
              <w:rPr>
                <w:rFonts w:ascii="宋体" w:hAnsi="宋体" w:cs="宋体" w:eastAsia="宋体" w:hint="default"/>
                <w:sz w:val="18"/>
                <w:szCs w:val="18"/>
              </w:rPr>
            </w:pPr>
            <w:r>
              <w:rPr>
                <w:rFonts w:ascii="宋体" w:hAnsi="宋体" w:cs="宋体" w:eastAsia="宋体" w:hint="default"/>
                <w:sz w:val="18"/>
                <w:szCs w:val="18"/>
              </w:rPr>
              <w:t>补充标的公司流动资 金</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100.00%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0"/>
              <w:jc w:val="left"/>
              <w:rPr>
                <w:rFonts w:ascii="宋体" w:hAnsi="宋体" w:cs="宋体" w:eastAsia="宋体" w:hint="default"/>
                <w:sz w:val="18"/>
                <w:szCs w:val="18"/>
              </w:rPr>
            </w:pPr>
            <w:r>
              <w:rPr>
                <w:rFonts w:ascii="宋体" w:hAnsi="宋体" w:cs="宋体" w:eastAsia="宋体" w:hint="default"/>
                <w:sz w:val="18"/>
                <w:szCs w:val="18"/>
              </w:rPr>
              <w:t>支付本次交易的相关 税费后结余</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1,430.72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0.00%</w:t>
            </w:r>
          </w:p>
        </w:tc>
        <w:tc>
          <w:tcPr>
            <w:tcW w:w="8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4"/>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116,430.72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41,853.87</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41,853.87</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1"/>
              <w:jc w:val="center"/>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1"/>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1"/>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4"/>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13" w:space="0" w:color="D2D2D2"/>
            </w:tcBorders>
          </w:tcPr>
          <w:p>
            <w:pP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4"/>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13" w:space="0" w:color="D2D2D2"/>
            </w:tcBorders>
          </w:tcPr>
          <w:p>
            <w:pP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4"/>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4"/>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116,430.72</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41,853.87</w:t>
            </w:r>
          </w:p>
        </w:tc>
        <w:tc>
          <w:tcPr>
            <w:tcW w:w="85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41,853.87</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r>
      <w:tr>
        <w:trPr>
          <w:trHeight w:val="570" w:hRule="exact"/>
        </w:trPr>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605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4" w:lineRule="auto" w:before="21"/>
              <w:ind w:left="17" w:right="74" w:firstLine="360"/>
              <w:jc w:val="left"/>
              <w:rPr>
                <w:rFonts w:ascii="宋体" w:hAnsi="宋体" w:cs="宋体" w:eastAsia="宋体" w:hint="default"/>
                <w:sz w:val="18"/>
                <w:szCs w:val="18"/>
              </w:rPr>
            </w:pPr>
            <w:r>
              <w:rPr>
                <w:rFonts w:ascii="宋体" w:hAnsi="宋体" w:cs="宋体" w:eastAsia="宋体" w:hint="default"/>
                <w:sz w:val="18"/>
                <w:szCs w:val="18"/>
              </w:rPr>
              <w:t>报告期内，方欣科技按照募集资金用途及使用计划进行投资，截至本报 告期末，项目仍处于建设期，尚未实现预计收益。</w:t>
            </w:r>
          </w:p>
        </w:tc>
      </w:tr>
      <w:tr>
        <w:trPr>
          <w:trHeight w:val="370" w:hRule="exact"/>
        </w:trPr>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605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5"/>
              <w:ind w:left="377" w:right="0"/>
              <w:jc w:val="left"/>
              <w:rPr>
                <w:rFonts w:ascii="宋体" w:hAnsi="宋体" w:cs="宋体" w:eastAsia="宋体" w:hint="default"/>
                <w:sz w:val="18"/>
                <w:szCs w:val="18"/>
              </w:rPr>
            </w:pPr>
            <w:r>
              <w:rPr>
                <w:rFonts w:ascii="宋体" w:hAnsi="宋体" w:cs="宋体" w:eastAsia="宋体" w:hint="default"/>
                <w:sz w:val="18"/>
                <w:szCs w:val="18"/>
              </w:rPr>
              <w:t>报告期内，项目可行性未发生重大变化。</w:t>
            </w:r>
          </w:p>
        </w:tc>
      </w:tr>
      <w:tr>
        <w:trPr>
          <w:trHeight w:val="370" w:hRule="exact"/>
        </w:trPr>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605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5"/>
              <w:ind w:left="37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1" w:hRule="exact"/>
        </w:trPr>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605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6"/>
              <w:ind w:left="37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0" w:hRule="exact"/>
        </w:trPr>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605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5"/>
              <w:ind w:left="37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0" w:hRule="exact"/>
        </w:trPr>
        <w:tc>
          <w:tcPr>
            <w:tcW w:w="3544" w:type="dxa"/>
            <w:gridSpan w:val="3"/>
            <w:vMerge w:val="restart"/>
            <w:tcBorders>
              <w:top w:val="single" w:sz="4" w:space="0" w:color="000000"/>
              <w:left w:val="single" w:sz="4" w:space="0" w:color="000000"/>
              <w:right w:val="single" w:sz="4" w:space="0" w:color="000000"/>
            </w:tcBorders>
            <w:shd w:val="clear" w:color="auto" w:fill="D2D2D2"/>
          </w:tcPr>
          <w:p>
            <w:pPr/>
          </w:p>
        </w:tc>
        <w:tc>
          <w:tcPr>
            <w:tcW w:w="6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00" w:hRule="exact"/>
        </w:trPr>
        <w:tc>
          <w:tcPr>
            <w:tcW w:w="3544" w:type="dxa"/>
            <w:gridSpan w:val="3"/>
            <w:vMerge/>
            <w:tcBorders>
              <w:left w:val="single" w:sz="4" w:space="0" w:color="000000"/>
              <w:bottom w:val="nil" w:sz="6" w:space="0" w:color="auto"/>
              <w:right w:val="single" w:sz="4" w:space="0" w:color="000000"/>
            </w:tcBorders>
            <w:shd w:val="clear" w:color="auto" w:fill="D2D2D2"/>
          </w:tcPr>
          <w:p>
            <w:pPr/>
          </w:p>
        </w:tc>
        <w:tc>
          <w:tcPr>
            <w:tcW w:w="6050" w:type="dxa"/>
            <w:gridSpan w:val="8"/>
            <w:vMerge w:val="restart"/>
            <w:tcBorders>
              <w:top w:val="single" w:sz="4" w:space="0" w:color="000000"/>
              <w:left w:val="single" w:sz="9" w:space="0" w:color="D2D2D2"/>
              <w:right w:val="single" w:sz="4" w:space="0" w:color="000000"/>
            </w:tcBorders>
          </w:tcPr>
          <w:p>
            <w:pPr>
              <w:pStyle w:val="TableParagraph"/>
              <w:spacing w:line="244" w:lineRule="auto" w:before="21"/>
              <w:ind w:left="17" w:right="74"/>
              <w:jc w:val="both"/>
              <w:rPr>
                <w:rFonts w:ascii="宋体" w:hAnsi="宋体" w:cs="宋体" w:eastAsia="宋体" w:hint="default"/>
                <w:sz w:val="18"/>
                <w:szCs w:val="18"/>
              </w:rPr>
            </w:pPr>
            <w:r>
              <w:rPr>
                <w:rFonts w:ascii="宋体" w:hAnsi="宋体" w:cs="宋体" w:eastAsia="宋体" w:hint="default"/>
                <w:sz w:val="18"/>
                <w:szCs w:val="18"/>
              </w:rPr>
              <w:t>募集资金到位前，方欣科技根据项目实际进度需要，以自有资金预先投入募 集资金投资项目。截至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日，方欣科技预先以自有资金投入</w:t>
            </w:r>
          </w:p>
          <w:p>
            <w:pPr>
              <w:pStyle w:val="TableParagraph"/>
              <w:spacing w:line="235" w:lineRule="auto"/>
              <w:ind w:left="17" w:right="29"/>
              <w:jc w:val="both"/>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万元，已经众华会计师事务所（特殊普通合伙）出具的《募集 资金置换专项审核报告》（众会字（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 </w:t>
            </w:r>
            <w:r>
              <w:rPr>
                <w:rFonts w:ascii="Times New Roman" w:hAnsi="Times New Roman" w:cs="Times New Roman" w:eastAsia="Times New Roman" w:hint="default"/>
                <w:sz w:val="18"/>
                <w:szCs w:val="18"/>
              </w:rPr>
              <w:t>3306 </w:t>
            </w:r>
            <w:r>
              <w:rPr>
                <w:rFonts w:ascii="宋体" w:hAnsi="宋体" w:cs="宋体" w:eastAsia="宋体" w:hint="default"/>
                <w:sz w:val="18"/>
                <w:szCs w:val="18"/>
              </w:rPr>
              <w:t>号）审验确认。</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日公司第四届董事会第五次会议审议通过了《关于使用募集资金置换 先期投入的议案》，同意使用募集资金置换已预先投入募集资金投资项目的 自筹资金，置换资金总额为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2,481.42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exact" w:before="10"/>
              <w:ind w:left="17" w:right="73"/>
              <w:jc w:val="both"/>
              <w:rPr>
                <w:rFonts w:ascii="宋体" w:hAnsi="宋体" w:cs="宋体" w:eastAsia="宋体" w:hint="default"/>
                <w:sz w:val="18"/>
                <w:szCs w:val="18"/>
              </w:rPr>
            </w:pPr>
            <w:r>
              <w:rPr>
                <w:rFonts w:ascii="宋体" w:hAnsi="宋体" w:cs="宋体" w:eastAsia="宋体" w:hint="default"/>
                <w:sz w:val="18"/>
                <w:szCs w:val="18"/>
              </w:rPr>
              <w:t>方欣科技从募集资金专户中置换转出前期以自有资金投入的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2,481.42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前期置换转出没有发生违规操作。</w:t>
            </w:r>
          </w:p>
        </w:tc>
      </w:tr>
      <w:tr>
        <w:trPr>
          <w:trHeight w:val="321" w:hRule="exact"/>
        </w:trPr>
        <w:tc>
          <w:tcPr>
            <w:tcW w:w="354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6050" w:type="dxa"/>
            <w:gridSpan w:val="8"/>
            <w:vMerge/>
            <w:tcBorders>
              <w:left w:val="single" w:sz="9" w:space="0" w:color="D2D2D2"/>
              <w:right w:val="single" w:sz="4" w:space="0" w:color="000000"/>
            </w:tcBorders>
          </w:tcPr>
          <w:p>
            <w:pPr/>
          </w:p>
        </w:tc>
      </w:tr>
      <w:tr>
        <w:trPr>
          <w:trHeight w:val="1129" w:hRule="exact"/>
        </w:trPr>
        <w:tc>
          <w:tcPr>
            <w:tcW w:w="354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050" w:type="dxa"/>
            <w:gridSpan w:val="8"/>
            <w:vMerge/>
            <w:tcBorders>
              <w:left w:val="single" w:sz="9" w:space="0" w:color="D2D2D2"/>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44"/>
        <w:ind w:left="0" w:right="1140"/>
        <w:jc w:val="right"/>
      </w:pPr>
      <w:r>
        <w:rPr/>
        <w:pict>
          <v:shape style="position:absolute;margin-left:56.459999pt;margin-top:-66.928253pt;width:479.2pt;height:96.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4"/>
                    <w:gridCol w:w="6025"/>
                  </w:tblGrid>
                  <w:tr>
                    <w:trPr>
                      <w:trHeight w:val="370"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1"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0"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84" w:right="0"/>
                          <w:jc w:val="left"/>
                          <w:rPr>
                            <w:rFonts w:ascii="宋体" w:hAnsi="宋体" w:cs="宋体" w:eastAsia="宋体" w:hint="default"/>
                            <w:sz w:val="18"/>
                            <w:szCs w:val="18"/>
                          </w:rPr>
                        </w:pPr>
                        <w:r>
                          <w:rPr>
                            <w:rFonts w:ascii="宋体" w:hAnsi="宋体" w:cs="宋体" w:eastAsia="宋体" w:hint="default"/>
                            <w:sz w:val="18"/>
                            <w:szCs w:val="18"/>
                          </w:rPr>
                          <w:t>报告期内，公司尚未使用的募集资金均存放于专户中。</w:t>
                        </w:r>
                      </w:p>
                    </w:tc>
                  </w:tr>
                  <w:tr>
                    <w:trPr>
                      <w:trHeight w:val="810"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2" w:right="89"/>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 况</w:t>
                        </w:r>
                      </w:p>
                    </w:tc>
                    <w:tc>
                      <w:tcPr>
                        <w:tcW w:w="60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21" w:firstLine="360"/>
                          <w:jc w:val="left"/>
                          <w:rPr>
                            <w:rFonts w:ascii="宋体" w:hAnsi="宋体" w:cs="宋体" w:eastAsia="宋体" w:hint="default"/>
                            <w:sz w:val="18"/>
                            <w:szCs w:val="18"/>
                          </w:rPr>
                        </w:pPr>
                        <w:r>
                          <w:rPr>
                            <w:rFonts w:ascii="宋体" w:hAnsi="宋体" w:cs="宋体" w:eastAsia="宋体" w:hint="default"/>
                            <w:spacing w:val="-5"/>
                            <w:sz w:val="18"/>
                            <w:szCs w:val="18"/>
                          </w:rPr>
                          <w:t>经审查，报告期内，公司已按照深圳证券交易所《股票上市规则》、《中</w:t>
                        </w:r>
                        <w:r>
                          <w:rPr>
                            <w:rFonts w:ascii="宋体" w:hAnsi="宋体" w:cs="宋体" w:eastAsia="宋体" w:hint="default"/>
                            <w:sz w:val="18"/>
                            <w:szCs w:val="18"/>
                          </w:rPr>
                          <w:t> 小企业板上市公司规范运作指引》等相关规定披露募集资金存放与使用情况 不存在募集资金管理的违规情形。</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8"/>
        <w:ind w:right="1118"/>
        <w:jc w:val="left"/>
        <w:rPr>
          <w:b w:val="0"/>
          <w:bCs w:val="0"/>
        </w:rPr>
      </w:pPr>
      <w:bookmarkStart w:name="（3）募集资金变更项目情况" w:id="59"/>
      <w:bookmarkEnd w:id="59"/>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left="0" w:right="7968"/>
        <w:jc w:val="center"/>
        <w:rPr>
          <w:b w:val="0"/>
          <w:bCs w:val="0"/>
        </w:rPr>
      </w:pPr>
      <w:bookmarkStart w:name="六、重大资产和股权出售" w:id="60"/>
      <w:bookmarkEnd w:id="60"/>
      <w:r>
        <w:rPr>
          <w:b w:val="0"/>
          <w:bCs w:val="0"/>
        </w:rPr>
      </w:r>
      <w:r>
        <w:rPr/>
        <w:t>六、重大资产和股权出售</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18"/>
        <w:jc w:val="left"/>
        <w:rPr>
          <w:b w:val="0"/>
          <w:bCs w:val="0"/>
        </w:rPr>
      </w:pPr>
      <w:bookmarkStart w:name="1、出售重大资产情况" w:id="61"/>
      <w:bookmarkEnd w:id="6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1"/>
          <w:szCs w:val="21"/>
        </w:rPr>
      </w:pPr>
    </w:p>
    <w:p>
      <w:pPr>
        <w:pStyle w:val="Heading3"/>
        <w:spacing w:line="240" w:lineRule="auto"/>
        <w:ind w:right="1118"/>
        <w:jc w:val="left"/>
        <w:rPr>
          <w:b w:val="0"/>
          <w:bCs w:val="0"/>
        </w:rPr>
      </w:pPr>
      <w:bookmarkStart w:name="2、出售重大股权情况" w:id="62"/>
      <w:bookmarkEnd w:id="6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left="636" w:right="1118"/>
        <w:jc w:val="left"/>
        <w:rPr>
          <w:b w:val="0"/>
          <w:bCs w:val="0"/>
        </w:rPr>
      </w:pPr>
      <w:bookmarkStart w:name="七、主要控股参股公司分析" w:id="63"/>
      <w:bookmarkEnd w:id="63"/>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687" w:footer="979" w:top="114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pict>
          <v:group style="position:absolute;margin-left:221.720001pt;margin-top:37.631729pt;width:40.35pt;height:30.6pt;mso-position-horizontal-relative:page;mso-position-vertical-relative:paragraph;z-index:-987040" coordorigin="4434,753" coordsize="807,612">
            <v:group style="position:absolute;left:4434;top:753;width:807;height:360" coordorigin="4434,753" coordsize="807,360">
              <v:shape style="position:absolute;left:4434;top:753;width:807;height:360" coordorigin="4434,753" coordsize="807,360" path="m4434,1113l5241,1113,5241,753,4434,753,4434,1113xe" filled="true" fillcolor="#ffffff" stroked="false">
                <v:path arrowok="t"/>
                <v:fill type="solid"/>
              </v:shape>
            </v:group>
            <v:group style="position:absolute;left:4446;top:1113;width:2;height:240" coordorigin="4446,1113" coordsize="2,240">
              <v:shape style="position:absolute;left:4446;top:1113;width:2;height:240" coordorigin="4446,1113" coordsize="0,240" path="m4446,1113l4446,1353e" filled="false" stroked="true" strokeweight="1.140pt" strokecolor="#ffffff">
                <v:path arrowok="t"/>
              </v:shape>
            </v:group>
            <v:group style="position:absolute;left:4457;top:1113;width:760;height:240" coordorigin="4457,1113" coordsize="760,240">
              <v:shape style="position:absolute;left:4457;top:1113;width:760;height:240" coordorigin="4457,1113" coordsize="760,240" path="m4457,1353l5217,1353,5217,1113,4457,1113,4457,1353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980" w:right="0"/>
          <w:cols w:num="2" w:equalWidth="0">
            <w:col w:w="5209" w:space="3350"/>
            <w:col w:w="237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1594"/>
        <w:gridCol w:w="816"/>
        <w:gridCol w:w="1134"/>
        <w:gridCol w:w="1186"/>
        <w:gridCol w:w="1046"/>
        <w:gridCol w:w="1045"/>
        <w:gridCol w:w="1046"/>
      </w:tblGrid>
      <w:tr>
        <w:trPr>
          <w:trHeight w:val="39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97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92" w:lineRule="auto"/>
              <w:ind w:left="22" w:right="66"/>
              <w:jc w:val="left"/>
              <w:rPr>
                <w:rFonts w:ascii="宋体" w:hAnsi="宋体" w:cs="宋体" w:eastAsia="宋体" w:hint="default"/>
                <w:sz w:val="15"/>
                <w:szCs w:val="15"/>
              </w:rPr>
            </w:pPr>
            <w:r>
              <w:rPr>
                <w:rFonts w:ascii="宋体" w:hAnsi="宋体" w:cs="宋体" w:eastAsia="宋体" w:hint="default"/>
                <w:sz w:val="15"/>
                <w:szCs w:val="15"/>
              </w:rPr>
              <w:t>方欣科技有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3"/>
              <w:ind w:left="22" w:right="59"/>
              <w:jc w:val="both"/>
              <w:rPr>
                <w:rFonts w:ascii="宋体" w:hAnsi="宋体" w:cs="宋体" w:eastAsia="宋体" w:hint="default"/>
                <w:sz w:val="15"/>
                <w:szCs w:val="15"/>
              </w:rPr>
            </w:pPr>
            <w:r>
              <w:rPr>
                <w:rFonts w:ascii="宋体" w:hAnsi="宋体" w:cs="宋体" w:eastAsia="宋体" w:hint="default"/>
                <w:sz w:val="15"/>
                <w:szCs w:val="15"/>
              </w:rPr>
              <w:t>计算机技术开发、技术 </w:t>
            </w:r>
            <w:r>
              <w:rPr>
                <w:rFonts w:ascii="宋体" w:hAnsi="宋体" w:cs="宋体" w:eastAsia="宋体" w:hint="default"/>
                <w:spacing w:val="-4"/>
                <w:sz w:val="15"/>
                <w:szCs w:val="15"/>
              </w:rPr>
              <w:t>服务；网络技术的研究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开发；信息系统集成服 务等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158" w:lineRule="exact"/>
              <w:ind w:left="-108" w:right="0"/>
              <w:jc w:val="left"/>
              <w:rPr>
                <w:rFonts w:ascii="宋体" w:hAnsi="宋体" w:cs="宋体" w:eastAsia="宋体" w:hint="default"/>
                <w:sz w:val="15"/>
                <w:szCs w:val="15"/>
              </w:rPr>
            </w:pPr>
            <w:r>
              <w:rPr>
                <w:rFonts w:ascii="宋体" w:hAnsi="宋体" w:cs="宋体" w:eastAsia="宋体" w:hint="default"/>
                <w:sz w:val="15"/>
                <w:szCs w:val="15"/>
              </w:rPr>
              <w:t>、</w:t>
            </w:r>
          </w:p>
          <w:p>
            <w:pPr>
              <w:pStyle w:val="TableParagraph"/>
              <w:spacing w:line="169" w:lineRule="exact"/>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50,000 </w:t>
            </w:r>
            <w:r>
              <w:rPr>
                <w:rFonts w:ascii="宋体" w:hAnsi="宋体" w:cs="宋体" w:eastAsia="宋体" w:hint="default"/>
                <w:sz w:val="15"/>
                <w:szCs w:val="15"/>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sz w:val="15"/>
              </w:rPr>
              <w:t>1,796,259,323.60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1,515,841,966.56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505,662,615.09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198,291,268.96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180,849,807.54</w:t>
            </w:r>
          </w:p>
        </w:tc>
      </w:tr>
      <w:tr>
        <w:trPr>
          <w:trHeight w:val="73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66"/>
              <w:jc w:val="both"/>
              <w:rPr>
                <w:rFonts w:ascii="宋体" w:hAnsi="宋体" w:cs="宋体" w:eastAsia="宋体" w:hint="default"/>
                <w:sz w:val="15"/>
                <w:szCs w:val="15"/>
              </w:rPr>
            </w:pPr>
            <w:r>
              <w:rPr>
                <w:rFonts w:ascii="宋体" w:hAnsi="宋体" w:cs="宋体" w:eastAsia="宋体" w:hint="default"/>
                <w:sz w:val="15"/>
                <w:szCs w:val="15"/>
              </w:rPr>
              <w:t>江苏丰东热 技术有限公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2" w:right="59"/>
              <w:jc w:val="both"/>
              <w:rPr>
                <w:rFonts w:ascii="宋体" w:hAnsi="宋体" w:cs="宋体" w:eastAsia="宋体" w:hint="default"/>
                <w:sz w:val="15"/>
                <w:szCs w:val="15"/>
              </w:rPr>
            </w:pPr>
            <w:r>
              <w:rPr>
                <w:rFonts w:ascii="宋体" w:hAnsi="宋体" w:cs="宋体" w:eastAsia="宋体" w:hint="default"/>
                <w:sz w:val="15"/>
                <w:szCs w:val="15"/>
              </w:rPr>
              <w:t>热处理设备及其辅助设 备的研发、制造、销售 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26,800 </w:t>
            </w:r>
            <w:r>
              <w:rPr>
                <w:rFonts w:ascii="宋体" w:hAnsi="宋体" w:cs="宋体" w:eastAsia="宋体" w:hint="default"/>
                <w:sz w:val="15"/>
                <w:szCs w:val="15"/>
              </w:rPr>
              <w:t>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6" w:right="0"/>
              <w:jc w:val="center"/>
              <w:rPr>
                <w:rFonts w:ascii="Times New Roman" w:hAnsi="Times New Roman" w:cs="Times New Roman" w:eastAsia="Times New Roman" w:hint="default"/>
                <w:sz w:val="15"/>
                <w:szCs w:val="15"/>
              </w:rPr>
            </w:pPr>
            <w:r>
              <w:rPr>
                <w:rFonts w:ascii="Times New Roman"/>
                <w:sz w:val="15"/>
              </w:rPr>
              <w:t>1,125,631,873.68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834,260,166.25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50" w:right="0"/>
              <w:jc w:val="center"/>
              <w:rPr>
                <w:rFonts w:ascii="Times New Roman" w:hAnsi="Times New Roman" w:cs="Times New Roman" w:eastAsia="Times New Roman" w:hint="default"/>
                <w:sz w:val="15"/>
                <w:szCs w:val="15"/>
              </w:rPr>
            </w:pPr>
            <w:r>
              <w:rPr>
                <w:rFonts w:ascii="Times New Roman"/>
                <w:sz w:val="15"/>
              </w:rPr>
              <w:t>442,372,386.87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24" w:right="0"/>
              <w:jc w:val="center"/>
              <w:rPr>
                <w:rFonts w:ascii="Times New Roman" w:hAnsi="Times New Roman" w:cs="Times New Roman" w:eastAsia="Times New Roman" w:hint="default"/>
                <w:sz w:val="15"/>
                <w:szCs w:val="15"/>
              </w:rPr>
            </w:pPr>
            <w:r>
              <w:rPr>
                <w:rFonts w:ascii="Times New Roman"/>
                <w:sz w:val="15"/>
              </w:rPr>
              <w:t>69,333,458.81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58,018,265.33</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报告期内取得和处置子公司的情况</w:t>
      </w:r>
    </w:p>
    <w:p>
      <w:pPr>
        <w:pStyle w:val="BodyText"/>
        <w:spacing w:line="240" w:lineRule="auto" w:before="117"/>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842"/>
        <w:gridCol w:w="4892"/>
      </w:tblGrid>
      <w:tr>
        <w:trPr>
          <w:trHeight w:val="49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465" w:right="105"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27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81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3" w:right="19"/>
              <w:jc w:val="both"/>
              <w:rPr>
                <w:rFonts w:ascii="宋体" w:hAnsi="宋体" w:cs="宋体" w:eastAsia="宋体" w:hint="default"/>
                <w:sz w:val="18"/>
                <w:szCs w:val="18"/>
              </w:rPr>
            </w:pPr>
            <w:r>
              <w:rPr>
                <w:rFonts w:ascii="宋体" w:hAnsi="宋体" w:cs="宋体" w:eastAsia="宋体" w:hint="default"/>
                <w:spacing w:val="-1"/>
                <w:sz w:val="18"/>
                <w:szCs w:val="18"/>
              </w:rPr>
              <w:t>公司将热处理相关的资产（包含公司对热处理业务板块控股及</w:t>
            </w:r>
            <w:r>
              <w:rPr>
                <w:rFonts w:ascii="宋体" w:hAnsi="宋体" w:cs="宋体" w:eastAsia="宋体" w:hint="default"/>
                <w:sz w:val="18"/>
                <w:szCs w:val="18"/>
              </w:rPr>
              <w:t> </w:t>
            </w:r>
            <w:r>
              <w:rPr>
                <w:rFonts w:ascii="宋体" w:hAnsi="宋体" w:cs="宋体" w:eastAsia="宋体" w:hint="default"/>
                <w:spacing w:val="-1"/>
                <w:sz w:val="18"/>
                <w:szCs w:val="18"/>
              </w:rPr>
              <w:t>参股公司持有的股权）、负债、业务等划转至丰东热技术，对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公司目前财务状况和经营结果无重大影响</w:t>
            </w:r>
          </w:p>
        </w:tc>
      </w:tr>
      <w:tr>
        <w:trPr>
          <w:trHeight w:val="57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月公司将上海宝华威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股权划转至公司全资子公司 丰东热技术，对公司目前财务状况和经营结果无重大影响</w:t>
            </w:r>
          </w:p>
        </w:tc>
      </w:tr>
    </w:tbl>
    <w:p>
      <w:pPr>
        <w:spacing w:after="0" w:line="240" w:lineRule="exact"/>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836"/>
        <w:gridCol w:w="1842"/>
        <w:gridCol w:w="4892"/>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方欣智慧财税服务有限公司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金财互联数据服务有限公司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浙江金财立信财务管理有限公司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东莞市金财互联信息科技有限公司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57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北京丰东建通工业炉科技有限公司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89"/>
              <w:jc w:val="left"/>
              <w:rPr>
                <w:rFonts w:ascii="宋体" w:hAnsi="宋体" w:cs="宋体" w:eastAsia="宋体" w:hint="default"/>
                <w:sz w:val="18"/>
                <w:szCs w:val="18"/>
              </w:rPr>
            </w:pPr>
            <w:r>
              <w:rPr>
                <w:rFonts w:ascii="宋体" w:hAnsi="宋体" w:cs="宋体" w:eastAsia="宋体" w:hint="default"/>
                <w:sz w:val="18"/>
                <w:szCs w:val="18"/>
              </w:rPr>
              <w:t>公司通过股权转让不 再持有北京丰东股权</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1"/>
        <w:ind w:left="514" w:right="1118"/>
        <w:jc w:val="left"/>
      </w:pPr>
      <w:r>
        <w:rPr/>
        <w:t>主要控股参股公司情况说明</w:t>
      </w:r>
    </w:p>
    <w:p>
      <w:pPr>
        <w:pStyle w:val="BodyText"/>
        <w:spacing w:line="302" w:lineRule="auto" w:before="116"/>
        <w:ind w:left="154" w:right="1214" w:firstLine="360"/>
        <w:jc w:val="left"/>
      </w:pPr>
      <w:r>
        <w:rPr>
          <w:rFonts w:ascii="Times New Roman" w:hAnsi="Times New Roman" w:cs="Times New Roman" w:eastAsia="Times New Roman" w:hint="default"/>
        </w:rPr>
        <w:t>1</w:t>
      </w:r>
      <w:r>
        <w:rPr/>
        <w:t>、公司全资子公司方欣科技</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年度完成净利润</w:t>
      </w:r>
      <w:r>
        <w:rPr>
          <w:spacing w:val="-47"/>
        </w:rPr>
        <w:t> </w:t>
      </w:r>
      <w:r>
        <w:rPr>
          <w:rFonts w:ascii="Times New Roman" w:hAnsi="Times New Roman" w:cs="Times New Roman" w:eastAsia="Times New Roman" w:hint="default"/>
        </w:rPr>
        <w:t>180,849,807.54</w:t>
      </w:r>
      <w:r>
        <w:rPr>
          <w:rFonts w:ascii="Times New Roman" w:hAnsi="Times New Roman" w:cs="Times New Roman" w:eastAsia="Times New Roman" w:hint="default"/>
          <w:spacing w:val="-1"/>
        </w:rPr>
        <w:t> </w:t>
      </w:r>
      <w:r>
        <w:rPr/>
        <w:t>元，较</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年度增长</w:t>
      </w:r>
      <w:r>
        <w:rPr>
          <w:spacing w:val="-47"/>
        </w:rPr>
        <w:t> </w:t>
      </w:r>
      <w:r>
        <w:rPr>
          <w:rFonts w:ascii="Times New Roman" w:hAnsi="Times New Roman" w:cs="Times New Roman" w:eastAsia="Times New Roman" w:hint="default"/>
        </w:rPr>
        <w:t>47.60%</w:t>
      </w:r>
      <w:r>
        <w:rPr/>
        <w:t>，主要系</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年度财 税云服务、系统集成业务大幅增长所致。</w:t>
      </w:r>
    </w:p>
    <w:p>
      <w:pPr>
        <w:pStyle w:val="BodyText"/>
        <w:spacing w:line="300" w:lineRule="auto" w:before="68"/>
        <w:ind w:left="154" w:right="1128" w:firstLine="360"/>
        <w:jc w:val="left"/>
      </w:pPr>
      <w:r>
        <w:rPr>
          <w:rFonts w:ascii="Times New Roman" w:hAnsi="Times New Roman" w:cs="Times New Roman" w:eastAsia="Times New Roman" w:hint="default"/>
        </w:rPr>
        <w:t>2</w:t>
      </w:r>
      <w:r>
        <w:rPr/>
        <w:t>、公司全资子公司丰东热技术</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年度完成净利润</w:t>
      </w:r>
      <w:r>
        <w:rPr>
          <w:spacing w:val="-46"/>
        </w:rPr>
        <w:t> </w:t>
      </w:r>
      <w:r>
        <w:rPr>
          <w:rFonts w:ascii="Times New Roman" w:hAnsi="Times New Roman" w:cs="Times New Roman" w:eastAsia="Times New Roman" w:hint="default"/>
        </w:rPr>
        <w:t>58,018,265.33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月公司将热处理相关的资产、负债、 业务等划转至丰东热技术），与</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年度热处理板块实现的净利润相比较，增长率达</w:t>
      </w:r>
      <w:r>
        <w:rPr>
          <w:spacing w:val="-47"/>
        </w:rPr>
        <w:t> </w:t>
      </w:r>
      <w:r>
        <w:rPr>
          <w:rFonts w:ascii="Times New Roman" w:hAnsi="Times New Roman" w:cs="Times New Roman" w:eastAsia="Times New Roman" w:hint="default"/>
        </w:rPr>
        <w:t>1,156.73%</w:t>
      </w:r>
      <w:r>
        <w:rPr/>
        <w:t>，主要原因：随着装备制 造业和高新技术产业的稳步快速发展，</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年度热处理设备制造业及加工服务业务均出现大幅增长。</w:t>
      </w:r>
    </w:p>
    <w:p>
      <w:pPr>
        <w:spacing w:line="240" w:lineRule="auto" w:before="3"/>
        <w:rPr>
          <w:rFonts w:ascii="宋体" w:hAnsi="宋体" w:cs="宋体" w:eastAsia="宋体" w:hint="default"/>
          <w:sz w:val="20"/>
          <w:szCs w:val="20"/>
        </w:rPr>
      </w:pPr>
    </w:p>
    <w:p>
      <w:pPr>
        <w:pStyle w:val="Heading2"/>
        <w:spacing w:line="240" w:lineRule="auto"/>
        <w:ind w:left="154" w:right="0"/>
        <w:jc w:val="both"/>
        <w:rPr>
          <w:b w:val="0"/>
          <w:bCs w:val="0"/>
        </w:rPr>
      </w:pPr>
      <w:bookmarkStart w:name="八、公司控制的结构化主体情况" w:id="64"/>
      <w:bookmarkEnd w:id="6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65"/>
      <w:bookmarkEnd w:id="65"/>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1118"/>
        <w:jc w:val="left"/>
        <w:rPr>
          <w:b w:val="0"/>
          <w:bCs w:val="0"/>
        </w:rPr>
      </w:pPr>
      <w:r>
        <w:rPr/>
        <w:t>（一）互联网财税业务</w:t>
      </w:r>
      <w:r>
        <w:rPr>
          <w:b w:val="0"/>
          <w:bCs w:val="0"/>
        </w:rPr>
      </w:r>
    </w:p>
    <w:p>
      <w:pPr>
        <w:pStyle w:val="BodyText"/>
        <w:spacing w:line="240" w:lineRule="auto" w:before="117"/>
        <w:ind w:right="1118"/>
        <w:jc w:val="left"/>
      </w:pPr>
      <w:r>
        <w:rPr>
          <w:rFonts w:ascii="Times New Roman" w:hAnsi="Times New Roman" w:cs="Times New Roman" w:eastAsia="Times New Roman" w:hint="default"/>
        </w:rPr>
        <w:t>1</w:t>
      </w:r>
      <w:r>
        <w:rPr/>
        <w:t>、行业格局与趋势</w:t>
      </w:r>
    </w:p>
    <w:p>
      <w:pPr>
        <w:pStyle w:val="BodyText"/>
        <w:spacing w:line="338" w:lineRule="auto" w:before="103"/>
        <w:ind w:left="514" w:right="1118"/>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44"/>
        </w:rPr>
        <w:t> </w:t>
      </w:r>
      <w:r>
        <w:rPr/>
        <w:t>国际国内经营环境情况 </w:t>
      </w:r>
      <w:r>
        <w:rPr>
          <w:spacing w:val="-2"/>
        </w:rPr>
        <w:t>随着经济全球化深入发展，新经济、新业态等对传统国际税收规则和各国税收管理形成了挑战，“智慧型税收”建设成</w:t>
      </w:r>
    </w:p>
    <w:p>
      <w:pPr>
        <w:pStyle w:val="BodyText"/>
        <w:spacing w:line="357" w:lineRule="auto" w:before="4"/>
        <w:ind w:left="514" w:right="1118" w:hanging="360"/>
        <w:jc w:val="left"/>
      </w:pPr>
      <w:r>
        <w:rPr/>
        <w:t>为提高各国税收征管能力的有效途径。 </w:t>
      </w:r>
      <w:r>
        <w:rPr>
          <w:spacing w:val="-2"/>
        </w:rPr>
        <w:t>目前世界税制趋同，国际税收改革迈向纵深，国际税收竞争愈加激烈，国际税收协调与合作日益密切且成果显著。以跨</w:t>
      </w:r>
    </w:p>
    <w:p>
      <w:pPr>
        <w:pStyle w:val="BodyText"/>
        <w:spacing w:line="224" w:lineRule="exact"/>
        <w:ind w:left="154" w:right="0"/>
        <w:jc w:val="both"/>
      </w:pPr>
      <w:r>
        <w:rPr/>
        <w:t>境税源争夺为主要特征的国际税收竞争愈演愈烈，国际税收竞争与合作彼此交织，特别是美国减税方案的实施，给全球经济</w:t>
      </w:r>
    </w:p>
    <w:p>
      <w:pPr>
        <w:pStyle w:val="BodyText"/>
        <w:spacing w:line="319" w:lineRule="auto" w:before="76"/>
        <w:ind w:left="154" w:right="1130"/>
        <w:jc w:val="both"/>
      </w:pPr>
      <w:r>
        <w:rPr>
          <w:spacing w:val="-2"/>
        </w:rPr>
        <w:t>带来新的不确定性，负面“外溢效应”恐将渐次凸显。中国及一些欧盟国家积极顺应世界税制改革浪潮，利用互联网和信息</w:t>
      </w:r>
      <w:r>
        <w:rPr>
          <w:spacing w:val="-66"/>
        </w:rPr>
        <w:t> </w:t>
      </w:r>
      <w:r>
        <w:rPr>
          <w:spacing w:val="-66"/>
        </w:rPr>
      </w:r>
      <w:r>
        <w:rPr>
          <w:spacing w:val="-2"/>
        </w:rPr>
        <w:t>化手段不断提高税收征管水平，优化国内税制，落实国际税改成果，开展更大范围、更高水平、更深层次的国际合作，共同</w:t>
      </w:r>
      <w:r>
        <w:rPr>
          <w:spacing w:val="-67"/>
        </w:rPr>
        <w:t> </w:t>
      </w:r>
      <w:r>
        <w:rPr>
          <w:spacing w:val="-67"/>
        </w:rPr>
      </w:r>
      <w:r>
        <w:rPr/>
        <w:t>打造开放、包容、均衡、普惠的经济合作架构，促进本国经济转型，应对全球税收制度变化带来的挑战。</w:t>
      </w:r>
    </w:p>
    <w:p>
      <w:pPr>
        <w:pStyle w:val="BodyText"/>
        <w:spacing w:line="240" w:lineRule="auto" w:before="56"/>
        <w:ind w:right="1118"/>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43"/>
        </w:rPr>
        <w:t> </w:t>
      </w:r>
      <w:r>
        <w:rPr/>
        <w:t>公司所处行业的发展情况</w:t>
      </w:r>
    </w:p>
    <w:p>
      <w:pPr>
        <w:pStyle w:val="BodyText"/>
        <w:spacing w:line="240" w:lineRule="auto" w:before="102"/>
        <w:ind w:right="111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年，公司所处的企业财税服务行业呈现快速发展的势头，同时也处在深度洗牌阶段，主要体现在以下几个方面：</w:t>
      </w:r>
    </w:p>
    <w:p>
      <w:pPr>
        <w:pStyle w:val="BodyText"/>
        <w:spacing w:line="314" w:lineRule="auto" w:before="102"/>
        <w:ind w:left="154" w:right="1032" w:firstLine="360"/>
        <w:jc w:val="left"/>
      </w:pPr>
      <w:r>
        <w:rPr>
          <w:rFonts w:ascii="Times New Roman" w:hAnsi="Times New Roman" w:cs="Times New Roman" w:eastAsia="Times New Roman" w:hint="default"/>
        </w:rPr>
        <w:t>1.2.1 </w:t>
      </w:r>
      <w:r>
        <w:rPr/>
        <w:t>税收征管及财税服务行业监管环境总体利好，市场主体活力凸显，市场空间和潜力巨大。</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年，各级税务机关 深入贯彻落实党中央、国务院关于优化营商环境和推进“放管服”改革的系列部署，进一步深化税务系统“放管服”改革，</w:t>
      </w:r>
      <w:r>
        <w:rPr>
          <w:spacing w:val="-85"/>
        </w:rPr>
        <w:t> </w:t>
      </w:r>
      <w:r>
        <w:rPr>
          <w:spacing w:val="-85"/>
        </w:rPr>
      </w:r>
      <w:r>
        <w:rPr>
          <w:spacing w:val="-2"/>
        </w:rPr>
        <w:t>优化税收环境，随着商事改革的不断深入，支持“大众创业、万众创新”的税收优惠政策不断落实，为创业小微企业发展提</w:t>
      </w:r>
      <w:r>
        <w:rPr>
          <w:spacing w:val="-68"/>
        </w:rPr>
        <w:t> </w:t>
      </w:r>
      <w:r>
        <w:rPr>
          <w:spacing w:val="-68"/>
        </w:rPr>
      </w:r>
      <w:r>
        <w:rPr>
          <w:spacing w:val="-2"/>
        </w:rPr>
        <w:t>供了政策支持，加上对小微企业的税收优惠、车辆购置税优惠政策延续等因素，极大的激发市场主体创业创新活力，新注册</w:t>
      </w:r>
      <w:r>
        <w:rPr>
          <w:spacing w:val="-66"/>
        </w:rPr>
        <w:t> </w:t>
      </w:r>
      <w:r>
        <w:rPr>
          <w:spacing w:val="-66"/>
        </w:rPr>
      </w:r>
      <w:r>
        <w:rPr>
          <w:spacing w:val="-2"/>
        </w:rPr>
        <w:t>企业数量特别是中小企业数量呈现几何数量增长，也进一步开拓了财税市场的容量，企业财税服务市场有着十分巨大的市场</w:t>
      </w:r>
      <w:r>
        <w:rPr>
          <w:spacing w:val="-64"/>
        </w:rPr>
        <w:t> </w:t>
      </w:r>
      <w:r>
        <w:rPr>
          <w:spacing w:val="-64"/>
        </w:rPr>
      </w:r>
      <w:r>
        <w:rPr/>
        <w:t>空间和发展潜力。</w:t>
      </w:r>
    </w:p>
    <w:p>
      <w:pPr>
        <w:pStyle w:val="BodyText"/>
        <w:spacing w:line="240" w:lineRule="auto" w:before="59"/>
        <w:ind w:left="514" w:right="0"/>
        <w:jc w:val="left"/>
      </w:pPr>
      <w:r>
        <w:rPr>
          <w:rFonts w:ascii="Times New Roman" w:hAnsi="Times New Roman" w:cs="Times New Roman" w:eastAsia="Times New Roman" w:hint="default"/>
        </w:rPr>
        <w:t>1.2.2</w:t>
      </w:r>
      <w:r>
        <w:rPr>
          <w:rFonts w:ascii="Times New Roman" w:hAnsi="Times New Roman" w:cs="Times New Roman" w:eastAsia="Times New Roman" w:hint="default"/>
          <w:spacing w:val="43"/>
        </w:rPr>
        <w:t> </w:t>
      </w:r>
      <w:r>
        <w:rPr/>
        <w:t>财税服务行业趋于正规化，市场集中度逐步提高，标准化、信息化成为规模化运营的重要抓手。代理记账、税务</w:t>
      </w:r>
    </w:p>
    <w:p>
      <w:pPr>
        <w:pStyle w:val="BodyText"/>
        <w:spacing w:line="309" w:lineRule="auto" w:before="63"/>
        <w:ind w:left="153" w:right="1132"/>
        <w:jc w:val="both"/>
      </w:pPr>
      <w:r>
        <w:rPr/>
        <w:t>代理等传统企业财税服务经过近</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年的发展，已具有一定规模，但仍然处在较为分散的阶段。随着财政部后续规范和整治 </w:t>
      </w:r>
      <w:r>
        <w:rPr>
          <w:spacing w:val="-2"/>
        </w:rPr>
        <w:t>力度加强以及“金税三期”全面推广，全国联网、大数据查验等手段在技术层面对企业行为的严控，加上传统财税服务在企</w:t>
      </w:r>
      <w:r>
        <w:rPr>
          <w:spacing w:val="-65"/>
        </w:rPr>
        <w:t> </w:t>
      </w:r>
      <w:r>
        <w:rPr>
          <w:spacing w:val="-65"/>
        </w:rPr>
      </w:r>
      <w:r>
        <w:rPr>
          <w:spacing w:val="-2"/>
        </w:rPr>
        <w:t>业市场渗透，个体工商户和小微企业对财税服务商的接受程度逐步提高，财税服务行业呈现市场集中度更高、服务更为规范</w:t>
      </w:r>
    </w:p>
    <w:p>
      <w:pPr>
        <w:spacing w:after="0" w:line="309" w:lineRule="auto"/>
        <w:jc w:val="both"/>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18"/>
        <w:jc w:val="left"/>
      </w:pPr>
      <w:r>
        <w:rPr>
          <w:spacing w:val="-2"/>
        </w:rPr>
        <w:t>标准的趋势，市场容量和用户需求的匹配度不断提高，为实现企业的规模化经营，业务标准化、利用信息化手段及互联网代</w:t>
      </w:r>
      <w:r>
        <w:rPr>
          <w:spacing w:val="-66"/>
        </w:rPr>
        <w:t> </w:t>
      </w:r>
      <w:r>
        <w:rPr>
          <w:spacing w:val="-66"/>
        </w:rPr>
      </w:r>
      <w:r>
        <w:rPr/>
        <w:t>账工具，降低成本提升行业服务效率，成为行业公认的重要条件和抓手。</w:t>
      </w:r>
    </w:p>
    <w:p>
      <w:pPr>
        <w:pStyle w:val="BodyText"/>
        <w:spacing w:line="314" w:lineRule="auto" w:before="55"/>
        <w:ind w:left="153" w:right="1132" w:firstLine="360"/>
        <w:jc w:val="both"/>
      </w:pPr>
      <w:r>
        <w:rPr>
          <w:rFonts w:ascii="Times New Roman" w:hAnsi="Times New Roman" w:cs="Times New Roman" w:eastAsia="Times New Roman" w:hint="default"/>
        </w:rPr>
        <w:t>1.2.3</w:t>
      </w:r>
      <w:r>
        <w:rPr>
          <w:rFonts w:ascii="Times New Roman" w:hAnsi="Times New Roman" w:cs="Times New Roman" w:eastAsia="Times New Roman" w:hint="default"/>
          <w:spacing w:val="43"/>
        </w:rPr>
        <w:t> </w:t>
      </w:r>
      <w:r>
        <w:rPr/>
        <w:t>“大数据国家战略”浪潮方兴未艾，新技术、新概念、新模式不断创新和运用，财税数据的有效应用成为行业发 </w:t>
      </w:r>
      <w:r>
        <w:rPr>
          <w:spacing w:val="-2"/>
        </w:rPr>
        <w:t>展的重要驱动力。财税服务从简单产品竞争演变为商业模式竞争，从注重渠道转为重视平台，从依靠产品销售转为提供综合</w:t>
      </w:r>
      <w:r>
        <w:rPr>
          <w:spacing w:val="-65"/>
        </w:rPr>
        <w:t> </w:t>
      </w:r>
      <w:r>
        <w:rPr>
          <w:spacing w:val="-65"/>
        </w:rPr>
      </w:r>
      <w:r>
        <w:rPr>
          <w:spacing w:val="-2"/>
        </w:rPr>
        <w:t>服务再进一步转换为提供个性化的精准数据服务。在大数据浪潮冲刷下，越来越多财税服务机构认识到财税数据中蕴藏的价</w:t>
      </w:r>
      <w:r>
        <w:rPr>
          <w:spacing w:val="-64"/>
        </w:rPr>
        <w:t> </w:t>
      </w:r>
      <w:r>
        <w:rPr>
          <w:spacing w:val="-64"/>
        </w:rPr>
      </w:r>
      <w:r>
        <w:rPr>
          <w:spacing w:val="-5"/>
        </w:rPr>
        <w:t>值，逐步应用大数据技术手段为客户挖掘数据价值，提供基于财税数据的用户精准画像、企业决策依据、企业运营策略制定、</w:t>
      </w:r>
      <w:r>
        <w:rPr>
          <w:spacing w:val="-82"/>
        </w:rPr>
        <w:t> </w:t>
      </w:r>
      <w:r>
        <w:rPr>
          <w:spacing w:val="-82"/>
        </w:rPr>
      </w:r>
      <w:r>
        <w:rPr/>
        <w:t>企业风险防控等服务，不断变革服务模式、提升服务质量和效率，驱动财税服务行业大数据应用与发展。</w:t>
      </w:r>
    </w:p>
    <w:p>
      <w:pPr>
        <w:pStyle w:val="BodyText"/>
        <w:spacing w:line="309" w:lineRule="auto" w:before="60"/>
        <w:ind w:left="153" w:right="1125" w:firstLine="360"/>
        <w:jc w:val="left"/>
      </w:pPr>
      <w:r>
        <w:rPr>
          <w:rFonts w:ascii="Times New Roman" w:hAnsi="Times New Roman" w:cs="Times New Roman" w:eastAsia="Times New Roman" w:hint="default"/>
        </w:rPr>
        <w:t>1.2.4</w:t>
      </w:r>
      <w:r>
        <w:rPr>
          <w:rFonts w:ascii="Times New Roman" w:hAnsi="Times New Roman" w:cs="Times New Roman" w:eastAsia="Times New Roman" w:hint="default"/>
          <w:spacing w:val="43"/>
        </w:rPr>
        <w:t> </w:t>
      </w:r>
      <w:r>
        <w:rPr/>
        <w:t>财税服务方式日趋多样化，市场需求与人才短缺矛盾日益突出，高层次专业人才短缺成为制约行业发展的短板。 </w:t>
      </w:r>
      <w:r>
        <w:rPr>
          <w:spacing w:val="-2"/>
        </w:rPr>
        <w:t>进一步通过有效的互联网线上平台聚合服务、共享服务、共享高端人才成为行业趋势。财税服务行业一方面利用互联网平台</w:t>
      </w:r>
      <w:r>
        <w:rPr>
          <w:spacing w:val="-66"/>
        </w:rPr>
        <w:t> </w:t>
      </w:r>
      <w:r>
        <w:rPr>
          <w:spacing w:val="-66"/>
        </w:rPr>
      </w:r>
      <w:r>
        <w:rPr/>
        <w:t>为自身客户提供更高效的 “线上平台</w:t>
      </w:r>
      <w:r>
        <w:rPr>
          <w:rFonts w:ascii="Times New Roman" w:hAnsi="Times New Roman" w:cs="Times New Roman" w:eastAsia="Times New Roman" w:hint="default"/>
        </w:rPr>
        <w:t>+</w:t>
      </w:r>
      <w:r>
        <w:rPr/>
        <w:t>线下实体”的财税服务，同时也能利用线上平台更进一步共享开放数据，聚合不同 </w:t>
      </w:r>
      <w:r>
        <w:rPr>
          <w:spacing w:val="-2"/>
        </w:rPr>
        <w:t>高端人才为我所用，从而形成有效的线上人才共享模式，线上平台的能力要求从简单的满足客户服务能力向纵深的平台共享</w:t>
      </w:r>
      <w:r>
        <w:rPr>
          <w:spacing w:val="-64"/>
        </w:rPr>
        <w:t> </w:t>
      </w:r>
      <w:r>
        <w:rPr>
          <w:spacing w:val="-64"/>
        </w:rPr>
      </w:r>
      <w:r>
        <w:rPr/>
        <w:t>能力、数据服务能力转变。</w:t>
      </w:r>
    </w:p>
    <w:p>
      <w:pPr>
        <w:pStyle w:val="BodyText"/>
        <w:spacing w:line="307" w:lineRule="auto" w:before="62"/>
        <w:ind w:left="153" w:right="1125" w:firstLine="360"/>
        <w:jc w:val="left"/>
      </w:pPr>
      <w:r>
        <w:rPr>
          <w:rFonts w:ascii="Times New Roman" w:hAnsi="Times New Roman" w:cs="Times New Roman" w:eastAsia="Times New Roman" w:hint="default"/>
        </w:rPr>
        <w:t>1.2.5</w:t>
      </w:r>
      <w:r>
        <w:rPr>
          <w:rFonts w:ascii="Times New Roman" w:hAnsi="Times New Roman" w:cs="Times New Roman" w:eastAsia="Times New Roman" w:hint="default"/>
          <w:spacing w:val="43"/>
        </w:rPr>
        <w:t> </w:t>
      </w:r>
      <w:r>
        <w:rPr/>
        <w:t>跨界资源整合增效成热点，业务协同构建新型生态圈，非涉税增值业务前景广阔。随着经济的快速发展，企业不 </w:t>
      </w:r>
      <w:r>
        <w:rPr>
          <w:spacing w:val="-2"/>
        </w:rPr>
        <w:t>仅需要贴心、专业的一体化财税服务，更需要有价值的跨界服务，为迎合时代发展和客户需求，传统财税服务行业纷纷转换</w:t>
      </w:r>
      <w:r>
        <w:rPr>
          <w:spacing w:val="-66"/>
        </w:rPr>
        <w:t> </w:t>
      </w:r>
      <w:r>
        <w:rPr>
          <w:spacing w:val="-66"/>
        </w:rPr>
      </w:r>
      <w:r>
        <w:rPr/>
        <w:t>传统思维，打破行业壁垒，与</w:t>
      </w:r>
      <w:r>
        <w:rPr>
          <w:spacing w:val="-46"/>
        </w:rPr>
        <w:t> </w:t>
      </w:r>
      <w:r>
        <w:rPr>
          <w:rFonts w:ascii="Times New Roman" w:hAnsi="Times New Roman" w:cs="Times New Roman" w:eastAsia="Times New Roman" w:hint="default"/>
        </w:rPr>
        <w:t>IT</w:t>
      </w:r>
      <w:r>
        <w:rPr/>
        <w:t>、法律、金融等行业进行跨界资源整合，将业务向全程服务、高端服务、综合服务和智能 化服务方向发展，实现业绩倍增。</w:t>
      </w:r>
    </w:p>
    <w:p>
      <w:pPr>
        <w:pStyle w:val="BodyText"/>
        <w:spacing w:line="240" w:lineRule="auto" w:before="65"/>
        <w:ind w:right="1118"/>
        <w:jc w:val="left"/>
      </w:pPr>
      <w:r>
        <w:rPr>
          <w:rFonts w:ascii="Times New Roman" w:hAnsi="Times New Roman" w:cs="Times New Roman" w:eastAsia="Times New Roman" w:hint="default"/>
        </w:rPr>
        <w:t>2</w:t>
      </w:r>
      <w:r>
        <w:rPr/>
        <w:t>、未来发展战略及整体发展目标</w:t>
      </w:r>
    </w:p>
    <w:p>
      <w:pPr>
        <w:pStyle w:val="BodyText"/>
        <w:spacing w:line="338" w:lineRule="auto" w:before="103"/>
        <w:ind w:right="1118"/>
        <w:jc w:val="left"/>
      </w:pPr>
      <w:r>
        <w:rPr>
          <w:rFonts w:ascii="Times New Roman" w:hAnsi="Times New Roman" w:cs="Times New Roman" w:eastAsia="Times New Roman" w:hint="default"/>
        </w:rPr>
        <w:t>2.1</w:t>
      </w:r>
      <w:r>
        <w:rPr>
          <w:rFonts w:ascii="Times New Roman" w:hAnsi="Times New Roman" w:cs="Times New Roman" w:eastAsia="Times New Roman" w:hint="default"/>
          <w:spacing w:val="44"/>
        </w:rPr>
        <w:t> </w:t>
      </w:r>
      <w:r>
        <w:rPr/>
        <w:t>未来发展战略 </w:t>
      </w:r>
      <w:r>
        <w:rPr>
          <w:spacing w:val="-2"/>
        </w:rPr>
        <w:t>公司的整体发展战略是：在继续巩固发展原有主业的基础上，进一步通过财税服务云平台有效积累票财税数据，根据票</w:t>
      </w:r>
    </w:p>
    <w:p>
      <w:pPr>
        <w:pStyle w:val="BodyText"/>
        <w:spacing w:line="319" w:lineRule="auto" w:before="2"/>
        <w:ind w:left="153" w:right="1033"/>
        <w:jc w:val="left"/>
      </w:pPr>
      <w:r>
        <w:rPr>
          <w:spacing w:val="-2"/>
        </w:rPr>
        <w:t>财税数据的加工、挖掘、分析结果，通过管家系列产品向企业输出精细化管理、供应链管理、企业上下游以及企业决策依据</w:t>
      </w:r>
      <w:r>
        <w:rPr>
          <w:spacing w:val="-66"/>
        </w:rPr>
        <w:t> </w:t>
      </w:r>
      <w:r>
        <w:rPr>
          <w:spacing w:val="-66"/>
        </w:rPr>
      </w:r>
      <w:r>
        <w:rPr>
          <w:spacing w:val="-2"/>
        </w:rPr>
        <w:t>的数据服务能力。票财税数据能够有效反映企业人财物和产供销内部生态以及企业客户、供应商、同行、资金融通体系外部</w:t>
      </w:r>
      <w:r>
        <w:rPr>
          <w:spacing w:val="-66"/>
        </w:rPr>
        <w:t> </w:t>
      </w:r>
      <w:r>
        <w:rPr>
          <w:spacing w:val="-66"/>
        </w:rPr>
      </w:r>
      <w:r>
        <w:rPr/>
        <w:t>生态经济活动，通过数据服务能力的输出，帮助中小企业进行自信的决策，降低中小企业风险。从而进一步粘合企业用户，</w:t>
      </w:r>
      <w:r>
        <w:rPr>
          <w:spacing w:val="-85"/>
        </w:rPr>
        <w:t> </w:t>
      </w:r>
      <w:r>
        <w:rPr>
          <w:spacing w:val="-85"/>
        </w:rPr>
      </w:r>
      <w:r>
        <w:rPr/>
        <w:t>使企业用户更加信赖公司。</w:t>
      </w:r>
    </w:p>
    <w:p>
      <w:pPr>
        <w:pStyle w:val="BodyText"/>
        <w:spacing w:line="338" w:lineRule="auto" w:before="56"/>
        <w:ind w:right="1153"/>
        <w:jc w:val="left"/>
      </w:pPr>
      <w:r>
        <w:rPr>
          <w:rFonts w:ascii="Times New Roman" w:hAnsi="Times New Roman" w:cs="Times New Roman" w:eastAsia="Times New Roman" w:hint="default"/>
        </w:rPr>
        <w:t>2.2</w:t>
      </w:r>
      <w:r>
        <w:rPr>
          <w:rFonts w:ascii="Times New Roman" w:hAnsi="Times New Roman" w:cs="Times New Roman" w:eastAsia="Times New Roman" w:hint="default"/>
          <w:spacing w:val="44"/>
        </w:rPr>
        <w:t> </w:t>
      </w:r>
      <w:r>
        <w:rPr/>
        <w:t>整体发展目标 在不断调整及优化原主业的基础上，通过</w:t>
      </w:r>
      <w:r>
        <w:rPr>
          <w:rFonts w:ascii="Times New Roman" w:hAnsi="Times New Roman" w:cs="Times New Roman" w:eastAsia="Times New Roman" w:hint="default"/>
        </w:rPr>
        <w:t>“</w:t>
      </w:r>
      <w:r>
        <w:rPr/>
        <w:t>企业服务平台”升级为</w:t>
      </w:r>
      <w:r>
        <w:rPr>
          <w:rFonts w:ascii="Times New Roman" w:hAnsi="Times New Roman" w:cs="Times New Roman" w:eastAsia="Times New Roman" w:hint="default"/>
        </w:rPr>
        <w:t>“</w:t>
      </w:r>
      <w:r>
        <w:rPr/>
        <w:t>企业数据服务平台</w:t>
      </w:r>
      <w:r>
        <w:rPr>
          <w:rFonts w:ascii="Times New Roman" w:hAnsi="Times New Roman" w:cs="Times New Roman" w:eastAsia="Times New Roman" w:hint="default"/>
        </w:rPr>
        <w:t>”</w:t>
      </w:r>
      <w:r>
        <w:rPr/>
        <w:t>项目的逐步落地，通过“打造平</w:t>
      </w:r>
    </w:p>
    <w:p>
      <w:pPr>
        <w:pStyle w:val="BodyText"/>
        <w:spacing w:line="217" w:lineRule="exact"/>
        <w:ind w:left="153" w:right="0"/>
        <w:jc w:val="left"/>
      </w:pPr>
      <w:r>
        <w:rPr/>
        <w:t>台、能力输出、整合资源、融合生态”，构建“企业数据服务平台生态”，实施面向企业打造深度财税数据服务生态的“金</w:t>
      </w:r>
    </w:p>
    <w:p>
      <w:pPr>
        <w:pStyle w:val="BodyText"/>
        <w:spacing w:line="319" w:lineRule="auto" w:before="76"/>
        <w:ind w:left="153" w:right="1118"/>
        <w:jc w:val="left"/>
      </w:pPr>
      <w:r>
        <w:rPr>
          <w:spacing w:val="-2"/>
        </w:rPr>
        <w:t>财计划”和面向税务机关打造数据驱动智能电子税务局的“金税计划”，实现双擎驱动、相互辅助。为千万企业用户提供深</w:t>
      </w:r>
      <w:r>
        <w:rPr>
          <w:spacing w:val="-68"/>
        </w:rPr>
        <w:t> </w:t>
      </w:r>
      <w:r>
        <w:rPr>
          <w:spacing w:val="-68"/>
        </w:rPr>
      </w:r>
      <w:r>
        <w:rPr/>
        <w:t>度财税数据服务的能力输出，满足现代智能企业数据刚需。</w:t>
      </w:r>
    </w:p>
    <w:p>
      <w:pPr>
        <w:pStyle w:val="BodyText"/>
        <w:spacing w:line="240" w:lineRule="auto" w:before="56"/>
        <w:ind w:right="1118"/>
        <w:jc w:val="left"/>
      </w:pPr>
      <w:r>
        <w:rPr>
          <w:rFonts w:ascii="Times New Roman" w:hAnsi="Times New Roman" w:cs="Times New Roman" w:eastAsia="Times New Roman" w:hint="default"/>
        </w:rPr>
        <w:t>3</w:t>
      </w:r>
      <w:r>
        <w:rPr/>
        <w:t>、公司发展战略规划</w:t>
      </w:r>
    </w:p>
    <w:p>
      <w:pPr>
        <w:pStyle w:val="BodyText"/>
        <w:spacing w:line="338" w:lineRule="auto" w:before="102"/>
        <w:ind w:left="514" w:right="1118"/>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4"/>
        </w:rPr>
        <w:t> </w:t>
      </w:r>
      <w:r>
        <w:rPr/>
        <w:t>打造智慧财税服务互联平台 </w:t>
      </w:r>
      <w:r>
        <w:rPr>
          <w:spacing w:val="-2"/>
        </w:rPr>
        <w:t>方欣科技将依托其技术实力，基于先进的云计算、大数据和移动互联网技术，打造一个集财税数据能力输出、智能化数</w:t>
      </w:r>
    </w:p>
    <w:p>
      <w:pPr>
        <w:pStyle w:val="BodyText"/>
        <w:spacing w:line="319" w:lineRule="auto" w:before="2"/>
        <w:ind w:left="154" w:right="1118"/>
        <w:jc w:val="left"/>
      </w:pPr>
      <w:r>
        <w:rPr>
          <w:spacing w:val="-2"/>
        </w:rPr>
        <w:t>据化运营能力和标准化生产力工具于一体的互联网财税平台，满足财税生态圈内中小企业、服务商和内部运营管理人员提升</w:t>
      </w:r>
      <w:r>
        <w:rPr>
          <w:spacing w:val="-64"/>
        </w:rPr>
        <w:t> </w:t>
      </w:r>
      <w:r>
        <w:rPr>
          <w:spacing w:val="-64"/>
        </w:rPr>
      </w:r>
      <w:r>
        <w:rPr/>
        <w:t>生产效率和运营管理需求，以适应财税服务未来</w:t>
      </w:r>
      <w:r>
        <w:rPr>
          <w:spacing w:val="-46"/>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t>化、智能化、平台化的发展趋势。</w:t>
      </w:r>
    </w:p>
    <w:p>
      <w:pPr>
        <w:pStyle w:val="BodyText"/>
        <w:spacing w:line="240" w:lineRule="auto" w:before="36"/>
        <w:ind w:right="1118"/>
        <w:jc w:val="left"/>
      </w:pPr>
      <w:r>
        <w:rPr>
          <w:rFonts w:ascii="Times New Roman" w:hAnsi="Times New Roman" w:cs="Times New Roman" w:eastAsia="Times New Roman" w:hint="default"/>
        </w:rPr>
        <w:t>3.2  </w:t>
      </w:r>
      <w:r>
        <w:rPr>
          <w:rFonts w:ascii="Times New Roman" w:hAnsi="Times New Roman" w:cs="Times New Roman" w:eastAsia="Times New Roman" w:hint="default"/>
          <w:spacing w:val="43"/>
        </w:rPr>
        <w:t> </w:t>
      </w:r>
      <w:r>
        <w:rPr/>
        <w:t>快速定制的互联网财税前端产品</w:t>
      </w:r>
    </w:p>
    <w:p>
      <w:pPr>
        <w:pStyle w:val="BodyText"/>
        <w:spacing w:line="309" w:lineRule="auto" w:before="101"/>
        <w:ind w:left="153" w:right="1128" w:firstLine="360"/>
        <w:jc w:val="left"/>
      </w:pPr>
      <w:r>
        <w:rPr/>
        <w:t>依托方欣科技的智慧财税服务互联平台，采用</w:t>
      </w:r>
      <w:r>
        <w:rPr>
          <w:spacing w:val="-45"/>
        </w:rPr>
        <w:t> </w:t>
      </w:r>
      <w:r>
        <w:rPr>
          <w:rFonts w:ascii="Times New Roman" w:hAnsi="Times New Roman" w:cs="Times New Roman" w:eastAsia="Times New Roman" w:hint="default"/>
        </w:rPr>
        <w:t>SAAS</w:t>
      </w:r>
      <w:r>
        <w:rPr>
          <w:rFonts w:ascii="Times New Roman" w:hAnsi="Times New Roman" w:cs="Times New Roman" w:eastAsia="Times New Roman" w:hint="default"/>
          <w:spacing w:val="-2"/>
        </w:rPr>
        <w:t> </w:t>
      </w:r>
      <w:r>
        <w:rPr/>
        <w:t>技术，以高频刚需的财税服务为切入，通过提供满足更多企业服 </w:t>
      </w:r>
      <w:r>
        <w:rPr>
          <w:spacing w:val="-5"/>
        </w:rPr>
        <w:t>务前端场景的定制化能力，通过大数据用户画像，使企业用户能得到千人千面的定制化前端，从而形成用户黏性，强化入口，</w:t>
      </w:r>
      <w:r>
        <w:rPr>
          <w:spacing w:val="-82"/>
        </w:rPr>
        <w:t> </w:t>
      </w:r>
      <w:r>
        <w:rPr>
          <w:spacing w:val="-82"/>
        </w:rPr>
      </w:r>
      <w:r>
        <w:rPr/>
        <w:t>形成数据积累。真正让用户体验到“平台比你更了解你”。</w:t>
      </w:r>
    </w:p>
    <w:p>
      <w:pPr>
        <w:pStyle w:val="BodyText"/>
        <w:spacing w:line="338" w:lineRule="auto" w:before="65"/>
        <w:ind w:left="604" w:right="1200" w:hanging="90"/>
        <w:jc w:val="left"/>
      </w:pPr>
      <w:r>
        <w:rPr>
          <w:rFonts w:ascii="Times New Roman" w:hAnsi="Times New Roman" w:cs="Times New Roman" w:eastAsia="Times New Roman" w:hint="default"/>
        </w:rPr>
        <w:t>3.3</w:t>
      </w:r>
      <w:r>
        <w:rPr>
          <w:rFonts w:ascii="Times New Roman" w:hAnsi="Times New Roman" w:cs="Times New Roman" w:eastAsia="Times New Roman" w:hint="default"/>
          <w:spacing w:val="44"/>
        </w:rPr>
        <w:t> </w:t>
      </w:r>
      <w:r>
        <w:rPr/>
        <w:t>数据中心能力输出、快速积聚用户 “互联网</w:t>
      </w:r>
      <w:r>
        <w:rPr>
          <w:rFonts w:ascii="Times New Roman" w:hAnsi="Times New Roman" w:cs="Times New Roman" w:eastAsia="Times New Roman" w:hint="default"/>
        </w:rPr>
        <w:t>+</w:t>
      </w:r>
      <w:r>
        <w:rPr/>
        <w:t>”时代重塑了企业竞争力模型，数据已成为企业的核心资源和核心竞争力。方欣科技建立起业财税一体化</w:t>
      </w:r>
    </w:p>
    <w:p>
      <w:pPr>
        <w:pStyle w:val="BodyText"/>
        <w:spacing w:line="230" w:lineRule="exact"/>
        <w:ind w:left="154" w:right="0"/>
        <w:jc w:val="left"/>
      </w:pPr>
      <w:r>
        <w:rPr/>
        <w:t>的财税大数据中心和财税知识服务中心，一方面基于</w:t>
      </w:r>
      <w:r>
        <w:rPr>
          <w:spacing w:val="-45"/>
        </w:rPr>
        <w:t> </w:t>
      </w:r>
      <w:r>
        <w:rPr>
          <w:rFonts w:ascii="Times New Roman" w:hAnsi="Times New Roman" w:cs="Times New Roman" w:eastAsia="Times New Roman" w:hint="default"/>
        </w:rPr>
        <w:t>SaaS</w:t>
      </w:r>
      <w:r>
        <w:rPr>
          <w:rFonts w:ascii="Times New Roman" w:hAnsi="Times New Roman" w:cs="Times New Roman" w:eastAsia="Times New Roman" w:hint="default"/>
          <w:spacing w:val="-1"/>
        </w:rPr>
        <w:t> </w:t>
      </w:r>
      <w:r>
        <w:rPr/>
        <w:t>的财税服务向企业不断输出数据能力从而形成企业信赖；另一方</w:t>
      </w:r>
    </w:p>
    <w:p>
      <w:pPr>
        <w:pStyle w:val="BodyText"/>
        <w:spacing w:line="319" w:lineRule="auto" w:before="63"/>
        <w:ind w:left="154" w:right="1127"/>
        <w:jc w:val="left"/>
      </w:pPr>
      <w:r>
        <w:rPr>
          <w:spacing w:val="-2"/>
        </w:rPr>
        <w:t>面，通过服务企业用户的过程加快更多维度数据积累，更好的向企业用户提供财富增值、风险控制、企业征信、行业情报等</w:t>
      </w:r>
      <w:r>
        <w:rPr>
          <w:spacing w:val="-66"/>
        </w:rPr>
        <w:t> </w:t>
      </w:r>
      <w:r>
        <w:rPr>
          <w:spacing w:val="-66"/>
        </w:rPr>
      </w:r>
      <w:r>
        <w:rPr>
          <w:spacing w:val="-5"/>
        </w:rPr>
        <w:t>丰富的数据服务，提升平台上企业的核心竞争力，帮助企业用户巩固市场领先优势，赋能企业进一步向数据化、智能化转变。</w:t>
      </w:r>
    </w:p>
    <w:p>
      <w:pPr>
        <w:spacing w:after="0" w:line="319" w:lineRule="auto"/>
        <w:jc w:val="left"/>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338" w:lineRule="auto" w:before="44"/>
        <w:ind w:left="514" w:right="0"/>
        <w:jc w:val="left"/>
      </w:pPr>
      <w:r>
        <w:rPr>
          <w:rFonts w:ascii="Times New Roman" w:hAnsi="Times New Roman" w:cs="Times New Roman" w:eastAsia="Times New Roman" w:hint="default"/>
        </w:rPr>
        <w:t>3.4</w:t>
      </w:r>
      <w:r>
        <w:rPr>
          <w:rFonts w:ascii="Times New Roman" w:hAnsi="Times New Roman" w:cs="Times New Roman" w:eastAsia="Times New Roman" w:hint="default"/>
          <w:spacing w:val="44"/>
        </w:rPr>
        <w:t> </w:t>
      </w:r>
      <w:r>
        <w:rPr/>
        <w:t>全市场布局，巩固企业端客户，打开高端个人市场 </w:t>
      </w:r>
      <w:r>
        <w:rPr>
          <w:spacing w:val="-4"/>
        </w:rPr>
        <w:t>紧紧抓住财税行业发展的良好机遇，积极应对国地税合并等大环境的变化。依托方欣科技财税服务领域多年的运营经验，</w:t>
      </w:r>
    </w:p>
    <w:p>
      <w:pPr>
        <w:pStyle w:val="BodyText"/>
        <w:spacing w:line="312" w:lineRule="auto" w:before="2"/>
        <w:ind w:left="154" w:right="1132"/>
        <w:jc w:val="both"/>
      </w:pPr>
      <w:r>
        <w:rPr>
          <w:spacing w:val="-5"/>
        </w:rPr>
        <w:t>及公司旗下经验丰富的财税领域专家，打造个性化的财税管家产品，满足不同行业、不同客户高低层次兼具的财税服务需求。</w:t>
      </w:r>
      <w:r>
        <w:rPr>
          <w:spacing w:val="-80"/>
        </w:rPr>
        <w:t> </w:t>
      </w:r>
      <w:r>
        <w:rPr>
          <w:spacing w:val="-80"/>
        </w:rPr>
      </w:r>
      <w:r>
        <w:rPr>
          <w:spacing w:val="-2"/>
        </w:rPr>
        <w:t>一方面在企业端中小企业财税领域，依托大数据、云计算等技术，利用“自有核心产品</w:t>
      </w:r>
      <w:r>
        <w:rPr>
          <w:rFonts w:ascii="Times New Roman" w:hAnsi="Times New Roman" w:cs="Times New Roman" w:eastAsia="Times New Roman" w:hint="default"/>
          <w:spacing w:val="-2"/>
        </w:rPr>
        <w:t>+</w:t>
      </w:r>
      <w:r>
        <w:rPr>
          <w:spacing w:val="-2"/>
        </w:rPr>
        <w:t>开放式</w:t>
      </w:r>
      <w:r>
        <w:rPr>
          <w:spacing w:val="-20"/>
        </w:rPr>
        <w:t> </w:t>
      </w:r>
      <w:r>
        <w:rPr>
          <w:rFonts w:ascii="Times New Roman" w:hAnsi="Times New Roman" w:cs="Times New Roman" w:eastAsia="Times New Roman" w:hint="default"/>
          <w:spacing w:val="-1"/>
        </w:rPr>
        <w:t>API”</w:t>
      </w:r>
      <w:r>
        <w:rPr>
          <w:spacing w:val="-1"/>
        </w:rPr>
        <w:t>模式，提升平台的能力</w:t>
      </w:r>
      <w:r>
        <w:rPr>
          <w:spacing w:val="-83"/>
        </w:rPr>
        <w:t> </w:t>
      </w:r>
      <w:r>
        <w:rPr>
          <w:spacing w:val="-83"/>
        </w:rPr>
      </w:r>
      <w:r>
        <w:rPr>
          <w:spacing w:val="-2"/>
        </w:rPr>
        <w:t>范围和客户黏性；另一方面在个人端消费者领域，以个税改革为契机，利用在企业端市场积累的用户和数据，通过个税、社</w:t>
      </w:r>
      <w:r>
        <w:rPr>
          <w:spacing w:val="-66"/>
        </w:rPr>
        <w:t> </w:t>
      </w:r>
      <w:r>
        <w:rPr>
          <w:spacing w:val="-66"/>
        </w:rPr>
      </w:r>
      <w:r>
        <w:rPr/>
        <w:t>保、房屋、汽车等财务、资产数据的无缝衔接和一站式的数据收集，帮助个人用户获得完整的财务视图。</w:t>
      </w:r>
    </w:p>
    <w:p>
      <w:pPr>
        <w:pStyle w:val="BodyText"/>
        <w:spacing w:line="240" w:lineRule="auto" w:before="63"/>
        <w:ind w:left="514" w:right="1118"/>
        <w:jc w:val="left"/>
      </w:pPr>
      <w:r>
        <w:rPr>
          <w:rFonts w:ascii="Times New Roman" w:hAnsi="Times New Roman" w:cs="Times New Roman" w:eastAsia="Times New Roman" w:hint="default"/>
        </w:rPr>
        <w:t>4</w:t>
      </w:r>
      <w:r>
        <w:rPr/>
        <w:t>、经营计划</w:t>
      </w:r>
    </w:p>
    <w:p>
      <w:pPr>
        <w:pStyle w:val="BodyText"/>
        <w:spacing w:line="240" w:lineRule="auto" w:before="102"/>
        <w:ind w:right="1118"/>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43"/>
        </w:rPr>
        <w:t> </w:t>
      </w:r>
      <w:r>
        <w:rPr/>
        <w:t>回顾前期披露的发展战略和经营计划在报告期内的进展</w:t>
      </w:r>
    </w:p>
    <w:p>
      <w:pPr>
        <w:pStyle w:val="BodyText"/>
        <w:spacing w:line="240" w:lineRule="auto" w:before="101"/>
        <w:ind w:right="1118"/>
        <w:jc w:val="left"/>
      </w:pPr>
      <w:r>
        <w:rPr>
          <w:rFonts w:ascii="Times New Roman" w:hAnsi="Times New Roman" w:cs="Times New Roman" w:eastAsia="Times New Roman" w:hint="default"/>
        </w:rPr>
        <w:t>4.1.1</w:t>
      </w:r>
      <w:r>
        <w:rPr>
          <w:rFonts w:ascii="Times New Roman" w:hAnsi="Times New Roman" w:cs="Times New Roman" w:eastAsia="Times New Roman" w:hint="default"/>
          <w:spacing w:val="43"/>
        </w:rPr>
        <w:t> </w:t>
      </w:r>
      <w:r>
        <w:rPr/>
        <w:t>报告期内，方欣科技共实现营业收入</w:t>
      </w:r>
      <w:r>
        <w:rPr>
          <w:spacing w:val="-47"/>
        </w:rPr>
        <w:t> </w:t>
      </w:r>
      <w:r>
        <w:rPr>
          <w:rFonts w:ascii="Times New Roman" w:hAnsi="Times New Roman" w:cs="Times New Roman" w:eastAsia="Times New Roman" w:hint="default"/>
        </w:rPr>
        <w:t>50,566.2</w:t>
      </w:r>
      <w:r>
        <w:rPr>
          <w:rFonts w:ascii="Times New Roman" w:hAnsi="Times New Roman" w:cs="Times New Roman" w:eastAsia="Times New Roman" w:hint="default"/>
          <w:spacing w:val="-1"/>
        </w:rPr>
        <w:t> </w:t>
      </w:r>
      <w:r>
        <w:rPr/>
        <w:t>万元，比上年增长</w:t>
      </w:r>
      <w:r>
        <w:rPr>
          <w:spacing w:val="-47"/>
        </w:rPr>
        <w:t> </w:t>
      </w:r>
      <w:r>
        <w:rPr>
          <w:rFonts w:ascii="Times New Roman" w:hAnsi="Times New Roman" w:cs="Times New Roman" w:eastAsia="Times New Roman" w:hint="default"/>
        </w:rPr>
        <w:t>41.74%</w:t>
      </w:r>
      <w:r>
        <w:rPr/>
        <w:t>，完成利润总额</w:t>
      </w:r>
      <w:r>
        <w:rPr>
          <w:spacing w:val="-47"/>
        </w:rPr>
        <w:t> </w:t>
      </w:r>
      <w:r>
        <w:rPr>
          <w:rFonts w:ascii="Times New Roman" w:hAnsi="Times New Roman" w:cs="Times New Roman" w:eastAsia="Times New Roman" w:hint="default"/>
        </w:rPr>
        <w:t>19,938.84</w:t>
      </w:r>
      <w:r>
        <w:rPr>
          <w:rFonts w:ascii="Times New Roman" w:hAnsi="Times New Roman" w:cs="Times New Roman" w:eastAsia="Times New Roman" w:hint="default"/>
          <w:spacing w:val="-2"/>
        </w:rPr>
        <w:t> </w:t>
      </w:r>
      <w:r>
        <w:rPr/>
        <w:t>万元，同比增</w:t>
      </w:r>
    </w:p>
    <w:p>
      <w:pPr>
        <w:pStyle w:val="BodyText"/>
        <w:spacing w:line="240" w:lineRule="auto" w:before="63"/>
        <w:ind w:left="153" w:right="0"/>
        <w:jc w:val="left"/>
        <w:rPr>
          <w:rFonts w:ascii="Times New Roman" w:hAnsi="Times New Roman" w:cs="Times New Roman" w:eastAsia="Times New Roman" w:hint="default"/>
        </w:rPr>
      </w:pPr>
      <w:r>
        <w:rPr/>
        <w:t>长</w:t>
      </w:r>
      <w:r>
        <w:rPr>
          <w:spacing w:val="-46"/>
        </w:rPr>
        <w:t> </w:t>
      </w:r>
      <w:r>
        <w:rPr>
          <w:rFonts w:ascii="Times New Roman" w:hAnsi="Times New Roman" w:cs="Times New Roman" w:eastAsia="Times New Roman" w:hint="default"/>
        </w:rPr>
        <w:t>55.02%</w:t>
      </w:r>
      <w:r>
        <w:rPr>
          <w:spacing w:val="-87"/>
        </w:rPr>
        <w:t>；</w:t>
      </w:r>
      <w:r>
        <w:rPr/>
        <w:t>实现归属于母公司所有者的净利润</w:t>
      </w:r>
      <w:r>
        <w:rPr>
          <w:spacing w:val="-46"/>
        </w:rPr>
        <w:t> </w:t>
      </w:r>
      <w:r>
        <w:rPr>
          <w:rFonts w:ascii="Times New Roman" w:hAnsi="Times New Roman" w:cs="Times New Roman" w:eastAsia="Times New Roman" w:hint="default"/>
        </w:rPr>
        <w:t>18,004.17 </w:t>
      </w:r>
      <w:r>
        <w:rPr/>
        <w:t>万元</w:t>
      </w:r>
      <w:r>
        <w:rPr>
          <w:spacing w:val="-87"/>
        </w:rPr>
        <w:t>，</w:t>
      </w:r>
      <w:r>
        <w:rPr/>
        <w:t>同比增长</w:t>
      </w:r>
      <w:r>
        <w:rPr>
          <w:spacing w:val="-45"/>
        </w:rPr>
        <w:t> </w:t>
      </w:r>
      <w:r>
        <w:rPr>
          <w:rFonts w:ascii="Times New Roman" w:hAnsi="Times New Roman" w:cs="Times New Roman" w:eastAsia="Times New Roman" w:hint="default"/>
        </w:rPr>
        <w:t>46.72%</w:t>
      </w:r>
      <w:r>
        <w:rPr>
          <w:spacing w:val="-87"/>
        </w:rPr>
        <w:t>。</w:t>
      </w:r>
      <w:r>
        <w:rPr/>
        <w:t>从业务类型看</w:t>
      </w:r>
      <w:r>
        <w:rPr>
          <w:spacing w:val="-173"/>
        </w:rPr>
        <w:t>，</w:t>
      </w:r>
      <w:r>
        <w:rPr/>
        <w:t>“财税云服务</w:t>
      </w:r>
      <w:r>
        <w:rPr>
          <w:spacing w:val="-87"/>
        </w:rPr>
        <w:t>”</w:t>
      </w:r>
      <w:r>
        <w:rPr/>
        <w:t>收入</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2</w:t>
      </w:r>
      <w:r>
        <w:rPr>
          <w:rFonts w:ascii="Times New Roman" w:hAnsi="Times New Roman" w:cs="Times New Roman" w:eastAsia="Times New Roman" w:hint="default"/>
        </w:rPr>
        <w:t>,843.18</w:t>
      </w:r>
    </w:p>
    <w:p>
      <w:pPr>
        <w:pStyle w:val="BodyText"/>
        <w:spacing w:line="240" w:lineRule="auto" w:before="63"/>
        <w:ind w:left="153" w:right="0"/>
        <w:jc w:val="left"/>
      </w:pPr>
      <w:r>
        <w:rPr/>
        <w:t>万元，同比增长</w:t>
      </w:r>
      <w:r>
        <w:rPr>
          <w:spacing w:val="-55"/>
        </w:rPr>
        <w:t> </w:t>
      </w:r>
      <w:r>
        <w:rPr>
          <w:rFonts w:ascii="Times New Roman" w:hAnsi="Times New Roman" w:cs="Times New Roman" w:eastAsia="Times New Roman" w:hint="default"/>
        </w:rPr>
        <w:t>6,153.73</w:t>
      </w:r>
      <w:r>
        <w:rPr>
          <w:rFonts w:ascii="Times New Roman" w:hAnsi="Times New Roman" w:cs="Times New Roman" w:eastAsia="Times New Roman" w:hint="default"/>
          <w:spacing w:val="-10"/>
        </w:rPr>
        <w:t> </w:t>
      </w:r>
      <w:r>
        <w:rPr/>
        <w:t>万元，增长</w:t>
      </w:r>
      <w:r>
        <w:rPr>
          <w:spacing w:val="-55"/>
        </w:rPr>
        <w:t> </w:t>
      </w:r>
      <w:r>
        <w:rPr>
          <w:rFonts w:ascii="Times New Roman" w:hAnsi="Times New Roman" w:cs="Times New Roman" w:eastAsia="Times New Roman" w:hint="default"/>
        </w:rPr>
        <w:t>36.87%</w:t>
      </w:r>
      <w:r>
        <w:rPr/>
        <w:t>；“技术服务”收入</w:t>
      </w:r>
      <w:r>
        <w:rPr>
          <w:spacing w:val="-55"/>
        </w:rPr>
        <w:t> </w:t>
      </w:r>
      <w:r>
        <w:rPr>
          <w:rFonts w:ascii="Times New Roman" w:hAnsi="Times New Roman" w:cs="Times New Roman" w:eastAsia="Times New Roman" w:hint="default"/>
        </w:rPr>
        <w:t>6,529.34</w:t>
      </w:r>
      <w:r>
        <w:rPr>
          <w:rFonts w:ascii="Times New Roman" w:hAnsi="Times New Roman" w:cs="Times New Roman" w:eastAsia="Times New Roman" w:hint="default"/>
          <w:spacing w:val="-10"/>
        </w:rPr>
        <w:t> </w:t>
      </w:r>
      <w:r>
        <w:rPr/>
        <w:t>万元，同比减少</w:t>
      </w:r>
      <w:r>
        <w:rPr>
          <w:spacing w:val="-55"/>
        </w:rPr>
        <w:t> </w:t>
      </w:r>
      <w:r>
        <w:rPr>
          <w:rFonts w:ascii="Times New Roman" w:hAnsi="Times New Roman" w:cs="Times New Roman" w:eastAsia="Times New Roman" w:hint="default"/>
        </w:rPr>
        <w:t>1,447.32</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w:t>
      </w:r>
      <w:r>
        <w:rPr/>
        <w:t>减少</w:t>
      </w:r>
      <w:r>
        <w:rPr>
          <w:spacing w:val="-55"/>
        </w:rPr>
        <w:t> </w:t>
      </w:r>
      <w:r>
        <w:rPr>
          <w:rFonts w:ascii="Times New Roman" w:hAnsi="Times New Roman" w:cs="Times New Roman" w:eastAsia="Times New Roman" w:hint="default"/>
        </w:rPr>
        <w:t>14.10%</w:t>
      </w:r>
      <w:r>
        <w:rPr/>
        <w:t>；“产</w:t>
      </w:r>
    </w:p>
    <w:p>
      <w:pPr>
        <w:pStyle w:val="BodyText"/>
        <w:spacing w:line="240" w:lineRule="auto" w:before="63"/>
        <w:ind w:left="153" w:right="1118"/>
        <w:jc w:val="left"/>
      </w:pPr>
      <w:r>
        <w:rPr/>
        <w:t>品及开发服务”收入</w:t>
      </w:r>
      <w:r>
        <w:rPr>
          <w:spacing w:val="-47"/>
        </w:rPr>
        <w:t> </w:t>
      </w:r>
      <w:r>
        <w:rPr>
          <w:rFonts w:ascii="Times New Roman" w:hAnsi="Times New Roman" w:cs="Times New Roman" w:eastAsia="Times New Roman" w:hint="default"/>
        </w:rPr>
        <w:t>10,076.95</w:t>
      </w:r>
      <w:r>
        <w:rPr>
          <w:rFonts w:ascii="Times New Roman" w:hAnsi="Times New Roman" w:cs="Times New Roman" w:eastAsia="Times New Roman" w:hint="default"/>
          <w:spacing w:val="-2"/>
        </w:rPr>
        <w:t> </w:t>
      </w:r>
      <w:r>
        <w:rPr/>
        <w:t>万元，同比增长</w:t>
      </w:r>
      <w:r>
        <w:rPr>
          <w:spacing w:val="-47"/>
        </w:rPr>
        <w:t> </w:t>
      </w:r>
      <w:r>
        <w:rPr>
          <w:rFonts w:ascii="Times New Roman" w:hAnsi="Times New Roman" w:cs="Times New Roman" w:eastAsia="Times New Roman" w:hint="default"/>
        </w:rPr>
        <w:t>3,846.73</w:t>
      </w:r>
      <w:r>
        <w:rPr>
          <w:rFonts w:ascii="Times New Roman" w:hAnsi="Times New Roman" w:cs="Times New Roman" w:eastAsia="Times New Roman" w:hint="default"/>
          <w:spacing w:val="-2"/>
        </w:rPr>
        <w:t> </w:t>
      </w:r>
      <w:r>
        <w:rPr/>
        <w:t>万元，增长</w:t>
      </w:r>
      <w:r>
        <w:rPr>
          <w:spacing w:val="-47"/>
        </w:rPr>
        <w:t> </w:t>
      </w:r>
      <w:r>
        <w:rPr>
          <w:rFonts w:ascii="Times New Roman" w:hAnsi="Times New Roman" w:cs="Times New Roman" w:eastAsia="Times New Roman" w:hint="default"/>
        </w:rPr>
        <w:t>61.74%</w:t>
      </w:r>
      <w:r>
        <w:rPr/>
        <w:t>；“系统集成”收入</w:t>
      </w:r>
      <w:r>
        <w:rPr>
          <w:spacing w:val="-47"/>
        </w:rPr>
        <w:t> </w:t>
      </w:r>
      <w:r>
        <w:rPr>
          <w:rFonts w:ascii="Times New Roman" w:hAnsi="Times New Roman" w:cs="Times New Roman" w:eastAsia="Times New Roman" w:hint="default"/>
        </w:rPr>
        <w:t>11,116.79</w:t>
      </w:r>
      <w:r>
        <w:rPr>
          <w:rFonts w:ascii="Times New Roman" w:hAnsi="Times New Roman" w:cs="Times New Roman" w:eastAsia="Times New Roman" w:hint="default"/>
          <w:spacing w:val="-2"/>
        </w:rPr>
        <w:t> </w:t>
      </w:r>
      <w:r>
        <w:rPr/>
        <w:t>万元，同比增长</w:t>
      </w:r>
    </w:p>
    <w:p>
      <w:pPr>
        <w:pStyle w:val="BodyText"/>
        <w:spacing w:line="240" w:lineRule="auto" w:before="64"/>
        <w:ind w:left="153" w:right="1118"/>
        <w:jc w:val="left"/>
      </w:pPr>
      <w:r>
        <w:rPr>
          <w:rFonts w:ascii="Times New Roman" w:hAnsi="Times New Roman" w:cs="Times New Roman" w:eastAsia="Times New Roman" w:hint="default"/>
        </w:rPr>
        <w:t>5,961.56 </w:t>
      </w:r>
      <w:r>
        <w:rPr/>
        <w:t>万元</w:t>
      </w:r>
      <w:r>
        <w:rPr>
          <w:rFonts w:ascii="Times New Roman" w:hAnsi="Times New Roman" w:cs="Times New Roman" w:eastAsia="Times New Roman" w:hint="default"/>
        </w:rPr>
        <w:t>,</w:t>
      </w:r>
      <w:r>
        <w:rPr/>
        <w:t>增长</w:t>
      </w:r>
      <w:r>
        <w:rPr>
          <w:spacing w:val="-47"/>
        </w:rPr>
        <w:t> </w:t>
      </w:r>
      <w:r>
        <w:rPr>
          <w:rFonts w:ascii="Times New Roman" w:hAnsi="Times New Roman" w:cs="Times New Roman" w:eastAsia="Times New Roman" w:hint="default"/>
        </w:rPr>
        <w:t>115.64%</w:t>
      </w:r>
      <w:r>
        <w:rPr/>
        <w:t>。</w:t>
      </w:r>
    </w:p>
    <w:p>
      <w:pPr>
        <w:pStyle w:val="BodyText"/>
        <w:spacing w:line="307" w:lineRule="auto" w:before="102"/>
        <w:ind w:left="153" w:right="1033" w:firstLine="360"/>
        <w:jc w:val="left"/>
      </w:pPr>
      <w:r>
        <w:rPr>
          <w:rFonts w:ascii="Times New Roman" w:hAnsi="Times New Roman" w:cs="Times New Roman" w:eastAsia="Times New Roman" w:hint="default"/>
        </w:rPr>
        <w:t>4.1.2</w:t>
      </w:r>
      <w:r>
        <w:rPr>
          <w:rFonts w:ascii="Times New Roman" w:hAnsi="Times New Roman" w:cs="Times New Roman" w:eastAsia="Times New Roman" w:hint="default"/>
          <w:spacing w:val="4"/>
        </w:rPr>
        <w:t> </w:t>
      </w:r>
      <w:r>
        <w:rPr>
          <w:spacing w:val="-4"/>
        </w:rPr>
        <w:t>报告期内，方欣科技的服务覆盖全国</w:t>
      </w:r>
      <w:r>
        <w:rPr>
          <w:spacing w:val="-44"/>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10"/>
        </w:rPr>
        <w:t>个省市，服务</w:t>
      </w:r>
      <w:r>
        <w:rPr>
          <w:spacing w:val="-44"/>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spacing w:val="-5"/>
        </w:rPr>
        <w:t>多万企业，各项经营业绩指标较</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年再上新的台阶。 此外，</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年公司新注册申请了“金财互联”等</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个商标，并获得广东省诚信示范企业、知识产权管理体系认证企业、广 东著名商标企业、广州市著名商标企业等荣誉称号，与广州大学等单位合作共建的“广东省智慧金财税工程技术研究中心”</w:t>
      </w:r>
      <w:r>
        <w:rPr>
          <w:spacing w:val="-85"/>
        </w:rPr>
        <w:t> </w:t>
      </w:r>
      <w:r>
        <w:rPr>
          <w:spacing w:val="-85"/>
        </w:rPr>
      </w:r>
      <w:r>
        <w:rPr/>
        <w:t>也通过了广东省科技厅的认定。</w:t>
      </w:r>
    </w:p>
    <w:p>
      <w:pPr>
        <w:pStyle w:val="BodyText"/>
        <w:spacing w:line="309" w:lineRule="auto" w:before="64"/>
        <w:ind w:left="154" w:right="1132" w:firstLine="360"/>
        <w:jc w:val="both"/>
      </w:pPr>
      <w:r>
        <w:rPr>
          <w:rFonts w:ascii="Times New Roman" w:hAnsi="Times New Roman" w:cs="Times New Roman" w:eastAsia="Times New Roman" w:hint="default"/>
        </w:rPr>
        <w:t>4.1.3</w:t>
      </w:r>
      <w:r>
        <w:rPr>
          <w:rFonts w:ascii="Times New Roman" w:hAnsi="Times New Roman" w:cs="Times New Roman" w:eastAsia="Times New Roman" w:hint="default"/>
          <w:spacing w:val="43"/>
        </w:rPr>
        <w:t> </w:t>
      </w:r>
      <w:r>
        <w:rPr/>
        <w:t>报告期内，方欣科技相继在北京、深圳、太原、厦门等地举办金财互联业务宣讲会，宣传推广金财互联品牌理念 </w:t>
      </w:r>
      <w:r>
        <w:rPr>
          <w:spacing w:val="-2"/>
        </w:rPr>
        <w:t>和产品；此外，还联合国家税务总局党校专家教授在东莞、佛山、惠州、江门等地举办“‘一带一路’战略背景下如何开展</w:t>
      </w:r>
      <w:r>
        <w:rPr>
          <w:spacing w:val="-67"/>
        </w:rPr>
        <w:t> </w:t>
      </w:r>
      <w:r>
        <w:rPr>
          <w:spacing w:val="-67"/>
        </w:rPr>
      </w:r>
      <w:r>
        <w:rPr/>
        <w:t>税收咨询与策划”讲座，提出了业财税一体化智能解决方案；</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月，公司旗下金财互联数据服务有限公司与浙江经 </w:t>
      </w:r>
      <w:r>
        <w:rPr>
          <w:spacing w:val="-2"/>
        </w:rPr>
        <w:t>贸职业技术学院签署了共建“江浙沪财税大数据中心”暨“江浙沪企业财税共享中心”的战略合作协议，与业内更多合作伙</w:t>
      </w:r>
      <w:r>
        <w:rPr>
          <w:spacing w:val="-66"/>
        </w:rPr>
        <w:t> </w:t>
      </w:r>
      <w:r>
        <w:rPr>
          <w:spacing w:val="-66"/>
        </w:rPr>
      </w:r>
      <w:r>
        <w:rPr/>
        <w:t>伴携手，推进营销和服务工作的全新发展。</w:t>
      </w:r>
    </w:p>
    <w:p>
      <w:pPr>
        <w:pStyle w:val="BodyText"/>
        <w:spacing w:line="338" w:lineRule="auto" w:before="64"/>
        <w:ind w:left="514" w:right="1117"/>
        <w:jc w:val="left"/>
      </w:pPr>
      <w:r>
        <w:rPr>
          <w:rFonts w:ascii="Times New Roman" w:hAnsi="Times New Roman" w:cs="Times New Roman" w:eastAsia="Times New Roman" w:hint="default"/>
        </w:rPr>
        <w:t>4.2 2018</w:t>
      </w:r>
      <w:r>
        <w:rPr>
          <w:rFonts w:ascii="Times New Roman" w:hAnsi="Times New Roman" w:cs="Times New Roman" w:eastAsia="Times New Roman" w:hint="default"/>
          <w:spacing w:val="-1"/>
        </w:rPr>
        <w:t> </w:t>
      </w:r>
      <w:r>
        <w:rPr/>
        <w:t>年方欣科技经营目标 </w:t>
      </w:r>
      <w:r>
        <w:rPr>
          <w:spacing w:val="-5"/>
        </w:rPr>
        <w:t>坚持“抱诚守真、开放精进、成人达己”的核心价值观，紧抓财税改革带来的企业财税服务市场的发展机遇，内聚外融，</w:t>
      </w:r>
    </w:p>
    <w:p>
      <w:pPr>
        <w:pStyle w:val="BodyText"/>
        <w:spacing w:line="240" w:lineRule="auto" w:before="4"/>
        <w:ind w:left="154" w:right="1118"/>
        <w:jc w:val="left"/>
      </w:pPr>
      <w:r>
        <w:rPr/>
        <w:t>砥砺前行，推进金税、金财、大数据三大事业板块的协同发展，实现公司股东利益最大化。</w:t>
      </w:r>
    </w:p>
    <w:p>
      <w:pPr>
        <w:pStyle w:val="BodyText"/>
        <w:spacing w:line="240" w:lineRule="auto" w:before="116"/>
        <w:ind w:right="1118"/>
        <w:jc w:val="left"/>
      </w:pPr>
      <w:r>
        <w:rPr>
          <w:rFonts w:ascii="Times New Roman" w:hAnsi="Times New Roman" w:cs="Times New Roman" w:eastAsia="Times New Roman" w:hint="default"/>
        </w:rPr>
        <w:t>4.3    2018</w:t>
      </w:r>
      <w:r>
        <w:rPr>
          <w:rFonts w:ascii="Times New Roman" w:hAnsi="Times New Roman" w:cs="Times New Roman" w:eastAsia="Times New Roman" w:hint="default"/>
          <w:spacing w:val="-1"/>
        </w:rPr>
        <w:t> </w:t>
      </w:r>
      <w:r>
        <w:rPr/>
        <w:t>年方欣科技经营计划</w:t>
      </w:r>
    </w:p>
    <w:p>
      <w:pPr>
        <w:pStyle w:val="BodyText"/>
        <w:spacing w:line="338" w:lineRule="auto" w:before="102"/>
        <w:ind w:left="604" w:right="1200" w:hanging="90"/>
        <w:jc w:val="left"/>
      </w:pPr>
      <w:r>
        <w:rPr>
          <w:rFonts w:ascii="Times New Roman" w:hAnsi="Times New Roman" w:cs="Times New Roman" w:eastAsia="Times New Roman" w:hint="default"/>
        </w:rPr>
        <w:t>4.3.1</w:t>
      </w:r>
      <w:r>
        <w:rPr>
          <w:rFonts w:ascii="Times New Roman" w:hAnsi="Times New Roman" w:cs="Times New Roman" w:eastAsia="Times New Roman" w:hint="default"/>
          <w:spacing w:val="44"/>
        </w:rPr>
        <w:t> </w:t>
      </w:r>
      <w:r>
        <w:rPr/>
        <w:t>积极转变思维，抢占市场先机。 “大数据、人工智能和互联网</w:t>
      </w:r>
      <w:r>
        <w:rPr>
          <w:rFonts w:ascii="Times New Roman" w:hAnsi="Times New Roman" w:cs="Times New Roman" w:eastAsia="Times New Roman" w:hint="default"/>
        </w:rPr>
        <w:t>+</w:t>
      </w:r>
      <w:r>
        <w:rPr/>
        <w:t>”的变革如火如荼，在这个瞬息万变的行业里，必须主动求变，站在行业趋势前沿，</w:t>
      </w:r>
    </w:p>
    <w:p>
      <w:pPr>
        <w:pStyle w:val="BodyText"/>
        <w:spacing w:line="218" w:lineRule="exact"/>
        <w:ind w:left="153" w:right="1118"/>
        <w:jc w:val="left"/>
      </w:pPr>
      <w:r>
        <w:rPr/>
        <w:t>洞察用户需求，专注创新研发。</w:t>
      </w:r>
    </w:p>
    <w:p>
      <w:pPr>
        <w:pStyle w:val="BodyText"/>
        <w:spacing w:line="338" w:lineRule="auto" w:before="116"/>
        <w:ind w:right="1118"/>
        <w:jc w:val="left"/>
      </w:pPr>
      <w:r>
        <w:rPr>
          <w:rFonts w:ascii="Times New Roman" w:hAnsi="Times New Roman" w:cs="Times New Roman" w:eastAsia="Times New Roman" w:hint="default"/>
        </w:rPr>
        <w:t>4.3.2</w:t>
      </w:r>
      <w:r>
        <w:rPr>
          <w:rFonts w:ascii="Times New Roman" w:hAnsi="Times New Roman" w:cs="Times New Roman" w:eastAsia="Times New Roman" w:hint="default"/>
          <w:spacing w:val="44"/>
        </w:rPr>
        <w:t> </w:t>
      </w:r>
      <w:r>
        <w:rPr/>
        <w:t>重点跟进行业趋势，谋求项目突破。 </w:t>
      </w:r>
      <w:r>
        <w:rPr>
          <w:spacing w:val="-2"/>
        </w:rPr>
        <w:t>在新一轮的政府机构改革大背景下，积极参与并寻求能够得到政府决策层的进一步卡位是公司发展战略的重要选择。在</w:t>
      </w:r>
    </w:p>
    <w:p>
      <w:pPr>
        <w:pStyle w:val="BodyText"/>
        <w:spacing w:line="348" w:lineRule="auto" w:before="4"/>
        <w:ind w:right="1118" w:hanging="360"/>
        <w:jc w:val="left"/>
      </w:pPr>
      <w:r>
        <w:rPr/>
        <w:t>此浪潮中，积极跟进，并尽最大努力推进“智慧电子税务局”等获得行业的认可，更进一步巩固公司在财税领域的地位。 </w:t>
      </w:r>
      <w:r>
        <w:rPr>
          <w:rFonts w:ascii="Times New Roman" w:hAnsi="Times New Roman" w:cs="Times New Roman" w:eastAsia="Times New Roman" w:hint="default"/>
        </w:rPr>
        <w:t>4.3.3</w:t>
      </w:r>
      <w:r>
        <w:rPr>
          <w:rFonts w:ascii="Times New Roman" w:hAnsi="Times New Roman" w:cs="Times New Roman" w:eastAsia="Times New Roman" w:hint="default"/>
          <w:spacing w:val="44"/>
        </w:rPr>
        <w:t> </w:t>
      </w:r>
      <w:r>
        <w:rPr/>
        <w:t>用心构建数据中心，提升数据服务能力，快速积聚用户。 </w:t>
      </w:r>
      <w:r>
        <w:rPr>
          <w:spacing w:val="-2"/>
        </w:rPr>
        <w:t>以财税大数据为中心驱动业务的发展，将公司逐步转型为互联网财税大数据服务公司，尽快建立起业财税一体化的财税</w:t>
      </w:r>
    </w:p>
    <w:p>
      <w:pPr>
        <w:pStyle w:val="BodyText"/>
        <w:spacing w:line="319" w:lineRule="auto"/>
        <w:ind w:left="154" w:right="1132"/>
        <w:jc w:val="both"/>
      </w:pPr>
      <w:r>
        <w:rPr>
          <w:spacing w:val="-2"/>
        </w:rPr>
        <w:t>大数据中心和财税知识服务中心，为服务的企业用户输出更多的财税数据服务能力，从而增强企业核心竞争力，帮助企业巩</w:t>
      </w:r>
      <w:r>
        <w:rPr>
          <w:spacing w:val="-66"/>
        </w:rPr>
        <w:t> </w:t>
      </w:r>
      <w:r>
        <w:rPr>
          <w:spacing w:val="-66"/>
        </w:rPr>
      </w:r>
      <w:r>
        <w:rPr/>
        <w:t>固市场领先优势，提升企业的数据化运营能力。在形成企业用户信赖的前提下，快速积聚用户。</w:t>
      </w:r>
    </w:p>
    <w:p>
      <w:pPr>
        <w:pStyle w:val="BodyText"/>
        <w:spacing w:line="338" w:lineRule="auto" w:before="56"/>
        <w:ind w:right="1118"/>
        <w:jc w:val="left"/>
      </w:pPr>
      <w:r>
        <w:rPr>
          <w:rFonts w:ascii="Times New Roman" w:hAnsi="Times New Roman" w:cs="Times New Roman" w:eastAsia="Times New Roman" w:hint="default"/>
        </w:rPr>
        <w:t>4.3.4</w:t>
      </w:r>
      <w:r>
        <w:rPr>
          <w:rFonts w:ascii="Times New Roman" w:hAnsi="Times New Roman" w:cs="Times New Roman" w:eastAsia="Times New Roman" w:hint="default"/>
          <w:spacing w:val="44"/>
        </w:rPr>
        <w:t> </w:t>
      </w:r>
      <w:r>
        <w:rPr/>
        <w:t>打好“三个战役”，实现经营目标。 </w:t>
      </w:r>
      <w:r>
        <w:rPr>
          <w:spacing w:val="-2"/>
        </w:rPr>
        <w:t>一是建设新型研发中心，完善公司级平台规划，打好“平台战役”；二是继续做好面向纳税人和税务局服务的智慧电子</w:t>
      </w:r>
    </w:p>
    <w:p>
      <w:pPr>
        <w:pStyle w:val="BodyText"/>
        <w:spacing w:line="319" w:lineRule="auto" w:before="3"/>
        <w:ind w:left="153" w:right="1130"/>
        <w:jc w:val="both"/>
      </w:pPr>
      <w:r>
        <w:rPr>
          <w:spacing w:val="-2"/>
        </w:rPr>
        <w:t>税务局，并积极更新迭代获取行业认可，打好“金税战役”；三是紧抓财税行业发展的趋势，通过提升数据能力快速聚集用</w:t>
      </w:r>
      <w:r>
        <w:rPr>
          <w:spacing w:val="-68"/>
        </w:rPr>
        <w:t> </w:t>
      </w:r>
      <w:r>
        <w:rPr>
          <w:spacing w:val="-68"/>
        </w:rPr>
      </w:r>
      <w:r>
        <w:rPr/>
        <w:t>户获得用户信赖，打好“能力战役”。</w:t>
      </w:r>
    </w:p>
    <w:p>
      <w:pPr>
        <w:pStyle w:val="BodyText"/>
        <w:spacing w:line="240" w:lineRule="auto" w:before="56"/>
        <w:ind w:right="1118"/>
        <w:jc w:val="left"/>
      </w:pPr>
      <w:r>
        <w:rPr>
          <w:rFonts w:ascii="Times New Roman" w:hAnsi="Times New Roman" w:cs="Times New Roman" w:eastAsia="Times New Roman" w:hint="default"/>
        </w:rPr>
        <w:t>5</w:t>
      </w:r>
      <w:r>
        <w:rPr/>
        <w:t>、公司面临的风险和应对措施</w:t>
      </w:r>
    </w:p>
    <w:p>
      <w:pPr>
        <w:pStyle w:val="BodyText"/>
        <w:spacing w:line="240" w:lineRule="auto" w:before="102"/>
        <w:ind w:left="514" w:right="1118"/>
        <w:jc w:val="left"/>
      </w:pPr>
      <w:r>
        <w:rPr>
          <w:rFonts w:ascii="Times New Roman" w:hAnsi="Times New Roman" w:cs="Times New Roman" w:eastAsia="Times New Roman" w:hint="default"/>
        </w:rPr>
        <w:t>5.1</w:t>
      </w:r>
      <w:r>
        <w:rPr>
          <w:rFonts w:ascii="Times New Roman" w:hAnsi="Times New Roman" w:cs="Times New Roman" w:eastAsia="Times New Roman" w:hint="default"/>
          <w:spacing w:val="43"/>
        </w:rPr>
        <w:t> </w:t>
      </w:r>
      <w:r>
        <w:rPr/>
        <w:t>政策和市场环境的风险</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31" w:firstLine="360"/>
        <w:jc w:val="both"/>
      </w:pPr>
      <w:r>
        <w:rPr>
          <w:spacing w:val="-2"/>
        </w:rPr>
        <w:t>新一轮政府机构改革，国地税的重新合并等引发的市场环境及政策变化风险。方欣科技将尽快完成自身产品与平台的重</w:t>
      </w:r>
      <w:r>
        <w:rPr/>
        <w:t> 新规划与快速研发，并有信心以最好的产品平台进一步获得行业的认可。</w:t>
      </w:r>
    </w:p>
    <w:p>
      <w:pPr>
        <w:pStyle w:val="BodyText"/>
        <w:spacing w:line="338" w:lineRule="auto" w:before="56"/>
        <w:ind w:left="514" w:right="1032"/>
        <w:jc w:val="left"/>
      </w:pPr>
      <w:r>
        <w:rPr>
          <w:rFonts w:ascii="Times New Roman" w:hAnsi="Times New Roman" w:cs="Times New Roman" w:eastAsia="Times New Roman" w:hint="default"/>
        </w:rPr>
        <w:t>5.2</w:t>
      </w:r>
      <w:r>
        <w:rPr>
          <w:rFonts w:ascii="Times New Roman" w:hAnsi="Times New Roman" w:cs="Times New Roman" w:eastAsia="Times New Roman" w:hint="default"/>
          <w:spacing w:val="44"/>
        </w:rPr>
        <w:t> </w:t>
      </w:r>
      <w:r>
        <w:rPr/>
        <w:t>收入季节性风险 方欣科技业务中的软件开发与销售、系统集成的主要客户为税务机关和其他政府部门，其收入存在一定的季节性差异。</w:t>
      </w:r>
    </w:p>
    <w:p>
      <w:pPr>
        <w:pStyle w:val="BodyText"/>
        <w:spacing w:line="319" w:lineRule="auto" w:before="3"/>
        <w:ind w:left="154" w:right="0"/>
        <w:jc w:val="left"/>
      </w:pPr>
      <w:r>
        <w:rPr>
          <w:spacing w:val="-2"/>
        </w:rPr>
        <w:t>税务机关和其他政府部门通常实行预算管理制度和集中采购制度，在上半年审批当年的年度预算和项目建设计划及经费安排，</w:t>
      </w:r>
      <w:r>
        <w:rPr>
          <w:spacing w:val="-62"/>
        </w:rPr>
        <w:t> </w:t>
      </w:r>
      <w:r>
        <w:rPr>
          <w:spacing w:val="-62"/>
        </w:rPr>
      </w:r>
      <w:r>
        <w:rPr/>
        <w:t>在第一、第二季度开展供应商的招投标工作，在第二季度中或第三季度具体实施建设工作，故而大部分的软件开发与销售、</w:t>
      </w:r>
      <w:r>
        <w:rPr>
          <w:spacing w:val="-85"/>
        </w:rPr>
        <w:t> </w:t>
      </w:r>
      <w:r>
        <w:rPr>
          <w:spacing w:val="-85"/>
        </w:rPr>
      </w:r>
      <w:r>
        <w:rPr/>
        <w:t>系统集成业务在下半年完工，尤其是集中在第四季度，导致方欣科技收入具有一定的季节性波动。</w:t>
      </w:r>
    </w:p>
    <w:p>
      <w:pPr>
        <w:pStyle w:val="BodyText"/>
        <w:spacing w:line="319" w:lineRule="auto" w:before="55"/>
        <w:ind w:left="153" w:right="1130" w:firstLine="360"/>
        <w:jc w:val="both"/>
      </w:pPr>
      <w:r>
        <w:rPr>
          <w:spacing w:val="-2"/>
        </w:rPr>
        <w:t>特别是新形势下的国地税合并，电子税局局端收入短期在当年势必会带来系统的大的修正与更改，加大企业服务的开拓</w:t>
      </w:r>
      <w:r>
        <w:rPr/>
        <w:t> 化危为机将是方欣科技应对风险的重点手段。</w:t>
      </w:r>
    </w:p>
    <w:p>
      <w:pPr>
        <w:pStyle w:val="BodyText"/>
        <w:spacing w:line="338" w:lineRule="auto" w:before="56"/>
        <w:ind w:left="514" w:right="1118"/>
        <w:jc w:val="left"/>
      </w:pPr>
      <w:r>
        <w:rPr>
          <w:rFonts w:ascii="Times New Roman" w:hAnsi="Times New Roman" w:cs="Times New Roman" w:eastAsia="Times New Roman" w:hint="default"/>
        </w:rPr>
        <w:t>5.3</w:t>
      </w:r>
      <w:r>
        <w:rPr>
          <w:rFonts w:ascii="Times New Roman" w:hAnsi="Times New Roman" w:cs="Times New Roman" w:eastAsia="Times New Roman" w:hint="default"/>
          <w:spacing w:val="44"/>
        </w:rPr>
        <w:t> </w:t>
      </w:r>
      <w:r>
        <w:rPr/>
        <w:t>核心技术人员流失的风险 </w:t>
      </w:r>
      <w:r>
        <w:rPr>
          <w:spacing w:val="-2"/>
        </w:rPr>
        <w:t>方欣科技为税务机关及纳税人提供互联网财税服务，上述服务为技术密集型，故而具有丰富行业经验的核心技术人员以</w:t>
      </w:r>
    </w:p>
    <w:p>
      <w:pPr>
        <w:pStyle w:val="BodyText"/>
        <w:spacing w:line="319" w:lineRule="auto" w:before="2"/>
        <w:ind w:left="154" w:right="1118"/>
        <w:jc w:val="left"/>
      </w:pPr>
      <w:r>
        <w:rPr>
          <w:spacing w:val="-2"/>
        </w:rPr>
        <w:t>及优秀的团队是方欣科技生存和持续发展的重要保障。目前，方欣科技已经拥有高素质的技术人员团队，并采取了一系列吸</w:t>
      </w:r>
      <w:r>
        <w:rPr>
          <w:spacing w:val="-66"/>
        </w:rPr>
        <w:t> </w:t>
      </w:r>
      <w:r>
        <w:rPr>
          <w:spacing w:val="-66"/>
        </w:rPr>
      </w:r>
      <w:r>
        <w:rPr/>
        <w:t>引和稳定核心技术人员的措施，保证方欣科技的长期稳定发展及持续盈利能力。</w:t>
      </w:r>
    </w:p>
    <w:p>
      <w:pPr>
        <w:pStyle w:val="Heading4"/>
        <w:spacing w:line="240" w:lineRule="auto" w:before="136"/>
        <w:ind w:right="1118"/>
        <w:jc w:val="left"/>
        <w:rPr>
          <w:b w:val="0"/>
          <w:bCs w:val="0"/>
        </w:rPr>
      </w:pPr>
      <w:r>
        <w:rPr/>
        <w:t>（二）热处理业务</w:t>
      </w:r>
      <w:r>
        <w:rPr>
          <w:b w:val="0"/>
          <w:bCs w:val="0"/>
        </w:rPr>
      </w:r>
    </w:p>
    <w:p>
      <w:pPr>
        <w:pStyle w:val="BodyText"/>
        <w:spacing w:line="240" w:lineRule="auto" w:before="117"/>
        <w:ind w:right="1118"/>
        <w:jc w:val="left"/>
      </w:pPr>
      <w:r>
        <w:rPr>
          <w:rFonts w:ascii="Times New Roman" w:hAnsi="Times New Roman" w:cs="Times New Roman" w:eastAsia="Times New Roman" w:hint="default"/>
        </w:rPr>
        <w:t>1</w:t>
      </w:r>
      <w:r>
        <w:rPr/>
        <w:t>、行业格局和趋势</w:t>
      </w:r>
    </w:p>
    <w:p>
      <w:pPr>
        <w:pStyle w:val="BodyText"/>
        <w:spacing w:line="314" w:lineRule="auto" w:before="101"/>
        <w:ind w:left="154" w:right="1131" w:firstLine="360"/>
        <w:jc w:val="both"/>
      </w:pPr>
      <w:r>
        <w:rPr/>
        <w:t>《中国制造</w:t>
      </w:r>
      <w:r>
        <w:rPr>
          <w:spacing w:val="-46"/>
        </w:rPr>
        <w:t> </w:t>
      </w:r>
      <w:r>
        <w:rPr>
          <w:rFonts w:ascii="Times New Roman" w:hAnsi="Times New Roman" w:cs="Times New Roman" w:eastAsia="Times New Roman" w:hint="default"/>
        </w:rPr>
        <w:t>2025</w:t>
      </w:r>
      <w:r>
        <w:rPr/>
        <w:t>》强国战略规划坚持创新驱动、智能转型、强化基础、绿色发展，加快从制造大国转向制造强国。随 </w:t>
      </w:r>
      <w:r>
        <w:rPr>
          <w:spacing w:val="-2"/>
        </w:rPr>
        <w:t>着机械行业的健康发展及市场机制不断完善和融入世界经济一体化的需求，全球发达国家和新兴发展中国家，无不以发展先</w:t>
      </w:r>
      <w:r>
        <w:rPr>
          <w:spacing w:val="-64"/>
        </w:rPr>
        <w:t> </w:t>
      </w:r>
      <w:r>
        <w:rPr>
          <w:spacing w:val="-64"/>
        </w:rPr>
      </w:r>
      <w:r>
        <w:rPr>
          <w:spacing w:val="-2"/>
        </w:rPr>
        <w:t>进制造业和高端制造业为产业战略导向。我国从国家战略和提高国家综合竞争力出发，提出实施制造业强国战略，参与世界</w:t>
      </w:r>
      <w:r>
        <w:rPr>
          <w:spacing w:val="-66"/>
        </w:rPr>
        <w:t> </w:t>
      </w:r>
      <w:r>
        <w:rPr>
          <w:spacing w:val="-66"/>
        </w:rPr>
      </w:r>
      <w:r>
        <w:rPr>
          <w:spacing w:val="-2"/>
        </w:rPr>
        <w:t>先进制造技术竞争，这是实现中华民族伟大复兴的中国梦的一个重要组成部分。热处理是机械制造的重要组成部分，是强化</w:t>
      </w:r>
      <w:r>
        <w:rPr>
          <w:spacing w:val="-66"/>
        </w:rPr>
        <w:t> </w:t>
      </w:r>
      <w:r>
        <w:rPr>
          <w:spacing w:val="-66"/>
        </w:rPr>
      </w:r>
      <w:r>
        <w:rPr>
          <w:spacing w:val="-2"/>
        </w:rPr>
        <w:t>金属材料，发挥其潜在能力的重要工艺措施，是保证我国立足未来制造业的制高点、提高机械产品质量、延长产品寿命、创</w:t>
      </w:r>
      <w:r>
        <w:rPr>
          <w:spacing w:val="-66"/>
        </w:rPr>
        <w:t> </w:t>
      </w:r>
      <w:r>
        <w:rPr>
          <w:spacing w:val="-66"/>
        </w:rPr>
      </w:r>
      <w:r>
        <w:rPr/>
        <w:t>造中国品牌增强国际市场竞争力的关键技术之一。</w:t>
      </w:r>
    </w:p>
    <w:p>
      <w:pPr>
        <w:pStyle w:val="BodyText"/>
        <w:spacing w:line="309" w:lineRule="auto" w:before="60"/>
        <w:ind w:left="153" w:right="1130" w:firstLine="360"/>
        <w:jc w:val="both"/>
      </w:pPr>
      <w:r>
        <w:rPr/>
        <w:t>“十三五”期间国家在七大战略新兴产业、高铁、汽车、环保等行业高速发展的带动下，国民经济仍会保持</w:t>
      </w:r>
      <w:r>
        <w:rPr>
          <w:spacing w:val="-54"/>
        </w:rPr>
        <w:t> </w:t>
      </w:r>
      <w:r>
        <w:rPr>
          <w:rFonts w:ascii="Times New Roman" w:hAnsi="Times New Roman" w:cs="Times New Roman" w:eastAsia="Times New Roman" w:hint="default"/>
        </w:rPr>
        <w:t>7%</w:t>
      </w:r>
      <w:r>
        <w:rPr/>
        <w:t>左右的 </w:t>
      </w:r>
      <w:r>
        <w:rPr>
          <w:spacing w:val="-2"/>
        </w:rPr>
        <w:t>增长。不管是产品增量的需求还是对装备更新的市场需求，汽车零部件、机械基础件、航空航天设备、新能源设备等众多领</w:t>
      </w:r>
      <w:r>
        <w:rPr>
          <w:spacing w:val="-66"/>
        </w:rPr>
        <w:t> </w:t>
      </w:r>
      <w:r>
        <w:rPr>
          <w:spacing w:val="-66"/>
        </w:rPr>
      </w:r>
      <w:r>
        <w:rPr/>
        <w:t>域对热处理行业仍需求旺盛。</w:t>
      </w:r>
    </w:p>
    <w:p>
      <w:pPr>
        <w:pStyle w:val="BodyText"/>
        <w:spacing w:line="309" w:lineRule="auto" w:before="62"/>
        <w:ind w:left="154" w:right="1133" w:firstLine="360"/>
        <w:jc w:val="both"/>
      </w:pPr>
      <w:r>
        <w:rPr/>
        <w:t>绿色制造是《国家中长期科学和技术发展规划纲要（</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年）》制造业发展的重要趋势以及科技开发优先支持 </w:t>
      </w:r>
      <w:r>
        <w:rPr>
          <w:spacing w:val="-2"/>
        </w:rPr>
        <w:t>的主题，绿色制造是综合考虑环境影响和资源效益的现代制造模式，是可持续发展的必由之路，同时也给热处理工艺与装备</w:t>
      </w:r>
      <w:r>
        <w:rPr>
          <w:spacing w:val="-66"/>
        </w:rPr>
        <w:t> </w:t>
      </w:r>
      <w:r>
        <w:rPr>
          <w:spacing w:val="-66"/>
        </w:rPr>
      </w:r>
      <w:r>
        <w:rPr/>
        <w:t>的发展提出了更高的要求。</w:t>
      </w:r>
    </w:p>
    <w:p>
      <w:pPr>
        <w:pStyle w:val="BodyText"/>
        <w:spacing w:line="302" w:lineRule="auto" w:before="62"/>
        <w:ind w:left="153" w:right="1185" w:firstLine="360"/>
        <w:jc w:val="both"/>
      </w:pPr>
      <w:r>
        <w:rPr/>
        <w:t>近两年来智能制造引起了国内外的广泛关注，《中国制造</w:t>
      </w:r>
      <w:r>
        <w:rPr>
          <w:spacing w:val="-45"/>
        </w:rPr>
        <w:t> </w:t>
      </w:r>
      <w:r>
        <w:rPr>
          <w:rFonts w:ascii="Times New Roman" w:hAnsi="Times New Roman" w:cs="Times New Roman" w:eastAsia="Times New Roman" w:hint="default"/>
        </w:rPr>
        <w:t>2025</w:t>
      </w:r>
      <w:r>
        <w:rPr/>
        <w:t>》也明确提出了以加快新一代信息技术与制造业融合为 主线，以推进智能制造为主攻方向。因此，加快推进热处理信息化与智能制造，是未来热处理发展方向。</w:t>
      </w:r>
    </w:p>
    <w:p>
      <w:pPr>
        <w:pStyle w:val="BodyText"/>
        <w:spacing w:line="300" w:lineRule="auto" w:before="69"/>
        <w:ind w:left="153" w:right="1185" w:firstLine="360"/>
        <w:jc w:val="both"/>
      </w:pPr>
      <w:r>
        <w:rPr/>
        <w:t>受“中国制造</w:t>
      </w:r>
      <w:r>
        <w:rPr>
          <w:spacing w:val="-46"/>
        </w:rPr>
        <w:t> </w:t>
      </w:r>
      <w:r>
        <w:rPr>
          <w:rFonts w:ascii="Times New Roman" w:hAnsi="Times New Roman" w:cs="Times New Roman" w:eastAsia="Times New Roman" w:hint="default"/>
        </w:rPr>
        <w:t>2025</w:t>
      </w:r>
      <w:r>
        <w:rPr/>
        <w:t>”深入实施的影响，报告期内，公司热处理业务呈现稳中有升的发展态势，经营业绩也实现了大幅 增长。</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年度重点实施的</w:t>
      </w:r>
      <w:r>
        <w:rPr>
          <w:rFonts w:ascii="Times New Roman" w:hAnsi="Times New Roman" w:cs="Times New Roman" w:eastAsia="Times New Roman" w:hint="default"/>
        </w:rPr>
        <w:t>“</w:t>
      </w:r>
      <w:r>
        <w:rPr/>
        <w:t>无人化智能热处理工厂</w:t>
      </w:r>
      <w:r>
        <w:rPr>
          <w:rFonts w:ascii="Times New Roman" w:hAnsi="Times New Roman" w:cs="Times New Roman" w:eastAsia="Times New Roman" w:hint="default"/>
        </w:rPr>
        <w:t>”</w:t>
      </w:r>
      <w:r>
        <w:rPr/>
        <w:t>项目，系公司践行热处理信息化与智能制造、走工业化与信息化融合 之路的具体体现，创新优化生产组织形式，为实现公司战略提供有力保障。</w:t>
      </w:r>
    </w:p>
    <w:p>
      <w:pPr>
        <w:pStyle w:val="BodyText"/>
        <w:spacing w:line="240" w:lineRule="auto" w:before="71"/>
        <w:ind w:right="1118"/>
        <w:jc w:val="left"/>
      </w:pPr>
      <w:r>
        <w:rPr>
          <w:rFonts w:ascii="Times New Roman" w:hAnsi="Times New Roman" w:cs="Times New Roman" w:eastAsia="Times New Roman" w:hint="default"/>
        </w:rPr>
        <w:t>2</w:t>
      </w:r>
      <w:r>
        <w:rPr/>
        <w:t>、发展战略</w:t>
      </w:r>
    </w:p>
    <w:p>
      <w:pPr>
        <w:pStyle w:val="BodyText"/>
        <w:spacing w:line="302" w:lineRule="auto" w:before="101"/>
        <w:ind w:left="154" w:right="1184" w:firstLine="360"/>
        <w:jc w:val="both"/>
      </w:pPr>
      <w:r>
        <w:rPr/>
        <w:t>积极响应国务院《中国制造</w:t>
      </w:r>
      <w:r>
        <w:rPr>
          <w:spacing w:val="-46"/>
        </w:rPr>
        <w:t> </w:t>
      </w:r>
      <w:r>
        <w:rPr>
          <w:rFonts w:ascii="Times New Roman" w:hAnsi="Times New Roman" w:cs="Times New Roman" w:eastAsia="Times New Roman" w:hint="default"/>
        </w:rPr>
        <w:t>2025</w:t>
      </w:r>
      <w:r>
        <w:rPr/>
        <w:t>》行动纲领，把握制造强国战略和战略性新兴产业成长为热处理发展注入新动力的历 史机遇，坚持技术创新，深入推进两化融合，为客户提供优质、高效、节能、环保的先进热处理设备及服务。</w:t>
      </w:r>
    </w:p>
    <w:p>
      <w:pPr>
        <w:pStyle w:val="BodyText"/>
        <w:spacing w:line="240" w:lineRule="auto" w:before="70"/>
        <w:ind w:left="514" w:right="1118"/>
        <w:jc w:val="left"/>
      </w:pPr>
      <w:r>
        <w:rPr/>
        <w:t>为实现上述战略，公司制定如下业务发展规划：</w:t>
      </w:r>
    </w:p>
    <w:p>
      <w:pPr>
        <w:pStyle w:val="BodyText"/>
        <w:spacing w:line="302" w:lineRule="auto" w:before="115"/>
        <w:ind w:left="154" w:right="1141" w:firstLine="360"/>
        <w:jc w:val="both"/>
      </w:pPr>
      <w:r>
        <w:rPr/>
        <w:t>（</w:t>
      </w:r>
      <w:r>
        <w:rPr>
          <w:rFonts w:ascii="Times New Roman" w:hAnsi="Times New Roman" w:cs="Times New Roman" w:eastAsia="Times New Roman" w:hint="default"/>
        </w:rPr>
        <w:t>1</w:t>
      </w:r>
      <w:r>
        <w:rPr/>
        <w:t>）加快技术创新和工艺创新，完善提升已开发的先进技术装备，同时以信息化和工艺软件开发、远程诊断以及热处 理设备在役再制造为手段，为客户的产品提供全生命周期服务。</w:t>
      </w:r>
    </w:p>
    <w:p>
      <w:pPr>
        <w:pStyle w:val="BodyText"/>
        <w:spacing w:line="302" w:lineRule="auto" w:before="68"/>
        <w:ind w:left="154" w:right="1132" w:firstLine="360"/>
        <w:jc w:val="both"/>
      </w:pPr>
      <w:r>
        <w:rPr>
          <w:spacing w:val="-4"/>
        </w:rPr>
        <w:t>（</w:t>
      </w:r>
      <w:r>
        <w:rPr>
          <w:rFonts w:ascii="Times New Roman" w:hAnsi="Times New Roman" w:cs="Times New Roman" w:eastAsia="Times New Roman" w:hint="default"/>
          <w:spacing w:val="-4"/>
        </w:rPr>
        <w:t>2</w:t>
      </w:r>
      <w:r>
        <w:rPr>
          <w:spacing w:val="-4"/>
        </w:rPr>
        <w:t>）随着新产品、新材料的不断涌现，热处理加工企业持续加强新工艺的开发，完善工艺数据库系统，对接高端客户，</w:t>
      </w:r>
      <w:r>
        <w:rPr/>
        <w:t> 进一步抢占市场；同时完善热处理加工连锁服务布局，实施规范化、规模化的热处理加工连锁服务。</w:t>
      </w:r>
    </w:p>
    <w:p>
      <w:pPr>
        <w:pStyle w:val="BodyText"/>
        <w:spacing w:line="240" w:lineRule="auto" w:before="70"/>
        <w:ind w:right="1118"/>
        <w:jc w:val="left"/>
      </w:pPr>
      <w:r>
        <w:rPr>
          <w:rFonts w:ascii="Times New Roman" w:hAnsi="Times New Roman" w:cs="Times New Roman" w:eastAsia="Times New Roman" w:hint="default"/>
        </w:rPr>
        <w:t>3</w:t>
      </w:r>
      <w:r>
        <w:rPr/>
        <w:t>、经营计划</w:t>
      </w:r>
    </w:p>
    <w:p>
      <w:pPr>
        <w:pStyle w:val="BodyText"/>
        <w:spacing w:line="240" w:lineRule="auto" w:before="102"/>
        <w:ind w:right="1118"/>
        <w:jc w:val="left"/>
      </w:pPr>
      <w:r>
        <w:rPr>
          <w:rFonts w:ascii="Times New Roman" w:hAnsi="Times New Roman" w:cs="Times New Roman" w:eastAsia="Times New Roman" w:hint="default"/>
        </w:rPr>
        <w:t>3.1 </w:t>
      </w:r>
      <w:r>
        <w:rPr/>
        <w:t>回顾总结前期披露的发展战略和经营计划在报告期内的进展</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02" w:lineRule="auto" w:before="44"/>
        <w:ind w:left="153" w:right="1170" w:firstLine="360"/>
        <w:jc w:val="both"/>
      </w:pPr>
      <w:r>
        <w:rPr/>
        <w:t>报告期内，公司热处理业务圆满完成了</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年度经营目标：实现营业收入</w:t>
      </w:r>
      <w:r>
        <w:rPr>
          <w:spacing w:val="-46"/>
        </w:rPr>
        <w:t> </w:t>
      </w:r>
      <w:r>
        <w:rPr>
          <w:rFonts w:ascii="Times New Roman" w:hAnsi="Times New Roman" w:cs="Times New Roman" w:eastAsia="Times New Roman" w:hint="default"/>
        </w:rPr>
        <w:t>49,078.54 </w:t>
      </w:r>
      <w:r>
        <w:rPr/>
        <w:t>万元，较上年增长</w:t>
      </w:r>
      <w:r>
        <w:rPr>
          <w:spacing w:val="-46"/>
        </w:rPr>
        <w:t> </w:t>
      </w:r>
      <w:r>
        <w:rPr>
          <w:rFonts w:ascii="Times New Roman" w:hAnsi="Times New Roman" w:cs="Times New Roman" w:eastAsia="Times New Roman" w:hint="default"/>
        </w:rPr>
        <w:t>26.95%</w:t>
      </w:r>
      <w:r>
        <w:rPr/>
        <w:t>，实现 归属于母公司股东的净利润</w:t>
      </w:r>
      <w:r>
        <w:rPr>
          <w:spacing w:val="-47"/>
        </w:rPr>
        <w:t> </w:t>
      </w:r>
      <w:r>
        <w:rPr>
          <w:rFonts w:ascii="Times New Roman" w:hAnsi="Times New Roman" w:cs="Times New Roman" w:eastAsia="Times New Roman" w:hint="default"/>
        </w:rPr>
        <w:t>5,287.52</w:t>
      </w:r>
      <w:r>
        <w:rPr>
          <w:rFonts w:ascii="Times New Roman" w:hAnsi="Times New Roman" w:cs="Times New Roman" w:eastAsia="Times New Roman" w:hint="default"/>
          <w:spacing w:val="-2"/>
        </w:rPr>
        <w:t> </w:t>
      </w:r>
      <w:r>
        <w:rPr/>
        <w:t>万元，较上年增长</w:t>
      </w:r>
      <w:r>
        <w:rPr>
          <w:spacing w:val="-47"/>
        </w:rPr>
        <w:t> </w:t>
      </w:r>
      <w:r>
        <w:rPr>
          <w:rFonts w:ascii="Times New Roman" w:hAnsi="Times New Roman" w:cs="Times New Roman" w:eastAsia="Times New Roman" w:hint="default"/>
        </w:rPr>
        <w:t>761.22%</w:t>
      </w:r>
      <w:r>
        <w:rPr/>
        <w:t>。</w:t>
      </w:r>
    </w:p>
    <w:p>
      <w:pPr>
        <w:pStyle w:val="BodyText"/>
        <w:spacing w:line="302" w:lineRule="auto" w:before="49"/>
        <w:ind w:left="153" w:right="1132" w:firstLine="360"/>
        <w:jc w:val="both"/>
      </w:pPr>
      <w:r>
        <w:rPr/>
        <w:t>新产品及环保节能产品进一步得到市场认可：</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spacing w:val="-3"/>
        </w:rPr>
        <w:t>年内成功交付的上海中国弹簧厂回火炉、大连柴田辊棒退火炉、</w:t>
      </w:r>
      <w:r>
        <w:rPr>
          <w:rFonts w:ascii="Times New Roman" w:hAnsi="Times New Roman" w:cs="Times New Roman" w:eastAsia="Times New Roman" w:hint="default"/>
          <w:spacing w:val="-3"/>
        </w:rPr>
        <w:t>CEC</w:t>
      </w:r>
      <w:r>
        <w:rPr>
          <w:rFonts w:ascii="Times New Roman" w:hAnsi="Times New Roman" w:cs="Times New Roman" w:eastAsia="Times New Roman" w:hint="default"/>
        </w:rPr>
        <w:t> </w:t>
      </w:r>
      <w:r>
        <w:rPr/>
        <w:t>固熔炉等非标产品，进一步丰富了公司的产品种类，为应对更多高端客户的需求做好了积极的准备。</w:t>
      </w:r>
    </w:p>
    <w:p>
      <w:pPr>
        <w:pStyle w:val="BodyText"/>
        <w:spacing w:line="302" w:lineRule="auto" w:before="69"/>
        <w:ind w:left="153" w:right="1043" w:firstLine="360"/>
        <w:jc w:val="both"/>
      </w:pPr>
      <w:r>
        <w:rPr/>
        <w:t>进一步完善热处理连锁服务布局：收购上海宝华威</w:t>
      </w:r>
      <w:r>
        <w:rPr>
          <w:spacing w:val="-46"/>
        </w:rPr>
        <w:t> </w:t>
      </w:r>
      <w:r>
        <w:rPr>
          <w:rFonts w:ascii="Times New Roman" w:hAnsi="Times New Roman" w:cs="Times New Roman" w:eastAsia="Times New Roman" w:hint="default"/>
        </w:rPr>
        <w:t>85%</w:t>
      </w:r>
      <w:r>
        <w:rPr/>
        <w:t>股权，一方面使公司进入到</w:t>
      </w:r>
      <w:r>
        <w:rPr>
          <w:spacing w:val="-47"/>
        </w:rPr>
        <w:t> </w:t>
      </w:r>
      <w:r>
        <w:rPr>
          <w:rFonts w:ascii="Times New Roman" w:hAnsi="Times New Roman" w:cs="Times New Roman" w:eastAsia="Times New Roman" w:hint="default"/>
        </w:rPr>
        <w:t>ADI</w:t>
      </w:r>
      <w:r>
        <w:rPr>
          <w:rFonts w:ascii="Times New Roman" w:hAnsi="Times New Roman" w:cs="Times New Roman" w:eastAsia="Times New Roman" w:hint="default"/>
          <w:spacing w:val="-2"/>
        </w:rPr>
        <w:t> </w:t>
      </w:r>
      <w:r>
        <w:rPr/>
        <w:t>设备制造及加工领域，完善公 司设备的应用服务能力；另一方面上海宝华威控股子公司苏州艾普的并入进一步完善了公司沪宁线上热处理加工连锁布局。</w:t>
      </w:r>
    </w:p>
    <w:p>
      <w:pPr>
        <w:pStyle w:val="BodyText"/>
        <w:spacing w:line="240" w:lineRule="auto" w:before="69"/>
        <w:ind w:right="1118"/>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43"/>
        </w:rPr>
        <w:t> </w:t>
      </w:r>
      <w:r>
        <w:rPr/>
        <w:t>下一年度的经营计划</w:t>
      </w:r>
    </w:p>
    <w:p>
      <w:pPr>
        <w:pStyle w:val="BodyText"/>
        <w:spacing w:line="240" w:lineRule="auto" w:before="102"/>
        <w:ind w:right="1118"/>
        <w:jc w:val="left"/>
      </w:pPr>
      <w:r>
        <w:rPr>
          <w:rFonts w:ascii="Times New Roman" w:hAnsi="Times New Roman" w:cs="Times New Roman" w:eastAsia="Times New Roman" w:hint="default"/>
        </w:rPr>
        <w:t>3.2.1</w:t>
      </w:r>
      <w:r>
        <w:rPr>
          <w:rFonts w:ascii="Times New Roman" w:hAnsi="Times New Roman" w:cs="Times New Roman" w:eastAsia="Times New Roman" w:hint="default"/>
          <w:spacing w:val="43"/>
        </w:rPr>
        <w:t> </w:t>
      </w:r>
      <w:r>
        <w:rPr/>
        <w:t>下一年度热处理业务总体经营目标</w:t>
      </w:r>
    </w:p>
    <w:p>
      <w:pPr>
        <w:pStyle w:val="BodyText"/>
        <w:spacing w:line="309" w:lineRule="auto" w:before="102"/>
        <w:ind w:left="153" w:right="1133" w:firstLine="360"/>
        <w:jc w:val="both"/>
      </w:pPr>
      <w:r>
        <w:rPr>
          <w:rFonts w:ascii="Times New Roman" w:hAnsi="Times New Roman" w:cs="Times New Roman" w:eastAsia="Times New Roman" w:hint="default"/>
        </w:rPr>
        <w:t>2017 </w:t>
      </w:r>
      <w:r>
        <w:rPr/>
        <w:t>年诸多好政策在全国</w:t>
      </w:r>
      <w:r>
        <w:rPr>
          <w:rFonts w:ascii="Times New Roman" w:hAnsi="Times New Roman" w:cs="Times New Roman" w:eastAsia="Times New Roman" w:hint="default"/>
        </w:rPr>
        <w:t>“</w:t>
      </w:r>
      <w:r>
        <w:rPr/>
        <w:t>两会</w:t>
      </w:r>
      <w:r>
        <w:rPr>
          <w:rFonts w:ascii="Times New Roman" w:hAnsi="Times New Roman" w:cs="Times New Roman" w:eastAsia="Times New Roman" w:hint="default"/>
        </w:rPr>
        <w:t>”</w:t>
      </w:r>
      <w:r>
        <w:rPr/>
        <w:t>期间密集出台，一带一路、结构性改革、中国制造</w:t>
      </w:r>
      <w:r>
        <w:rPr>
          <w:spacing w:val="-47"/>
        </w:rPr>
        <w:t> </w:t>
      </w:r>
      <w:r>
        <w:rPr>
          <w:rFonts w:ascii="Times New Roman" w:hAnsi="Times New Roman" w:cs="Times New Roman" w:eastAsia="Times New Roman" w:hint="default"/>
        </w:rPr>
        <w:t>2025</w:t>
      </w:r>
      <w:r>
        <w:rPr/>
        <w:t>、金属产业回暖、社会基础建 </w:t>
      </w:r>
      <w:r>
        <w:rPr>
          <w:spacing w:val="-2"/>
        </w:rPr>
        <w:t>设等一系列的热议话题，再次进入大众视野。政府把实体经济放在优先发展位置，也预示着作为实体经济的机械行业有着更</w:t>
      </w:r>
      <w:r>
        <w:rPr>
          <w:spacing w:val="-66"/>
        </w:rPr>
        <w:t> </w:t>
      </w:r>
      <w:r>
        <w:rPr>
          <w:spacing w:val="-66"/>
        </w:rPr>
      </w:r>
      <w:r>
        <w:rPr/>
        <w:t>为强劲的发展趋势。</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年设备制造业市场依然会向好，但水平层次会越来越高，竞争会越来越大。</w:t>
      </w:r>
    </w:p>
    <w:p>
      <w:pPr>
        <w:pStyle w:val="BodyText"/>
        <w:spacing w:line="302" w:lineRule="auto" w:before="43"/>
        <w:ind w:left="154" w:right="1141" w:firstLine="450"/>
        <w:jc w:val="both"/>
      </w:pPr>
      <w:r>
        <w:rPr/>
        <w:t>综合分析</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年的市场预期、潜在的不确定因素以及公司的实际生产能力，确定</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年公司热处理业务的经营目标 为：</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年度实现营业收入和归属于母公司股东的净利润均比</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年度增长</w:t>
      </w:r>
      <w:r>
        <w:rPr>
          <w:spacing w:val="-46"/>
        </w:rPr>
        <w:t> </w:t>
      </w:r>
      <w:r>
        <w:rPr>
          <w:rFonts w:ascii="Times New Roman" w:hAnsi="Times New Roman" w:cs="Times New Roman" w:eastAsia="Times New Roman" w:hint="default"/>
        </w:rPr>
        <w:t>15%</w:t>
      </w:r>
      <w:r>
        <w:rPr/>
        <w:t>以上。</w:t>
      </w:r>
    </w:p>
    <w:p>
      <w:pPr>
        <w:pStyle w:val="BodyText"/>
        <w:spacing w:line="309" w:lineRule="auto" w:before="49"/>
        <w:ind w:left="153" w:right="1131" w:firstLine="360"/>
        <w:jc w:val="both"/>
      </w:pPr>
      <w:r>
        <w:rPr/>
        <w:t>说明：以上目标仅为公司董事会确定的</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年度热处理板块经营目标，不代表公司对</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spacing w:val="-3"/>
        </w:rPr>
        <w:t>年度的盈利预测，实现情况</w:t>
      </w:r>
      <w:r>
        <w:rPr/>
        <w:t> </w:t>
      </w:r>
      <w:r>
        <w:rPr>
          <w:spacing w:val="-2"/>
        </w:rPr>
        <w:t>如何取决于宏观经济环境、行业发展状况、市场状况变化及经营团队的努力程度等诸多因素，存在一定的不确定性，敬请广</w:t>
      </w:r>
      <w:r>
        <w:rPr>
          <w:spacing w:val="-66"/>
        </w:rPr>
        <w:t> </w:t>
      </w:r>
      <w:r>
        <w:rPr>
          <w:spacing w:val="-66"/>
        </w:rPr>
      </w:r>
      <w:r>
        <w:rPr/>
        <w:t>大投资者注意投资风险。</w:t>
      </w:r>
    </w:p>
    <w:p>
      <w:pPr>
        <w:pStyle w:val="BodyText"/>
        <w:spacing w:line="240" w:lineRule="auto" w:before="65"/>
        <w:ind w:right="1118"/>
        <w:jc w:val="left"/>
      </w:pPr>
      <w:r>
        <w:rPr>
          <w:rFonts w:ascii="Times New Roman" w:hAnsi="Times New Roman" w:cs="Times New Roman" w:eastAsia="Times New Roman" w:hint="default"/>
        </w:rPr>
        <w:t>3.2.2</w:t>
      </w:r>
      <w:r>
        <w:rPr>
          <w:rFonts w:ascii="Times New Roman" w:hAnsi="Times New Roman" w:cs="Times New Roman" w:eastAsia="Times New Roman" w:hint="default"/>
          <w:spacing w:val="43"/>
        </w:rPr>
        <w:t> </w:t>
      </w:r>
      <w:r>
        <w:rPr/>
        <w:t>下一年度经营计划</w:t>
      </w:r>
    </w:p>
    <w:p>
      <w:pPr>
        <w:pStyle w:val="BodyText"/>
        <w:spacing w:line="309" w:lineRule="auto" w:before="101"/>
        <w:ind w:left="153" w:right="1132" w:firstLine="360"/>
        <w:jc w:val="both"/>
      </w:pPr>
      <w:r>
        <w:rPr>
          <w:spacing w:val="-3"/>
        </w:rPr>
        <w:t>（</w:t>
      </w:r>
      <w:r>
        <w:rPr>
          <w:rFonts w:ascii="Times New Roman" w:hAnsi="Times New Roman" w:cs="Times New Roman" w:eastAsia="Times New Roman" w:hint="default"/>
          <w:spacing w:val="-3"/>
        </w:rPr>
        <w:t>1</w:t>
      </w:r>
      <w:r>
        <w:rPr>
          <w:spacing w:val="-3"/>
        </w:rPr>
        <w:t>）加快烟台丰东建设，确保</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年底前投产。烟台丰东是</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月份新注册成立的热处理加工企业，该项目主 </w:t>
      </w:r>
      <w:r>
        <w:rPr>
          <w:spacing w:val="-2"/>
        </w:rPr>
        <w:t>要配套上汽集团变速箱带轮、带轴类零部件的热处理加工，同时也为周边企业提供专业高端的热处理服务。公司将积极进行</w:t>
      </w:r>
      <w:r>
        <w:rPr>
          <w:spacing w:val="-66"/>
        </w:rPr>
        <w:t> </w:t>
      </w:r>
      <w:r>
        <w:rPr>
          <w:spacing w:val="-66"/>
        </w:rPr>
      </w:r>
      <w:r>
        <w:rPr>
          <w:spacing w:val="-5"/>
        </w:rPr>
        <w:t>施工建设、经营管理团队组建以及技术工人招聘与培训，并按照客户的要求确保在</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月底前建成</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3"/>
        </w:rPr>
        <w:t>号线（</w:t>
      </w:r>
      <w:r>
        <w:rPr>
          <w:rFonts w:ascii="Times New Roman" w:hAnsi="Times New Roman" w:cs="Times New Roman" w:eastAsia="Times New Roman" w:hint="default"/>
          <w:spacing w:val="-23"/>
        </w:rPr>
        <w:t>5</w:t>
      </w:r>
      <w:r>
        <w:rPr>
          <w:rFonts w:ascii="Times New Roman" w:hAnsi="Times New Roman" w:cs="Times New Roman" w:eastAsia="Times New Roman" w:hint="default"/>
          <w:spacing w:val="-6"/>
        </w:rPr>
        <w:t> </w:t>
      </w:r>
      <w:r>
        <w:rPr>
          <w:spacing w:val="-18"/>
        </w:rPr>
        <w:t>台设备），</w:t>
      </w:r>
    </w:p>
    <w:p>
      <w:pPr>
        <w:pStyle w:val="BodyText"/>
        <w:spacing w:line="240" w:lineRule="auto" w:before="6"/>
        <w:ind w:left="153" w:right="1118"/>
        <w:jc w:val="left"/>
      </w:pPr>
      <w:r>
        <w:rPr/>
        <w:t>满足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日量产</w:t>
      </w:r>
      <w:r>
        <w:rPr>
          <w:spacing w:val="-45"/>
        </w:rPr>
        <w:t> </w:t>
      </w:r>
      <w:r>
        <w:rPr>
          <w:rFonts w:ascii="Times New Roman" w:hAnsi="Times New Roman" w:cs="Times New Roman" w:eastAsia="Times New Roman" w:hint="default"/>
        </w:rPr>
        <w:t>CVT180 </w:t>
      </w:r>
      <w:r>
        <w:rPr/>
        <w:t>热处理加工需求。</w:t>
      </w:r>
    </w:p>
    <w:p>
      <w:pPr>
        <w:pStyle w:val="BodyText"/>
        <w:spacing w:line="300" w:lineRule="auto" w:before="101"/>
        <w:ind w:left="154" w:right="1032" w:firstLine="360"/>
        <w:jc w:val="left"/>
      </w:pPr>
      <w:r>
        <w:rPr>
          <w:spacing w:val="-3"/>
        </w:rPr>
        <w:t>（</w:t>
      </w:r>
      <w:r>
        <w:rPr>
          <w:rFonts w:ascii="Times New Roman" w:hAnsi="Times New Roman" w:cs="Times New Roman" w:eastAsia="Times New Roman" w:hint="default"/>
          <w:spacing w:val="-3"/>
        </w:rPr>
        <w:t>2</w:t>
      </w:r>
      <w:r>
        <w:rPr>
          <w:spacing w:val="-3"/>
        </w:rPr>
        <w:t>）加强与关联企业的合作，提升制造业务产能。就</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年度的经营结果来看，热处理加工业务普遍取得了较好的经 营业绩，下游客户也在往更高端、更优质客户聚集，</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年这一聚集优势将进一步得到体现。而我们的设备制造业务虽然 总体而言 </w:t>
      </w:r>
      <w:r>
        <w:rPr>
          <w:rFonts w:ascii="Times New Roman" w:hAnsi="Times New Roman" w:cs="Times New Roman" w:eastAsia="Times New Roman" w:hint="default"/>
        </w:rPr>
        <w:t>2017 </w:t>
      </w:r>
      <w:r>
        <w:rPr/>
        <w:t>年度业绩也取得了大幅增长，但各制造企业在市场开拓、项目管理等方面的能力参差不齐，为此，</w:t>
      </w:r>
      <w:r>
        <w:rPr>
          <w:rFonts w:ascii="Times New Roman" w:hAnsi="Times New Roman" w:cs="Times New Roman" w:eastAsia="Times New Roman" w:hint="default"/>
        </w:rPr>
        <w:t>2018 </w:t>
      </w:r>
      <w:r>
        <w:rPr/>
        <w:t>年，</w:t>
      </w:r>
      <w:r>
        <w:rPr>
          <w:spacing w:val="-88"/>
        </w:rPr>
        <w:t> </w:t>
      </w:r>
      <w:r>
        <w:rPr/>
        <w:t>我们将整合制造业务企业，分析各自存在的优势和劣势，通过资源共享，取长补短，共同提升公司整体制造业务的产能。</w:t>
      </w:r>
    </w:p>
    <w:p>
      <w:pPr>
        <w:pStyle w:val="BodyText"/>
        <w:spacing w:line="300" w:lineRule="auto" w:before="71"/>
        <w:ind w:left="153" w:right="1131" w:firstLine="360"/>
        <w:jc w:val="both"/>
      </w:pPr>
      <w:r>
        <w:rPr>
          <w:spacing w:val="-1"/>
        </w:rPr>
        <w:t>（</w:t>
      </w:r>
      <w:r>
        <w:rPr>
          <w:rFonts w:ascii="Times New Roman" w:hAnsi="Times New Roman" w:cs="Times New Roman" w:eastAsia="Times New Roman" w:hint="default"/>
          <w:spacing w:val="-1"/>
        </w:rPr>
        <w:t>3</w:t>
      </w:r>
      <w:r>
        <w:rPr>
          <w:spacing w:val="-1"/>
        </w:rPr>
        <w:t>）强化项目预、决算管理，提升项目管理水平。</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14"/>
        </w:rPr>
        <w:t> </w:t>
      </w:r>
      <w:r>
        <w:rPr>
          <w:spacing w:val="-1"/>
        </w:rPr>
        <w:t>年我们推行的项目预、决算管理已初见成效，项目实施成本得</w:t>
      </w:r>
      <w:r>
        <w:rPr/>
        <w:t> 到有效控制。</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年我们将继续推进预、决算管理，通过有效的预、决算，量化每个人的工作量，加大考核力度，并使之 成为全员的行动准则，提高生产效率和项目管理水平，进一步提升经营质量。</w:t>
      </w:r>
    </w:p>
    <w:p>
      <w:pPr>
        <w:pStyle w:val="BodyText"/>
        <w:spacing w:line="309" w:lineRule="auto" w:before="70"/>
        <w:ind w:left="153" w:right="1131" w:firstLine="360"/>
        <w:jc w:val="both"/>
      </w:pPr>
      <w:r>
        <w:rPr>
          <w:spacing w:val="-5"/>
        </w:rPr>
        <w:t>（</w:t>
      </w:r>
      <w:r>
        <w:rPr>
          <w:rFonts w:ascii="Times New Roman" w:hAnsi="Times New Roman" w:cs="Times New Roman" w:eastAsia="Times New Roman" w:hint="default"/>
          <w:spacing w:val="-5"/>
        </w:rPr>
        <w:t>4</w:t>
      </w:r>
      <w:r>
        <w:rPr>
          <w:spacing w:val="-5"/>
        </w:rPr>
        <w:t>）进一步加大研发投入，促进设备智能化升级。</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1"/>
        </w:rPr>
        <w:t> </w:t>
      </w:r>
      <w:r>
        <w:rPr>
          <w:spacing w:val="-4"/>
        </w:rPr>
        <w:t>年初，公司已完成设备智能化开发草案，技术部门将不断完善、</w:t>
      </w:r>
      <w:r>
        <w:rPr/>
        <w:t> 优化方案，并在</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年下半年完成首台智能化设备改造，实现工艺自动化；全力推进南京智能化工厂项目尽快验收，提高 </w:t>
      </w:r>
      <w:r>
        <w:rPr>
          <w:spacing w:val="-2"/>
        </w:rPr>
        <w:t>公司产品智能化、自动化及节能减排水平，并积极引导市场需求，加快新产品、新技术的市场化推广；结合公司自身资源及</w:t>
      </w:r>
      <w:r>
        <w:rPr>
          <w:spacing w:val="-66"/>
        </w:rPr>
        <w:t> </w:t>
      </w:r>
      <w:r>
        <w:rPr>
          <w:spacing w:val="-66"/>
        </w:rPr>
      </w:r>
      <w:r>
        <w:rPr>
          <w:spacing w:val="-2"/>
        </w:rPr>
        <w:t>在国内热处理行业的领先优势，积极参与国家与行业标准的制定，鼓励员工创新创优，加强知识产权创造、保护与运用；积</w:t>
      </w:r>
      <w:r>
        <w:rPr>
          <w:spacing w:val="-66"/>
        </w:rPr>
        <w:t> </w:t>
      </w:r>
      <w:r>
        <w:rPr>
          <w:spacing w:val="-66"/>
        </w:rPr>
      </w:r>
      <w:r>
        <w:rPr/>
        <w:t>极进行高新技术企业的申报工作，确保年内取得相关批复文件。</w:t>
      </w:r>
    </w:p>
    <w:p>
      <w:pPr>
        <w:pStyle w:val="BodyText"/>
        <w:spacing w:line="302" w:lineRule="auto" w:before="62"/>
        <w:ind w:left="153" w:right="1132" w:firstLine="360"/>
        <w:jc w:val="both"/>
      </w:pPr>
      <w:r>
        <w:rPr>
          <w:spacing w:val="-1"/>
        </w:rPr>
        <w:t>（</w:t>
      </w:r>
      <w:r>
        <w:rPr>
          <w:rFonts w:ascii="Times New Roman" w:hAnsi="Times New Roman" w:cs="Times New Roman" w:eastAsia="Times New Roman" w:hint="default"/>
          <w:spacing w:val="-1"/>
        </w:rPr>
        <w:t>5</w:t>
      </w:r>
      <w:r>
        <w:rPr>
          <w:spacing w:val="-1"/>
        </w:rPr>
        <w:t>）加强海外市场的开拓，进一步抢占国际市场。</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1"/>
        </w:rPr>
        <w:t> </w:t>
      </w:r>
      <w:r>
        <w:rPr>
          <w:spacing w:val="-1"/>
        </w:rPr>
        <w:t>年，公司将积极开拓印尼、越南、泰国、俄罗斯、土耳其等海</w:t>
      </w:r>
      <w:r>
        <w:rPr/>
        <w:t> 外市场，进一步扩大公司在海外市场的影响力，进一步抢占国际市场。</w:t>
      </w:r>
    </w:p>
    <w:p>
      <w:pPr>
        <w:pStyle w:val="BodyText"/>
        <w:spacing w:line="304" w:lineRule="auto" w:before="69"/>
        <w:ind w:left="153" w:right="1129" w:firstLine="360"/>
        <w:jc w:val="both"/>
      </w:pPr>
      <w:r>
        <w:rPr/>
        <w:t>（</w:t>
      </w:r>
      <w:r>
        <w:rPr>
          <w:rFonts w:ascii="Times New Roman" w:hAnsi="Times New Roman" w:cs="Times New Roman" w:eastAsia="Times New Roman" w:hint="default"/>
        </w:rPr>
        <w:t>6</w:t>
      </w:r>
      <w:r>
        <w:rPr/>
        <w:t>）加快工艺数据库的建设，完善连锁管理体系。全面规范并提升已投资加工项目的管理水平，尽快推进落实热处理 </w:t>
      </w:r>
      <w:r>
        <w:rPr>
          <w:spacing w:val="-1"/>
        </w:rPr>
        <w:t>加工连锁经营管理体系（选点及可行性论证体系</w:t>
      </w:r>
      <w:r>
        <w:rPr>
          <w:rFonts w:ascii="Times New Roman" w:hAnsi="Times New Roman" w:cs="Times New Roman" w:eastAsia="Times New Roman" w:hint="default"/>
          <w:spacing w:val="-1"/>
        </w:rPr>
        <w:t>/</w:t>
      </w:r>
      <w:r>
        <w:rPr>
          <w:spacing w:val="-1"/>
        </w:rPr>
        <w:t>工厂经营管理及考核体系</w:t>
      </w:r>
      <w:r>
        <w:rPr>
          <w:rFonts w:ascii="Times New Roman" w:hAnsi="Times New Roman" w:cs="Times New Roman" w:eastAsia="Times New Roman" w:hint="default"/>
          <w:spacing w:val="-1"/>
        </w:rPr>
        <w:t>/</w:t>
      </w:r>
      <w:r>
        <w:rPr>
          <w:spacing w:val="-1"/>
        </w:rPr>
        <w:t>质量、设备、生产及安全管理体系</w:t>
      </w:r>
      <w:r>
        <w:rPr>
          <w:rFonts w:ascii="Times New Roman" w:hAnsi="Times New Roman" w:cs="Times New Roman" w:eastAsia="Times New Roman" w:hint="default"/>
          <w:spacing w:val="-1"/>
        </w:rPr>
        <w:t>/</w:t>
      </w:r>
      <w:r>
        <w:rPr>
          <w:spacing w:val="-1"/>
        </w:rPr>
        <w:t>工艺共享开发</w:t>
      </w:r>
      <w:r>
        <w:rPr>
          <w:spacing w:val="-87"/>
        </w:rPr>
        <w:t> </w:t>
      </w:r>
      <w:r>
        <w:rPr/>
        <w:t>平台及数据库建立体系</w:t>
      </w:r>
      <w:r>
        <w:rPr>
          <w:rFonts w:ascii="Times New Roman" w:hAnsi="Times New Roman" w:cs="Times New Roman" w:eastAsia="Times New Roman" w:hint="default"/>
        </w:rPr>
        <w:t>/</w:t>
      </w:r>
      <w:r>
        <w:rPr/>
        <w:t>专业复合人才培训输送管理体系）；工程中心将牵头建立工艺数据库，各加工企业加强内部交流， </w:t>
      </w:r>
      <w:r>
        <w:rPr>
          <w:spacing w:val="-2"/>
        </w:rPr>
        <w:t>分享相关体系审核的经验，共同编制集团内热处理加工企业热处理规范手册。为公司三年内成为具备国际一流管理水平及生</w:t>
      </w:r>
      <w:r>
        <w:rPr>
          <w:spacing w:val="-64"/>
        </w:rPr>
        <w:t> </w:t>
      </w:r>
      <w:r>
        <w:rPr>
          <w:spacing w:val="-64"/>
        </w:rPr>
      </w:r>
      <w:r>
        <w:rPr/>
        <w:t>产效率的加工示范企业奠定基础，促进连锁经营的快速复制。</w:t>
      </w:r>
    </w:p>
    <w:p>
      <w:pPr>
        <w:pStyle w:val="BodyText"/>
        <w:spacing w:line="300" w:lineRule="auto" w:before="66"/>
        <w:ind w:left="153" w:right="1139" w:firstLine="360"/>
        <w:jc w:val="both"/>
      </w:pPr>
      <w:r>
        <w:rPr/>
        <w:t>（</w:t>
      </w:r>
      <w:r>
        <w:rPr>
          <w:rFonts w:ascii="Times New Roman" w:hAnsi="Times New Roman" w:cs="Times New Roman" w:eastAsia="Times New Roman" w:hint="default"/>
        </w:rPr>
        <w:t>7</w:t>
      </w:r>
      <w:r>
        <w:rPr/>
        <w:t>）加强人才培养和梯队建设，促进可持续发展。随着公司的发展壮大，我们越来越感觉到人才培养和梯队建设的重 要性，</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年公司一方面将稳步推进与地方高校及职业技术学院的专业人才联合培养计划，解决热处理专业毕业生知识体</w:t>
      </w:r>
    </w:p>
    <w:p>
      <w:pPr>
        <w:spacing w:after="0" w:line="300" w:lineRule="auto"/>
        <w:jc w:val="both"/>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032"/>
        <w:jc w:val="left"/>
      </w:pPr>
      <w:r>
        <w:rPr>
          <w:spacing w:val="-2"/>
        </w:rPr>
        <w:t>系不全面、实际工作上手慢和技术员工年龄老化、新技能学习掌握能力不足等问题，为公司复合人才培养和连锁加工业务拓</w:t>
      </w:r>
      <w:r>
        <w:rPr>
          <w:spacing w:val="-66"/>
        </w:rPr>
        <w:t> </w:t>
      </w:r>
      <w:r>
        <w:rPr>
          <w:spacing w:val="-66"/>
        </w:rPr>
      </w:r>
      <w:r>
        <w:rPr/>
        <w:t>展做准备；另一方面将加强对现有年轻骨干员工的培养与锻炼，关注员工的成才诉求，积极为员工搭建职业生涯发展平台，</w:t>
      </w:r>
      <w:r>
        <w:rPr>
          <w:spacing w:val="-85"/>
        </w:rPr>
        <w:t> </w:t>
      </w:r>
      <w:r>
        <w:rPr>
          <w:spacing w:val="-85"/>
        </w:rPr>
      </w:r>
      <w:r>
        <w:rPr/>
        <w:t>实现员工与企业的共同发展，为公司发展壮大储备管理团队，促进公司可持续发展。</w:t>
      </w:r>
    </w:p>
    <w:p>
      <w:pPr>
        <w:pStyle w:val="BodyText"/>
        <w:spacing w:line="314" w:lineRule="auto" w:before="55"/>
        <w:ind w:left="153" w:right="1130" w:firstLine="360"/>
        <w:jc w:val="both"/>
      </w:pPr>
      <w:r>
        <w:rPr>
          <w:spacing w:val="-1"/>
        </w:rPr>
        <w:t>（</w:t>
      </w:r>
      <w:r>
        <w:rPr>
          <w:rFonts w:ascii="Times New Roman" w:hAnsi="Times New Roman" w:cs="Times New Roman" w:eastAsia="Times New Roman" w:hint="default"/>
          <w:spacing w:val="-1"/>
        </w:rPr>
        <w:t>8</w:t>
      </w:r>
      <w:r>
        <w:rPr>
          <w:spacing w:val="-1"/>
        </w:rPr>
        <w:t>）完善员工激励机制，凝心聚力提升工作效率。一方面，</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0"/>
        </w:rPr>
        <w:t> </w:t>
      </w:r>
      <w:r>
        <w:rPr>
          <w:spacing w:val="-1"/>
        </w:rPr>
        <w:t>年公司将继续优化薪酬管理制度，结合员工素质和能</w:t>
      </w:r>
      <w:r>
        <w:rPr/>
        <w:t> </w:t>
      </w:r>
      <w:r>
        <w:rPr>
          <w:spacing w:val="-2"/>
        </w:rPr>
        <w:t>力的提升、社会人力资源供需情况的变化、社会整体物价和消费水平的变动等因素，适时进行薪酬体系改革；另一方面，由</w:t>
      </w:r>
      <w:r>
        <w:rPr>
          <w:spacing w:val="-66"/>
        </w:rPr>
        <w:t> </w:t>
      </w:r>
      <w:r>
        <w:rPr>
          <w:spacing w:val="-66"/>
        </w:rPr>
      </w:r>
      <w:r>
        <w:rPr>
          <w:spacing w:val="-5"/>
        </w:rPr>
        <w:t>热处理业务板块总经理牵头，建立员工持股平台，在维持公司控制权的前提下，以股权投资的形式参股热处理板块相关企业，</w:t>
      </w:r>
      <w:r>
        <w:rPr>
          <w:spacing w:val="-79"/>
        </w:rPr>
        <w:t> </w:t>
      </w:r>
      <w:r>
        <w:rPr>
          <w:spacing w:val="-79"/>
        </w:rPr>
      </w:r>
      <w:r>
        <w:rPr>
          <w:spacing w:val="-2"/>
        </w:rPr>
        <w:t>使员工能够分享公司快速发展的成果，让员工树立主人翁意识，并进而提高员工工作效率，提升企业经营业绩。通过多层次</w:t>
      </w:r>
      <w:r>
        <w:rPr>
          <w:spacing w:val="-66"/>
        </w:rPr>
        <w:t> </w:t>
      </w:r>
      <w:r>
        <w:rPr>
          <w:spacing w:val="-66"/>
        </w:rPr>
      </w:r>
      <w:r>
        <w:rPr/>
        <w:t>的激励机制，进一步提升团队凝聚力。</w:t>
      </w:r>
    </w:p>
    <w:p>
      <w:pPr>
        <w:pStyle w:val="BodyText"/>
        <w:spacing w:line="240" w:lineRule="auto" w:before="61"/>
        <w:ind w:right="1118"/>
        <w:jc w:val="left"/>
      </w:pPr>
      <w:r>
        <w:rPr>
          <w:rFonts w:ascii="Times New Roman" w:hAnsi="Times New Roman" w:cs="Times New Roman" w:eastAsia="Times New Roman" w:hint="default"/>
        </w:rPr>
        <w:t>4</w:t>
      </w:r>
      <w:r>
        <w:rPr/>
        <w:t>、可能面对的风险</w:t>
      </w:r>
    </w:p>
    <w:p>
      <w:pPr>
        <w:pStyle w:val="BodyText"/>
        <w:spacing w:line="338" w:lineRule="auto" w:before="102"/>
        <w:ind w:right="1118"/>
        <w:jc w:val="left"/>
      </w:pPr>
      <w:r>
        <w:rPr/>
        <w:t>（</w:t>
      </w:r>
      <w:r>
        <w:rPr>
          <w:rFonts w:ascii="Times New Roman" w:hAnsi="Times New Roman" w:cs="Times New Roman" w:eastAsia="Times New Roman" w:hint="default"/>
        </w:rPr>
        <w:t>1</w:t>
      </w:r>
      <w:r>
        <w:rPr/>
        <w:t>）市场风险 </w:t>
      </w:r>
      <w:r>
        <w:rPr>
          <w:spacing w:val="-2"/>
        </w:rPr>
        <w:t>热处理行业的市场需求与下游行业的发展和景气度具有较强的联动性，而下游机械制造行业容易受到经济景气周期和国</w:t>
      </w:r>
    </w:p>
    <w:p>
      <w:pPr>
        <w:pStyle w:val="BodyText"/>
        <w:spacing w:line="357" w:lineRule="auto" w:before="4"/>
        <w:ind w:right="1118" w:hanging="360"/>
        <w:jc w:val="left"/>
      </w:pPr>
      <w:r>
        <w:rPr/>
        <w:t>家调控政策影响，如果机械制造行业不景气或者发生重大不利变化，将会对公司的生产经营产生不利影响。 </w:t>
      </w:r>
      <w:r>
        <w:rPr>
          <w:spacing w:val="-2"/>
        </w:rPr>
        <w:t>为减少上述客观因素对公司热处理业务的影响，公司将在市场开拓、产品研发、持续创新上给予更大的投入，积极拓展</w:t>
      </w:r>
    </w:p>
    <w:p>
      <w:pPr>
        <w:pStyle w:val="BodyText"/>
        <w:spacing w:line="224" w:lineRule="exact"/>
        <w:ind w:left="153" w:right="0"/>
        <w:jc w:val="left"/>
      </w:pPr>
      <w:r>
        <w:rPr/>
        <w:t>热处理装备在高端客户领域的应用，使公司的产品应用范围辐射到更宽的领域，分散客户行业的集中度，减少公司热处理业</w:t>
      </w:r>
    </w:p>
    <w:p>
      <w:pPr>
        <w:pStyle w:val="BodyText"/>
        <w:spacing w:line="240" w:lineRule="auto" w:before="77"/>
        <w:ind w:left="153" w:right="1118"/>
        <w:jc w:val="left"/>
      </w:pPr>
      <w:r>
        <w:rPr/>
        <w:t>务对某些特定细分行业的依赖性。</w:t>
      </w:r>
    </w:p>
    <w:p>
      <w:pPr>
        <w:pStyle w:val="BodyText"/>
        <w:spacing w:line="240" w:lineRule="auto" w:before="116"/>
        <w:ind w:left="514" w:right="1118"/>
        <w:jc w:val="left"/>
      </w:pPr>
      <w:r>
        <w:rPr/>
        <w:t>（</w:t>
      </w:r>
      <w:r>
        <w:rPr>
          <w:rFonts w:ascii="Times New Roman" w:hAnsi="Times New Roman" w:cs="Times New Roman" w:eastAsia="Times New Roman" w:hint="default"/>
        </w:rPr>
        <w:t>2</w:t>
      </w:r>
      <w:r>
        <w:rPr/>
        <w:t>）不能享受所得税优惠政策的风险</w:t>
      </w:r>
    </w:p>
    <w:p>
      <w:pPr>
        <w:pStyle w:val="BodyText"/>
        <w:spacing w:line="302" w:lineRule="auto" w:before="101"/>
        <w:ind w:left="153" w:right="1123" w:firstLine="360"/>
        <w:jc w:val="left"/>
      </w:pPr>
      <w:r>
        <w:rPr/>
        <w:t>丰东热技术正在积极准备高新技术企业的申报工作，必须确保在</w:t>
      </w:r>
      <w:r>
        <w:rPr>
          <w:spacing w:val="-45"/>
        </w:rPr>
        <w:t> </w:t>
      </w:r>
      <w:r>
        <w:rPr>
          <w:rFonts w:ascii="Times New Roman" w:hAnsi="Times New Roman" w:cs="Times New Roman" w:eastAsia="Times New Roman" w:hint="default"/>
        </w:rPr>
        <w:t>2018 </w:t>
      </w:r>
      <w:r>
        <w:rPr/>
        <w:t>年底前取得相关批复文件。如果这项工作不能顺 利推进或延迟推进，</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年度的经营成果将不能享受所得税税率优惠政策，这将对公司经营业绩产生较大影响。</w:t>
      </w:r>
    </w:p>
    <w:p>
      <w:pPr>
        <w:spacing w:line="240" w:lineRule="auto" w:before="1"/>
        <w:rPr>
          <w:rFonts w:ascii="宋体" w:hAnsi="宋体" w:cs="宋体" w:eastAsia="宋体" w:hint="default"/>
          <w:sz w:val="20"/>
          <w:szCs w:val="20"/>
        </w:rPr>
      </w:pPr>
    </w:p>
    <w:p>
      <w:pPr>
        <w:pStyle w:val="Heading2"/>
        <w:spacing w:line="240" w:lineRule="auto"/>
        <w:ind w:left="154" w:right="1118"/>
        <w:jc w:val="left"/>
        <w:rPr>
          <w:b w:val="0"/>
          <w:bCs w:val="0"/>
        </w:rPr>
      </w:pPr>
      <w:bookmarkStart w:name="十、接待调研、沟通、采访等活动" w:id="66"/>
      <w:bookmarkEnd w:id="66"/>
      <w:r>
        <w:rPr>
          <w:b w:val="0"/>
          <w:bCs w:val="0"/>
        </w:rPr>
      </w:r>
      <w:r>
        <w:rPr/>
        <w:t>十、接待调研、沟通、采访等活动</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报告期内接待调研、沟通、采访等活动登记表" w:id="67"/>
      <w:bookmarkEnd w:id="6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85"/>
        <w:gridCol w:w="2127"/>
        <w:gridCol w:w="2420"/>
        <w:gridCol w:w="3038"/>
      </w:tblGrid>
      <w:tr>
        <w:trPr>
          <w:trHeight w:val="45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62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69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66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62" w:lineRule="auto"/>
              <w:ind w:left="23" w:right="78"/>
              <w:jc w:val="both"/>
              <w:rPr>
                <w:rFonts w:ascii="Times New Roman" w:hAnsi="Times New Roman" w:cs="Times New Roman" w:eastAsia="Times New Roman" w:hint="default"/>
                <w:sz w:val="18"/>
                <w:szCs w:val="18"/>
              </w:rPr>
            </w:pPr>
            <w:hyperlink r:id="rId15">
              <w:r>
                <w:rPr>
                  <w:rFonts w:ascii="Times New Roman"/>
                  <w:sz w:val="18"/>
                </w:rPr>
                <w:t>http://www.cninfo.com.cn/information/c</w:t>
              </w:r>
            </w:hyperlink>
            <w:r>
              <w:rPr>
                <w:rFonts w:ascii="Times New Roman"/>
                <w:sz w:val="18"/>
              </w:rPr>
              <w:t> ompanyinfo_n.html?fulltext?szsme0025 30</w:t>
            </w:r>
          </w:p>
        </w:tc>
      </w:tr>
      <w:tr>
        <w:trPr>
          <w:trHeight w:val="4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vMerge/>
            <w:tcBorders>
              <w:left w:val="single" w:sz="4" w:space="0" w:color="000000"/>
              <w:right w:val="single" w:sz="4" w:space="0" w:color="000000"/>
            </w:tcBorders>
          </w:tcPr>
          <w:p>
            <w:pPr/>
          </w:p>
        </w:tc>
      </w:tr>
      <w:tr>
        <w:trPr>
          <w:trHeight w:val="4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vMerge/>
            <w:tcBorders>
              <w:left w:val="single" w:sz="4" w:space="0" w:color="000000"/>
              <w:right w:val="single" w:sz="4" w:space="0" w:color="000000"/>
            </w:tcBorders>
          </w:tcPr>
          <w:p>
            <w:pPr/>
          </w:p>
        </w:tc>
      </w:tr>
      <w:tr>
        <w:trPr>
          <w:trHeight w:val="4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vMerge/>
            <w:tcBorders>
              <w:left w:val="single" w:sz="4" w:space="0" w:color="000000"/>
              <w:right w:val="single" w:sz="4" w:space="0" w:color="000000"/>
            </w:tcBorders>
          </w:tcPr>
          <w:p>
            <w:pPr/>
          </w:p>
        </w:tc>
      </w:tr>
      <w:tr>
        <w:trPr>
          <w:trHeight w:val="4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vMerge/>
            <w:tcBorders>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right="978"/>
        <w:jc w:val="center"/>
        <w:rPr>
          <w:b w:val="0"/>
          <w:bCs w:val="0"/>
        </w:rPr>
      </w:pPr>
      <w:bookmarkStart w:name="第五节 重要事项" w:id="68"/>
      <w:bookmarkEnd w:id="68"/>
      <w:r>
        <w:rPr>
          <w:b w:val="0"/>
          <w:bCs w:val="0"/>
        </w:rPr>
      </w:r>
      <w:bookmarkStart w:name="_bookmark4" w:id="69"/>
      <w:bookmarkEnd w:id="6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8"/>
        <w:jc w:val="left"/>
        <w:rPr>
          <w:b w:val="0"/>
          <w:bCs w:val="0"/>
        </w:rPr>
      </w:pPr>
      <w:bookmarkStart w:name="一、公司普通股利润分配及资本公积金转增股本情况" w:id="70"/>
      <w:bookmarkEnd w:id="7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报告期内普通股利润分配政策，特别是现金分红政策的制定、执行或调整情况</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1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44"/>
        <w:ind w:left="0" w:right="941"/>
        <w:jc w:val="right"/>
      </w:pPr>
      <w:r>
        <w:rPr/>
        <w:pict>
          <v:shape style="position:absolute;margin-left:56.34pt;margin-top:-104.318298pt;width:488.55pt;height:146.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8755"/>
                  </w:tblGrid>
                  <w:tr>
                    <w:trPr>
                      <w:trHeight w:val="416"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87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利润分配方案</w:t>
                        </w:r>
                        <w:r>
                          <w:rPr>
                            <w:rFonts w:ascii="Times New Roman" w:hAnsi="Times New Roman" w:cs="Times New Roman" w:eastAsia="Times New Roman" w:hint="default"/>
                            <w:sz w:val="18"/>
                            <w:szCs w:val="18"/>
                          </w:rPr>
                          <w:t>/</w:t>
                        </w:r>
                        <w:r>
                          <w:rPr>
                            <w:rFonts w:ascii="宋体" w:hAnsi="宋体" w:cs="宋体" w:eastAsia="宋体" w:hint="default"/>
                            <w:sz w:val="18"/>
                            <w:szCs w:val="18"/>
                          </w:rPr>
                          <w:t>预案</w:t>
                        </w:r>
                      </w:p>
                    </w:tc>
                  </w:tr>
                  <w:tr>
                    <w:trPr>
                      <w:trHeight w:val="1240"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8755" w:type="dxa"/>
                        <w:tcBorders>
                          <w:top w:val="single" w:sz="10" w:space="0" w:color="000000"/>
                          <w:left w:val="single" w:sz="7" w:space="0" w:color="000000"/>
                          <w:bottom w:val="single" w:sz="6" w:space="0" w:color="000000"/>
                          <w:right w:val="single" w:sz="6" w:space="0" w:color="000000"/>
                        </w:tcBorders>
                      </w:tcPr>
                      <w:p>
                        <w:pPr>
                          <w:pStyle w:val="TableParagraph"/>
                          <w:spacing w:line="240" w:lineRule="exact" w:before="11"/>
                          <w:ind w:right="0" w:firstLine="360"/>
                          <w:jc w:val="both"/>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日的公司总股本</w:t>
                        </w:r>
                        <w:r>
                          <w:rPr>
                            <w:rFonts w:ascii="Times New Roman" w:hAnsi="Times New Roman" w:cs="Times New Roman" w:eastAsia="Times New Roman" w:hint="default"/>
                            <w:sz w:val="18"/>
                            <w:szCs w:val="18"/>
                          </w:rPr>
                          <w:t>490,741,853</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0.50</w:t>
                        </w:r>
                        <w:r>
                          <w:rPr>
                            <w:rFonts w:ascii="宋体" w:hAnsi="宋体" w:cs="宋体" w:eastAsia="宋体" w:hint="default"/>
                            <w:sz w:val="18"/>
                            <w:szCs w:val="18"/>
                          </w:rPr>
                          <w:t>元（含税），共</w:t>
                        </w:r>
                        <w:r>
                          <w:rPr>
                            <w:rFonts w:ascii="宋体" w:hAnsi="宋体" w:cs="宋体" w:eastAsia="宋体" w:hint="default"/>
                            <w:spacing w:val="1"/>
                            <w:sz w:val="18"/>
                            <w:szCs w:val="18"/>
                          </w:rPr>
                          <w:t> </w:t>
                        </w:r>
                        <w:r>
                          <w:rPr>
                            <w:rFonts w:ascii="宋体" w:hAnsi="宋体" w:cs="宋体" w:eastAsia="宋体" w:hint="default"/>
                            <w:spacing w:val="-3"/>
                            <w:sz w:val="18"/>
                            <w:szCs w:val="18"/>
                          </w:rPr>
                          <w:t>计派发现金红利</w:t>
                        </w:r>
                        <w:r>
                          <w:rPr>
                            <w:rFonts w:ascii="Times New Roman" w:hAnsi="Times New Roman" w:cs="Times New Roman" w:eastAsia="Times New Roman" w:hint="default"/>
                            <w:spacing w:val="-3"/>
                            <w:sz w:val="18"/>
                            <w:szCs w:val="18"/>
                          </w:rPr>
                          <w:t>24,537,092.65</w:t>
                        </w:r>
                        <w:r>
                          <w:rPr>
                            <w:rFonts w:ascii="宋体" w:hAnsi="宋体" w:cs="宋体" w:eastAsia="宋体" w:hint="default"/>
                            <w:spacing w:val="-3"/>
                            <w:sz w:val="18"/>
                            <w:szCs w:val="18"/>
                          </w:rPr>
                          <w:t>元；同时以资本公积转增股本方式向全体股东每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股转增</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股，共计转增</w:t>
                        </w:r>
                        <w:r>
                          <w:rPr>
                            <w:rFonts w:ascii="Times New Roman" w:hAnsi="Times New Roman" w:cs="Times New Roman" w:eastAsia="Times New Roman" w:hint="default"/>
                            <w:spacing w:val="-3"/>
                            <w:sz w:val="18"/>
                            <w:szCs w:val="18"/>
                          </w:rPr>
                          <w:t>294,445,112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股（注：因转增比例计算过程中小数四舍五入影响，最终以中国结算深圳分公司的结果为准）；送红股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股（含</w:t>
                        </w:r>
                        <w:r>
                          <w:rPr>
                            <w:rFonts w:ascii="宋体" w:hAnsi="宋体" w:cs="宋体" w:eastAsia="宋体" w:hint="default"/>
                            <w:spacing w:val="-87"/>
                            <w:sz w:val="18"/>
                            <w:szCs w:val="18"/>
                          </w:rPr>
                          <w:t> </w:t>
                        </w:r>
                        <w:r>
                          <w:rPr>
                            <w:rFonts w:ascii="宋体" w:hAnsi="宋体" w:cs="宋体" w:eastAsia="宋体" w:hint="default"/>
                            <w:sz w:val="18"/>
                            <w:szCs w:val="18"/>
                          </w:rPr>
                          <w:t>税）。本次利润分配及资本公积转增股本方案实施后，公司的总股本由目前的</w:t>
                        </w:r>
                        <w:r>
                          <w:rPr>
                            <w:rFonts w:ascii="Times New Roman" w:hAnsi="Times New Roman" w:cs="Times New Roman" w:eastAsia="Times New Roman" w:hint="default"/>
                            <w:sz w:val="18"/>
                            <w:szCs w:val="18"/>
                          </w:rPr>
                          <w:t>490,741,853</w:t>
                        </w:r>
                        <w:r>
                          <w:rPr>
                            <w:rFonts w:ascii="宋体" w:hAnsi="宋体" w:cs="宋体" w:eastAsia="宋体" w:hint="default"/>
                            <w:sz w:val="18"/>
                            <w:szCs w:val="18"/>
                          </w:rPr>
                          <w:t>股变更为</w:t>
                        </w:r>
                        <w:r>
                          <w:rPr>
                            <w:rFonts w:ascii="Times New Roman" w:hAnsi="Times New Roman" w:cs="Times New Roman" w:eastAsia="Times New Roman" w:hint="default"/>
                            <w:sz w:val="18"/>
                            <w:szCs w:val="18"/>
                          </w:rPr>
                          <w:t>785,186,965</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29"/>
                            <w:sz w:val="18"/>
                            <w:szCs w:val="18"/>
                          </w:rPr>
                        </w:r>
                        <w:r>
                          <w:rPr>
                            <w:rFonts w:ascii="宋体" w:hAnsi="宋体" w:cs="宋体" w:eastAsia="宋体" w:hint="default"/>
                            <w:sz w:val="18"/>
                            <w:szCs w:val="18"/>
                          </w:rPr>
                          <w:t>股。转增金额未超过报告期末“资本公积——股本溢价”的余额。</w:t>
                        </w:r>
                      </w:p>
                    </w:tc>
                  </w:tr>
                  <w:tr>
                    <w:trPr>
                      <w:trHeight w:val="427"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875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年度公司不派发现金红利，不送红股，不以资本公积转增股本。</w:t>
                        </w:r>
                      </w:p>
                    </w:tc>
                  </w:tr>
                  <w:tr>
                    <w:trPr>
                      <w:trHeight w:val="835" w:hRule="exact"/>
                    </w:trPr>
                    <w:tc>
                      <w:tcPr>
                        <w:tcW w:w="99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8755" w:type="dxa"/>
                        <w:tcBorders>
                          <w:top w:val="single" w:sz="6" w:space="0" w:color="000000"/>
                          <w:left w:val="single" w:sz="7" w:space="0" w:color="000000"/>
                          <w:bottom w:val="single" w:sz="6" w:space="0" w:color="000000"/>
                          <w:right w:val="single" w:sz="6" w:space="0" w:color="000000"/>
                        </w:tcBorders>
                      </w:tcPr>
                      <w:p>
                        <w:pPr>
                          <w:pStyle w:val="TableParagraph"/>
                          <w:spacing w:line="240" w:lineRule="exact" w:before="50"/>
                          <w:ind w:right="90" w:firstLine="360"/>
                          <w:jc w:val="both"/>
                          <w:rPr>
                            <w:rFonts w:ascii="宋体" w:hAnsi="宋体" w:cs="宋体" w:eastAsia="宋体" w:hint="default"/>
                            <w:sz w:val="18"/>
                            <w:szCs w:val="18"/>
                          </w:rPr>
                        </w:pPr>
                        <w:r>
                          <w:rPr>
                            <w:rFonts w:ascii="宋体" w:hAnsi="宋体" w:cs="宋体" w:eastAsia="宋体" w:hint="default"/>
                            <w:spacing w:val="-3"/>
                            <w:sz w:val="18"/>
                            <w:szCs w:val="18"/>
                          </w:rPr>
                          <w:t>以公司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日的总股本</w:t>
                        </w:r>
                        <w:r>
                          <w:rPr>
                            <w:rFonts w:ascii="Times New Roman" w:hAnsi="Times New Roman" w:cs="Times New Roman" w:eastAsia="Times New Roman" w:hint="default"/>
                            <w:spacing w:val="-3"/>
                            <w:sz w:val="18"/>
                            <w:szCs w:val="18"/>
                          </w:rPr>
                          <w:t>268,000,000</w:t>
                        </w:r>
                        <w:r>
                          <w:rPr>
                            <w:rFonts w:ascii="宋体" w:hAnsi="宋体" w:cs="宋体" w:eastAsia="宋体" w:hint="default"/>
                            <w:spacing w:val="-3"/>
                            <w:sz w:val="18"/>
                            <w:szCs w:val="18"/>
                          </w:rPr>
                          <w:t>股为基数，向全体股东实施每</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股派发现金红利</w:t>
                        </w:r>
                        <w:r>
                          <w:rPr>
                            <w:rFonts w:ascii="Times New Roman" w:hAnsi="Times New Roman" w:cs="Times New Roman" w:eastAsia="Times New Roman" w:hint="default"/>
                            <w:spacing w:val="-3"/>
                            <w:sz w:val="18"/>
                            <w:szCs w:val="18"/>
                          </w:rPr>
                          <w:t>0.30</w:t>
                        </w:r>
                        <w:r>
                          <w:rPr>
                            <w:rFonts w:ascii="宋体" w:hAnsi="宋体" w:cs="宋体" w:eastAsia="宋体" w:hint="default"/>
                            <w:spacing w:val="-3"/>
                            <w:sz w:val="18"/>
                            <w:szCs w:val="18"/>
                          </w:rPr>
                          <w:t>元（含税）</w:t>
                        </w:r>
                        <w:r>
                          <w:rPr>
                            <w:rFonts w:ascii="宋体" w:hAnsi="宋体" w:cs="宋体" w:eastAsia="宋体" w:hint="default"/>
                            <w:spacing w:val="-44"/>
                            <w:sz w:val="18"/>
                            <w:szCs w:val="18"/>
                          </w:rPr>
                          <w:t> </w:t>
                        </w:r>
                        <w:r>
                          <w:rPr>
                            <w:rFonts w:ascii="宋体" w:hAnsi="宋体" w:cs="宋体" w:eastAsia="宋体" w:hint="default"/>
                            <w:spacing w:val="-1"/>
                            <w:sz w:val="18"/>
                            <w:szCs w:val="18"/>
                          </w:rPr>
                          <w:t>共计派发现金红利</w:t>
                        </w:r>
                        <w:r>
                          <w:rPr>
                            <w:rFonts w:ascii="Times New Roman" w:hAnsi="Times New Roman" w:cs="Times New Roman" w:eastAsia="Times New Roman" w:hint="default"/>
                            <w:spacing w:val="-1"/>
                            <w:sz w:val="18"/>
                            <w:szCs w:val="18"/>
                          </w:rPr>
                          <w:t>8,040,000.00</w:t>
                        </w:r>
                        <w:r>
                          <w:rPr>
                            <w:rFonts w:ascii="宋体" w:hAnsi="宋体" w:cs="宋体" w:eastAsia="宋体" w:hint="default"/>
                            <w:spacing w:val="-1"/>
                            <w:sz w:val="18"/>
                            <w:szCs w:val="18"/>
                          </w:rPr>
                          <w:t>元。若分配方案实施前公司总股本由于再融资新增股份上市等原因而发生变化的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分配比例将按分派总额不变的原则相应调整。</w:t>
                        </w:r>
                      </w:p>
                    </w:tc>
                  </w:tr>
                </w:tbl>
                <w:p>
                  <w:pPr/>
                </w:p>
              </w:txbxContent>
            </v:textbox>
            <w10:wrap type="none"/>
          </v:shape>
        </w:pict>
      </w:r>
      <w:r>
        <w:rPr/>
        <w:t>，</w:t>
      </w:r>
    </w:p>
    <w:p>
      <w:pPr>
        <w:pStyle w:val="BodyText"/>
        <w:spacing w:line="240" w:lineRule="auto" w:before="4"/>
        <w:ind w:left="0" w:right="943"/>
        <w:jc w:val="right"/>
      </w:pP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514" w:right="1118"/>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1700"/>
        <w:gridCol w:w="1702"/>
        <w:gridCol w:w="1982"/>
        <w:gridCol w:w="1702"/>
        <w:gridCol w:w="1487"/>
      </w:tblGrid>
      <w:tr>
        <w:trPr>
          <w:trHeight w:val="125"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700"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2"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86" w:right="84"/>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0"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137" w:lineRule="exact"/>
              <w:ind w:left="34" w:right="0"/>
              <w:jc w:val="left"/>
              <w:rPr>
                <w:rFonts w:ascii="宋体" w:hAnsi="宋体" w:cs="宋体" w:eastAsia="宋体" w:hint="default"/>
                <w:sz w:val="18"/>
                <w:szCs w:val="18"/>
              </w:rPr>
            </w:pPr>
            <w:r>
              <w:rPr>
                <w:rFonts w:ascii="宋体" w:hAnsi="宋体" w:cs="宋体" w:eastAsia="宋体" w:hint="default"/>
                <w:sz w:val="18"/>
                <w:szCs w:val="18"/>
              </w:rPr>
              <w:t>分红年度合并报表中</w:t>
            </w:r>
          </w:p>
          <w:p>
            <w:pPr>
              <w:pStyle w:val="TableParagraph"/>
              <w:spacing w:line="244" w:lineRule="auto" w:before="5"/>
              <w:ind w:left="214" w:right="35" w:hanging="180"/>
              <w:jc w:val="left"/>
              <w:rPr>
                <w:rFonts w:ascii="宋体" w:hAnsi="宋体" w:cs="宋体" w:eastAsia="宋体" w:hint="default"/>
                <w:sz w:val="18"/>
                <w:szCs w:val="18"/>
              </w:rPr>
            </w:pPr>
            <w:r>
              <w:rPr>
                <w:rFonts w:ascii="宋体" w:hAnsi="宋体" w:cs="宋体" w:eastAsia="宋体" w:hint="default"/>
                <w:sz w:val="18"/>
                <w:szCs w:val="18"/>
              </w:rPr>
              <w:t>归属于上市公司普通 股股东的净利润</w:t>
            </w:r>
          </w:p>
        </w:tc>
        <w:tc>
          <w:tcPr>
            <w:tcW w:w="1982" w:type="dxa"/>
            <w:vMerge/>
            <w:tcBorders>
              <w:left w:val="single" w:sz="4" w:space="0" w:color="000000"/>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576" w:right="34" w:hanging="540"/>
              <w:jc w:val="left"/>
              <w:rPr>
                <w:rFonts w:ascii="宋体" w:hAnsi="宋体" w:cs="宋体" w:eastAsia="宋体" w:hint="default"/>
                <w:sz w:val="18"/>
                <w:szCs w:val="18"/>
              </w:rPr>
            </w:pPr>
            <w:r>
              <w:rPr>
                <w:rFonts w:ascii="宋体" w:hAnsi="宋体" w:cs="宋体" w:eastAsia="宋体" w:hint="default"/>
                <w:sz w:val="18"/>
                <w:szCs w:val="18"/>
              </w:rPr>
              <w:t>以其他方式现金分红 的金额</w:t>
            </w:r>
          </w:p>
        </w:tc>
        <w:tc>
          <w:tcPr>
            <w:tcW w:w="1487"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289" w:right="107"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20"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45"/>
              <w:jc w:val="right"/>
              <w:rPr>
                <w:rFonts w:ascii="宋体" w:hAnsi="宋体" w:cs="宋体" w:eastAsia="宋体" w:hint="default"/>
                <w:sz w:val="18"/>
                <w:szCs w:val="18"/>
              </w:rPr>
            </w:pPr>
            <w:r>
              <w:rPr>
                <w:rFonts w:ascii="宋体" w:hAnsi="宋体" w:cs="宋体" w:eastAsia="宋体" w:hint="default"/>
                <w:spacing w:val="-9"/>
                <w:sz w:val="18"/>
                <w:szCs w:val="18"/>
              </w:rPr>
              <w:t>现金分红金额（含税）</w:t>
            </w:r>
            <w:r>
              <w:rPr>
                <w:rFonts w:ascii="宋体" w:hAnsi="宋体" w:cs="宋体" w:eastAsia="宋体" w:hint="default"/>
                <w:sz w:val="18"/>
                <w:szCs w:val="18"/>
              </w:rPr>
            </w:r>
          </w:p>
        </w:tc>
        <w:tc>
          <w:tcPr>
            <w:tcW w:w="1702" w:type="dxa"/>
            <w:vMerge/>
            <w:tcBorders>
              <w:left w:val="single" w:sz="4" w:space="0" w:color="000000"/>
              <w:right w:val="single" w:sz="4" w:space="0" w:color="000000"/>
            </w:tcBorders>
            <w:shd w:val="clear" w:color="auto" w:fill="D2D2D2"/>
          </w:tcPr>
          <w:p>
            <w:pPr/>
          </w:p>
        </w:tc>
        <w:tc>
          <w:tcPr>
            <w:tcW w:w="1982"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487" w:type="dxa"/>
            <w:vMerge/>
            <w:tcBorders>
              <w:left w:val="single" w:sz="4" w:space="0" w:color="000000"/>
              <w:right w:val="single" w:sz="4" w:space="0" w:color="000000"/>
            </w:tcBorders>
            <w:shd w:val="clear" w:color="auto" w:fill="D2D2D2"/>
          </w:tcPr>
          <w:p>
            <w:pPr/>
          </w:p>
        </w:tc>
      </w:tr>
      <w:tr>
        <w:trPr>
          <w:trHeight w:val="245" w:hRule="exact"/>
        </w:trPr>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98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48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24,537,092.65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230,474,158.71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c>
          <w:tcPr>
            <w:tcW w:w="1702" w:type="dxa"/>
            <w:tcBorders>
              <w:top w:val="single" w:sz="48" w:space="0" w:color="D2D2D2"/>
              <w:left w:val="single" w:sz="4" w:space="0" w:color="000000"/>
              <w:bottom w:val="single" w:sz="4" w:space="0" w:color="000000"/>
              <w:right w:val="single" w:sz="4" w:space="0" w:color="000000"/>
            </w:tcBorders>
          </w:tcPr>
          <w:p>
            <w:pPr/>
          </w:p>
        </w:tc>
        <w:tc>
          <w:tcPr>
            <w:tcW w:w="1487" w:type="dxa"/>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46,556,799.86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33,841,036.15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23.76%</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公司报告期内盈利且母公司可供普通股股东分配利润为正但未提出普通股现金红利分配预案</w:t>
      </w:r>
    </w:p>
    <w:p>
      <w:pPr>
        <w:spacing w:line="240" w:lineRule="auto" w:before="0"/>
        <w:rPr>
          <w:rFonts w:ascii="宋体" w:hAnsi="宋体" w:cs="宋体" w:eastAsia="宋体" w:hint="default"/>
          <w:sz w:val="15"/>
          <w:szCs w:val="15"/>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二、本报告期利润分配及资本公积金转增股本预案" w:id="71"/>
      <w:bookmarkEnd w:id="71"/>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40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490,741,853</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24,537,092.65</w:t>
            </w:r>
          </w:p>
        </w:tc>
      </w:tr>
      <w:tr>
        <w:trPr>
          <w:trHeight w:val="40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167,244,827.35</w:t>
            </w:r>
          </w:p>
        </w:tc>
      </w:tr>
      <w:tr>
        <w:trPr>
          <w:trHeight w:val="40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44"/>
        <w:ind w:left="0" w:right="1140"/>
        <w:jc w:val="right"/>
      </w:pPr>
      <w:r>
        <w:rPr/>
        <w:pict>
          <v:shape style="position:absolute;margin-left:56.459999pt;margin-top:-59.668304pt;width:479.2pt;height:125.3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290"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公司经第四届董事会第十七次会议审议通过的利润分配预案为：以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日的公司总股本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490,741,853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股派发现金红利</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元（含税），共计派发现金红利</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24,537,092.65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元；同时以资本公积转增股本方式向</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全体股东每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股转增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股，共计转增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294,445,112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股（注：因转增比例计算过程中小数四舍五入影响，最终以中国结算深</w:t>
                        </w:r>
                      </w:p>
                      <w:p>
                        <w:pPr>
                          <w:pStyle w:val="TableParagraph"/>
                          <w:spacing w:line="240" w:lineRule="exact"/>
                          <w:ind w:left="22" w:right="0"/>
                          <w:jc w:val="left"/>
                          <w:rPr>
                            <w:rFonts w:ascii="宋体" w:hAnsi="宋体" w:cs="宋体" w:eastAsia="宋体" w:hint="default"/>
                            <w:sz w:val="18"/>
                            <w:szCs w:val="18"/>
                          </w:rPr>
                        </w:pPr>
                        <w:r>
                          <w:rPr>
                            <w:rFonts w:ascii="宋体" w:hAnsi="宋体" w:cs="宋体" w:eastAsia="宋体" w:hint="default"/>
                            <w:sz w:val="18"/>
                            <w:szCs w:val="18"/>
                          </w:rPr>
                          <w:t>圳分公司的结果为准）；送红股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股（含税）。本次利润分配及资本公积转增股本方案实施后，公司的总股本由目前的</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490,741,853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785,186,965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股。转增金额未超过报告期末“资本公积——股本溢价”的余额。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before="26"/>
        <w:ind w:left="154" w:right="1118"/>
        <w:jc w:val="left"/>
        <w:rPr>
          <w:b w:val="0"/>
          <w:bCs w:val="0"/>
        </w:rPr>
      </w:pPr>
      <w:bookmarkStart w:name="三、承诺事项履行情况" w:id="72"/>
      <w:bookmarkEnd w:id="72"/>
      <w:r>
        <w:rPr>
          <w:b w:val="0"/>
          <w:bCs w:val="0"/>
        </w:rPr>
      </w: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3"/>
        <w:spacing w:line="271" w:lineRule="auto"/>
        <w:ind w:left="153" w:right="1118" w:firstLine="402"/>
        <w:jc w:val="left"/>
        <w:rPr>
          <w:b w:val="0"/>
          <w:bCs w:val="0"/>
        </w:rPr>
      </w:pPr>
      <w:bookmarkStart w:name="1、公司实际控制人、股东、关联方、收购人以及公司等承诺相关方在报告期内履行完毕及" w:id="73"/>
      <w:bookmarkEnd w:id="73"/>
      <w:r>
        <w:rPr>
          <w:b w:val="0"/>
          <w:bCs w:val="0"/>
        </w:rPr>
      </w:r>
      <w:r>
        <w:rPr>
          <w:rFonts w:ascii="Times New Roman" w:hAnsi="Times New Roman" w:cs="Times New Roman" w:eastAsia="Times New Roman" w:hint="default"/>
          <w:spacing w:val="-2"/>
          <w:w w:val="95"/>
        </w:rPr>
        <w:t>1</w:t>
      </w:r>
      <w:r>
        <w:rPr>
          <w:spacing w:val="-2"/>
          <w:w w:val="95"/>
        </w:rPr>
        <w:t>、公司实际控制人、股东、关联方、收购人以及公司等承诺相关方在报告期内履行完毕及截至报告期末尚</w:t>
      </w:r>
      <w:r>
        <w:rPr>
          <w:spacing w:val="-43"/>
          <w:w w:val="95"/>
        </w:rPr>
        <w:t> </w:t>
      </w:r>
      <w:r>
        <w:rPr>
          <w:spacing w:val="-43"/>
          <w:w w:val="95"/>
        </w:rPr>
      </w:r>
      <w:r>
        <w:rPr/>
        <w:t>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18"/>
        <w:jc w:val="left"/>
      </w:pPr>
      <w:r>
        <w:rPr/>
        <w:pict>
          <v:shape style="position:absolute;margin-left:297.194pt;margin-top:91.031693pt;width:156.25pt;height:162.450pt;mso-position-horizontal-relative:page;mso-position-vertical-relative:paragraph;z-index:-986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BodyText"/>
                    <w:spacing w:line="240" w:lineRule="auto"/>
                    <w:ind w:left="0" w:right="0"/>
                    <w:jc w:val="left"/>
                  </w:pPr>
                  <w:r>
                    <w:rPr/>
                    <w:t>顾问或咨询等方式提供服务。</w:t>
                  </w:r>
                </w:p>
              </w:txbxContent>
            </v:textbox>
            <w10:wrap type="none"/>
          </v:shape>
        </w:pict>
      </w:r>
      <w:r>
        <w:rPr/>
        <w:pict>
          <v:group style="position:absolute;margin-left:411.420013pt;margin-top:91.031693pt;width:42pt;height:162.450pt;mso-position-horizontal-relative:page;mso-position-vertical-relative:paragraph;z-index:-986944" coordorigin="8228,1821" coordsize="840,3249">
            <v:shape style="position:absolute;left:8228;top:1821;width:840;height:3249" coordorigin="8228,1821" coordsize="840,3249" path="m8228,5069l9068,5069,9068,1821,8228,1821,8228,5069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4112"/>
        <w:gridCol w:w="850"/>
        <w:gridCol w:w="851"/>
        <w:gridCol w:w="779"/>
      </w:tblGrid>
      <w:tr>
        <w:trPr>
          <w:trHeight w:val="33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3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852"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9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60"/>
              <w:ind w:left="17" w:right="96"/>
              <w:jc w:val="left"/>
              <w:rPr>
                <w:rFonts w:ascii="宋体" w:hAnsi="宋体" w:cs="宋体" w:eastAsia="宋体" w:hint="default"/>
                <w:sz w:val="18"/>
                <w:szCs w:val="18"/>
              </w:rPr>
            </w:pPr>
            <w:r>
              <w:rPr>
                <w:rFonts w:ascii="宋体" w:hAnsi="宋体" w:cs="宋体" w:eastAsia="宋体" w:hint="default"/>
                <w:sz w:val="18"/>
                <w:szCs w:val="18"/>
              </w:rPr>
              <w:t>东润投资 朱文明 束昱辉</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4" w:lineRule="auto"/>
              <w:ind w:left="22" w:right="95"/>
              <w:jc w:val="left"/>
              <w:rPr>
                <w:rFonts w:ascii="宋体" w:hAnsi="宋体" w:cs="宋体" w:eastAsia="宋体" w:hint="default"/>
                <w:sz w:val="18"/>
                <w:szCs w:val="18"/>
              </w:rPr>
            </w:pPr>
            <w:r>
              <w:rPr>
                <w:rFonts w:ascii="宋体" w:hAnsi="宋体" w:cs="宋体" w:eastAsia="宋体" w:hint="default"/>
                <w:sz w:val="18"/>
                <w:szCs w:val="18"/>
              </w:rPr>
              <w:t>避免同业 竞争</w:t>
            </w:r>
          </w:p>
        </w:tc>
        <w:tc>
          <w:tcPr>
            <w:tcW w:w="4112" w:type="dxa"/>
            <w:vMerge w:val="restart"/>
            <w:tcBorders>
              <w:top w:val="single" w:sz="4" w:space="0" w:color="000000"/>
              <w:left w:val="single" w:sz="4" w:space="0" w:color="000000"/>
              <w:right w:val="single" w:sz="4" w:space="0" w:color="000000"/>
            </w:tcBorders>
          </w:tcPr>
          <w:p>
            <w:pPr>
              <w:pStyle w:val="TableParagraph"/>
              <w:spacing w:line="242" w:lineRule="auto" w:before="2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、截止本承诺函签署之日，本企业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本人未在、 </w:t>
            </w:r>
            <w:r>
              <w:rPr>
                <w:rFonts w:ascii="宋体" w:hAnsi="宋体" w:cs="宋体" w:eastAsia="宋体" w:hint="default"/>
                <w:spacing w:val="-4"/>
                <w:sz w:val="18"/>
                <w:szCs w:val="18"/>
              </w:rPr>
              <w:t>将来也不会在中国境内或境外以任何方式（包括但不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限于单独经营、通过合资</w:t>
            </w:r>
            <w:r>
              <w:rPr>
                <w:rFonts w:ascii="Times New Roman" w:hAnsi="Times New Roman" w:cs="Times New Roman" w:eastAsia="Times New Roman" w:hint="default"/>
                <w:sz w:val="18"/>
                <w:szCs w:val="18"/>
              </w:rPr>
              <w:t>/</w:t>
            </w:r>
            <w:r>
              <w:rPr>
                <w:rFonts w:ascii="宋体" w:hAnsi="宋体" w:cs="宋体" w:eastAsia="宋体" w:hint="default"/>
                <w:sz w:val="18"/>
                <w:szCs w:val="18"/>
              </w:rPr>
              <w:t>合伙经营或拥有另一公司 </w:t>
            </w:r>
            <w:r>
              <w:rPr>
                <w:rFonts w:ascii="宋体" w:hAnsi="宋体" w:cs="宋体" w:eastAsia="宋体" w:hint="default"/>
                <w:spacing w:val="-4"/>
                <w:sz w:val="18"/>
                <w:szCs w:val="18"/>
              </w:rPr>
              <w:t>或企业的股权及其它权益等方式）直接或间接从事或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参与任何与上市公司及其下属子公司相同、相似或在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商业上构成任何竞争的业务及活动，或拥有与上市公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司及其下属子公司存在竞争关系的任何经济实体、机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构、经济组织的权益，或以其他任何形式取得该经济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实体、机构、经济组织的控制权，或者为该等与上市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公司及其下属子公司业务构成竞争关系的经济实体 </w:t>
            </w:r>
            <w:r>
              <w:rPr>
                <w:rFonts w:ascii="宋体" w:hAnsi="宋体" w:cs="宋体" w:eastAsia="宋体" w:hint="default"/>
                <w:spacing w:val="-8"/>
                <w:sz w:val="18"/>
                <w:szCs w:val="18"/>
              </w:rPr>
              <w:t>机构、经济组织以劳务、</w:t>
            </w:r>
          </w:p>
          <w:p>
            <w:pPr>
              <w:pStyle w:val="TableParagraph"/>
              <w:spacing w:line="240" w:lineRule="auto" w:before="43"/>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本人如从任何第三方获得的商业机会</w:t>
            </w:r>
            <w:r>
              <w:rPr>
                <w:rFonts w:ascii="宋体" w:hAnsi="宋体" w:cs="宋体" w:eastAsia="宋体" w:hint="default"/>
                <w:sz w:val="18"/>
                <w:szCs w:val="18"/>
              </w:rPr>
              <w:t> 与上市公司及其下属子公司经营的业务构成竞争或 </w:t>
            </w:r>
            <w:r>
              <w:rPr>
                <w:rFonts w:ascii="宋体" w:hAnsi="宋体" w:cs="宋体" w:eastAsia="宋体" w:hint="default"/>
                <w:spacing w:val="-4"/>
                <w:sz w:val="18"/>
                <w:szCs w:val="18"/>
              </w:rPr>
              <w:t>可能构成竞争，则应立即通知上市公司或其下属子公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司，并应促成将该商业机会让予上市公司或其下属子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p>
            <w:pPr>
              <w:pStyle w:val="TableParagraph"/>
              <w:spacing w:line="240" w:lineRule="exact" w:before="62"/>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、若发现本企业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 他企业在以后任何时间从事与上市公司及其下属子 公司的产品或业务存在竞争的业务，则本企业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本人控制的其他企业承诺将以停止生产经 </w:t>
            </w:r>
            <w:r>
              <w:rPr>
                <w:rFonts w:ascii="宋体" w:hAnsi="宋体" w:cs="宋体" w:eastAsia="宋体" w:hint="default"/>
                <w:spacing w:val="-4"/>
                <w:sz w:val="18"/>
                <w:szCs w:val="18"/>
              </w:rPr>
              <w:t>营相竞争的业务或产品的方式，或者将相竞争的业务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无偿转让给上市公司及其下属子公司的方式，或者将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相竞争的业务转让给无关联关系的第三方的方式避 免同业竞争。</w:t>
            </w:r>
          </w:p>
          <w:p>
            <w:pPr>
              <w:pStyle w:val="TableParagraph"/>
              <w:spacing w:line="240" w:lineRule="exact" w:before="39"/>
              <w:ind w:left="22" w:right="1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本人作为上市公司控股股东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 控制人期间，本承诺函持续有效，不可撤销。</w:t>
            </w:r>
          </w:p>
          <w:p>
            <w:pPr>
              <w:pStyle w:val="TableParagraph"/>
              <w:spacing w:line="240" w:lineRule="exact" w:before="41"/>
              <w:ind w:left="22" w:right="27"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、如上述承诺被证明是不真实的或未被遵守， 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本人愿意承担因违反上述承诺而给上市公司 造成的全部经济损失。</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r>
        <w:trPr>
          <w:trHeight w:val="559"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852"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11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60"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53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96"/>
              <w:jc w:val="left"/>
              <w:rPr>
                <w:rFonts w:ascii="宋体" w:hAnsi="宋体" w:cs="宋体" w:eastAsia="宋体" w:hint="default"/>
                <w:sz w:val="18"/>
                <w:szCs w:val="18"/>
              </w:rPr>
            </w:pPr>
            <w:r>
              <w:rPr>
                <w:rFonts w:ascii="宋体" w:hAnsi="宋体" w:cs="宋体" w:eastAsia="宋体" w:hint="default"/>
                <w:sz w:val="18"/>
                <w:szCs w:val="18"/>
              </w:rPr>
              <w:t>东润投资 朱文明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5"/>
              <w:jc w:val="left"/>
              <w:rPr>
                <w:rFonts w:ascii="宋体" w:hAnsi="宋体" w:cs="宋体" w:eastAsia="宋体" w:hint="default"/>
                <w:sz w:val="18"/>
                <w:szCs w:val="18"/>
              </w:rPr>
            </w:pPr>
            <w:r>
              <w:rPr>
                <w:rFonts w:ascii="宋体" w:hAnsi="宋体" w:cs="宋体" w:eastAsia="宋体" w:hint="default"/>
                <w:sz w:val="18"/>
                <w:szCs w:val="18"/>
              </w:rPr>
              <w:t>减少和规 避关联交</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、于本次交易完成后，本企业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本人将尽量避免</w:t>
            </w:r>
            <w:r>
              <w:rPr>
                <w:rFonts w:ascii="宋体" w:hAnsi="宋体" w:cs="宋体" w:eastAsia="宋体" w:hint="default"/>
                <w:sz w:val="18"/>
                <w:szCs w:val="18"/>
              </w:rPr>
              <w:t> 或减少本企业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r>
        <w:rPr/>
        <w:pict>
          <v:group style="position:absolute;margin-left:411.420013pt;margin-top:71.909981pt;width:40.9pt;height:18.8pt;mso-position-horizontal-relative:page;mso-position-vertical-relative:page;z-index:-986896" coordorigin="8228,1438" coordsize="818,376">
            <v:group style="position:absolute;left:8240;top:1450;width:2;height:353" coordorigin="8240,1450" coordsize="2,353">
              <v:shape style="position:absolute;left:8240;top:1450;width:2;height:353" coordorigin="8240,1450" coordsize="0,353" path="m8240,1450l8240,1802e" filled="false" stroked="true" strokeweight="1.140pt" strokecolor="#ffffff">
                <v:path arrowok="t"/>
              </v:shape>
            </v:group>
            <v:group style="position:absolute;left:8251;top:1450;width:795;height:353" coordorigin="8251,1450" coordsize="795,353">
              <v:shape style="position:absolute;left:8251;top:1450;width:795;height:353" coordorigin="8251,1450" coordsize="795,353" path="m8251,1802l9046,1802,9046,1450,8251,1450,8251,180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4112"/>
        <w:gridCol w:w="850"/>
        <w:gridCol w:w="851"/>
        <w:gridCol w:w="779"/>
      </w:tblGrid>
      <w:tr>
        <w:trPr>
          <w:trHeight w:val="641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易</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33"/>
              <w:jc w:val="left"/>
              <w:rPr>
                <w:rFonts w:ascii="宋体" w:hAnsi="宋体" w:cs="宋体" w:eastAsia="宋体" w:hint="default"/>
                <w:sz w:val="18"/>
                <w:szCs w:val="18"/>
              </w:rPr>
            </w:pPr>
            <w:r>
              <w:rPr>
                <w:rFonts w:ascii="宋体" w:hAnsi="宋体" w:cs="宋体" w:eastAsia="宋体" w:hint="default"/>
                <w:spacing w:val="-2"/>
                <w:sz w:val="18"/>
                <w:szCs w:val="18"/>
              </w:rPr>
              <w:t>与上市公司及其子公司（包括方欣科技及其子公司，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下同）之间的关联交易。对于上市公司及其子公司能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够通过市场与第三方之间发生的交易，将由上市公司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及其子公司独立与第三方进行；对于本企业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 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本人控制的其他企业与上市公司及其子公司</w:t>
            </w:r>
          </w:p>
          <w:p>
            <w:pPr>
              <w:pStyle w:val="TableParagraph"/>
              <w:spacing w:line="240" w:lineRule="exact"/>
              <w:ind w:left="22" w:right="21"/>
              <w:jc w:val="both"/>
              <w:rPr>
                <w:rFonts w:ascii="宋体" w:hAnsi="宋体" w:cs="宋体" w:eastAsia="宋体" w:hint="default"/>
                <w:sz w:val="18"/>
                <w:szCs w:val="18"/>
              </w:rPr>
            </w:pPr>
            <w:r>
              <w:rPr>
                <w:rFonts w:ascii="宋体" w:hAnsi="宋体" w:cs="宋体" w:eastAsia="宋体" w:hint="default"/>
                <w:spacing w:val="-4"/>
                <w:sz w:val="18"/>
                <w:szCs w:val="18"/>
              </w:rPr>
              <w:t>无法避免的关联交易，均将严格遵守市场化原则，本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着平等互利、等价、有偿的一般原则，公平合理地进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w:t>
            </w:r>
          </w:p>
          <w:p>
            <w:pPr>
              <w:pStyle w:val="TableParagraph"/>
              <w:spacing w:line="240" w:lineRule="exact" w:before="40"/>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、本次交易过程中及交易完成后，除开展正常 </w:t>
            </w:r>
            <w:r>
              <w:rPr>
                <w:rFonts w:ascii="宋体" w:hAnsi="宋体" w:cs="宋体" w:eastAsia="宋体" w:hint="default"/>
                <w:spacing w:val="-4"/>
                <w:sz w:val="18"/>
                <w:szCs w:val="18"/>
              </w:rPr>
              <w:t>业务所需备用金外，不会以任何方式占用或使用上市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公司及其子公司的资金、资产或其他资源，也不会要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求上市公司及其子公司为本企业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 人控制的其他企业代垫款项、代偿债务，本企业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 人不会以任何直接或间接的方式从事损害或可能损 害上市公司及其子公司利益的行为。</w:t>
            </w:r>
          </w:p>
          <w:p>
            <w:pPr>
              <w:pStyle w:val="TableParagraph"/>
              <w:spacing w:line="240" w:lineRule="auto" w:before="21"/>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 </w:t>
            </w:r>
            <w:r>
              <w:rPr>
                <w:rFonts w:ascii="宋体" w:hAnsi="宋体" w:cs="宋体" w:eastAsia="宋体" w:hint="default"/>
                <w:spacing w:val="-4"/>
                <w:sz w:val="18"/>
                <w:szCs w:val="18"/>
              </w:rPr>
              <w:t>与上市公司及其子公司发生关联交易时，将严格按照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有关法律、法规、规范性文件及《江苏丰东热技术股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份有限公司章程》等公司治理制度的有关规定履行审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批程序和信息披露义务，保证不通过关联交易损害上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市公司及其子公司、广大中小股东的合法权益。本企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本人在上市公司董事会或股东大会审议该等关联 </w:t>
            </w:r>
            <w:r>
              <w:rPr>
                <w:rFonts w:ascii="宋体" w:hAnsi="宋体" w:cs="宋体" w:eastAsia="宋体" w:hint="default"/>
                <w:spacing w:val="-4"/>
                <w:sz w:val="18"/>
                <w:szCs w:val="18"/>
              </w:rPr>
              <w:t>交易事项时，主动依法履行回避义务，并在议案获得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通过后方可实施。</w:t>
            </w:r>
          </w:p>
          <w:p>
            <w:pPr>
              <w:pStyle w:val="TableParagraph"/>
              <w:spacing w:line="240" w:lineRule="exact" w:before="62"/>
              <w:ind w:left="22" w:right="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、如果因违反上述承诺导致上市公司及其子公 司利益损失的，该等损失由本企业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内，承诺 人均严格 履行了承 诺内容。</w:t>
            </w:r>
          </w:p>
        </w:tc>
      </w:tr>
      <w:tr>
        <w:trPr>
          <w:trHeight w:val="741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18"/>
              <w:ind w:left="23" w:right="96"/>
              <w:jc w:val="left"/>
              <w:rPr>
                <w:rFonts w:ascii="宋体" w:hAnsi="宋体" w:cs="宋体" w:eastAsia="宋体" w:hint="default"/>
                <w:sz w:val="18"/>
                <w:szCs w:val="18"/>
              </w:rPr>
            </w:pPr>
            <w:r>
              <w:rPr>
                <w:rFonts w:ascii="宋体" w:hAnsi="宋体" w:cs="宋体" w:eastAsia="宋体" w:hint="default"/>
                <w:sz w:val="18"/>
                <w:szCs w:val="18"/>
              </w:rPr>
              <w:t>徐正军 王金根 北京众诚 深圳金 蝶、苏州 松禾 广州西域 曹锋 邓国庭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股份锁定</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5"/>
                <w:sz w:val="18"/>
                <w:szCs w:val="18"/>
              </w:rPr>
              <w:t>自上市公司本次股份发行结束之日起算，交易对</w:t>
            </w:r>
            <w:r>
              <w:rPr>
                <w:rFonts w:ascii="宋体" w:hAnsi="宋体" w:cs="宋体" w:eastAsia="宋体" w:hint="default"/>
                <w:sz w:val="18"/>
                <w:szCs w:val="18"/>
              </w:rPr>
              <w:t> 方通过本次重组所取得的上市公司股份锁定期不得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4" w:lineRule="auto" w:before="27"/>
              <w:ind w:left="22" w:right="22" w:firstLine="360"/>
              <w:jc w:val="both"/>
              <w:rPr>
                <w:rFonts w:ascii="宋体" w:hAnsi="宋体" w:cs="宋体" w:eastAsia="宋体" w:hint="default"/>
                <w:sz w:val="18"/>
                <w:szCs w:val="18"/>
              </w:rPr>
            </w:pPr>
            <w:r>
              <w:rPr>
                <w:rFonts w:ascii="宋体" w:hAnsi="宋体" w:cs="宋体" w:eastAsia="宋体" w:hint="default"/>
                <w:spacing w:val="-5"/>
                <w:sz w:val="18"/>
                <w:szCs w:val="18"/>
              </w:rPr>
              <w:t>经上市公司及业绩承诺方友好协商，业绩承诺方</w:t>
            </w:r>
            <w:r>
              <w:rPr>
                <w:rFonts w:ascii="宋体" w:hAnsi="宋体" w:cs="宋体" w:eastAsia="宋体" w:hint="default"/>
                <w:sz w:val="18"/>
                <w:szCs w:val="18"/>
              </w:rPr>
              <w:t> </w:t>
            </w:r>
            <w:r>
              <w:rPr>
                <w:rFonts w:ascii="宋体" w:hAnsi="宋体" w:cs="宋体" w:eastAsia="宋体" w:hint="default"/>
                <w:spacing w:val="-4"/>
                <w:sz w:val="18"/>
                <w:szCs w:val="18"/>
              </w:rPr>
              <w:t>保证，业绩承诺方通过本次重组取得的上市公司股份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的锁定期自上市公司本次股份发行结束之日起算，并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分三期解锁，每期解锁日及可解锁股份数量如下：</w:t>
            </w:r>
          </w:p>
          <w:p>
            <w:pPr>
              <w:pStyle w:val="TableParagraph"/>
              <w:spacing w:line="240" w:lineRule="exact" w:before="58"/>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6"/>
                <w:sz w:val="18"/>
                <w:szCs w:val="18"/>
              </w:rPr>
              <w:t>、</w:t>
            </w:r>
            <w:r>
              <w:rPr>
                <w:rFonts w:ascii="宋体" w:hAnsi="宋体" w:cs="宋体" w:eastAsia="宋体" w:hint="default"/>
                <w:sz w:val="18"/>
                <w:szCs w:val="18"/>
              </w:rPr>
              <w:t>于标的公司</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年度专项财务审计报告正式 出具后</w:t>
            </w:r>
            <w:r>
              <w:rPr>
                <w:rFonts w:ascii="宋体" w:hAnsi="宋体" w:cs="宋体" w:eastAsia="宋体" w:hint="default"/>
                <w:spacing w:val="-86"/>
                <w:sz w:val="18"/>
                <w:szCs w:val="18"/>
              </w:rPr>
              <w:t>，</w:t>
            </w:r>
            <w:r>
              <w:rPr>
                <w:rFonts w:ascii="宋体" w:hAnsi="宋体" w:cs="宋体" w:eastAsia="宋体" w:hint="default"/>
                <w:sz w:val="18"/>
                <w:szCs w:val="18"/>
              </w:rPr>
              <w:t>且业绩承诺方与上市公司就本次交易签署的</w:t>
            </w:r>
          </w:p>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4"/>
                <w:sz w:val="18"/>
                <w:szCs w:val="18"/>
              </w:rPr>
              <w:t>《业绩补偿协议》约定的当年度各项业绩补偿均实施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完毕后的第一个工作日为第一期股份解锁日，第一期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可解锁股份的数量为：业绩承诺方取得的全部上市公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司股份</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年度业绩未完成应补偿的股份 数，可解锁股份数量小于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w:t>
            </w:r>
          </w:p>
          <w:p>
            <w:pPr>
              <w:pStyle w:val="TableParagraph"/>
              <w:spacing w:line="240" w:lineRule="exact" w:before="39"/>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6"/>
                <w:sz w:val="18"/>
                <w:szCs w:val="18"/>
              </w:rPr>
              <w:t>、</w:t>
            </w:r>
            <w:r>
              <w:rPr>
                <w:rFonts w:ascii="宋体" w:hAnsi="宋体" w:cs="宋体" w:eastAsia="宋体" w:hint="default"/>
                <w:sz w:val="18"/>
                <w:szCs w:val="18"/>
              </w:rPr>
              <w:t>于标的公司</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年度专项财务审计报告正式 出具后</w:t>
            </w:r>
            <w:r>
              <w:rPr>
                <w:rFonts w:ascii="宋体" w:hAnsi="宋体" w:cs="宋体" w:eastAsia="宋体" w:hint="default"/>
                <w:spacing w:val="-86"/>
                <w:sz w:val="18"/>
                <w:szCs w:val="18"/>
              </w:rPr>
              <w:t>，</w:t>
            </w:r>
            <w:r>
              <w:rPr>
                <w:rFonts w:ascii="宋体" w:hAnsi="宋体" w:cs="宋体" w:eastAsia="宋体" w:hint="default"/>
                <w:sz w:val="18"/>
                <w:szCs w:val="18"/>
              </w:rPr>
              <w:t>且业绩承诺方与上市公司就本次交易签署的</w:t>
            </w:r>
          </w:p>
          <w:p>
            <w:pPr>
              <w:pStyle w:val="TableParagraph"/>
              <w:spacing w:line="240" w:lineRule="exact"/>
              <w:ind w:left="22" w:right="22"/>
              <w:jc w:val="both"/>
              <w:rPr>
                <w:rFonts w:ascii="宋体" w:hAnsi="宋体" w:cs="宋体" w:eastAsia="宋体" w:hint="default"/>
                <w:sz w:val="18"/>
                <w:szCs w:val="18"/>
              </w:rPr>
            </w:pPr>
            <w:r>
              <w:rPr>
                <w:rFonts w:ascii="宋体" w:hAnsi="宋体" w:cs="宋体" w:eastAsia="宋体" w:hint="default"/>
                <w:spacing w:val="-4"/>
                <w:sz w:val="18"/>
                <w:szCs w:val="18"/>
              </w:rPr>
              <w:t>《业绩补偿协议》约定的当年度各项业绩补偿均实施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完毕后的第一个工作日为第二期股份解锁日，第二期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可解锁股份的数量为：业绩承诺方取得的全部上市公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司股份</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pacing w:val="-8"/>
                <w:sz w:val="18"/>
                <w:szCs w:val="18"/>
              </w:rPr>
              <w:t>年度、</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年度业绩未完成应补 </w:t>
            </w:r>
            <w:r>
              <w:rPr>
                <w:rFonts w:ascii="宋体" w:hAnsi="宋体" w:cs="宋体" w:eastAsia="宋体" w:hint="default"/>
                <w:spacing w:val="-4"/>
                <w:sz w:val="18"/>
                <w:szCs w:val="18"/>
              </w:rPr>
              <w:t>偿的股份数合计－第一期可解锁股份的数量，可解锁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股份数量小于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w:t>
            </w:r>
          </w:p>
          <w:p>
            <w:pPr>
              <w:pStyle w:val="TableParagraph"/>
              <w:spacing w:line="240" w:lineRule="exact" w:before="41"/>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6"/>
                <w:sz w:val="18"/>
                <w:szCs w:val="18"/>
              </w:rPr>
              <w:t>、</w:t>
            </w:r>
            <w:r>
              <w:rPr>
                <w:rFonts w:ascii="宋体" w:hAnsi="宋体" w:cs="宋体" w:eastAsia="宋体" w:hint="default"/>
                <w:sz w:val="18"/>
                <w:szCs w:val="18"/>
              </w:rPr>
              <w:t>于标的公司</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年度专项财务审计报告正式 出具后</w:t>
            </w:r>
            <w:r>
              <w:rPr>
                <w:rFonts w:ascii="宋体" w:hAnsi="宋体" w:cs="宋体" w:eastAsia="宋体" w:hint="default"/>
                <w:spacing w:val="-86"/>
                <w:sz w:val="18"/>
                <w:szCs w:val="18"/>
              </w:rPr>
              <w:t>，</w:t>
            </w:r>
            <w:r>
              <w:rPr>
                <w:rFonts w:ascii="宋体" w:hAnsi="宋体" w:cs="宋体" w:eastAsia="宋体" w:hint="default"/>
                <w:sz w:val="18"/>
                <w:szCs w:val="18"/>
              </w:rPr>
              <w:t>且业绩承诺方与上市公司就本次交易签署的</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《业绩补偿协议</w:t>
            </w:r>
            <w:r>
              <w:rPr>
                <w:rFonts w:ascii="宋体" w:hAnsi="宋体" w:cs="宋体" w:eastAsia="宋体" w:hint="default"/>
                <w:spacing w:val="-86"/>
                <w:sz w:val="18"/>
                <w:szCs w:val="18"/>
              </w:rPr>
              <w:t>》</w:t>
            </w:r>
            <w:r>
              <w:rPr>
                <w:rFonts w:ascii="宋体" w:hAnsi="宋体" w:cs="宋体" w:eastAsia="宋体" w:hint="default"/>
                <w:sz w:val="18"/>
                <w:szCs w:val="18"/>
              </w:rPr>
              <w:t>约定的当年度各项业绩补偿及减值</w:t>
            </w:r>
          </w:p>
          <w:p>
            <w:pPr>
              <w:pStyle w:val="TableParagraph"/>
              <w:spacing w:line="240" w:lineRule="exact" w:before="23"/>
              <w:ind w:left="22" w:right="21"/>
              <w:jc w:val="left"/>
              <w:rPr>
                <w:rFonts w:ascii="宋体" w:hAnsi="宋体" w:cs="宋体" w:eastAsia="宋体" w:hint="default"/>
                <w:sz w:val="18"/>
                <w:szCs w:val="18"/>
              </w:rPr>
            </w:pPr>
            <w:r>
              <w:rPr>
                <w:rFonts w:ascii="宋体" w:hAnsi="宋体" w:cs="宋体" w:eastAsia="宋体" w:hint="default"/>
                <w:sz w:val="18"/>
                <w:szCs w:val="18"/>
              </w:rPr>
              <w:t>测试补偿均实施完毕后的第一个工作日为第三期股 </w:t>
            </w:r>
            <w:r>
              <w:rPr>
                <w:rFonts w:ascii="宋体" w:hAnsi="宋体" w:cs="宋体" w:eastAsia="宋体" w:hint="default"/>
                <w:spacing w:val="-4"/>
                <w:sz w:val="18"/>
                <w:szCs w:val="18"/>
              </w:rPr>
              <w:t>份解锁日，第三期可解锁股份的数量为：业绩承诺方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通过本次交易取得的全部上市公司股份－</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7"/>
                <w:sz w:val="18"/>
                <w:szCs w:val="18"/>
              </w:rPr>
              <w:t>度、</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年度业绩未完成应补偿的股份 数及资产减值应补偿的股份数合计－第一期可解锁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exact"/>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北京众 诚、苏州 松禾、深 圳金蝶、 广州西域 股份锁定 期为 </w:t>
            </w:r>
            <w:r>
              <w:rPr>
                <w:rFonts w:ascii="Times New Roman" w:hAnsi="Times New Roman" w:cs="Times New Roman" w:eastAsia="Times New Roman" w:hint="default"/>
                <w:sz w:val="18"/>
                <w:szCs w:val="18"/>
              </w:rPr>
              <w:t>2016.11.2</w:t>
            </w:r>
          </w:p>
          <w:p>
            <w:pPr>
              <w:pStyle w:val="TableParagraph"/>
              <w:spacing w:line="202" w:lineRule="exact" w:before="24"/>
              <w:ind w:left="22" w:right="0"/>
              <w:jc w:val="left"/>
              <w:rPr>
                <w:rFonts w:ascii="Times New Roman" w:hAnsi="Times New Roman" w:cs="Times New Roman" w:eastAsia="Times New Roman" w:hint="default"/>
                <w:sz w:val="18"/>
                <w:szCs w:val="18"/>
              </w:rPr>
            </w:pPr>
            <w:r>
              <w:rPr>
                <w:rFonts w:ascii="Times New Roman"/>
                <w:sz w:val="18"/>
              </w:rPr>
              <w:t>1~2017.11</w:t>
            </w:r>
          </w:p>
          <w:p>
            <w:pPr>
              <w:pStyle w:val="TableParagraph"/>
              <w:spacing w:line="240" w:lineRule="exact" w:before="13"/>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；其余 业绩承诺 方股份锁 定期限最 长为 </w:t>
            </w:r>
            <w:r>
              <w:rPr>
                <w:rFonts w:ascii="Times New Roman" w:hAnsi="Times New Roman" w:cs="Times New Roman" w:eastAsia="Times New Roman" w:hint="default"/>
                <w:sz w:val="18"/>
                <w:szCs w:val="18"/>
              </w:rPr>
              <w:t>2016.11.2</w:t>
            </w:r>
          </w:p>
          <w:p>
            <w:pPr>
              <w:pStyle w:val="TableParagraph"/>
              <w:spacing w:line="202" w:lineRule="exact" w:before="24"/>
              <w:ind w:left="22" w:right="0"/>
              <w:jc w:val="left"/>
              <w:rPr>
                <w:rFonts w:ascii="Times New Roman" w:hAnsi="Times New Roman" w:cs="Times New Roman" w:eastAsia="Times New Roman" w:hint="default"/>
                <w:sz w:val="18"/>
                <w:szCs w:val="18"/>
              </w:rPr>
            </w:pPr>
            <w:r>
              <w:rPr>
                <w:rFonts w:ascii="Times New Roman"/>
                <w:sz w:val="18"/>
              </w:rPr>
              <w:t>1~2019.11</w:t>
            </w:r>
          </w:p>
          <w:p>
            <w:pPr>
              <w:pStyle w:val="TableParagraph"/>
              <w:spacing w:line="240" w:lineRule="exact" w:before="1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，分三 期解锁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bl>
    <w:p>
      <w:pPr>
        <w:spacing w:after="0" w:line="316"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r>
        <w:rPr/>
        <w:pict>
          <v:shape style="position:absolute;margin-left:387.160004pt;margin-top:148.999985pt;width:66.3pt;height:49.05pt;mso-position-horizontal-relative:page;mso-position-vertical-relative:page;z-index:-986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240" w:lineRule="auto"/>
                    <w:ind w:left="0" w:right="0"/>
                    <w:jc w:val="left"/>
                  </w:pPr>
                  <w:r>
                    <w:rPr/>
                    <w:t>万元、</w:t>
                  </w:r>
                </w:p>
              </w:txbxContent>
            </v:textbox>
            <w10:wrap type="none"/>
          </v:shape>
        </w:pict>
      </w:r>
      <w:r>
        <w:rPr/>
        <w:pict>
          <v:shape style="position:absolute;margin-left:306.265991pt;margin-top:275.539978pt;width:147.2pt;height:141pt;mso-position-horizontal-relative:page;mso-position-vertical-relative:page;z-index:-986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9"/>
                      <w:szCs w:val="19"/>
                    </w:rPr>
                  </w:pPr>
                </w:p>
                <w:p>
                  <w:pPr>
                    <w:pStyle w:val="BodyText"/>
                    <w:spacing w:line="240" w:lineRule="auto"/>
                    <w:ind w:left="0" w:right="0"/>
                    <w:jc w:val="left"/>
                  </w:pPr>
                  <w:r>
                    <w:rPr/>
                    <w:t>在作为上市公司股东期间，</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4112"/>
        <w:gridCol w:w="850"/>
        <w:gridCol w:w="851"/>
        <w:gridCol w:w="779"/>
      </w:tblGrid>
      <w:tr>
        <w:trPr>
          <w:trHeight w:val="1530"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2"/>
              <w:jc w:val="left"/>
              <w:rPr>
                <w:rFonts w:ascii="宋体" w:hAnsi="宋体" w:cs="宋体" w:eastAsia="宋体" w:hint="default"/>
                <w:sz w:val="18"/>
                <w:szCs w:val="18"/>
              </w:rPr>
            </w:pPr>
            <w:r>
              <w:rPr>
                <w:rFonts w:ascii="宋体" w:hAnsi="宋体" w:cs="宋体" w:eastAsia="宋体" w:hint="default"/>
                <w:spacing w:val="-4"/>
                <w:sz w:val="18"/>
                <w:szCs w:val="18"/>
              </w:rPr>
              <w:t>股份的数量－第二期可解锁股份的数量，可解锁股份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数量小于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w:t>
            </w:r>
          </w:p>
          <w:p>
            <w:pPr>
              <w:pStyle w:val="TableParagraph"/>
              <w:spacing w:line="244" w:lineRule="auto" w:before="22"/>
              <w:ind w:left="22" w:right="22" w:firstLine="360"/>
              <w:jc w:val="both"/>
              <w:rPr>
                <w:rFonts w:ascii="宋体" w:hAnsi="宋体" w:cs="宋体" w:eastAsia="宋体" w:hint="default"/>
                <w:sz w:val="18"/>
                <w:szCs w:val="18"/>
              </w:rPr>
            </w:pPr>
            <w:r>
              <w:rPr>
                <w:rFonts w:ascii="宋体" w:hAnsi="宋体" w:cs="宋体" w:eastAsia="宋体" w:hint="default"/>
                <w:spacing w:val="-5"/>
                <w:sz w:val="18"/>
                <w:szCs w:val="18"/>
              </w:rPr>
              <w:t>此外，北京众诚、苏州松禾、广州西域承诺：截</w:t>
            </w:r>
            <w:r>
              <w:rPr>
                <w:rFonts w:ascii="宋体" w:hAnsi="宋体" w:cs="宋体" w:eastAsia="宋体" w:hint="default"/>
                <w:sz w:val="18"/>
                <w:szCs w:val="18"/>
              </w:rPr>
              <w:t> </w:t>
            </w:r>
            <w:r>
              <w:rPr>
                <w:rFonts w:ascii="宋体" w:hAnsi="宋体" w:cs="宋体" w:eastAsia="宋体" w:hint="default"/>
                <w:spacing w:val="-4"/>
                <w:sz w:val="18"/>
                <w:szCs w:val="18"/>
              </w:rPr>
              <w:t>至上市公司本次股份发行结束之日，若所持有标的公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司股权的时间未满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个月的，则其通过本次交易所</w:t>
            </w:r>
          </w:p>
          <w:p>
            <w:pPr>
              <w:pStyle w:val="TableParagraph"/>
              <w:spacing w:line="236" w:lineRule="exact"/>
              <w:ind w:left="22" w:right="0"/>
              <w:jc w:val="left"/>
              <w:rPr>
                <w:rFonts w:ascii="宋体" w:hAnsi="宋体" w:cs="宋体" w:eastAsia="宋体" w:hint="default"/>
                <w:sz w:val="18"/>
                <w:szCs w:val="18"/>
              </w:rPr>
            </w:pPr>
            <w:r>
              <w:rPr>
                <w:rFonts w:ascii="宋体" w:hAnsi="宋体" w:cs="宋体" w:eastAsia="宋体" w:hint="default"/>
                <w:sz w:val="18"/>
                <w:szCs w:val="18"/>
              </w:rPr>
              <w:t>取得的上市公司股份锁定期不得低于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2530"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41"/>
              <w:ind w:left="23" w:right="276"/>
              <w:jc w:val="left"/>
              <w:rPr>
                <w:rFonts w:ascii="宋体" w:hAnsi="宋体" w:cs="宋体" w:eastAsia="宋体" w:hint="default"/>
                <w:sz w:val="18"/>
                <w:szCs w:val="18"/>
              </w:rPr>
            </w:pPr>
            <w:r>
              <w:rPr>
                <w:rFonts w:ascii="宋体" w:hAnsi="宋体" w:cs="宋体" w:eastAsia="宋体" w:hint="default"/>
                <w:sz w:val="18"/>
                <w:szCs w:val="18"/>
              </w:rPr>
              <w:t>徐正军 王金根 曹锋 邓国庭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15"/>
              <w:jc w:val="left"/>
              <w:rPr>
                <w:rFonts w:ascii="宋体" w:hAnsi="宋体" w:cs="宋体" w:eastAsia="宋体" w:hint="default"/>
                <w:sz w:val="18"/>
                <w:szCs w:val="18"/>
              </w:rPr>
            </w:pPr>
            <w:r>
              <w:rPr>
                <w:rFonts w:ascii="宋体" w:hAnsi="宋体" w:cs="宋体" w:eastAsia="宋体" w:hint="default"/>
                <w:sz w:val="18"/>
                <w:szCs w:val="18"/>
              </w:rPr>
              <w:t>业绩承诺期内，标的公司于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年度经审计的合并报表口径下归属于母公司股</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东的净利润，分别不低于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16,800</w:t>
            </w:r>
          </w:p>
          <w:p>
            <w:pPr>
              <w:pStyle w:val="TableParagraph"/>
              <w:spacing w:line="249"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如标的公司于业绩承诺期内实现的实际净利润未达 到承诺净利润，则补偿义务人应向上市公司足额补 </w:t>
            </w:r>
            <w:r>
              <w:rPr>
                <w:rFonts w:ascii="宋体" w:hAnsi="宋体" w:cs="宋体" w:eastAsia="宋体" w:hint="default"/>
                <w:spacing w:val="-4"/>
                <w:sz w:val="18"/>
                <w:szCs w:val="18"/>
              </w:rPr>
              <w:t>偿，具体为首先补偿义务人以其在本次交易中取得的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上市公司股份进行补偿，若补偿义务人在本次交易中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取得的上市公司股份不足以补偿上市公司的，则该差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额部分由补偿义务人以现金方式进行补偿。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98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2pt;height:49.05pt;mso-position-horizontal-relative:char;mso-position-vertical-relative:line" coordorigin="0,0" coordsize="840,981">
                  <v:group style="position:absolute;left:0;top:0;width:840;height:981" coordorigin="0,0" coordsize="840,981">
                    <v:shape style="position:absolute;left:0;top:0;width:840;height:981" coordorigin="0,0" coordsize="840,981" path="m0,980l840,980,840,0,0,0,0,980xe" filled="true" fillcolor="#ffffff" stroked="false">
                      <v:path arrowok="t"/>
                      <v:fill type="solid"/>
                    </v:shape>
                  </v:group>
                </v:group>
              </w:pict>
            </w:r>
            <w:r>
              <w:rPr>
                <w:rFonts w:ascii="Times New Roman" w:hAnsi="Times New Roman" w:cs="Times New Roman" w:eastAsia="Times New Roman" w:hint="default"/>
                <w:position w:val="-19"/>
                <w:sz w:val="20"/>
                <w:szCs w:val="20"/>
              </w:rPr>
            </w:r>
          </w:p>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exact" w:before="13"/>
              <w:ind w:left="22" w:right="23"/>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 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r>
        <w:trPr>
          <w:trHeight w:val="6210"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4" w:lineRule="auto"/>
              <w:ind w:left="23" w:right="96"/>
              <w:jc w:val="left"/>
              <w:rPr>
                <w:rFonts w:ascii="宋体" w:hAnsi="宋体" w:cs="宋体" w:eastAsia="宋体" w:hint="default"/>
                <w:sz w:val="18"/>
                <w:szCs w:val="18"/>
              </w:rPr>
            </w:pPr>
            <w:r>
              <w:rPr>
                <w:rFonts w:ascii="宋体" w:hAnsi="宋体" w:cs="宋体" w:eastAsia="宋体" w:hint="default"/>
                <w:sz w:val="18"/>
                <w:szCs w:val="18"/>
              </w:rPr>
              <w:t>徐正军 王金根 北京众诚 深圳金蝶 苏州松禾 广州西域 曹锋 邓国庭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2"/>
              <w:ind w:left="22" w:right="95"/>
              <w:jc w:val="left"/>
              <w:rPr>
                <w:rFonts w:ascii="宋体" w:hAnsi="宋体" w:cs="宋体" w:eastAsia="宋体" w:hint="default"/>
                <w:sz w:val="18"/>
                <w:szCs w:val="18"/>
              </w:rPr>
            </w:pPr>
            <w:r>
              <w:rPr>
                <w:rFonts w:ascii="宋体" w:hAnsi="宋体" w:cs="宋体" w:eastAsia="宋体" w:hint="default"/>
                <w:sz w:val="18"/>
                <w:szCs w:val="18"/>
              </w:rPr>
              <w:t>避免同业 竞争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1"/>
              <w:ind w:left="22" w:right="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、截至本承诺函签署之日，除方欣科技及其控 制的其他企业外，本人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本企业目前在中国境内外任 何地区没有以任何形式直接或间接从事和经营与方 欣科技及其控制的其他企业构成或可能构成竞争的 业务。</w:t>
            </w:r>
          </w:p>
          <w:p>
            <w:pPr>
              <w:pStyle w:val="TableParagraph"/>
              <w:spacing w:line="240" w:lineRule="exact" w:before="39"/>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、本次重组完成后，</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本企业控制的其他企业不会直接或间接从事任 </w:t>
            </w:r>
            <w:r>
              <w:rPr>
                <w:rFonts w:ascii="宋体" w:hAnsi="宋体" w:cs="宋体" w:eastAsia="宋体" w:hint="default"/>
                <w:spacing w:val="-4"/>
                <w:sz w:val="18"/>
                <w:szCs w:val="18"/>
              </w:rPr>
              <w:t>何与上市公司及其下属公司（包括方欣科技及其子公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司，下同）经营业务构成竞争或潜在竞争关系的生产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与经营，亦不会投资任何与上市公司及其下属公司经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营业务构成竞争或潜在竞争关系的其他企业。</w:t>
            </w:r>
          </w:p>
          <w:p>
            <w:pPr>
              <w:pStyle w:val="TableParagraph"/>
              <w:spacing w:line="242" w:lineRule="auto" w:before="23"/>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、作为上市公司股东期间，如本人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本企业控制</w:t>
            </w:r>
            <w:r>
              <w:rPr>
                <w:rFonts w:ascii="宋体" w:hAnsi="宋体" w:cs="宋体" w:eastAsia="宋体" w:hint="default"/>
                <w:sz w:val="18"/>
                <w:szCs w:val="18"/>
              </w:rPr>
              <w:t> 的其他企业获得的商业机会与上市公司及其下属公 </w:t>
            </w:r>
            <w:r>
              <w:rPr>
                <w:rFonts w:ascii="宋体" w:hAnsi="宋体" w:cs="宋体" w:eastAsia="宋体" w:hint="default"/>
                <w:spacing w:val="-4"/>
                <w:sz w:val="18"/>
                <w:szCs w:val="18"/>
              </w:rPr>
              <w:t>司主营业务构成同业竞争或可能构成同业竞争的，将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立即通知上市公司，并优先将该商业机会给予上市公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司，避免与上市公司及其下属公司业务构成同业竞争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或潜在同业竞争，以确保上市公司及上市公司其他股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东利益不受损害。</w:t>
            </w:r>
          </w:p>
          <w:p>
            <w:pPr>
              <w:pStyle w:val="TableParagraph"/>
              <w:spacing w:line="240" w:lineRule="exact" w:before="60"/>
              <w:ind w:left="22" w:right="21"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本企业保证有权签署本承诺函，且本承</w:t>
            </w:r>
            <w:r>
              <w:rPr>
                <w:rFonts w:ascii="宋体" w:hAnsi="宋体" w:cs="宋体" w:eastAsia="宋体" w:hint="default"/>
                <w:sz w:val="18"/>
                <w:szCs w:val="18"/>
              </w:rPr>
              <w:t> </w:t>
            </w:r>
            <w:r>
              <w:rPr>
                <w:rFonts w:ascii="宋体" w:hAnsi="宋体" w:cs="宋体" w:eastAsia="宋体" w:hint="default"/>
                <w:spacing w:val="-4"/>
                <w:sz w:val="18"/>
                <w:szCs w:val="18"/>
              </w:rPr>
              <w:t>诺函一经签署即构成有效的、合法的、具有约束力的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责任，且本人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本企业作为上市公司股东期间持续有 效，不可撤销。本人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本企业保证严格履行本承诺函 </w:t>
            </w:r>
            <w:r>
              <w:rPr>
                <w:rFonts w:ascii="宋体" w:hAnsi="宋体" w:cs="宋体" w:eastAsia="宋体" w:hint="default"/>
                <w:spacing w:val="-4"/>
                <w:sz w:val="18"/>
                <w:szCs w:val="18"/>
              </w:rPr>
              <w:t>中各项承诺，如因违反相关承诺并因此给上市公司造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本企业将承担相应的法律责任并赔 偿损失。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2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42pt;height:141pt;mso-position-horizontal-relative:char;mso-position-vertical-relative:line" coordorigin="0,0" coordsize="840,2820">
                  <v:group style="position:absolute;left:0;top:0;width:840;height:2820" coordorigin="0,0" coordsize="840,2820">
                    <v:shape style="position:absolute;left:0;top:0;width:840;height:2820" coordorigin="0,0" coordsize="840,2820" path="m0,2820l840,2820,840,0,0,0,0,2820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4" w:lineRule="auto"/>
              <w:ind w:left="22" w:right="96"/>
              <w:jc w:val="both"/>
              <w:rPr>
                <w:rFonts w:ascii="宋体" w:hAnsi="宋体" w:cs="宋体" w:eastAsia="宋体" w:hint="default"/>
                <w:sz w:val="18"/>
                <w:szCs w:val="18"/>
              </w:rPr>
            </w:pPr>
            <w:r>
              <w:rPr>
                <w:rFonts w:ascii="宋体" w:hAnsi="宋体" w:cs="宋体" w:eastAsia="宋体" w:hint="default"/>
                <w:sz w:val="18"/>
                <w:szCs w:val="18"/>
              </w:rPr>
              <w:t>作为上市 公司股东 期间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r>
        <w:trPr>
          <w:trHeight w:val="345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1"/>
              <w:ind w:left="23" w:right="96"/>
              <w:jc w:val="left"/>
              <w:rPr>
                <w:rFonts w:ascii="宋体" w:hAnsi="宋体" w:cs="宋体" w:eastAsia="宋体" w:hint="default"/>
                <w:sz w:val="18"/>
                <w:szCs w:val="18"/>
              </w:rPr>
            </w:pPr>
            <w:r>
              <w:rPr>
                <w:rFonts w:ascii="宋体" w:hAnsi="宋体" w:cs="宋体" w:eastAsia="宋体" w:hint="default"/>
                <w:sz w:val="18"/>
                <w:szCs w:val="18"/>
              </w:rPr>
              <w:t>徐正军 王金根 北京众诚 深圳金蝶 苏州松禾 广州西域 曹锋 邓国庭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4" w:lineRule="auto"/>
              <w:ind w:left="22" w:right="95"/>
              <w:jc w:val="both"/>
              <w:rPr>
                <w:rFonts w:ascii="宋体" w:hAnsi="宋体" w:cs="宋体" w:eastAsia="宋体" w:hint="default"/>
                <w:sz w:val="18"/>
                <w:szCs w:val="18"/>
              </w:rPr>
            </w:pPr>
            <w:r>
              <w:rPr>
                <w:rFonts w:ascii="宋体" w:hAnsi="宋体" w:cs="宋体" w:eastAsia="宋体" w:hint="default"/>
                <w:sz w:val="18"/>
                <w:szCs w:val="18"/>
              </w:rPr>
              <w:t>减少和规 范关联交 易</w:t>
            </w:r>
          </w:p>
        </w:tc>
        <w:tc>
          <w:tcPr>
            <w:tcW w:w="4112" w:type="dxa"/>
            <w:tcBorders>
              <w:top w:val="single" w:sz="4" w:space="0" w:color="000000"/>
              <w:left w:val="single" w:sz="4" w:space="0" w:color="000000"/>
              <w:bottom w:val="single" w:sz="4" w:space="0" w:color="000000"/>
              <w:right w:val="single" w:sz="9" w:space="0" w:color="FFFFFF"/>
            </w:tcBorders>
          </w:tcPr>
          <w:p>
            <w:pPr>
              <w:pStyle w:val="TableParagraph"/>
              <w:spacing w:line="242" w:lineRule="auto" w:before="22"/>
              <w:ind w:left="22" w:right="-3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本企业控制的企业将尽 可能避免和减少与上市公司及其子公司的关联交易 不会利用自身作为上市公司股东之地位谋求上市公 </w:t>
            </w:r>
            <w:r>
              <w:rPr>
                <w:rFonts w:ascii="宋体" w:hAnsi="宋体" w:cs="宋体" w:eastAsia="宋体" w:hint="default"/>
                <w:spacing w:val="-4"/>
                <w:sz w:val="18"/>
                <w:szCs w:val="18"/>
              </w:rPr>
              <w:t>司在业务合作等方面给予优于市场第三方的权利；不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会利用自身作为上市公司股东之地位谋求与上市公 </w:t>
            </w:r>
            <w:r>
              <w:rPr>
                <w:rFonts w:ascii="宋体" w:hAnsi="宋体" w:cs="宋体" w:eastAsia="宋体" w:hint="default"/>
                <w:spacing w:val="-4"/>
                <w:sz w:val="18"/>
                <w:szCs w:val="18"/>
              </w:rPr>
              <w:t>司达成交易的优先权利。对于无法避免或有合理理由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 </w:t>
            </w:r>
            <w:r>
              <w:rPr>
                <w:rFonts w:ascii="宋体" w:hAnsi="宋体" w:cs="宋体" w:eastAsia="宋体" w:hint="default"/>
                <w:spacing w:val="-9"/>
                <w:sz w:val="18"/>
                <w:szCs w:val="18"/>
              </w:rPr>
              <w:t>企业将与上市公司及其子公司按照公平、公允、等价、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有偿等原则依法签订协议，并由上市公司按照有关法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律、法规、其他规范性文件以及《江苏丰东热技术股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份有限公司章程》等规定，依法履行相关内部决策批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准程序并及时履行信息披露义务。</w:t>
            </w:r>
          </w:p>
          <w:p>
            <w:pPr>
              <w:pStyle w:val="TableParagraph"/>
              <w:spacing w:line="240" w:lineRule="exact" w:before="60"/>
              <w:ind w:left="22" w:right="4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 控制的企业不以与市场价格相比显失公允的条件与</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36"/>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5" w:lineRule="exact"/>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440"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pict>
                <v:group style="width:42pt;height:72pt;mso-position-horizontal-relative:char;mso-position-vertical-relative:line" coordorigin="0,0" coordsize="840,1440">
                  <v:group style="position:absolute;left:0;top:0;width:840;height:1440" coordorigin="0,0" coordsize="840,1440">
                    <v:shape style="position:absolute;left:0;top:0;width:840;height:1440" coordorigin="0,0" coordsize="840,1440" path="m0,1440l840,1440,840,0,0,0,0,1440xe" filled="true" fillcolor="#ffffff" stroked="false">
                      <v:path arrowok="t"/>
                      <v:fill type="solid"/>
                    </v:shape>
                  </v:group>
                </v:group>
              </w:pict>
            </w:r>
            <w:r>
              <w:rPr>
                <w:rFonts w:ascii="Times New Roman" w:hAnsi="Times New Roman" w:cs="Times New Roman" w:eastAsia="Times New Roman" w:hint="default"/>
                <w:position w:val="-28"/>
                <w:sz w:val="20"/>
                <w:szCs w:val="20"/>
              </w:rPr>
            </w: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79"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9.75pt;height:14pt;mso-position-horizontal-relative:char;mso-position-vertical-relative:line" coordorigin="0,0" coordsize="795,280">
                  <v:group style="position:absolute;left:0;top:0;width:795;height:280" coordorigin="0,0" coordsize="795,280">
                    <v:shape style="position:absolute;left:0;top:0;width:795;height:280" coordorigin="0,0" coordsize="795,280" path="m0,280l794,280,794,0,0,0,0,280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4"/>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bl>
    <w:p>
      <w:pPr>
        <w:spacing w:after="0" w:line="319"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r>
        <w:rPr/>
        <w:pict>
          <v:shape style="position:absolute;margin-left:243.199997pt;margin-top:72.47998pt;width:210.25pt;height:124.05pt;mso-position-horizontal-relative:page;mso-position-vertical-relative:page;z-index:-9867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本企业将承担相应的法律责任并赔偿损失。</w:t>
                  </w:r>
                </w:p>
              </w:txbxContent>
            </v:textbox>
            <w10:wrap type="none"/>
          </v:shape>
        </w:pict>
      </w:r>
      <w:r>
        <w:rPr/>
        <w:pict>
          <v:group style="position:absolute;margin-left:411.420013pt;margin-top:72.47998pt;width:42pt;height:392.6pt;mso-position-horizontal-relative:page;mso-position-vertical-relative:page;z-index:-986704" coordorigin="8228,1450" coordsize="840,7852">
            <v:group style="position:absolute;left:8228;top:1450;width:840;height:2481" coordorigin="8228,1450" coordsize="840,2481">
              <v:shape style="position:absolute;left:8228;top:1450;width:840;height:2481" coordorigin="8228,1450" coordsize="840,2481" path="m8228,3930l9068,3930,9068,1450,8228,1450,8228,3930xe" filled="true" fillcolor="#ffffff" stroked="false">
                <v:path arrowok="t"/>
                <v:fill type="solid"/>
              </v:shape>
            </v:group>
            <v:group style="position:absolute;left:8228;top:3940;width:840;height:5361" coordorigin="8228,3940" coordsize="840,5361">
              <v:shape style="position:absolute;left:8228;top:3940;width:840;height:5361" coordorigin="8228,3940" coordsize="840,5361" path="m8228,9301l9068,9301,9068,3940,8228,3940,8228,930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4112"/>
        <w:gridCol w:w="850"/>
        <w:gridCol w:w="851"/>
        <w:gridCol w:w="779"/>
      </w:tblGrid>
      <w:tr>
        <w:trPr>
          <w:trHeight w:val="25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上市公司及其子公司进行交易</w:t>
            </w:r>
            <w:r>
              <w:rPr>
                <w:rFonts w:ascii="宋体" w:hAnsi="宋体" w:cs="宋体" w:eastAsia="宋体" w:hint="default"/>
                <w:spacing w:val="-86"/>
                <w:sz w:val="18"/>
                <w:szCs w:val="18"/>
              </w:rPr>
              <w:t>，</w:t>
            </w:r>
            <w:r>
              <w:rPr>
                <w:rFonts w:ascii="宋体" w:hAnsi="宋体" w:cs="宋体" w:eastAsia="宋体" w:hint="default"/>
                <w:sz w:val="18"/>
                <w:szCs w:val="18"/>
              </w:rPr>
              <w:t>不利用关联交易非法</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转移上市公司的资金、利润，亦不利用该类交易从事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60"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任何损害上市公司及其他股东合法权益的行为。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65"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本企业保证有权签署本承诺函，且本承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诺函一经本人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本企业签署即对本人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本企业构成有</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效的、合法的、具有约束力的责任，且在本人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业作为上市公司股东期间持续有效，不可撤销。本人</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本企业保证严格履行本承诺函中各项承诺，如因违</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反相关承诺并因此给上市公司或其子公司造成损失</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77" w:hRule="exact"/>
        </w:trPr>
        <w:tc>
          <w:tcPr>
            <w:tcW w:w="127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的，本人</w:t>
            </w:r>
            <w:r>
              <w:rPr>
                <w:rFonts w:ascii="Times New Roman" w:hAnsi="Times New Roman" w:cs="Times New Roman" w:eastAsia="Times New Roman" w:hint="default"/>
                <w:spacing w:val="-10"/>
                <w:sz w:val="18"/>
                <w:szCs w:val="18"/>
              </w:rPr>
              <w:t>/</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282"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382" w:right="0"/>
              <w:jc w:val="left"/>
              <w:rPr>
                <w:rFonts w:ascii="宋体" w:hAnsi="宋体" w:cs="宋体" w:eastAsia="宋体" w:hint="default"/>
                <w:sz w:val="18"/>
                <w:szCs w:val="18"/>
              </w:rPr>
            </w:pPr>
            <w:r>
              <w:rPr>
                <w:rFonts w:ascii="宋体" w:hAnsi="宋体" w:cs="宋体" w:eastAsia="宋体" w:hint="default"/>
                <w:sz w:val="18"/>
                <w:szCs w:val="18"/>
              </w:rPr>
              <w:t>①人员独立</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256"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、保证上市公司的生产经营与行政管理（包括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劳动、人事及工资管理等）完全独立于本人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及其关联方。</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、保证上市公司的总经理、副总经理、财务负</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责人、董事会秘书等高级管理人员的独立性，不在本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4"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本企业控制的企业及其关联方担任除董事、监事</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以外的其它职务。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6"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宋体" w:hAnsi="宋体" w:cs="宋体" w:eastAsia="宋体" w:hint="default"/>
                <w:spacing w:val="-76"/>
                <w:sz w:val="18"/>
                <w:szCs w:val="18"/>
              </w:rPr>
              <w:t>、</w:t>
            </w:r>
            <w:r>
              <w:rPr>
                <w:rFonts w:ascii="宋体" w:hAnsi="宋体" w:cs="宋体" w:eastAsia="宋体" w:hint="default"/>
                <w:sz w:val="18"/>
                <w:szCs w:val="18"/>
              </w:rPr>
              <w:t>保证本人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本企业及关联方提名出任上市公司</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6"/>
                <w:sz w:val="18"/>
                <w:szCs w:val="18"/>
              </w:rPr>
              <w:t>、</w:t>
            </w:r>
            <w:r>
              <w:rPr>
                <w:rFonts w:ascii="宋体" w:hAnsi="宋体" w:cs="宋体" w:eastAsia="宋体" w:hint="default"/>
                <w:sz w:val="18"/>
                <w:szCs w:val="18"/>
              </w:rPr>
              <w:t>监事和高级管理人员的人选都通过合法的程序</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4"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进行，本人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本企业及关联方不干预上市公司董事会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和股东大会已经作出的人事任免决定。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②资产独立</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、保证上市公司具有独立完整的资产、其资产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全部处于上市公司的控制之下</w:t>
            </w:r>
            <w:r>
              <w:rPr>
                <w:rFonts w:ascii="宋体" w:hAnsi="宋体" w:cs="宋体" w:eastAsia="宋体" w:hint="default"/>
                <w:spacing w:val="-86"/>
                <w:sz w:val="18"/>
                <w:szCs w:val="18"/>
              </w:rPr>
              <w:t>，</w:t>
            </w:r>
            <w:r>
              <w:rPr>
                <w:rFonts w:ascii="宋体" w:hAnsi="宋体" w:cs="宋体" w:eastAsia="宋体" w:hint="default"/>
                <w:sz w:val="18"/>
                <w:szCs w:val="18"/>
              </w:rPr>
              <w:t>并为上市公司独立拥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有和运营。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6"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B</w:t>
            </w:r>
            <w:r>
              <w:rPr>
                <w:rFonts w:ascii="宋体" w:hAnsi="宋体" w:cs="宋体" w:eastAsia="宋体" w:hint="default"/>
                <w:spacing w:val="-76"/>
                <w:sz w:val="18"/>
                <w:szCs w:val="18"/>
              </w:rPr>
              <w:t>、</w:t>
            </w:r>
            <w:r>
              <w:rPr>
                <w:rFonts w:ascii="宋体" w:hAnsi="宋体" w:cs="宋体" w:eastAsia="宋体" w:hint="default"/>
                <w:sz w:val="18"/>
                <w:szCs w:val="18"/>
              </w:rPr>
              <w:t>确保上市公司与本人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本企业及其关联方之间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产权关系明确</w:t>
            </w:r>
            <w:r>
              <w:rPr>
                <w:rFonts w:ascii="宋体" w:hAnsi="宋体" w:cs="宋体" w:eastAsia="宋体" w:hint="default"/>
                <w:spacing w:val="-86"/>
                <w:sz w:val="18"/>
                <w:szCs w:val="18"/>
              </w:rPr>
              <w:t>，</w:t>
            </w:r>
            <w:r>
              <w:rPr>
                <w:rFonts w:ascii="宋体" w:hAnsi="宋体" w:cs="宋体" w:eastAsia="宋体" w:hint="default"/>
                <w:sz w:val="18"/>
                <w:szCs w:val="18"/>
              </w:rPr>
              <w:t>上市公司对所属资产拥有完整的所有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2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权，确保上市公司资产的独立完整。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03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23" w:right="0"/>
              <w:jc w:val="left"/>
              <w:rPr>
                <w:rFonts w:ascii="宋体" w:hAnsi="宋体" w:cs="宋体" w:eastAsia="宋体" w:hint="default"/>
                <w:sz w:val="18"/>
                <w:szCs w:val="18"/>
              </w:rPr>
            </w:pPr>
            <w:r>
              <w:rPr>
                <w:rFonts w:ascii="宋体" w:hAnsi="宋体" w:cs="宋体" w:eastAsia="宋体" w:hint="default"/>
                <w:sz w:val="18"/>
                <w:szCs w:val="18"/>
              </w:rPr>
              <w:t>徐正军</w:t>
            </w:r>
          </w:p>
          <w:p>
            <w:pPr>
              <w:pStyle w:val="TableParagraph"/>
              <w:spacing w:line="244" w:lineRule="auto" w:before="5"/>
              <w:ind w:left="23" w:right="96"/>
              <w:jc w:val="left"/>
              <w:rPr>
                <w:rFonts w:ascii="宋体" w:hAnsi="宋体" w:cs="宋体" w:eastAsia="宋体" w:hint="default"/>
                <w:sz w:val="18"/>
                <w:szCs w:val="18"/>
              </w:rPr>
            </w:pPr>
            <w:r>
              <w:rPr>
                <w:rFonts w:ascii="宋体" w:hAnsi="宋体" w:cs="宋体" w:eastAsia="宋体" w:hint="default"/>
                <w:sz w:val="18"/>
                <w:szCs w:val="18"/>
              </w:rPr>
              <w:t>王金根 北京众诚 深圳金蝶 苏州松禾 广州西域 曹锋 邓国庭</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40"/>
              <w:ind w:left="22" w:right="95"/>
              <w:jc w:val="both"/>
              <w:rPr>
                <w:rFonts w:ascii="宋体" w:hAnsi="宋体" w:cs="宋体" w:eastAsia="宋体" w:hint="default"/>
                <w:sz w:val="18"/>
                <w:szCs w:val="18"/>
              </w:rPr>
            </w:pPr>
            <w:r>
              <w:rPr>
                <w:rFonts w:ascii="宋体" w:hAnsi="宋体" w:cs="宋体" w:eastAsia="宋体" w:hint="default"/>
                <w:sz w:val="18"/>
                <w:szCs w:val="18"/>
              </w:rPr>
              <w:t>保持上市 公司独立 性</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7" w:lineRule="auto" w:before="18"/>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本企业及其关联方本次重组前没有、重</w:t>
            </w:r>
            <w:r>
              <w:rPr>
                <w:rFonts w:ascii="宋体" w:hAnsi="宋体" w:cs="宋体" w:eastAsia="宋体" w:hint="default"/>
                <w:sz w:val="18"/>
                <w:szCs w:val="18"/>
              </w:rPr>
              <w:t> 组完成后也不以任何方式违规占用上市公司的资金 资产。</w:t>
            </w:r>
          </w:p>
          <w:p>
            <w:pPr>
              <w:pStyle w:val="TableParagraph"/>
              <w:spacing w:line="240" w:lineRule="auto" w:before="24"/>
              <w:ind w:left="382" w:right="0"/>
              <w:jc w:val="left"/>
              <w:rPr>
                <w:rFonts w:ascii="宋体" w:hAnsi="宋体" w:cs="宋体" w:eastAsia="宋体" w:hint="default"/>
                <w:sz w:val="18"/>
                <w:szCs w:val="18"/>
              </w:rPr>
            </w:pPr>
            <w:r>
              <w:rPr>
                <w:rFonts w:ascii="宋体" w:hAnsi="宋体" w:cs="宋体" w:eastAsia="宋体" w:hint="default"/>
                <w:sz w:val="18"/>
                <w:szCs w:val="18"/>
              </w:rPr>
              <w:t>③财务独立</w:t>
            </w:r>
          </w:p>
          <w:p>
            <w:pPr>
              <w:pStyle w:val="TableParagraph"/>
              <w:spacing w:line="238" w:lineRule="exact" w:before="46"/>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、保证上市公司拥有独立的财务部门和独立的</w:t>
            </w:r>
            <w:r>
              <w:rPr>
                <w:rFonts w:ascii="宋体" w:hAnsi="宋体" w:cs="宋体" w:eastAsia="宋体" w:hint="default"/>
                <w:sz w:val="18"/>
                <w:szCs w:val="18"/>
              </w:rPr>
              <w:t> 财务核算体系。</w:t>
            </w:r>
          </w:p>
          <w:p>
            <w:pPr>
              <w:pStyle w:val="TableParagraph"/>
              <w:spacing w:line="238" w:lineRule="exact" w:before="23"/>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、保证上市公司具有规范、独立的财务会计制</w:t>
            </w:r>
            <w:r>
              <w:rPr>
                <w:rFonts w:ascii="宋体" w:hAnsi="宋体" w:cs="宋体" w:eastAsia="宋体" w:hint="default"/>
                <w:sz w:val="18"/>
                <w:szCs w:val="18"/>
              </w:rPr>
              <w:t> 度和对分公司、子公司的财务管理制度。</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07"/>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r>
        <w:trPr>
          <w:trHeight w:val="25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、保证上市公司独立在银行开户，不与本人</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本企业及其关联方共用一个银行账户。</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、保证上市公司能够作出独立的财务决策。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w:t>
            </w:r>
            <w:r>
              <w:rPr>
                <w:rFonts w:ascii="宋体" w:hAnsi="宋体" w:cs="宋体" w:eastAsia="宋体" w:hint="default"/>
                <w:sz w:val="18"/>
                <w:szCs w:val="18"/>
              </w:rPr>
              <w:t>、保证上市公司的财务人员独立，不在本人</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4"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本企业控制企业及其关联方处兼职和领取报酬。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、保证上市公司依法独立纳税。</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6"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382" w:right="0"/>
              <w:jc w:val="left"/>
              <w:rPr>
                <w:rFonts w:ascii="宋体" w:hAnsi="宋体" w:cs="宋体" w:eastAsia="宋体" w:hint="default"/>
                <w:sz w:val="18"/>
                <w:szCs w:val="18"/>
              </w:rPr>
            </w:pPr>
            <w:r>
              <w:rPr>
                <w:rFonts w:ascii="宋体" w:hAnsi="宋体" w:cs="宋体" w:eastAsia="宋体" w:hint="default"/>
                <w:sz w:val="18"/>
                <w:szCs w:val="18"/>
              </w:rPr>
              <w:t>④机构独立</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、保证上市公司拥有健全的股份公司法人治理</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结构，拥有独立、完整的组织机构。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、保证上市公司的股东大会、董事会、独立董</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事、监事会、总经理等依照法律、法规和公司章程独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立行使职权。</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1"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382" w:right="0"/>
              <w:jc w:val="left"/>
              <w:rPr>
                <w:rFonts w:ascii="宋体" w:hAnsi="宋体" w:cs="宋体" w:eastAsia="宋体" w:hint="default"/>
                <w:sz w:val="18"/>
                <w:szCs w:val="18"/>
              </w:rPr>
            </w:pPr>
            <w:r>
              <w:rPr>
                <w:rFonts w:ascii="宋体" w:hAnsi="宋体" w:cs="宋体" w:eastAsia="宋体" w:hint="default"/>
                <w:sz w:val="18"/>
                <w:szCs w:val="18"/>
              </w:rPr>
              <w:t>⑤业务独立</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6"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、保证上市公司拥有独立开展经营活动的资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产、人员、资质和能力，具有面向市场独立自主持续</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经营的能力。</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、除通过行使股东权利之外，不对上市公司的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业务活动进行干预。</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r>
        <w:rPr/>
        <w:pict>
          <v:shape style="position:absolute;margin-left:297.194pt;margin-top:439.059998pt;width:156.25pt;height:91pt;mso-position-horizontal-relative:page;mso-position-vertical-relative:page;z-index:-9866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7"/>
                    <w:ind w:left="0" w:right="0"/>
                    <w:jc w:val="left"/>
                  </w:pPr>
                  <w:r>
                    <w:rPr/>
                    <w:t>表决权等一切股东控制权利。</w:t>
                  </w:r>
                </w:p>
              </w:txbxContent>
            </v:textbox>
            <w10:wrap type="none"/>
          </v:shape>
        </w:pict>
      </w:r>
      <w:r>
        <w:rPr/>
        <w:pict>
          <v:group style="position:absolute;margin-left:412.559998pt;margin-top:113.519981pt;width:39.75pt;height:14pt;mso-position-horizontal-relative:page;mso-position-vertical-relative:page;z-index:-986656" coordorigin="8251,2270" coordsize="795,280">
            <v:shape style="position:absolute;left:8251;top:2270;width:795;height:280" coordorigin="8251,2270" coordsize="795,280" path="m8251,2550l9046,2550,9046,2270,8251,2270,8251,2550xe" filled="true" fillcolor="#ffffff" stroked="false">
              <v:path arrowok="t"/>
              <v:fill type="solid"/>
            </v:shape>
            <w10:wrap type="none"/>
          </v:group>
        </w:pict>
      </w:r>
      <w:r>
        <w:rPr/>
        <w:pict>
          <v:group style="position:absolute;margin-left:411.420013pt;margin-top:196.039978pt;width:42pt;height:41pt;mso-position-horizontal-relative:page;mso-position-vertical-relative:page;z-index:-986632" coordorigin="8228,3921" coordsize="840,820">
            <v:group style="position:absolute;left:8228;top:4200;width:840;height:540" coordorigin="8228,4200" coordsize="840,540">
              <v:shape style="position:absolute;left:8228;top:4200;width:840;height:540" coordorigin="8228,4200" coordsize="840,540" path="m8228,4740l9068,4740,9068,4200,8228,4200,8228,4740xe" filled="true" fillcolor="#ffffff" stroked="false">
                <v:path arrowok="t"/>
                <v:fill type="solid"/>
              </v:shape>
            </v:group>
            <v:group style="position:absolute;left:8251;top:3921;width:795;height:280" coordorigin="8251,3921" coordsize="795,280">
              <v:shape style="position:absolute;left:8251;top:3921;width:795;height:280" coordorigin="8251,3921" coordsize="795,280" path="m8251,4200l9046,4200,9046,3921,8251,3921,8251,4200xe" filled="true" fillcolor="#ffffff" stroked="false">
                <v:path arrowok="t"/>
                <v:fill type="solid"/>
              </v:shape>
            </v:group>
            <w10:wrap type="none"/>
          </v:group>
        </w:pict>
      </w:r>
      <w:r>
        <w:rPr/>
        <w:pict>
          <v:group style="position:absolute;margin-left:411.420013pt;margin-top:410.449982pt;width:42pt;height:238.1pt;mso-position-horizontal-relative:page;mso-position-vertical-relative:page;z-index:-986608" coordorigin="8228,8209" coordsize="840,4762">
            <v:group style="position:absolute;left:8240;top:8220;width:2;height:561" coordorigin="8240,8220" coordsize="2,561">
              <v:shape style="position:absolute;left:8240;top:8220;width:2;height:561" coordorigin="8240,8220" coordsize="0,561" path="m8240,8220l8240,8781e" filled="false" stroked="true" strokeweight="1.140pt" strokecolor="#ffffff">
                <v:path arrowok="t"/>
              </v:shape>
            </v:group>
            <v:group style="position:absolute;left:8228;top:8781;width:840;height:1820" coordorigin="8228,8781" coordsize="840,1820">
              <v:shape style="position:absolute;left:8228;top:8781;width:840;height:1820" coordorigin="8228,8781" coordsize="840,1820" path="m8228,10600l9068,10600,9068,8781,8228,8781,8228,10600xe" filled="true" fillcolor="#ffffff" stroked="false">
                <v:path arrowok="t"/>
                <v:fill type="solid"/>
              </v:shape>
            </v:group>
            <v:group style="position:absolute;left:8251;top:8220;width:795;height:280" coordorigin="8251,8220" coordsize="795,280">
              <v:shape style="position:absolute;left:8251;top:8220;width:795;height:280" coordorigin="8251,8220" coordsize="795,280" path="m8251,8500l9046,8500,9046,8220,8251,8220,8251,8500xe" filled="true" fillcolor="#ffffff" stroked="false">
                <v:path arrowok="t"/>
                <v:fill type="solid"/>
              </v:shape>
            </v:group>
            <v:group style="position:absolute;left:8251;top:8500;width:795;height:281" coordorigin="8251,8500" coordsize="795,281">
              <v:shape style="position:absolute;left:8251;top:8500;width:795;height:281" coordorigin="8251,8500" coordsize="795,281" path="m8251,8781l9046,8781,9046,8500,8251,8500,8251,8781xe" filled="true" fillcolor="#ffffff" stroked="false">
                <v:path arrowok="t"/>
                <v:fill type="solid"/>
              </v:shape>
            </v:group>
            <v:group style="position:absolute;left:8228;top:10611;width:840;height:2080" coordorigin="8228,10611" coordsize="840,2080">
              <v:shape style="position:absolute;left:8228;top:10611;width:840;height:2080" coordorigin="8228,10611" coordsize="840,2080" path="m8228,12691l9068,12691,9068,10611,8228,10611,8228,12691xe" filled="true" fillcolor="#ffffff" stroked="false">
                <v:path arrowok="t"/>
                <v:fill type="solid"/>
              </v:shape>
            </v:group>
            <v:group style="position:absolute;left:8251;top:12691;width:795;height:280" coordorigin="8251,12691" coordsize="795,280">
              <v:shape style="position:absolute;left:8251;top:12691;width:795;height:280" coordorigin="8251,12691" coordsize="795,280" path="m8251,12970l9046,12970,9046,12691,8251,12691,8251,1297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4112"/>
        <w:gridCol w:w="850"/>
        <w:gridCol w:w="851"/>
        <w:gridCol w:w="779"/>
      </w:tblGrid>
      <w:tr>
        <w:trPr>
          <w:trHeight w:val="35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right="22"/>
              <w:jc w:val="right"/>
              <w:rPr>
                <w:rFonts w:ascii="宋体" w:hAnsi="宋体" w:cs="宋体" w:eastAsia="宋体" w:hint="default"/>
                <w:sz w:val="18"/>
                <w:szCs w:val="18"/>
              </w:rPr>
            </w:pPr>
            <w:r>
              <w:rPr>
                <w:rFonts w:ascii="宋体" w:hAnsi="宋体" w:cs="宋体" w:eastAsia="宋体" w:hint="default"/>
                <w:sz w:val="18"/>
                <w:szCs w:val="18"/>
              </w:rPr>
              <w:t>徐正军及王金根出具</w:t>
            </w:r>
            <w:r>
              <w:rPr>
                <w:rFonts w:ascii="宋体" w:hAnsi="宋体" w:cs="宋体" w:eastAsia="宋体" w:hint="default"/>
                <w:spacing w:val="-86"/>
                <w:sz w:val="18"/>
                <w:szCs w:val="18"/>
              </w:rPr>
              <w:t>了</w:t>
            </w:r>
            <w:r>
              <w:rPr>
                <w:rFonts w:ascii="宋体" w:hAnsi="宋体" w:cs="宋体" w:eastAsia="宋体" w:hint="default"/>
                <w:sz w:val="18"/>
                <w:szCs w:val="18"/>
              </w:rPr>
              <w:t>《关于不谋求上市公司控</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61"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4" w:lineRule="auto"/>
              <w:ind w:left="23" w:right="276"/>
              <w:jc w:val="left"/>
              <w:rPr>
                <w:rFonts w:ascii="宋体" w:hAnsi="宋体" w:cs="宋体" w:eastAsia="宋体" w:hint="default"/>
                <w:sz w:val="18"/>
                <w:szCs w:val="18"/>
              </w:rPr>
            </w:pPr>
            <w:r>
              <w:rPr>
                <w:rFonts w:ascii="宋体" w:hAnsi="宋体" w:cs="宋体" w:eastAsia="宋体" w:hint="default"/>
                <w:sz w:val="18"/>
                <w:szCs w:val="18"/>
              </w:rPr>
              <w:t>徐正军 王金根</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22" w:right="95"/>
              <w:jc w:val="both"/>
              <w:rPr>
                <w:rFonts w:ascii="宋体" w:hAnsi="宋体" w:cs="宋体" w:eastAsia="宋体" w:hint="default"/>
                <w:sz w:val="18"/>
                <w:szCs w:val="18"/>
              </w:rPr>
            </w:pPr>
            <w:r>
              <w:rPr>
                <w:rFonts w:ascii="宋体" w:hAnsi="宋体" w:cs="宋体" w:eastAsia="宋体" w:hint="default"/>
                <w:sz w:val="18"/>
                <w:szCs w:val="18"/>
              </w:rPr>
              <w:t>不谋求上 市公司控 制权</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制权的承诺》，承诺自本次重组非公开发行的股票上</w:t>
            </w:r>
          </w:p>
          <w:p>
            <w:pPr>
              <w:pStyle w:val="TableParagraph"/>
              <w:spacing w:line="240" w:lineRule="exact" w:before="22"/>
              <w:ind w:left="22" w:right="-44"/>
              <w:jc w:val="left"/>
              <w:rPr>
                <w:rFonts w:ascii="宋体" w:hAnsi="宋体" w:cs="宋体" w:eastAsia="宋体" w:hint="default"/>
                <w:sz w:val="18"/>
                <w:szCs w:val="18"/>
              </w:rPr>
            </w:pPr>
            <w:r>
              <w:rPr>
                <w:rFonts w:ascii="宋体" w:hAnsi="宋体" w:cs="宋体" w:eastAsia="宋体" w:hint="default"/>
                <w:sz w:val="18"/>
                <w:szCs w:val="18"/>
              </w:rPr>
              <w:t>市之日起的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个月内，本人及一致行动人不通过任 </w:t>
            </w:r>
            <w:r>
              <w:rPr>
                <w:rFonts w:ascii="宋体" w:hAnsi="宋体" w:cs="宋体" w:eastAsia="宋体" w:hint="default"/>
                <w:spacing w:val="-9"/>
                <w:sz w:val="18"/>
                <w:szCs w:val="18"/>
              </w:rPr>
              <w:t>何方式，包括但不限于增持、协议、合作、关联关系、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一致行动等主动扩大对上市公司股份的控制比例以</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5"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5"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2016.11.2</w:t>
            </w:r>
          </w:p>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1~2019.11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2" w:right="24"/>
              <w:jc w:val="both"/>
              <w:rPr>
                <w:rFonts w:ascii="宋体" w:hAnsi="宋体" w:cs="宋体" w:eastAsia="宋体" w:hint="default"/>
                <w:sz w:val="18"/>
                <w:szCs w:val="18"/>
              </w:rPr>
            </w:pPr>
            <w:r>
              <w:rPr>
                <w:rFonts w:ascii="宋体" w:hAnsi="宋体" w:cs="宋体" w:eastAsia="宋体" w:hint="default"/>
                <w:sz w:val="18"/>
                <w:szCs w:val="18"/>
              </w:rPr>
              <w:t>内，承诺 人均严格 履行了承</w:t>
            </w:r>
          </w:p>
        </w:tc>
      </w:tr>
      <w:tr>
        <w:trPr>
          <w:trHeight w:val="337"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谋求对丰东股份的控制权。</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诺内容。</w:t>
            </w: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7"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auto" w:before="88"/>
              <w:ind w:left="22" w:right="95"/>
              <w:jc w:val="both"/>
              <w:rPr>
                <w:rFonts w:ascii="宋体" w:hAnsi="宋体" w:cs="宋体" w:eastAsia="宋体" w:hint="default"/>
                <w:sz w:val="18"/>
                <w:szCs w:val="18"/>
              </w:rPr>
            </w:pPr>
            <w:r>
              <w:rPr>
                <w:rFonts w:ascii="宋体" w:hAnsi="宋体" w:cs="宋体" w:eastAsia="宋体" w:hint="default"/>
                <w:sz w:val="18"/>
                <w:szCs w:val="18"/>
              </w:rPr>
              <w:t>关于或有 损失的补 偿承诺</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244" w:lineRule="auto" w:before="88"/>
              <w:ind w:left="22" w:right="11" w:firstLine="360"/>
              <w:jc w:val="both"/>
              <w:rPr>
                <w:rFonts w:ascii="宋体" w:hAnsi="宋体" w:cs="宋体" w:eastAsia="宋体" w:hint="default"/>
                <w:sz w:val="18"/>
                <w:szCs w:val="18"/>
              </w:rPr>
            </w:pPr>
            <w:r>
              <w:rPr>
                <w:rFonts w:ascii="宋体" w:hAnsi="宋体" w:cs="宋体" w:eastAsia="宋体" w:hint="default"/>
                <w:spacing w:val="-5"/>
                <w:sz w:val="18"/>
                <w:szCs w:val="18"/>
              </w:rPr>
              <w:t>在本次交易中或交易完成后，如因四川方欣或北</w:t>
            </w:r>
            <w:r>
              <w:rPr>
                <w:rFonts w:ascii="宋体" w:hAnsi="宋体" w:cs="宋体" w:eastAsia="宋体" w:hint="default"/>
                <w:sz w:val="18"/>
                <w:szCs w:val="18"/>
              </w:rPr>
              <w:t> </w:t>
            </w:r>
            <w:r>
              <w:rPr>
                <w:rFonts w:ascii="宋体" w:hAnsi="宋体" w:cs="宋体" w:eastAsia="宋体" w:hint="default"/>
                <w:spacing w:val="-4"/>
                <w:sz w:val="18"/>
                <w:szCs w:val="18"/>
              </w:rPr>
              <w:t>京方欣注销而产生任何负债或损失的，上述全部损失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或负债由本人向上市公司或方欣科技进行全额补偿</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5"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181"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71"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内，承诺 人均严格 履行了承</w:t>
            </w:r>
          </w:p>
        </w:tc>
      </w:tr>
      <w:tr>
        <w:trPr>
          <w:trHeight w:val="356"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诺内容。</w:t>
            </w:r>
          </w:p>
        </w:tc>
      </w:tr>
      <w:tr>
        <w:trPr>
          <w:trHeight w:val="352"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right="22"/>
              <w:jc w:val="right"/>
              <w:rPr>
                <w:rFonts w:ascii="宋体" w:hAnsi="宋体" w:cs="宋体" w:eastAsia="宋体" w:hint="default"/>
                <w:sz w:val="18"/>
                <w:szCs w:val="18"/>
              </w:rPr>
            </w:pPr>
            <w:r>
              <w:rPr>
                <w:rFonts w:ascii="宋体" w:hAnsi="宋体" w:cs="宋体" w:eastAsia="宋体" w:hint="default"/>
                <w:spacing w:val="-5"/>
                <w:sz w:val="18"/>
                <w:szCs w:val="18"/>
              </w:rPr>
              <w:t>本次交易配套融资认购方朱文明、束昱辉、民生</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61"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3" w:right="0"/>
              <w:jc w:val="both"/>
              <w:rPr>
                <w:rFonts w:ascii="宋体" w:hAnsi="宋体" w:cs="宋体" w:eastAsia="宋体" w:hint="default"/>
                <w:sz w:val="18"/>
                <w:szCs w:val="18"/>
              </w:rPr>
            </w:pPr>
            <w:r>
              <w:rPr>
                <w:rFonts w:ascii="宋体" w:hAnsi="宋体" w:cs="宋体" w:eastAsia="宋体" w:hint="default"/>
                <w:sz w:val="18"/>
                <w:szCs w:val="18"/>
              </w:rPr>
              <w:t>束昱辉</w:t>
            </w:r>
          </w:p>
          <w:p>
            <w:pPr>
              <w:pStyle w:val="TableParagraph"/>
              <w:spacing w:line="240" w:lineRule="exact" w:before="22"/>
              <w:ind w:left="23" w:right="96"/>
              <w:jc w:val="both"/>
              <w:rPr>
                <w:rFonts w:ascii="宋体" w:hAnsi="宋体" w:cs="宋体" w:eastAsia="宋体" w:hint="default"/>
                <w:sz w:val="18"/>
                <w:szCs w:val="18"/>
              </w:rPr>
            </w:pPr>
            <w:r>
              <w:rPr>
                <w:rFonts w:ascii="宋体" w:hAnsi="宋体" w:cs="宋体" w:eastAsia="宋体" w:hint="default"/>
                <w:sz w:val="18"/>
                <w:szCs w:val="18"/>
              </w:rPr>
              <w:t>民生方欣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号计划 谢兵</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股份锁定</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22" w:right="0"/>
              <w:jc w:val="both"/>
              <w:rPr>
                <w:rFonts w:ascii="宋体" w:hAnsi="宋体" w:cs="宋体" w:eastAsia="宋体" w:hint="default"/>
                <w:sz w:val="18"/>
                <w:szCs w:val="18"/>
              </w:rPr>
            </w:pPr>
            <w:r>
              <w:rPr>
                <w:rFonts w:ascii="宋体" w:hAnsi="宋体" w:cs="宋体" w:eastAsia="宋体" w:hint="default"/>
                <w:sz w:val="18"/>
                <w:szCs w:val="18"/>
              </w:rPr>
              <w:t>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号计划</w:t>
            </w:r>
            <w:r>
              <w:rPr>
                <w:rFonts w:ascii="宋体" w:hAnsi="宋体" w:cs="宋体" w:eastAsia="宋体" w:hint="default"/>
                <w:spacing w:val="-85"/>
                <w:sz w:val="18"/>
                <w:szCs w:val="18"/>
              </w:rPr>
              <w:t>、</w:t>
            </w:r>
            <w:r>
              <w:rPr>
                <w:rFonts w:ascii="宋体" w:hAnsi="宋体" w:cs="宋体" w:eastAsia="宋体" w:hint="default"/>
                <w:sz w:val="18"/>
                <w:szCs w:val="18"/>
              </w:rPr>
              <w:t>谢兵及徐锦宏所认购的股份自发行结</w:t>
            </w:r>
          </w:p>
          <w:p>
            <w:pPr>
              <w:pStyle w:val="TableParagraph"/>
              <w:spacing w:line="240" w:lineRule="exact" w:before="13"/>
              <w:ind w:left="22" w:right="22"/>
              <w:jc w:val="both"/>
              <w:rPr>
                <w:rFonts w:ascii="宋体" w:hAnsi="宋体" w:cs="宋体" w:eastAsia="宋体" w:hint="default"/>
                <w:sz w:val="18"/>
                <w:szCs w:val="18"/>
              </w:rPr>
            </w:pPr>
            <w:r>
              <w:rPr>
                <w:rFonts w:ascii="宋体" w:hAnsi="宋体" w:cs="宋体" w:eastAsia="宋体" w:hint="default"/>
                <w:sz w:val="18"/>
                <w:szCs w:val="18"/>
              </w:rPr>
              <w:t>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个月内不得转让。本次发行结束后，前 </w:t>
            </w:r>
            <w:r>
              <w:rPr>
                <w:rFonts w:ascii="宋体" w:hAnsi="宋体" w:cs="宋体" w:eastAsia="宋体" w:hint="default"/>
                <w:spacing w:val="-4"/>
                <w:sz w:val="18"/>
                <w:szCs w:val="18"/>
              </w:rPr>
              <w:t>述股份由于上市公司送红股、转增股本等原因增加的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公司股份，亦遵守上述约定。锁定期结束后，将按中</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2016.11.2</w:t>
            </w:r>
          </w:p>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1~2019.11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2" w:right="24"/>
              <w:jc w:val="both"/>
              <w:rPr>
                <w:rFonts w:ascii="宋体" w:hAnsi="宋体" w:cs="宋体" w:eastAsia="宋体" w:hint="default"/>
                <w:sz w:val="18"/>
                <w:szCs w:val="18"/>
              </w:rPr>
            </w:pPr>
            <w:r>
              <w:rPr>
                <w:rFonts w:ascii="宋体" w:hAnsi="宋体" w:cs="宋体" w:eastAsia="宋体" w:hint="default"/>
                <w:sz w:val="18"/>
                <w:szCs w:val="18"/>
              </w:rPr>
              <w:t>内，承诺 人均严格 履行了承</w:t>
            </w:r>
          </w:p>
        </w:tc>
      </w:tr>
      <w:tr>
        <w:trPr>
          <w:trHeight w:val="337"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徐锦宏</w:t>
            </w: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国证监会及深交所的有关规定执行。</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诺内容。</w:t>
            </w:r>
          </w:p>
        </w:tc>
      </w:tr>
      <w:tr>
        <w:trPr>
          <w:trHeight w:val="292"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对于本次交易前本公司已持有的丰东股份的股</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17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113"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241"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86"/>
                <w:sz w:val="18"/>
                <w:szCs w:val="18"/>
              </w:rPr>
              <w:t>，</w:t>
            </w:r>
            <w:r>
              <w:rPr>
                <w:rFonts w:ascii="宋体" w:hAnsi="宋体" w:cs="宋体" w:eastAsia="宋体" w:hint="default"/>
                <w:sz w:val="18"/>
                <w:szCs w:val="18"/>
              </w:rPr>
              <w:t>本公司承诺自本次交易募集配套资金的增发股份</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个月内自愿锁定、不以任何方式转让</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或减持</w:t>
            </w:r>
            <w:r>
              <w:rPr>
                <w:rFonts w:ascii="宋体" w:hAnsi="宋体" w:cs="宋体" w:eastAsia="宋体" w:hint="default"/>
                <w:spacing w:val="-86"/>
                <w:sz w:val="18"/>
                <w:szCs w:val="18"/>
              </w:rPr>
              <w:t>，</w:t>
            </w:r>
            <w:r>
              <w:rPr>
                <w:rFonts w:ascii="宋体" w:hAnsi="宋体" w:cs="宋体" w:eastAsia="宋体" w:hint="default"/>
                <w:sz w:val="18"/>
                <w:szCs w:val="18"/>
              </w:rPr>
              <w:t>亦不委托他人管理本公司持有的上市公司股</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86"/>
                <w:sz w:val="18"/>
                <w:szCs w:val="18"/>
              </w:rPr>
              <w:t>，</w:t>
            </w:r>
            <w:r>
              <w:rPr>
                <w:rFonts w:ascii="宋体" w:hAnsi="宋体" w:cs="宋体" w:eastAsia="宋体" w:hint="default"/>
                <w:sz w:val="18"/>
                <w:szCs w:val="18"/>
              </w:rPr>
              <w:t>不会将本公司持有的上市公司股份的表决权委托</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7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股份锁定</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给他人行使</w:t>
            </w:r>
            <w:r>
              <w:rPr>
                <w:rFonts w:ascii="宋体" w:hAnsi="宋体" w:cs="宋体" w:eastAsia="宋体" w:hint="default"/>
                <w:spacing w:val="-86"/>
                <w:sz w:val="18"/>
                <w:szCs w:val="18"/>
              </w:rPr>
              <w:t>。</w:t>
            </w:r>
            <w:r>
              <w:rPr>
                <w:rFonts w:ascii="宋体" w:hAnsi="宋体" w:cs="宋体" w:eastAsia="宋体" w:hint="default"/>
                <w:sz w:val="18"/>
                <w:szCs w:val="18"/>
              </w:rPr>
              <w:t>如丰东股份自本承诺函出具之日起至本</w:t>
            </w:r>
          </w:p>
          <w:p>
            <w:pPr>
              <w:pStyle w:val="TableParagraph"/>
              <w:spacing w:line="240" w:lineRule="exact" w:before="22"/>
              <w:ind w:left="22" w:right="21"/>
              <w:jc w:val="left"/>
              <w:rPr>
                <w:rFonts w:ascii="宋体" w:hAnsi="宋体" w:cs="宋体" w:eastAsia="宋体" w:hint="default"/>
                <w:sz w:val="18"/>
                <w:szCs w:val="18"/>
              </w:rPr>
            </w:pPr>
            <w:r>
              <w:rPr>
                <w:rFonts w:ascii="宋体" w:hAnsi="宋体" w:cs="宋体" w:eastAsia="宋体" w:hint="default"/>
                <w:sz w:val="18"/>
                <w:szCs w:val="18"/>
              </w:rPr>
              <w:t>次交易募集配套资金的增发股份上市之日起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内进行送股、公积金转增股本等，则本公司基于本次</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2016.11.2</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83"/>
              <w:ind w:left="22" w:right="24"/>
              <w:jc w:val="left"/>
              <w:rPr>
                <w:rFonts w:ascii="宋体" w:hAnsi="宋体" w:cs="宋体" w:eastAsia="宋体" w:hint="default"/>
                <w:sz w:val="18"/>
                <w:szCs w:val="18"/>
              </w:rPr>
            </w:pPr>
            <w:r>
              <w:rPr>
                <w:rFonts w:ascii="宋体" w:hAnsi="宋体" w:cs="宋体" w:eastAsia="宋体" w:hint="default"/>
                <w:sz w:val="18"/>
                <w:szCs w:val="18"/>
              </w:rPr>
              <w:t>报告期 内，承诺</w:t>
            </w: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z w:val="18"/>
                <w:szCs w:val="18"/>
              </w:rPr>
              <w:t>东润投资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及不放弃</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交易前所持丰东股份的股份而衍生取得的新增股份</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Times New Roman"/>
                <w:sz w:val="18"/>
              </w:rPr>
              <w:t>1~2019.11</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人均严格</w:t>
            </w:r>
          </w:p>
        </w:tc>
      </w:tr>
      <w:tr>
        <w:trPr>
          <w:trHeight w:val="287"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控制权</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亦遵守上述承诺。</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Times New Roman"/>
                <w:sz w:val="18"/>
              </w:rPr>
              <w:t>.20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履行了承</w:t>
            </w:r>
          </w:p>
        </w:tc>
      </w:tr>
      <w:tr>
        <w:trPr>
          <w:trHeight w:val="463"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382" w:right="0"/>
              <w:jc w:val="left"/>
              <w:rPr>
                <w:rFonts w:ascii="宋体" w:hAnsi="宋体" w:cs="宋体" w:eastAsia="宋体" w:hint="default"/>
                <w:sz w:val="18"/>
                <w:szCs w:val="18"/>
              </w:rPr>
            </w:pPr>
            <w:r>
              <w:rPr>
                <w:rFonts w:ascii="宋体" w:hAnsi="宋体" w:cs="宋体" w:eastAsia="宋体" w:hint="default"/>
                <w:sz w:val="18"/>
                <w:szCs w:val="18"/>
              </w:rPr>
              <w:t>在本次交易募集配套资金的增发股份上市之日</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个月内，本公司不放弃作为上市公司股东所享</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诺内容。</w:t>
            </w: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有的董事</w:t>
            </w:r>
            <w:r>
              <w:rPr>
                <w:rFonts w:ascii="宋体" w:hAnsi="宋体" w:cs="宋体" w:eastAsia="宋体" w:hint="default"/>
                <w:spacing w:val="-88"/>
                <w:sz w:val="18"/>
                <w:szCs w:val="18"/>
              </w:rPr>
              <w:t>、</w:t>
            </w:r>
            <w:r>
              <w:rPr>
                <w:rFonts w:ascii="宋体" w:hAnsi="宋体" w:cs="宋体" w:eastAsia="宋体" w:hint="default"/>
                <w:sz w:val="18"/>
                <w:szCs w:val="18"/>
              </w:rPr>
              <w:t>监事提名权、</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同时</w:t>
            </w:r>
            <w:r>
              <w:rPr>
                <w:rFonts w:ascii="宋体" w:hAnsi="宋体" w:cs="宋体" w:eastAsia="宋体" w:hint="default"/>
                <w:spacing w:val="-86"/>
                <w:sz w:val="18"/>
                <w:szCs w:val="18"/>
              </w:rPr>
              <w:t>，</w:t>
            </w:r>
            <w:r>
              <w:rPr>
                <w:rFonts w:ascii="宋体" w:hAnsi="宋体" w:cs="宋体" w:eastAsia="宋体" w:hint="default"/>
                <w:sz w:val="18"/>
                <w:szCs w:val="18"/>
              </w:rPr>
              <w:t>要求本公司提名的董事积极行使相关法律法规</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及公司章程赋予上市公司董事的知情权、表决权、管</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理权等一切权利</w:t>
            </w:r>
            <w:r>
              <w:rPr>
                <w:rFonts w:ascii="宋体" w:hAnsi="宋体" w:cs="宋体" w:eastAsia="宋体" w:hint="default"/>
                <w:spacing w:val="-86"/>
                <w:sz w:val="18"/>
                <w:szCs w:val="18"/>
              </w:rPr>
              <w:t>，</w:t>
            </w:r>
            <w:r>
              <w:rPr>
                <w:rFonts w:ascii="宋体" w:hAnsi="宋体" w:cs="宋体" w:eastAsia="宋体" w:hint="default"/>
                <w:sz w:val="18"/>
                <w:szCs w:val="18"/>
              </w:rPr>
              <w:t>不会将其拥有的董事表决权委托给</w:t>
            </w:r>
          </w:p>
        </w:tc>
        <w:tc>
          <w:tcPr>
            <w:tcW w:w="850" w:type="dxa"/>
            <w:vMerge/>
            <w:tcBorders>
              <w:left w:val="single" w:sz="4" w:space="0" w:color="000000"/>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他人行使。</w:t>
            </w:r>
          </w:p>
        </w:tc>
        <w:tc>
          <w:tcPr>
            <w:tcW w:w="850" w:type="dxa"/>
            <w:vMerge/>
            <w:tcBorders>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298" w:hRule="exact"/>
        </w:trPr>
        <w:tc>
          <w:tcPr>
            <w:tcW w:w="1276" w:type="dxa"/>
            <w:vMerge/>
            <w:tcBorders>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、在本次交易完成后的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个月内，本人并要求</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本人一致行动人束昱辉以及本人控制的东润投资不</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以任何方式转让或减持其直接或间接持有的上市公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司股份</w:t>
            </w:r>
            <w:r>
              <w:rPr>
                <w:rFonts w:ascii="宋体" w:hAnsi="宋体" w:cs="宋体" w:eastAsia="宋体" w:hint="default"/>
                <w:spacing w:val="-86"/>
                <w:sz w:val="18"/>
                <w:szCs w:val="18"/>
              </w:rPr>
              <w:t>，</w:t>
            </w:r>
            <w:r>
              <w:rPr>
                <w:rFonts w:ascii="宋体" w:hAnsi="宋体" w:cs="宋体" w:eastAsia="宋体" w:hint="default"/>
                <w:sz w:val="18"/>
                <w:szCs w:val="18"/>
              </w:rPr>
              <w:t>亦不委托他人管理其直接或间接持有的上市</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公司股份</w:t>
            </w:r>
            <w:r>
              <w:rPr>
                <w:rFonts w:ascii="宋体" w:hAnsi="宋体" w:cs="宋体" w:eastAsia="宋体" w:hint="default"/>
                <w:spacing w:val="-86"/>
                <w:sz w:val="18"/>
                <w:szCs w:val="18"/>
              </w:rPr>
              <w:t>，</w:t>
            </w:r>
            <w:r>
              <w:rPr>
                <w:rFonts w:ascii="宋体" w:hAnsi="宋体" w:cs="宋体" w:eastAsia="宋体" w:hint="default"/>
                <w:sz w:val="18"/>
                <w:szCs w:val="18"/>
              </w:rPr>
              <w:t>不会将其直接或间接持有的上市公司股份</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的表决权委托给他人行使。</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3" w:lineRule="exact"/>
              <w:ind w:right="2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、在本次交易完成后的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个月内，本人并要求</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本人一致行动人束昱辉以及本人控制的东润投资不</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72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4" w:lineRule="auto" w:before="94"/>
              <w:ind w:left="22" w:right="95"/>
              <w:jc w:val="left"/>
              <w:rPr>
                <w:rFonts w:ascii="宋体" w:hAnsi="宋体" w:cs="宋体" w:eastAsia="宋体" w:hint="default"/>
                <w:sz w:val="18"/>
                <w:szCs w:val="18"/>
              </w:rPr>
            </w:pPr>
            <w:r>
              <w:rPr>
                <w:rFonts w:ascii="宋体" w:hAnsi="宋体" w:cs="宋体" w:eastAsia="宋体" w:hint="default"/>
                <w:sz w:val="18"/>
                <w:szCs w:val="18"/>
              </w:rPr>
              <w:t>不放弃控 制权</w:t>
            </w:r>
          </w:p>
        </w:tc>
        <w:tc>
          <w:tcPr>
            <w:tcW w:w="4112" w:type="dxa"/>
            <w:tcBorders>
              <w:top w:val="nil" w:sz="6" w:space="0" w:color="auto"/>
              <w:left w:val="single" w:sz="4" w:space="0" w:color="000000"/>
              <w:bottom w:val="nil" w:sz="6" w:space="0" w:color="auto"/>
              <w:right w:val="single" w:sz="13" w:space="0" w:color="FFFFFF"/>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放弃作为上市公司股东所享有的董事、监事提名权</w:t>
            </w:r>
          </w:p>
          <w:p>
            <w:pPr>
              <w:pStyle w:val="TableParagraph"/>
              <w:spacing w:line="244" w:lineRule="auto" w:before="4"/>
              <w:ind w:left="22" w:right="11"/>
              <w:jc w:val="left"/>
              <w:rPr>
                <w:rFonts w:ascii="宋体" w:hAnsi="宋体" w:cs="宋体" w:eastAsia="宋体" w:hint="default"/>
                <w:sz w:val="18"/>
                <w:szCs w:val="18"/>
              </w:rPr>
            </w:pPr>
            <w:r>
              <w:rPr>
                <w:rFonts w:ascii="宋体" w:hAnsi="宋体" w:cs="宋体" w:eastAsia="宋体" w:hint="default"/>
                <w:spacing w:val="-4"/>
                <w:sz w:val="18"/>
                <w:szCs w:val="18"/>
              </w:rPr>
              <w:t>表决权等一切股东控制权利，不放弃对上市公司董事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会的控制力。同时，作为上市公司董事，本人将积极</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152"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5"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2" w:right="0"/>
              <w:jc w:val="left"/>
              <w:rPr>
                <w:rFonts w:ascii="Times New Roman" w:hAnsi="Times New Roman" w:cs="Times New Roman" w:eastAsia="Times New Roman" w:hint="default"/>
                <w:sz w:val="18"/>
                <w:szCs w:val="18"/>
              </w:rPr>
            </w:pPr>
            <w:r>
              <w:rPr>
                <w:rFonts w:ascii="Times New Roman"/>
                <w:sz w:val="18"/>
              </w:rPr>
              <w:t>2016.11.2</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1~2019.11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内，承诺</w:t>
            </w:r>
          </w:p>
          <w:p>
            <w:pPr>
              <w:pStyle w:val="TableParagraph"/>
              <w:spacing w:line="244" w:lineRule="auto" w:before="4"/>
              <w:ind w:left="22" w:right="24"/>
              <w:jc w:val="left"/>
              <w:rPr>
                <w:rFonts w:ascii="宋体" w:hAnsi="宋体" w:cs="宋体" w:eastAsia="宋体" w:hint="default"/>
                <w:sz w:val="18"/>
                <w:szCs w:val="18"/>
              </w:rPr>
            </w:pPr>
            <w:r>
              <w:rPr>
                <w:rFonts w:ascii="宋体" w:hAnsi="宋体" w:cs="宋体" w:eastAsia="宋体" w:hint="default"/>
                <w:sz w:val="18"/>
                <w:szCs w:val="18"/>
              </w:rPr>
              <w:t>人均严格 履行了承</w:t>
            </w:r>
          </w:p>
        </w:tc>
      </w:tr>
      <w:tr>
        <w:trPr>
          <w:trHeight w:val="23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行使相关法律法规及公司章程赋予上市公司董事的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诺内容。</w:t>
            </w: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pacing w:val="-4"/>
                <w:sz w:val="18"/>
                <w:szCs w:val="18"/>
              </w:rPr>
              <w:t>知情权、表决权、管理权等一切权利，不会将本人拥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有的董事表决权委托给他人行使</w:t>
            </w:r>
            <w:r>
              <w:rPr>
                <w:rFonts w:ascii="宋体" w:hAnsi="宋体" w:cs="宋体" w:eastAsia="宋体" w:hint="default"/>
                <w:spacing w:val="-86"/>
                <w:sz w:val="18"/>
                <w:szCs w:val="18"/>
              </w:rPr>
              <w:t>，</w:t>
            </w:r>
            <w:r>
              <w:rPr>
                <w:rFonts w:ascii="宋体" w:hAnsi="宋体" w:cs="宋体" w:eastAsia="宋体" w:hint="default"/>
                <w:sz w:val="18"/>
                <w:szCs w:val="18"/>
              </w:rPr>
              <w:t>本人将一并要求本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人及本人一致行动人束昱辉以及本人控制的东润投</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资提名的董事遵守上述承诺。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65"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2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、在上述承诺的基础上，在本次交易完成后的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1276" w:type="dxa"/>
            <w:vMerge/>
            <w:tcBorders>
              <w:left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个月内，不以任何形式放弃其对上市公司的控制</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r>
        <w:rPr/>
        <w:pict>
          <v:group style="position:absolute;margin-left:411.420013pt;margin-top:202.099976pt;width:42pt;height:94.45pt;mso-position-horizontal-relative:page;mso-position-vertical-relative:page;z-index:-986560" coordorigin="8228,4042" coordsize="840,1889">
            <v:shape style="position:absolute;left:8228;top:4042;width:840;height:1889" coordorigin="8228,4042" coordsize="840,1889" path="m8228,5931l9068,5931,9068,4042,8228,4042,8228,593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4112"/>
        <w:gridCol w:w="850"/>
        <w:gridCol w:w="851"/>
        <w:gridCol w:w="779"/>
      </w:tblGrid>
      <w:tr>
        <w:trPr>
          <w:trHeight w:val="449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4" w:lineRule="auto"/>
              <w:ind w:left="22" w:right="95"/>
              <w:jc w:val="both"/>
              <w:rPr>
                <w:rFonts w:ascii="宋体" w:hAnsi="宋体" w:cs="宋体" w:eastAsia="宋体" w:hint="default"/>
                <w:sz w:val="18"/>
                <w:szCs w:val="18"/>
              </w:rPr>
            </w:pPr>
            <w:r>
              <w:rPr>
                <w:rFonts w:ascii="宋体" w:hAnsi="宋体" w:cs="宋体" w:eastAsia="宋体" w:hint="default"/>
                <w:sz w:val="18"/>
                <w:szCs w:val="18"/>
              </w:rPr>
              <w:t>协助维持 控制权稳 定</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1"/>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、在本次交易完成后的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个月内，本人不会以</w:t>
            </w:r>
            <w:r>
              <w:rPr>
                <w:rFonts w:ascii="宋体" w:hAnsi="宋体" w:cs="宋体" w:eastAsia="宋体" w:hint="default"/>
                <w:sz w:val="18"/>
                <w:szCs w:val="18"/>
              </w:rPr>
              <w:t> 任何方式转让或减持本人直接或间接持有的上市公 </w:t>
            </w:r>
            <w:r>
              <w:rPr>
                <w:rFonts w:ascii="宋体" w:hAnsi="宋体" w:cs="宋体" w:eastAsia="宋体" w:hint="default"/>
                <w:spacing w:val="-4"/>
                <w:sz w:val="18"/>
                <w:szCs w:val="18"/>
              </w:rPr>
              <w:t>司股份，亦不委托他人管理本人直接或间接持有的上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市公司股份，不会将本人直接或间接持有的上市公司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股份的表决权委托给他人行使。</w:t>
            </w:r>
          </w:p>
          <w:p>
            <w:pPr>
              <w:pStyle w:val="TableParagraph"/>
              <w:spacing w:line="242" w:lineRule="auto" w:before="42"/>
              <w:ind w:left="22" w:right="21"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、在本次交易完成后的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个月内，作为上市公</w:t>
            </w:r>
            <w:r>
              <w:rPr>
                <w:rFonts w:ascii="宋体" w:hAnsi="宋体" w:cs="宋体" w:eastAsia="宋体" w:hint="default"/>
                <w:sz w:val="18"/>
                <w:szCs w:val="18"/>
              </w:rPr>
              <w:t> </w:t>
            </w:r>
            <w:r>
              <w:rPr>
                <w:rFonts w:ascii="宋体" w:hAnsi="宋体" w:cs="宋体" w:eastAsia="宋体" w:hint="default"/>
                <w:spacing w:val="-4"/>
                <w:sz w:val="18"/>
                <w:szCs w:val="18"/>
              </w:rPr>
              <w:t>司实际控制人朱文明的一致行动人，在遵守本人与朱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文明签署的《一致行动协议》约定的前提下，本人承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诺将不放弃作为上市公司股东所享有的董事、监事提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名权、表决权等一切股东控制权利，配合朱文明不主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动放弃对上市公司董事会的控制力。同时，本人将要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求本人提名的董事，积极行使相关法律法规及公司章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程赋予上市公司董事的知情权、表决权、管理权等一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切权利，不会将其拥有的董事表决权委托给他人行 使。</w:t>
            </w:r>
          </w:p>
          <w:p>
            <w:pPr>
              <w:pStyle w:val="TableParagraph"/>
              <w:spacing w:line="245" w:lineRule="exact" w:before="4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、在上述承诺的基础上，在本次交易完成后的</w:t>
            </w:r>
          </w:p>
          <w:p>
            <w:pPr>
              <w:pStyle w:val="TableParagraph"/>
              <w:spacing w:line="240" w:lineRule="exact" w:before="13"/>
              <w:ind w:left="22"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个月内，本人将配合上市公司实际控制人朱文明 不以其他任何方式主动放弃其对上市公司的控制权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2016.11.2</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1~2019.11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r>
        <w:trPr>
          <w:trHeight w:val="181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76"/>
              <w:jc w:val="left"/>
              <w:rPr>
                <w:rFonts w:ascii="宋体" w:hAnsi="宋体" w:cs="宋体" w:eastAsia="宋体" w:hint="default"/>
                <w:sz w:val="18"/>
                <w:szCs w:val="18"/>
              </w:rPr>
            </w:pPr>
            <w:r>
              <w:rPr>
                <w:rFonts w:ascii="宋体" w:hAnsi="宋体" w:cs="宋体" w:eastAsia="宋体" w:hint="default"/>
                <w:sz w:val="18"/>
                <w:szCs w:val="18"/>
              </w:rPr>
              <w:t>徐正军 王金根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1"/>
              <w:ind w:left="22" w:right="95"/>
              <w:jc w:val="left"/>
              <w:rPr>
                <w:rFonts w:ascii="宋体" w:hAnsi="宋体" w:cs="宋体" w:eastAsia="宋体" w:hint="default"/>
                <w:sz w:val="18"/>
                <w:szCs w:val="18"/>
              </w:rPr>
            </w:pPr>
            <w:r>
              <w:rPr>
                <w:rFonts w:ascii="宋体" w:hAnsi="宋体" w:cs="宋体" w:eastAsia="宋体" w:hint="default"/>
                <w:sz w:val="18"/>
                <w:szCs w:val="18"/>
              </w:rPr>
              <w:t>向上市公 司提名、 推荐董 事、监事 及高级管 理人员</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firstLine="360"/>
              <w:jc w:val="both"/>
              <w:rPr>
                <w:rFonts w:ascii="宋体" w:hAnsi="宋体" w:cs="宋体" w:eastAsia="宋体" w:hint="default"/>
                <w:sz w:val="18"/>
                <w:szCs w:val="18"/>
              </w:rPr>
            </w:pPr>
            <w:r>
              <w:rPr>
                <w:rFonts w:ascii="宋体" w:hAnsi="宋体" w:cs="宋体" w:eastAsia="宋体" w:hint="default"/>
                <w:spacing w:val="-5"/>
                <w:sz w:val="18"/>
                <w:szCs w:val="18"/>
              </w:rPr>
              <w:t>本次交易完成后三年内，本人与一致行动人作为</w:t>
            </w:r>
            <w:r>
              <w:rPr>
                <w:rFonts w:ascii="宋体" w:hAnsi="宋体" w:cs="宋体" w:eastAsia="宋体" w:hint="default"/>
                <w:sz w:val="18"/>
                <w:szCs w:val="18"/>
              </w:rPr>
              <w:t> </w:t>
            </w:r>
            <w:r>
              <w:rPr>
                <w:rFonts w:ascii="宋体" w:hAnsi="宋体" w:cs="宋体" w:eastAsia="宋体" w:hint="default"/>
                <w:spacing w:val="-4"/>
                <w:sz w:val="18"/>
                <w:szCs w:val="18"/>
              </w:rPr>
              <w:t>上市公司的股东除提名一名董事人选外，放弃上市公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司董事会其他席位董事人选的提名权。</w:t>
            </w:r>
          </w:p>
          <w:p>
            <w:pPr>
              <w:pStyle w:val="TableParagraph"/>
              <w:spacing w:line="244" w:lineRule="auto" w:before="41"/>
              <w:ind w:left="22" w:right="22" w:firstLine="360"/>
              <w:jc w:val="left"/>
              <w:rPr>
                <w:rFonts w:ascii="宋体" w:hAnsi="宋体" w:cs="宋体" w:eastAsia="宋体" w:hint="default"/>
                <w:sz w:val="18"/>
                <w:szCs w:val="18"/>
              </w:rPr>
            </w:pPr>
            <w:r>
              <w:rPr>
                <w:rFonts w:ascii="宋体" w:hAnsi="宋体" w:cs="宋体" w:eastAsia="宋体" w:hint="default"/>
                <w:spacing w:val="-5"/>
                <w:sz w:val="18"/>
                <w:szCs w:val="18"/>
              </w:rPr>
              <w:t>本次交易完成后三年内，本人及一致行动人向上</w:t>
            </w:r>
            <w:r>
              <w:rPr>
                <w:rFonts w:ascii="宋体" w:hAnsi="宋体" w:cs="宋体" w:eastAsia="宋体" w:hint="default"/>
                <w:sz w:val="18"/>
                <w:szCs w:val="18"/>
              </w:rPr>
              <w:t> </w:t>
            </w:r>
            <w:r>
              <w:rPr>
                <w:rFonts w:ascii="宋体" w:hAnsi="宋体" w:cs="宋体" w:eastAsia="宋体" w:hint="default"/>
                <w:spacing w:val="-4"/>
                <w:sz w:val="18"/>
                <w:szCs w:val="18"/>
              </w:rPr>
              <w:t>市公司的监事会提名的监事不得超过一名，本人及一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致行动人除向上市公司总经理推荐的一名副总经理 外，不再推荐其他高级管理人员。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Times New Roman"/>
                <w:sz w:val="18"/>
              </w:rPr>
              <w:t>2016.11.2</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1~2019.11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4"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人均严格 履行了承 诺内容。</w:t>
            </w:r>
          </w:p>
        </w:tc>
      </w:tr>
      <w:tr>
        <w:trPr>
          <w:trHeight w:val="673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4"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4" w:lineRule="auto"/>
              <w:ind w:left="23" w:right="96"/>
              <w:jc w:val="both"/>
              <w:rPr>
                <w:rFonts w:ascii="宋体" w:hAnsi="宋体" w:cs="宋体" w:eastAsia="宋体" w:hint="default"/>
                <w:sz w:val="18"/>
                <w:szCs w:val="18"/>
              </w:rPr>
            </w:pPr>
            <w:r>
              <w:rPr>
                <w:rFonts w:ascii="宋体" w:hAnsi="宋体" w:cs="宋体" w:eastAsia="宋体" w:hint="default"/>
                <w:sz w:val="18"/>
                <w:szCs w:val="18"/>
              </w:rPr>
              <w:t>公司股东 东方工程 株式会社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4" w:lineRule="auto"/>
              <w:ind w:left="22" w:right="95"/>
              <w:jc w:val="left"/>
              <w:rPr>
                <w:rFonts w:ascii="宋体" w:hAnsi="宋体" w:cs="宋体" w:eastAsia="宋体" w:hint="default"/>
                <w:sz w:val="18"/>
                <w:szCs w:val="18"/>
              </w:rPr>
            </w:pPr>
            <w:r>
              <w:rPr>
                <w:rFonts w:ascii="宋体" w:hAnsi="宋体" w:cs="宋体" w:eastAsia="宋体" w:hint="default"/>
                <w:sz w:val="18"/>
                <w:szCs w:val="18"/>
              </w:rPr>
              <w:t>避免同业 竞争</w:t>
            </w:r>
          </w:p>
        </w:tc>
        <w:tc>
          <w:tcPr>
            <w:tcW w:w="4112" w:type="dxa"/>
            <w:tcBorders>
              <w:top w:val="single" w:sz="4" w:space="0" w:color="000000"/>
              <w:left w:val="single" w:sz="4" w:space="0" w:color="000000"/>
              <w:bottom w:val="single" w:sz="4" w:space="0" w:color="000000"/>
              <w:right w:val="single" w:sz="13" w:space="0" w:color="FFFFFF"/>
            </w:tcBorders>
          </w:tcPr>
          <w:p>
            <w:pPr>
              <w:pStyle w:val="TableParagraph"/>
              <w:spacing w:line="240" w:lineRule="exact"/>
              <w:ind w:left="22" w:right="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、在销售市场方面：在日本国市场上，日本东 </w:t>
            </w:r>
            <w:r>
              <w:rPr>
                <w:rFonts w:ascii="宋体" w:hAnsi="宋体" w:cs="宋体" w:eastAsia="宋体" w:hint="default"/>
                <w:spacing w:val="-4"/>
                <w:sz w:val="18"/>
                <w:szCs w:val="18"/>
              </w:rPr>
              <w:t>方可销售自有产品，本公司不得销售自有产品；在东</w:t>
            </w:r>
          </w:p>
          <w:p>
            <w:pPr>
              <w:pStyle w:val="TableParagraph"/>
              <w:spacing w:line="240" w:lineRule="exact"/>
              <w:ind w:left="22" w:right="11"/>
              <w:jc w:val="left"/>
              <w:rPr>
                <w:rFonts w:ascii="宋体" w:hAnsi="宋体" w:cs="宋体" w:eastAsia="宋体" w:hint="default"/>
                <w:sz w:val="18"/>
                <w:szCs w:val="18"/>
              </w:rPr>
            </w:pPr>
            <w:r>
              <w:rPr>
                <w:rFonts w:ascii="宋体" w:hAnsi="宋体" w:cs="宋体" w:eastAsia="宋体" w:hint="default"/>
                <w:spacing w:val="-4"/>
                <w:sz w:val="18"/>
                <w:szCs w:val="18"/>
              </w:rPr>
              <w:t>南亚国家市场，日本东方只向日资控股的企业销售自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有产品，本公司则可向除日资控股的企业以外的所有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企业销售自有产品；对于除日本国及东南亚的世界任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何其他市场，日本东方不得以任何方式销售自有产 品，本公司则可自由销售。</w:t>
            </w:r>
          </w:p>
          <w:p>
            <w:pPr>
              <w:pStyle w:val="TableParagraph"/>
              <w:spacing w:line="240" w:lineRule="exact"/>
              <w:ind w:left="22" w:right="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、热处理加工业务方面：日本东方可继续在日 </w:t>
            </w:r>
            <w:r>
              <w:rPr>
                <w:rFonts w:ascii="宋体" w:hAnsi="宋体" w:cs="宋体" w:eastAsia="宋体" w:hint="default"/>
                <w:spacing w:val="-4"/>
                <w:sz w:val="18"/>
                <w:szCs w:val="18"/>
              </w:rPr>
              <w:t>本国从事热处理加工业务，但本公司不得在日本国从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事该等业务；在东南亚国家，日本东方只能承接日资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控股企业的热处理加工业务，本公司则可承接除日资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控股企业以外的所有企业的热处理加工业务；在除日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本国及东南亚的世界任何其它国家和地区，本公司可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从事热处理加工业务，但日本东方不得从事该等业 务。</w:t>
            </w:r>
          </w:p>
          <w:p>
            <w:pPr>
              <w:pStyle w:val="TableParagraph"/>
              <w:spacing w:line="240" w:lineRule="exact"/>
              <w:ind w:left="22" w:right="-4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、在投资方面：本公司可继续在中国以任何方 式进行投资以从事热处理设备销售和热处理加工业 务；除</w:t>
            </w:r>
            <w:r>
              <w:rPr>
                <w:rFonts w:ascii="Times New Roman" w:hAnsi="Times New Roman" w:cs="Times New Roman" w:eastAsia="Times New Roman" w:hint="default"/>
                <w:sz w:val="18"/>
                <w:szCs w:val="18"/>
              </w:rPr>
              <w:t>“</w:t>
            </w:r>
            <w:r>
              <w:rPr>
                <w:rFonts w:ascii="宋体" w:hAnsi="宋体" w:cs="宋体" w:eastAsia="宋体" w:hint="default"/>
                <w:sz w:val="18"/>
                <w:szCs w:val="18"/>
              </w:rPr>
              <w:t>本协议生效之前，日本东方已与本公司共同 投资设</w:t>
            </w:r>
            <w:r>
              <w:rPr>
                <w:rFonts w:ascii="宋体" w:hAnsi="宋体" w:cs="宋体" w:eastAsia="宋体" w:hint="default"/>
                <w:spacing w:val="-1"/>
                <w:sz w:val="18"/>
                <w:szCs w:val="18"/>
              </w:rPr>
              <w:t> </w:t>
            </w:r>
            <w:r>
              <w:rPr>
                <w:rFonts w:ascii="宋体" w:hAnsi="宋体" w:cs="宋体" w:eastAsia="宋体" w:hint="default"/>
                <w:sz w:val="18"/>
                <w:szCs w:val="18"/>
              </w:rPr>
              <w:t>立的合营企业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且</w:t>
            </w:r>
            <w:r>
              <w:rPr>
                <w:rFonts w:ascii="Times New Roman" w:hAnsi="Times New Roman" w:cs="Times New Roman" w:eastAsia="Times New Roman" w:hint="default"/>
                <w:sz w:val="18"/>
                <w:szCs w:val="18"/>
              </w:rPr>
              <w:t>“</w:t>
            </w:r>
            <w:r>
              <w:rPr>
                <w:rFonts w:ascii="宋体" w:hAnsi="宋体" w:cs="宋体" w:eastAsia="宋体" w:hint="default"/>
                <w:sz w:val="18"/>
                <w:szCs w:val="18"/>
              </w:rPr>
              <w:t>合营企业为本公司所控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的情形外，日本东方不得以直接投资、委托投资、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受托经营等任何方式在中国从事热处理设备销售和</w:t>
            </w:r>
            <w:r>
              <w:rPr>
                <w:rFonts w:ascii="宋体" w:hAnsi="宋体" w:cs="宋体" w:eastAsia="宋体" w:hint="default"/>
                <w:sz w:val="18"/>
                <w:szCs w:val="18"/>
              </w:rPr>
              <w:t> 热处理加工业务。</w:t>
            </w:r>
          </w:p>
          <w:p>
            <w:pPr>
              <w:pStyle w:val="TableParagraph"/>
              <w:spacing w:line="240" w:lineRule="exact"/>
              <w:ind w:left="22" w:right="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、在知识产权的转让方面：除非受让方明确承 诺接受本协议的条款和条件并由其承继日本东方在 </w:t>
            </w:r>
            <w:r>
              <w:rPr>
                <w:rFonts w:ascii="宋体" w:hAnsi="宋体" w:cs="宋体" w:eastAsia="宋体" w:hint="default"/>
                <w:spacing w:val="-4"/>
                <w:sz w:val="18"/>
                <w:szCs w:val="18"/>
              </w:rPr>
              <w:t>本协议项下的全部义务和责任，否则日本东方不得向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其他自然人、公司、企业或其它组织转让或许可使用</w:t>
            </w:r>
          </w:p>
          <w:p>
            <w:pPr>
              <w:pStyle w:val="TableParagraph"/>
              <w:spacing w:line="240" w:lineRule="exact"/>
              <w:ind w:left="22" w:right="11"/>
              <w:jc w:val="left"/>
              <w:rPr>
                <w:rFonts w:ascii="宋体" w:hAnsi="宋体" w:cs="宋体" w:eastAsia="宋体" w:hint="default"/>
                <w:sz w:val="18"/>
                <w:szCs w:val="18"/>
              </w:rPr>
            </w:pPr>
            <w:r>
              <w:rPr>
                <w:rFonts w:ascii="宋体" w:hAnsi="宋体" w:cs="宋体" w:eastAsia="宋体" w:hint="default"/>
                <w:spacing w:val="-4"/>
                <w:sz w:val="18"/>
                <w:szCs w:val="18"/>
              </w:rPr>
              <w:t>与研发、生产和销售热处理设备以及从事热处理加工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业务有关的知识产权。</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5"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p>
            <w:pPr>
              <w:pStyle w:val="TableParagraph"/>
              <w:spacing w:line="244" w:lineRule="auto"/>
              <w:ind w:left="11" w:right="23"/>
              <w:jc w:val="left"/>
              <w:rPr>
                <w:rFonts w:ascii="宋体" w:hAnsi="宋体" w:cs="宋体" w:eastAsia="宋体" w:hint="default"/>
                <w:sz w:val="18"/>
                <w:szCs w:val="18"/>
              </w:rPr>
            </w:pPr>
            <w:r>
              <w:rPr>
                <w:rFonts w:ascii="宋体" w:hAnsi="宋体" w:cs="宋体" w:eastAsia="宋体" w:hint="default"/>
                <w:sz w:val="18"/>
                <w:szCs w:val="18"/>
              </w:rPr>
              <w:t>《避免同 业竞争协 议》 </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p>
            <w:pPr>
              <w:pStyle w:val="TableParagraph"/>
              <w:spacing w:line="240" w:lineRule="exact" w:before="13"/>
              <w:ind w:left="11" w:right="95"/>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 </w:t>
            </w:r>
            <w:r>
              <w:rPr>
                <w:rFonts w:ascii="宋体" w:hAnsi="宋体" w:cs="宋体" w:eastAsia="宋体" w:hint="default"/>
                <w:sz w:val="18"/>
                <w:szCs w:val="18"/>
              </w:rPr>
              <w:t>避免同业 竞争</w:t>
            </w:r>
            <w:r>
              <w:rPr>
                <w:rFonts w:ascii="Times New Roman" w:hAnsi="Times New Roman" w:cs="Times New Roman" w:eastAsia="Times New Roman" w:hint="default"/>
                <w:sz w:val="18"/>
                <w:szCs w:val="18"/>
              </w:rPr>
              <w:t>&gt;</w:t>
            </w:r>
            <w:r>
              <w:rPr>
                <w:rFonts w:ascii="宋体" w:hAnsi="宋体" w:cs="宋体" w:eastAsia="宋体" w:hint="default"/>
                <w:sz w:val="18"/>
                <w:szCs w:val="18"/>
              </w:rPr>
              <w:t>之 补充协 议》</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39.75pt;height:12pt;mso-position-horizontal-relative:char;mso-position-vertical-relative:line" coordorigin="0,0" coordsize="795,240">
                  <v:group style="position:absolute;left:0;top:0;width:795;height:240" coordorigin="0,0" coordsize="795,240">
                    <v:shape style="position:absolute;left:0;top:0;width:795;height:240" coordorigin="0,0" coordsize="795,240" path="m0,240l794,240,794,0,0,0,0,240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7"/>
                <w:szCs w:val="27"/>
              </w:rPr>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4" w:lineRule="auto"/>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人严格履 行了承诺 内容。</w:t>
            </w:r>
          </w:p>
        </w:tc>
      </w:tr>
      <w:tr>
        <w:trPr>
          <w:trHeight w:val="73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 w:right="96"/>
              <w:jc w:val="both"/>
              <w:rPr>
                <w:rFonts w:ascii="宋体" w:hAnsi="宋体" w:cs="宋体" w:eastAsia="宋体" w:hint="default"/>
                <w:sz w:val="18"/>
                <w:szCs w:val="18"/>
              </w:rPr>
            </w:pPr>
            <w:r>
              <w:rPr>
                <w:rFonts w:ascii="宋体" w:hAnsi="宋体" w:cs="宋体" w:eastAsia="宋体" w:hint="default"/>
                <w:sz w:val="18"/>
                <w:szCs w:val="18"/>
              </w:rPr>
              <w:t>公司股东 和华株式 会社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2" w:right="95"/>
              <w:jc w:val="left"/>
              <w:rPr>
                <w:rFonts w:ascii="宋体" w:hAnsi="宋体" w:cs="宋体" w:eastAsia="宋体" w:hint="default"/>
                <w:sz w:val="18"/>
                <w:szCs w:val="18"/>
              </w:rPr>
            </w:pPr>
            <w:r>
              <w:rPr>
                <w:rFonts w:ascii="宋体" w:hAnsi="宋体" w:cs="宋体" w:eastAsia="宋体" w:hint="default"/>
                <w:sz w:val="18"/>
                <w:szCs w:val="18"/>
              </w:rPr>
              <w:t>解决同业 竞争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、在日本市场上，和华可销售自有产品，本公 司不得销售自有产品。</w:t>
            </w:r>
          </w:p>
          <w:p>
            <w:pPr>
              <w:pStyle w:val="TableParagraph"/>
              <w:spacing w:line="23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、和华不得向除日本国的世界任何市场销售自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人严格履</w:t>
            </w:r>
          </w:p>
        </w:tc>
      </w:tr>
    </w:tbl>
    <w:p>
      <w:pPr>
        <w:spacing w:after="0" w:line="240" w:lineRule="exact"/>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852"/>
        <w:gridCol w:w="850"/>
        <w:gridCol w:w="4112"/>
        <w:gridCol w:w="850"/>
        <w:gridCol w:w="851"/>
        <w:gridCol w:w="779"/>
      </w:tblGrid>
      <w:tr>
        <w:trPr>
          <w:trHeight w:val="49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有产品，本公司可自由销售自有产品。</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4"/>
              <w:jc w:val="left"/>
              <w:rPr>
                <w:rFonts w:ascii="宋体" w:hAnsi="宋体" w:cs="宋体" w:eastAsia="宋体" w:hint="default"/>
                <w:sz w:val="18"/>
                <w:szCs w:val="18"/>
              </w:rPr>
            </w:pPr>
            <w:r>
              <w:rPr>
                <w:rFonts w:ascii="宋体" w:hAnsi="宋体" w:cs="宋体" w:eastAsia="宋体" w:hint="default"/>
                <w:sz w:val="18"/>
                <w:szCs w:val="18"/>
              </w:rPr>
              <w:t>行了承诺 内容。</w:t>
            </w: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529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1" w:firstLine="360"/>
              <w:jc w:val="both"/>
              <w:rPr>
                <w:rFonts w:ascii="宋体" w:hAnsi="宋体" w:cs="宋体" w:eastAsia="宋体" w:hint="default"/>
                <w:sz w:val="18"/>
                <w:szCs w:val="18"/>
              </w:rPr>
            </w:pPr>
            <w:r>
              <w:rPr>
                <w:rFonts w:ascii="宋体" w:hAnsi="宋体" w:cs="宋体" w:eastAsia="宋体" w:hint="default"/>
                <w:spacing w:val="-5"/>
                <w:sz w:val="18"/>
                <w:szCs w:val="18"/>
              </w:rPr>
              <w:t>未来三年公司利润分配采取现金、股票、现金与</w:t>
            </w:r>
            <w:r>
              <w:rPr>
                <w:rFonts w:ascii="宋体" w:hAnsi="宋体" w:cs="宋体" w:eastAsia="宋体" w:hint="default"/>
                <w:sz w:val="18"/>
                <w:szCs w:val="18"/>
              </w:rPr>
              <w:t> </w:t>
            </w:r>
            <w:r>
              <w:rPr>
                <w:rFonts w:ascii="宋体" w:hAnsi="宋体" w:cs="宋体" w:eastAsia="宋体" w:hint="default"/>
                <w:spacing w:val="-4"/>
                <w:sz w:val="18"/>
                <w:szCs w:val="18"/>
              </w:rPr>
              <w:t>股票相结合或者法律、法规允许的其他式，优先采用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现金分红方式分配股利。</w:t>
            </w:r>
          </w:p>
          <w:p>
            <w:pPr>
              <w:pStyle w:val="TableParagraph"/>
              <w:spacing w:line="240" w:lineRule="exact"/>
              <w:ind w:left="22" w:right="21" w:firstLine="360"/>
              <w:jc w:val="left"/>
              <w:rPr>
                <w:rFonts w:ascii="宋体" w:hAnsi="宋体" w:cs="宋体" w:eastAsia="宋体" w:hint="default"/>
                <w:sz w:val="18"/>
                <w:szCs w:val="18"/>
              </w:rPr>
            </w:pPr>
            <w:r>
              <w:rPr>
                <w:rFonts w:ascii="宋体" w:hAnsi="宋体" w:cs="宋体" w:eastAsia="宋体" w:hint="default"/>
                <w:spacing w:val="-5"/>
                <w:sz w:val="18"/>
                <w:szCs w:val="18"/>
              </w:rPr>
              <w:t>在满足现金分红条件、保证公司正常经营和长远</w:t>
            </w:r>
            <w:r>
              <w:rPr>
                <w:rFonts w:ascii="宋体" w:hAnsi="宋体" w:cs="宋体" w:eastAsia="宋体" w:hint="default"/>
                <w:sz w:val="18"/>
                <w:szCs w:val="18"/>
              </w:rPr>
              <w:t> </w:t>
            </w:r>
            <w:r>
              <w:rPr>
                <w:rFonts w:ascii="宋体" w:hAnsi="宋体" w:cs="宋体" w:eastAsia="宋体" w:hint="default"/>
                <w:spacing w:val="-4"/>
                <w:sz w:val="18"/>
                <w:szCs w:val="18"/>
              </w:rPr>
              <w:t>发展的前提下，公司未来三年原则上每年年度股东大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会审议通过后进行一次现金分红，公司董事会可以根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据公司的盈利状况及资金需求状况提议公司进行中 </w:t>
            </w:r>
            <w:r>
              <w:rPr>
                <w:rFonts w:ascii="宋体" w:hAnsi="宋体" w:cs="宋体" w:eastAsia="宋体" w:hint="default"/>
                <w:spacing w:val="-4"/>
                <w:sz w:val="18"/>
                <w:szCs w:val="18"/>
              </w:rPr>
              <w:t>期现金分红。公司应保持利润分配政策的连续性和稳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定性，在满足现金分红条件时，公司每年以现金方式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分配的利润不少于当年实现的母公司可分配利润的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，且任意三个连续会计年度内，公司以现金方式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累计分配的利润不少于该三年实现的母公司年均可 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exact"/>
              <w:ind w:left="22" w:right="21" w:firstLine="360"/>
              <w:jc w:val="left"/>
              <w:rPr>
                <w:rFonts w:ascii="宋体" w:hAnsi="宋体" w:cs="宋体" w:eastAsia="宋体" w:hint="default"/>
                <w:sz w:val="18"/>
                <w:szCs w:val="18"/>
              </w:rPr>
            </w:pPr>
            <w:r>
              <w:rPr>
                <w:rFonts w:ascii="宋体" w:hAnsi="宋体" w:cs="宋体" w:eastAsia="宋体" w:hint="default"/>
                <w:spacing w:val="-5"/>
                <w:sz w:val="18"/>
                <w:szCs w:val="18"/>
              </w:rPr>
              <w:t>公司经营情况良好，并且董事会认为公司股票价</w:t>
            </w:r>
            <w:r>
              <w:rPr>
                <w:rFonts w:ascii="宋体" w:hAnsi="宋体" w:cs="宋体" w:eastAsia="宋体" w:hint="default"/>
                <w:sz w:val="18"/>
                <w:szCs w:val="18"/>
              </w:rPr>
              <w:t> </w:t>
            </w:r>
            <w:r>
              <w:rPr>
                <w:rFonts w:ascii="宋体" w:hAnsi="宋体" w:cs="宋体" w:eastAsia="宋体" w:hint="default"/>
                <w:spacing w:val="-4"/>
                <w:sz w:val="18"/>
                <w:szCs w:val="18"/>
              </w:rPr>
              <w:t>格与公司股本规模不匹配、发放股票股利有利于公司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全体股东整体利益的，可以在满足上述现金分红之 </w:t>
            </w:r>
            <w:r>
              <w:rPr>
                <w:rFonts w:ascii="宋体" w:hAnsi="宋体" w:cs="宋体" w:eastAsia="宋体" w:hint="default"/>
                <w:spacing w:val="-4"/>
                <w:sz w:val="18"/>
                <w:szCs w:val="18"/>
              </w:rPr>
              <w:t>余，提出股票股利分配预案，并经股东大会审议通过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后执行。公司在确定以股票方式分配利润的具体金额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时，应充分考虑以股票方式分配利润后的总股本是否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与公司目前的经营规模、盈利增长速度相适应，并考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虑对未来债权融资成本的影响，以确保分配方案符合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全体股东的整体利益。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2015.1.1~</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2017.12.3</w:t>
            </w:r>
          </w:p>
          <w:p>
            <w:pPr>
              <w:pStyle w:val="TableParagraph"/>
              <w:spacing w:line="240" w:lineRule="auto" w:before="33"/>
              <w:ind w:left="22" w:right="0"/>
              <w:jc w:val="left"/>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59"/>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人严格履 行了承诺 内容。</w:t>
            </w:r>
          </w:p>
        </w:tc>
      </w:tr>
      <w:tr>
        <w:trPr>
          <w:trHeight w:val="121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exact"/>
              <w:ind w:left="22" w:right="27" w:firstLine="360"/>
              <w:jc w:val="left"/>
              <w:rPr>
                <w:rFonts w:ascii="宋体" w:hAnsi="宋体" w:cs="宋体" w:eastAsia="宋体" w:hint="default"/>
                <w:sz w:val="18"/>
                <w:szCs w:val="18"/>
              </w:rPr>
            </w:pPr>
            <w:r>
              <w:rPr>
                <w:rFonts w:ascii="宋体" w:hAnsi="宋体" w:cs="宋体" w:eastAsia="宋体" w:hint="default"/>
                <w:sz w:val="18"/>
                <w:szCs w:val="18"/>
              </w:rPr>
              <w:t>公司本次使用剩余募集资金永久性补充流动资 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个月内不进行证券投资等高风险投资及对外 提供财务资助。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3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2016.3.29</w:t>
            </w:r>
          </w:p>
          <w:p>
            <w:pPr>
              <w:pStyle w:val="TableParagraph"/>
              <w:spacing w:line="278" w:lineRule="auto" w:before="33"/>
              <w:ind w:left="22" w:right="88"/>
              <w:jc w:val="left"/>
              <w:rPr>
                <w:rFonts w:ascii="Times New Roman" w:hAnsi="Times New Roman" w:cs="Times New Roman" w:eastAsia="Times New Roman" w:hint="default"/>
                <w:sz w:val="18"/>
                <w:szCs w:val="18"/>
              </w:rPr>
            </w:pPr>
            <w:r>
              <w:rPr>
                <w:rFonts w:ascii="Times New Roman"/>
                <w:sz w:val="18"/>
              </w:rPr>
              <w:t>~2017.3.2</w:t>
            </w:r>
            <w:r>
              <w:rPr>
                <w:rFonts w:ascii="Times New Roman"/>
                <w:w w:val="99"/>
                <w:sz w:val="18"/>
              </w:rPr>
              <w:t> </w:t>
            </w: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24"/>
              <w:jc w:val="left"/>
              <w:rPr>
                <w:rFonts w:ascii="宋体" w:hAnsi="宋体" w:cs="宋体" w:eastAsia="宋体" w:hint="default"/>
                <w:sz w:val="18"/>
                <w:szCs w:val="18"/>
              </w:rPr>
            </w:pPr>
            <w:r>
              <w:rPr>
                <w:rFonts w:ascii="宋体" w:hAnsi="宋体" w:cs="宋体" w:eastAsia="宋体" w:hint="default"/>
                <w:sz w:val="18"/>
                <w:szCs w:val="18"/>
              </w:rPr>
              <w:t>报告期 内，承诺 人严格履</w:t>
            </w:r>
          </w:p>
          <w:p>
            <w:pPr>
              <w:pStyle w:val="TableParagraph"/>
              <w:spacing w:line="240" w:lineRule="exact"/>
              <w:ind w:left="22" w:right="24"/>
              <w:jc w:val="left"/>
              <w:rPr>
                <w:rFonts w:ascii="宋体" w:hAnsi="宋体" w:cs="宋体" w:eastAsia="宋体" w:hint="default"/>
                <w:sz w:val="18"/>
                <w:szCs w:val="18"/>
              </w:rPr>
            </w:pPr>
            <w:r>
              <w:rPr>
                <w:rFonts w:ascii="宋体" w:hAnsi="宋体" w:cs="宋体" w:eastAsia="宋体" w:hint="default"/>
                <w:sz w:val="18"/>
                <w:szCs w:val="18"/>
              </w:rPr>
              <w:t>行了承诺 内容。</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53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Times New Roman" w:hAnsi="Times New Roman" w:cs="Times New Roman" w:eastAsia="Times New Roman" w:hint="default"/>
          <w:sz w:val="22"/>
          <w:szCs w:val="22"/>
        </w:rPr>
      </w:pPr>
    </w:p>
    <w:p>
      <w:pPr>
        <w:pStyle w:val="Heading3"/>
        <w:spacing w:line="271" w:lineRule="auto" w:before="38"/>
        <w:ind w:left="154" w:right="1118" w:firstLine="402"/>
        <w:jc w:val="left"/>
        <w:rPr>
          <w:b w:val="0"/>
          <w:bCs w:val="0"/>
        </w:rPr>
      </w:pPr>
      <w:bookmarkStart w:name="2、公司资产或项目存在盈利预测，且报告期仍处在盈利预测期间，公司就资产或项目达到" w:id="74"/>
      <w:bookmarkEnd w:id="74"/>
      <w:r>
        <w:rPr>
          <w:b w:val="0"/>
          <w:bCs w:val="0"/>
        </w:rPr>
      </w:r>
      <w:r>
        <w:rPr>
          <w:rFonts w:ascii="Times New Roman" w:hAnsi="Times New Roman" w:cs="Times New Roman" w:eastAsia="Times New Roman" w:hint="default"/>
          <w:spacing w:val="-2"/>
          <w:w w:val="95"/>
        </w:rPr>
        <w:t>2</w:t>
      </w:r>
      <w:r>
        <w:rPr>
          <w:spacing w:val="-2"/>
          <w:w w:val="95"/>
        </w:rPr>
        <w:t>、公司资产或项目存在盈利预测，且报告期仍处在盈利预测期间，公司就资产或项目达到原盈利预测及其</w:t>
      </w:r>
      <w:r>
        <w:rPr>
          <w:spacing w:val="-41"/>
          <w:w w:val="95"/>
        </w:rPr>
        <w:t> </w:t>
      </w:r>
      <w:r>
        <w:rPr>
          <w:spacing w:val="-41"/>
          <w:w w:val="95"/>
        </w:rPr>
      </w:r>
      <w:r>
        <w:rPr/>
        <w:t>原因做出说明</w:t>
      </w:r>
      <w:r>
        <w:rPr>
          <w:b w:val="0"/>
          <w:bCs w:val="0"/>
        </w:rPr>
      </w:r>
    </w:p>
    <w:p>
      <w:pPr>
        <w:spacing w:line="240" w:lineRule="auto" w:before="0"/>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276"/>
        <w:gridCol w:w="1208"/>
        <w:gridCol w:w="1181"/>
        <w:gridCol w:w="1181"/>
        <w:gridCol w:w="1180"/>
        <w:gridCol w:w="1180"/>
        <w:gridCol w:w="875"/>
        <w:gridCol w:w="1486"/>
      </w:tblGrid>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82" w:right="9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59"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61" w:right="71"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0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7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0"/>
              <w:ind w:left="22" w:right="161"/>
              <w:jc w:val="left"/>
              <w:rPr>
                <w:rFonts w:ascii="宋体" w:hAnsi="宋体" w:cs="宋体" w:eastAsia="宋体" w:hint="default"/>
                <w:sz w:val="18"/>
                <w:szCs w:val="18"/>
              </w:rPr>
            </w:pPr>
            <w:r>
              <w:rPr>
                <w:rFonts w:ascii="宋体" w:hAnsi="宋体" w:cs="宋体" w:eastAsia="宋体" w:hint="default"/>
                <w:sz w:val="18"/>
                <w:szCs w:val="18"/>
              </w:rPr>
              <w:t>方欣科技有限 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16,800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16,914.47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5" w:lineRule="exact" w:before="1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55"/>
              <w:jc w:val="left"/>
              <w:rPr>
                <w:rFonts w:ascii="Times New Roman" w:hAnsi="Times New Roman" w:cs="Times New Roman" w:eastAsia="Times New Roman" w:hint="default"/>
                <w:sz w:val="18"/>
                <w:szCs w:val="18"/>
              </w:rPr>
            </w:pPr>
            <w:r>
              <w:rPr>
                <w:rFonts w:ascii="Times New Roman"/>
                <w:sz w:val="18"/>
              </w:rPr>
              <w:t>http://www.cninfo. com.cn/cninfo-new</w:t>
            </w:r>
          </w:p>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sz w:val="18"/>
              </w:rPr>
              <w:t>/disclosure/szse_s</w:t>
            </w:r>
          </w:p>
          <w:p>
            <w:pPr>
              <w:pStyle w:val="TableParagraph"/>
              <w:spacing w:line="240" w:lineRule="exact" w:before="9"/>
              <w:ind w:left="23" w:right="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me/bulletin_detail/t rue/1202833639</w:t>
            </w:r>
            <w:r>
              <w:rPr>
                <w:rFonts w:ascii="宋体" w:hAnsi="宋体" w:cs="宋体" w:eastAsia="宋体" w:hint="default"/>
                <w:sz w:val="18"/>
                <w:szCs w:val="18"/>
              </w:rPr>
              <w:t>？ </w:t>
            </w:r>
            <w:r>
              <w:rPr>
                <w:rFonts w:ascii="Times New Roman" w:hAnsi="Times New Roman" w:cs="Times New Roman" w:eastAsia="Times New Roman" w:hint="default"/>
                <w:sz w:val="18"/>
                <w:szCs w:val="18"/>
              </w:rPr>
              <w:t>announceTime=20 16-11-18</w:t>
            </w:r>
          </w:p>
        </w:tc>
      </w:tr>
    </w:tbl>
    <w:p>
      <w:pPr>
        <w:spacing w:line="240" w:lineRule="auto" w:before="8"/>
        <w:rPr>
          <w:rFonts w:ascii="宋体" w:hAnsi="宋体" w:cs="宋体" w:eastAsia="宋体" w:hint="default"/>
          <w:sz w:val="6"/>
          <w:szCs w:val="6"/>
        </w:rPr>
      </w:pPr>
    </w:p>
    <w:p>
      <w:pPr>
        <w:pStyle w:val="BodyText"/>
        <w:spacing w:line="240" w:lineRule="auto" w:before="44"/>
        <w:ind w:left="514" w:right="1118"/>
        <w:jc w:val="left"/>
      </w:pPr>
      <w:r>
        <w:rPr/>
        <w:t>公司股东、交易对手方在报告年度经营业绩做出的承诺情况</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240" w:lineRule="auto" w:before="44"/>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13"/>
          <w:szCs w:val="13"/>
        </w:rPr>
      </w:pPr>
    </w:p>
    <w:p>
      <w:pPr>
        <w:pStyle w:val="BodyText"/>
        <w:spacing w:line="309" w:lineRule="auto"/>
        <w:ind w:left="153" w:right="1129" w:firstLine="360"/>
        <w:jc w:val="both"/>
      </w:pPr>
      <w:r>
        <w:rPr>
          <w:spacing w:val="-2"/>
        </w:rPr>
        <w:t>徐正军、王金根、曹锋、邓国庭作为业绩承诺人，承诺方欣科技</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年度经审计的合并报表口径</w:t>
      </w:r>
      <w:r>
        <w:rPr/>
        <w:t> </w:t>
      </w:r>
      <w:r>
        <w:rPr>
          <w:spacing w:val="-3"/>
        </w:rPr>
        <w:t>下的归属于母公司股东的净利润（以扣除非经常性损益前后孰低者为准）分别不低于</w:t>
      </w:r>
      <w:r>
        <w:rPr>
          <w:rFonts w:ascii="Times New Roman" w:hAnsi="Times New Roman" w:cs="Times New Roman" w:eastAsia="Times New Roman" w:hint="default"/>
          <w:spacing w:val="-3"/>
        </w:rPr>
        <w:t>12,000</w:t>
      </w:r>
      <w:r>
        <w:rPr>
          <w:spacing w:val="-3"/>
        </w:rPr>
        <w:t>万元、</w:t>
      </w:r>
      <w:r>
        <w:rPr>
          <w:rFonts w:ascii="Times New Roman" w:hAnsi="Times New Roman" w:cs="Times New Roman" w:eastAsia="Times New Roman" w:hint="default"/>
          <w:spacing w:val="-3"/>
        </w:rPr>
        <w:t>16,800</w:t>
      </w:r>
      <w:r>
        <w:rPr>
          <w:spacing w:val="-3"/>
        </w:rPr>
        <w:t>万元、</w:t>
      </w:r>
      <w:r>
        <w:rPr>
          <w:rFonts w:ascii="Times New Roman" w:hAnsi="Times New Roman" w:cs="Times New Roman" w:eastAsia="Times New Roman" w:hint="default"/>
          <w:spacing w:val="-3"/>
        </w:rPr>
        <w:t>23,500</w:t>
      </w:r>
      <w:r>
        <w:rPr>
          <w:spacing w:val="-3"/>
        </w:rPr>
        <w:t>万元。</w:t>
      </w:r>
      <w:r>
        <w:rPr>
          <w:spacing w:val="-33"/>
        </w:rPr>
        <w:t> </w:t>
      </w:r>
      <w:r>
        <w:rPr>
          <w:spacing w:val="-33"/>
        </w:rPr>
      </w:r>
      <w:r>
        <w:rPr>
          <w:spacing w:val="-2"/>
        </w:rPr>
        <w:t>若方欣科技于业绩承诺期内实现的实际净利润未达到承诺净利润，则补偿义务人应向上市公司足额补偿，具体为首先补偿义</w:t>
      </w:r>
      <w:r>
        <w:rPr>
          <w:spacing w:val="-64"/>
        </w:rPr>
        <w:t> </w:t>
      </w:r>
      <w:r>
        <w:rPr>
          <w:spacing w:val="-64"/>
        </w:rPr>
      </w:r>
      <w:r>
        <w:rPr>
          <w:spacing w:val="-2"/>
        </w:rPr>
        <w:t>务人以其在本次交易中取得的上市公司股份进行补偿，若补偿义务人在本次交易中取得的上市公司股份不足以补偿上市公司</w:t>
      </w:r>
      <w:r>
        <w:rPr>
          <w:spacing w:val="-64"/>
        </w:rPr>
        <w:t> </w:t>
      </w:r>
      <w:r>
        <w:rPr>
          <w:spacing w:val="-64"/>
        </w:rPr>
      </w:r>
      <w:r>
        <w:rPr/>
        <w:t>的，则该差额部分由补偿义务人以现金方式进行补偿。</w:t>
      </w:r>
    </w:p>
    <w:p>
      <w:pPr>
        <w:pStyle w:val="BodyText"/>
        <w:spacing w:line="300" w:lineRule="auto" w:before="144"/>
        <w:ind w:left="153" w:right="1040" w:firstLine="360"/>
        <w:jc w:val="both"/>
      </w:pPr>
      <w:r>
        <w:rPr>
          <w:spacing w:val="-2"/>
        </w:rPr>
        <w:t>方欣科技</w:t>
      </w:r>
      <w:r>
        <w:rPr>
          <w:rFonts w:ascii="Times New Roman" w:hAnsi="Times New Roman" w:cs="Times New Roman" w:eastAsia="Times New Roman" w:hint="default"/>
          <w:spacing w:val="-2"/>
        </w:rPr>
        <w:t>2017</w:t>
      </w:r>
      <w:r>
        <w:rPr>
          <w:spacing w:val="-2"/>
        </w:rPr>
        <w:t>年度实现合并净利润为</w:t>
      </w:r>
      <w:r>
        <w:rPr>
          <w:rFonts w:ascii="Times New Roman" w:hAnsi="Times New Roman" w:cs="Times New Roman" w:eastAsia="Times New Roman" w:hint="default"/>
          <w:spacing w:val="-2"/>
        </w:rPr>
        <w:t>18,084.98</w:t>
      </w:r>
      <w:r>
        <w:rPr>
          <w:spacing w:val="-2"/>
        </w:rPr>
        <w:t>万元，其中归属于母公司所有者的净利润为</w:t>
      </w:r>
      <w:r>
        <w:rPr>
          <w:rFonts w:ascii="Times New Roman" w:hAnsi="Times New Roman" w:cs="Times New Roman" w:eastAsia="Times New Roman" w:hint="default"/>
          <w:spacing w:val="-2"/>
        </w:rPr>
        <w:t>18,004.17</w:t>
      </w:r>
      <w:r>
        <w:rPr>
          <w:spacing w:val="-2"/>
        </w:rPr>
        <w:t>万元，</w:t>
      </w:r>
      <w:r>
        <w:rPr>
          <w:rFonts w:ascii="Times New Roman" w:hAnsi="Times New Roman" w:cs="Times New Roman" w:eastAsia="Times New Roman" w:hint="default"/>
          <w:spacing w:val="-2"/>
        </w:rPr>
        <w:t>2017</w:t>
      </w:r>
      <w:r>
        <w:rPr>
          <w:spacing w:val="-2"/>
        </w:rPr>
        <w:t>年度归属</w:t>
      </w:r>
      <w:r>
        <w:rPr/>
        <w:t> 于母公司的非经常性损益为</w:t>
      </w:r>
      <w:r>
        <w:rPr>
          <w:rFonts w:ascii="Times New Roman" w:hAnsi="Times New Roman" w:cs="Times New Roman" w:eastAsia="Times New Roman" w:hint="default"/>
        </w:rPr>
        <w:t>440.40</w:t>
      </w:r>
      <w:r>
        <w:rPr/>
        <w:t>万元，</w:t>
      </w:r>
      <w:r>
        <w:rPr>
          <w:rFonts w:ascii="Times New Roman" w:hAnsi="Times New Roman" w:cs="Times New Roman" w:eastAsia="Times New Roman" w:hint="default"/>
        </w:rPr>
        <w:t>2017</w:t>
      </w:r>
      <w:r>
        <w:rPr/>
        <w:t>年度募集资金占用利息及存放利息为</w:t>
      </w:r>
      <w:r>
        <w:rPr>
          <w:rFonts w:ascii="Times New Roman" w:hAnsi="Times New Roman" w:cs="Times New Roman" w:eastAsia="Times New Roman" w:hint="default"/>
        </w:rPr>
        <w:t>649.30</w:t>
      </w:r>
      <w:r>
        <w:rPr/>
        <w:t>万元，扣除非经常性损益及资金占 </w:t>
      </w:r>
      <w:r>
        <w:rPr>
          <w:spacing w:val="-2"/>
        </w:rPr>
        <w:t>用利息后的归属于母公司所有者的净利润为</w:t>
      </w:r>
      <w:r>
        <w:rPr>
          <w:rFonts w:ascii="Times New Roman" w:hAnsi="Times New Roman" w:cs="Times New Roman" w:eastAsia="Times New Roman" w:hint="default"/>
          <w:spacing w:val="-2"/>
        </w:rPr>
        <w:t>16,914.47</w:t>
      </w:r>
      <w:r>
        <w:rPr>
          <w:spacing w:val="-2"/>
        </w:rPr>
        <w:t>万元，完成</w:t>
      </w:r>
      <w:r>
        <w:rPr>
          <w:rFonts w:ascii="Times New Roman" w:hAnsi="Times New Roman" w:cs="Times New Roman" w:eastAsia="Times New Roman" w:hint="default"/>
          <w:spacing w:val="-2"/>
        </w:rPr>
        <w:t>2017</w:t>
      </w:r>
      <w:r>
        <w:rPr>
          <w:spacing w:val="-2"/>
        </w:rPr>
        <w:t>年度业绩承诺的</w:t>
      </w:r>
      <w:r>
        <w:rPr>
          <w:rFonts w:ascii="Times New Roman" w:hAnsi="Times New Roman" w:cs="Times New Roman" w:eastAsia="Times New Roman" w:hint="default"/>
          <w:spacing w:val="-2"/>
        </w:rPr>
        <w:t>100.68%</w:t>
      </w:r>
      <w:r>
        <w:rPr>
          <w:spacing w:val="-2"/>
        </w:rPr>
        <w:t>，完成了</w:t>
      </w:r>
      <w:r>
        <w:rPr>
          <w:rFonts w:ascii="Times New Roman" w:hAnsi="Times New Roman" w:cs="Times New Roman" w:eastAsia="Times New Roman" w:hint="default"/>
          <w:spacing w:val="-2"/>
        </w:rPr>
        <w:t>2017</w:t>
      </w:r>
      <w:r>
        <w:rPr>
          <w:spacing w:val="-2"/>
        </w:rPr>
        <w:t>年度的业绩承诺。</w:t>
      </w:r>
    </w:p>
    <w:p>
      <w:pPr>
        <w:spacing w:line="240" w:lineRule="auto" w:before="4"/>
        <w:rPr>
          <w:rFonts w:ascii="宋体" w:hAnsi="宋体" w:cs="宋体" w:eastAsia="宋体" w:hint="default"/>
          <w:sz w:val="20"/>
          <w:szCs w:val="20"/>
        </w:rPr>
      </w:pPr>
    </w:p>
    <w:p>
      <w:pPr>
        <w:pStyle w:val="Heading2"/>
        <w:spacing w:line="240" w:lineRule="auto"/>
        <w:ind w:left="154" w:right="1118"/>
        <w:jc w:val="left"/>
        <w:rPr>
          <w:b w:val="0"/>
          <w:bCs w:val="0"/>
        </w:rPr>
      </w:pPr>
      <w:bookmarkStart w:name="四、控股股东及其关联方对上市公司的非经营性占用资金情况" w:id="75"/>
      <w:bookmarkEnd w:id="75"/>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6"/>
      <w:bookmarkEnd w:id="7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六、与上年度财务报告相比，会计政策、会计估计和核算方法发生变化的情况说明" w:id="77"/>
      <w:bookmarkEnd w:id="7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与上年度财务报告相比，会计政策发生变化的情况</w:t>
      </w:r>
    </w:p>
    <w:p>
      <w:pPr>
        <w:spacing w:line="240" w:lineRule="auto" w:before="5"/>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4396"/>
        <w:gridCol w:w="5103"/>
      </w:tblGrid>
      <w:tr>
        <w:trPr>
          <w:trHeight w:val="404" w:hRule="exact"/>
        </w:trPr>
        <w:tc>
          <w:tcPr>
            <w:tcW w:w="4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1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96" w:right="0"/>
              <w:jc w:val="left"/>
              <w:rPr>
                <w:rFonts w:ascii="宋体" w:hAnsi="宋体" w:cs="宋体" w:eastAsia="宋体" w:hint="default"/>
                <w:sz w:val="18"/>
                <w:szCs w:val="18"/>
              </w:rPr>
            </w:pPr>
            <w:r>
              <w:rPr>
                <w:rFonts w:ascii="宋体" w:hAnsi="宋体" w:cs="宋体" w:eastAsia="宋体" w:hint="default"/>
                <w:sz w:val="18"/>
                <w:szCs w:val="18"/>
              </w:rPr>
              <w:t>受重要影响的报表项目名称和金额</w:t>
            </w:r>
          </w:p>
        </w:tc>
      </w:tr>
      <w:tr>
        <w:trPr>
          <w:trHeight w:val="830"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0"/>
              <w:ind w:left="4" w:right="4"/>
              <w:jc w:val="left"/>
              <w:rPr>
                <w:rFonts w:ascii="宋体" w:hAnsi="宋体" w:cs="宋体" w:eastAsia="宋体" w:hint="default"/>
                <w:sz w:val="18"/>
                <w:szCs w:val="18"/>
              </w:rPr>
            </w:pPr>
            <w:r>
              <w:rPr>
                <w:rFonts w:ascii="宋体" w:hAnsi="宋体" w:cs="宋体" w:eastAsia="宋体" w:hint="default"/>
                <w:spacing w:val="-2"/>
                <w:sz w:val="18"/>
                <w:szCs w:val="18"/>
              </w:rPr>
              <w:t>根据财政部《关于印发</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42</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持有待售</w:t>
            </w:r>
            <w:r>
              <w:rPr>
                <w:rFonts w:ascii="宋体" w:hAnsi="宋体" w:cs="宋体" w:eastAsia="宋体" w:hint="default"/>
                <w:spacing w:val="-85"/>
                <w:sz w:val="18"/>
                <w:szCs w:val="18"/>
              </w:rPr>
              <w:t> </w:t>
            </w:r>
            <w:r>
              <w:rPr>
                <w:rFonts w:ascii="宋体" w:hAnsi="宋体" w:cs="宋体" w:eastAsia="宋体" w:hint="default"/>
                <w:spacing w:val="-12"/>
                <w:sz w:val="18"/>
                <w:szCs w:val="18"/>
              </w:rPr>
              <w:t>的非流动资产、处置组和终止经营</w:t>
            </w:r>
            <w:r>
              <w:rPr>
                <w:rFonts w:ascii="Times New Roman" w:hAnsi="Times New Roman" w:cs="Times New Roman" w:eastAsia="Times New Roman" w:hint="default"/>
                <w:spacing w:val="-12"/>
                <w:sz w:val="18"/>
                <w:szCs w:val="18"/>
              </w:rPr>
              <w:t>&gt;</w:t>
            </w:r>
            <w:r>
              <w:rPr>
                <w:rFonts w:ascii="宋体" w:hAnsi="宋体" w:cs="宋体" w:eastAsia="宋体" w:hint="default"/>
                <w:spacing w:val="-12"/>
                <w:sz w:val="18"/>
                <w:szCs w:val="18"/>
              </w:rPr>
              <w:t>的通知》（财会〔</w:t>
            </w:r>
            <w:r>
              <w:rPr>
                <w:rFonts w:ascii="Times New Roman" w:hAnsi="Times New Roman" w:cs="Times New Roman" w:eastAsia="Times New Roman" w:hint="default"/>
                <w:spacing w:val="-12"/>
                <w:sz w:val="18"/>
                <w:szCs w:val="18"/>
              </w:rPr>
              <w:t>2017</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5"/>
                <w:sz w:val="18"/>
                <w:szCs w:val="18"/>
              </w:rPr>
              <w:t>13</w:t>
            </w:r>
            <w:r>
              <w:rPr>
                <w:rFonts w:ascii="宋体" w:hAnsi="宋体" w:cs="宋体" w:eastAsia="宋体" w:hint="default"/>
                <w:spacing w:val="-5"/>
                <w:sz w:val="18"/>
                <w:szCs w:val="18"/>
              </w:rPr>
              <w:t>号）的规定，本公司自</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28</w:t>
            </w:r>
            <w:r>
              <w:rPr>
                <w:rFonts w:ascii="宋体" w:hAnsi="宋体" w:cs="宋体" w:eastAsia="宋体" w:hint="default"/>
                <w:spacing w:val="-5"/>
                <w:sz w:val="18"/>
                <w:szCs w:val="18"/>
              </w:rPr>
              <w:t>日起执行前述准则</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before="152"/>
              <w:ind w:left="4" w:right="0"/>
              <w:jc w:val="left"/>
              <w:rPr>
                <w:rFonts w:ascii="宋体" w:hAnsi="宋体" w:cs="宋体" w:eastAsia="宋体" w:hint="default"/>
                <w:sz w:val="18"/>
                <w:szCs w:val="18"/>
              </w:rPr>
            </w:pPr>
            <w:r>
              <w:rPr>
                <w:rFonts w:ascii="宋体" w:hAnsi="宋体" w:cs="宋体" w:eastAsia="宋体" w:hint="default"/>
                <w:sz w:val="18"/>
                <w:szCs w:val="18"/>
              </w:rPr>
              <w:t>根据该准则的相关规定，施行日存在的持有待售的非流动资产、</w:t>
            </w:r>
          </w:p>
          <w:p>
            <w:pPr>
              <w:pStyle w:val="TableParagraph"/>
              <w:spacing w:line="120"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20" w:lineRule="exact"/>
              <w:ind w:left="4" w:right="0"/>
              <w:jc w:val="left"/>
              <w:rPr>
                <w:rFonts w:ascii="宋体" w:hAnsi="宋体" w:cs="宋体" w:eastAsia="宋体" w:hint="default"/>
                <w:sz w:val="18"/>
                <w:szCs w:val="18"/>
              </w:rPr>
            </w:pPr>
            <w:r>
              <w:rPr>
                <w:rFonts w:ascii="宋体" w:hAnsi="宋体" w:cs="宋体" w:eastAsia="宋体" w:hint="default"/>
                <w:sz w:val="18"/>
                <w:szCs w:val="18"/>
              </w:rPr>
              <w:t>处置组和终止经营，应当采用未来适用法处理。</w:t>
            </w:r>
          </w:p>
          <w:p>
            <w:pPr>
              <w:pStyle w:val="TableParagraph"/>
              <w:spacing w:line="178"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830"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0"/>
              <w:ind w:left="4" w:right="5"/>
              <w:jc w:val="both"/>
              <w:rPr>
                <w:rFonts w:ascii="宋体" w:hAnsi="宋体" w:cs="宋体" w:eastAsia="宋体" w:hint="default"/>
                <w:sz w:val="18"/>
                <w:szCs w:val="18"/>
              </w:rPr>
            </w:pPr>
            <w:r>
              <w:rPr>
                <w:rFonts w:ascii="宋体" w:hAnsi="宋体" w:cs="宋体" w:eastAsia="宋体" w:hint="default"/>
                <w:spacing w:val="-2"/>
                <w:sz w:val="18"/>
                <w:szCs w:val="18"/>
              </w:rPr>
              <w:t>根据财政部《关于印发修订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政府</w:t>
            </w:r>
            <w:r>
              <w:rPr>
                <w:rFonts w:ascii="宋体" w:hAnsi="宋体" w:cs="宋体" w:eastAsia="宋体" w:hint="default"/>
                <w:spacing w:val="-85"/>
                <w:sz w:val="18"/>
                <w:szCs w:val="18"/>
              </w:rPr>
              <w:t> </w:t>
            </w:r>
            <w:r>
              <w:rPr>
                <w:rFonts w:ascii="宋体" w:hAnsi="宋体" w:cs="宋体" w:eastAsia="宋体" w:hint="default"/>
                <w:spacing w:val="-2"/>
                <w:sz w:val="18"/>
                <w:szCs w:val="18"/>
              </w:rPr>
              <w:t>补助</w:t>
            </w:r>
            <w:r>
              <w:rPr>
                <w:rFonts w:ascii="Times New Roman" w:hAnsi="Times New Roman" w:cs="Times New Roman" w:eastAsia="Times New Roman" w:hint="default"/>
                <w:spacing w:val="-2"/>
                <w:sz w:val="18"/>
                <w:szCs w:val="18"/>
              </w:rPr>
              <w:t>&gt;</w:t>
            </w:r>
            <w:r>
              <w:rPr>
                <w:rFonts w:ascii="宋体" w:hAnsi="宋体" w:cs="宋体" w:eastAsia="宋体" w:hint="default"/>
                <w:spacing w:val="-2"/>
                <w:sz w:val="18"/>
                <w:szCs w:val="18"/>
              </w:rPr>
              <w:t>的通知》（财会〔</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号）的规定，本公司自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日起执行前述准则。</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0"/>
              <w:ind w:left="4" w:right="4"/>
              <w:jc w:val="both"/>
              <w:rPr>
                <w:rFonts w:ascii="宋体" w:hAnsi="宋体" w:cs="宋体" w:eastAsia="宋体" w:hint="default"/>
                <w:sz w:val="18"/>
                <w:szCs w:val="18"/>
              </w:rPr>
            </w:pPr>
            <w:r>
              <w:rPr>
                <w:rFonts w:ascii="宋体" w:hAnsi="宋体" w:cs="宋体" w:eastAsia="宋体" w:hint="default"/>
                <w:sz w:val="18"/>
                <w:szCs w:val="18"/>
              </w:rPr>
              <w:t>根据该准则的相关规定，本公司对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日存在的政府补助</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采用未来适用法处理，对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日至该准则施行日之间新增</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的政府补助根据该准则进行调整。</w:t>
            </w:r>
          </w:p>
        </w:tc>
      </w:tr>
      <w:tr>
        <w:trPr>
          <w:trHeight w:val="830"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3"/>
              <w:ind w:left="4" w:right="2"/>
              <w:jc w:val="both"/>
              <w:rPr>
                <w:rFonts w:ascii="宋体" w:hAnsi="宋体" w:cs="宋体" w:eastAsia="宋体" w:hint="default"/>
                <w:sz w:val="18"/>
                <w:szCs w:val="18"/>
              </w:rPr>
            </w:pPr>
            <w:r>
              <w:rPr>
                <w:rFonts w:ascii="宋体" w:hAnsi="宋体" w:cs="宋体" w:eastAsia="宋体" w:hint="default"/>
                <w:spacing w:val="2"/>
                <w:sz w:val="18"/>
                <w:szCs w:val="18"/>
              </w:rPr>
              <w:t>根据财政部《关于修订印发一般企业财务报表格式的通 </w:t>
            </w:r>
            <w:r>
              <w:rPr>
                <w:rFonts w:ascii="宋体" w:hAnsi="宋体" w:cs="宋体" w:eastAsia="宋体" w:hint="default"/>
                <w:sz w:val="18"/>
                <w:szCs w:val="18"/>
              </w:rPr>
              <w:t>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号），本公司对财务报表格式进</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行了相应调整。</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31"/>
              <w:ind w:left="4" w:right="0"/>
              <w:jc w:val="left"/>
              <w:rPr>
                <w:rFonts w:ascii="宋体" w:hAnsi="宋体" w:cs="宋体" w:eastAsia="宋体" w:hint="default"/>
                <w:sz w:val="18"/>
                <w:szCs w:val="18"/>
              </w:rPr>
            </w:pPr>
            <w:r>
              <w:rPr>
                <w:rFonts w:ascii="宋体" w:hAnsi="宋体" w:cs="宋体" w:eastAsia="宋体" w:hint="default"/>
                <w:spacing w:val="12"/>
                <w:sz w:val="18"/>
                <w:szCs w:val="18"/>
              </w:rPr>
              <w:t>在利润表中新增“资产处置收益”项目，</w:t>
            </w:r>
            <w:r>
              <w:rPr>
                <w:rFonts w:ascii="宋体" w:hAnsi="宋体" w:cs="宋体" w:eastAsia="宋体" w:hint="default"/>
                <w:spacing w:val="15"/>
                <w:sz w:val="18"/>
                <w:szCs w:val="18"/>
              </w:rPr>
              <w:t> </w:t>
            </w:r>
            <w:r>
              <w:rPr>
                <w:rFonts w:ascii="Times New Roman" w:hAnsi="Times New Roman" w:cs="Times New Roman" w:eastAsia="Times New Roman" w:hint="default"/>
                <w:spacing w:val="7"/>
                <w:sz w:val="18"/>
                <w:szCs w:val="18"/>
              </w:rPr>
              <w:t>2017</w:t>
            </w:r>
            <w:r>
              <w:rPr>
                <w:rFonts w:ascii="宋体" w:hAnsi="宋体" w:cs="宋体" w:eastAsia="宋体" w:hint="default"/>
                <w:spacing w:val="7"/>
                <w:sz w:val="18"/>
                <w:szCs w:val="18"/>
              </w:rPr>
              <w:t>年度影响金额</w:t>
            </w:r>
          </w:p>
          <w:p>
            <w:pPr>
              <w:pStyle w:val="TableParagraph"/>
              <w:spacing w:line="240" w:lineRule="exact" w:before="14"/>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-1,959,650.01</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年度追溯影响金额</w:t>
            </w:r>
            <w:r>
              <w:rPr>
                <w:rFonts w:ascii="Times New Roman" w:hAnsi="Times New Roman" w:cs="Times New Roman" w:eastAsia="Times New Roman" w:hint="default"/>
                <w:sz w:val="18"/>
                <w:szCs w:val="18"/>
              </w:rPr>
              <w:t>2,927,656.82</w:t>
            </w:r>
            <w:r>
              <w:rPr>
                <w:rFonts w:ascii="宋体" w:hAnsi="宋体" w:cs="宋体" w:eastAsia="宋体" w:hint="default"/>
                <w:sz w:val="18"/>
                <w:szCs w:val="18"/>
              </w:rPr>
              <w:t>元。在利润</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年度影响金额</w:t>
            </w:r>
            <w:r>
              <w:rPr>
                <w:rFonts w:ascii="Times New Roman" w:hAnsi="Times New Roman" w:cs="Times New Roman" w:eastAsia="Times New Roman" w:hint="default"/>
                <w:sz w:val="18"/>
                <w:szCs w:val="18"/>
              </w:rPr>
              <w:t>10,317,209.41</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七、报告期内发生重大会计差错更正需追溯重述的情况说明" w:id="78"/>
      <w:bookmarkEnd w:id="78"/>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5"/>
        <w:rPr>
          <w:rFonts w:ascii="宋体" w:hAnsi="宋体" w:cs="宋体" w:eastAsia="宋体" w:hint="default"/>
          <w:sz w:val="19"/>
          <w:szCs w:val="19"/>
        </w:rPr>
      </w:pPr>
    </w:p>
    <w:p>
      <w:pPr>
        <w:pStyle w:val="Heading2"/>
        <w:spacing w:line="240" w:lineRule="auto"/>
        <w:ind w:left="154" w:right="1118"/>
        <w:jc w:val="left"/>
        <w:rPr>
          <w:b w:val="0"/>
          <w:bCs w:val="0"/>
        </w:rPr>
      </w:pPr>
      <w:bookmarkStart w:name="八、与上年度财务报告相比，合并报表范围发生变化的情况说明" w:id="79"/>
      <w:bookmarkEnd w:id="79"/>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18"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月公司新设全资子公司江苏丰东热技术有限公司，公司于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月将热处理业务相关的资产（包含公 </w:t>
      </w:r>
      <w:r>
        <w:rPr>
          <w:spacing w:val="-2"/>
        </w:rPr>
        <w:t>司对热处理业务板块控股及参股公司持有的股权）、负债、业务、资质、合同、人员及其他一切权利与义务转移至全资子公</w:t>
      </w:r>
    </w:p>
    <w:p>
      <w:pPr>
        <w:spacing w:after="0" w:line="300" w:lineRule="auto"/>
        <w:jc w:val="left"/>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240" w:lineRule="auto" w:before="44"/>
        <w:ind w:left="154" w:right="1118"/>
        <w:jc w:val="left"/>
      </w:pPr>
      <w:r>
        <w:rPr/>
        <w:t>司丰东热技术。</w:t>
      </w:r>
    </w:p>
    <w:p>
      <w:pPr>
        <w:pStyle w:val="BodyText"/>
        <w:spacing w:line="302" w:lineRule="auto" w:before="115"/>
        <w:ind w:left="154" w:right="1132"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月，上海宝华威热处理设备有限公司及其控股子公司艾普零件制造（苏州）有限公司纳入公司合并报表范 围。</w:t>
      </w:r>
    </w:p>
    <w:p>
      <w:pPr>
        <w:pStyle w:val="BodyText"/>
        <w:spacing w:line="302" w:lineRule="auto" w:before="69"/>
        <w:ind w:left="154" w:right="1132" w:firstLine="360"/>
        <w:jc w:val="both"/>
      </w:pPr>
      <w:r>
        <w:rPr>
          <w:rFonts w:ascii="Times New Roman" w:hAnsi="Times New Roman" w:cs="Times New Roman" w:eastAsia="Times New Roman" w:hint="default"/>
        </w:rPr>
        <w:t>3</w:t>
      </w:r>
      <w:r>
        <w:rPr/>
        <w:t>、本公司于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月将所持北京丰东建通工业炉科技有限公司</w:t>
      </w:r>
      <w:r>
        <w:rPr>
          <w:spacing w:val="-47"/>
        </w:rPr>
        <w:t> </w:t>
      </w:r>
      <w:r>
        <w:rPr>
          <w:rFonts w:ascii="Times New Roman" w:hAnsi="Times New Roman" w:cs="Times New Roman" w:eastAsia="Times New Roman" w:hint="default"/>
        </w:rPr>
        <w:t>65%</w:t>
      </w:r>
      <w:r>
        <w:rPr/>
        <w:t>股权全部转让，北京丰东于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月起不再 纳入公司合并报表范围。</w:t>
      </w:r>
    </w:p>
    <w:p>
      <w:pPr>
        <w:pStyle w:val="BodyText"/>
        <w:spacing w:line="312" w:lineRule="auto" w:before="68"/>
        <w:ind w:left="153" w:right="1131" w:firstLine="360"/>
        <w:jc w:val="both"/>
      </w:pPr>
      <w:r>
        <w:rPr>
          <w:rFonts w:ascii="Times New Roman" w:hAnsi="Times New Roman" w:cs="Times New Roman" w:eastAsia="Times New Roman" w:hint="default"/>
          <w:spacing w:val="-3"/>
        </w:rPr>
        <w:t>4</w:t>
      </w:r>
      <w:r>
        <w:rPr>
          <w:spacing w:val="-3"/>
        </w:rPr>
        <w:t>、公司全资子公司方欣科技有限公司</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年新纳入合并报表范围的子公司及其下属公司有：金财互联数据服务有限公 </w:t>
      </w:r>
      <w:r>
        <w:rPr>
          <w:spacing w:val="-2"/>
        </w:rPr>
        <w:t>司、方欣智慧财税服务有限公司、浙江金财立信财务管理有限公司、北京方欣恒利科技有限公司、上海金财企盈企业服务有</w:t>
      </w:r>
      <w:r>
        <w:rPr>
          <w:spacing w:val="-66"/>
        </w:rPr>
        <w:t> </w:t>
      </w:r>
      <w:r>
        <w:rPr>
          <w:spacing w:val="-66"/>
        </w:rPr>
      </w:r>
      <w:r>
        <w:rPr>
          <w:spacing w:val="-2"/>
        </w:rPr>
        <w:t>限公司、东莞市金财互联信息科技有限公司、江门市金财互联数据服务有限公司、浙江立信之友软件有限公司、黄山怀信商</w:t>
      </w:r>
      <w:r>
        <w:rPr>
          <w:spacing w:val="-66"/>
        </w:rPr>
        <w:t> </w:t>
      </w:r>
      <w:r>
        <w:rPr>
          <w:spacing w:val="-66"/>
        </w:rPr>
      </w:r>
      <w:r>
        <w:rPr/>
        <w:t>务信息咨询有限公司、新疆金财立信财务管理有限公司、上海灏友企业服务有限公司。</w:t>
      </w:r>
    </w:p>
    <w:p>
      <w:pPr>
        <w:spacing w:line="240" w:lineRule="auto" w:before="10"/>
        <w:rPr>
          <w:rFonts w:ascii="宋体" w:hAnsi="宋体" w:cs="宋体" w:eastAsia="宋体" w:hint="default"/>
          <w:sz w:val="20"/>
          <w:szCs w:val="20"/>
        </w:rPr>
      </w:pPr>
    </w:p>
    <w:p>
      <w:pPr>
        <w:pStyle w:val="Heading2"/>
        <w:spacing w:line="240" w:lineRule="auto"/>
        <w:ind w:left="636" w:right="1118"/>
        <w:jc w:val="left"/>
        <w:rPr>
          <w:b w:val="0"/>
          <w:bCs w:val="0"/>
        </w:rPr>
      </w:pPr>
      <w:bookmarkStart w:name="九、聘任、解聘会计师事务所情况" w:id="80"/>
      <w:bookmarkEnd w:id="80"/>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冯家俊、钟美玲</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当期是否改聘会计师事务所</w:t>
      </w:r>
    </w:p>
    <w:p>
      <w:pPr>
        <w:pStyle w:val="BodyText"/>
        <w:spacing w:line="338" w:lineRule="auto" w:before="116"/>
        <w:ind w:right="58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2" w:lineRule="auto"/>
        <w:ind w:left="153" w:right="1132" w:firstLine="360"/>
        <w:jc w:val="left"/>
      </w:pPr>
      <w:r>
        <w:rPr>
          <w:rFonts w:ascii="Times New Roman" w:hAnsi="Times New Roman" w:cs="Times New Roman" w:eastAsia="Times New Roman" w:hint="default"/>
          <w:spacing w:val="-2"/>
        </w:rPr>
        <w:t>2016</w:t>
      </w:r>
      <w:r>
        <w:rPr>
          <w:spacing w:val="-2"/>
        </w:rPr>
        <w:t>年公司因重大资产重组事项，聘请浙商证券股份有限公司、民生证券股份有限公司为公司独立财务顾问，持续督导</w:t>
      </w:r>
      <w:r>
        <w:rPr/>
        <w:t> 期为</w:t>
      </w:r>
      <w:r>
        <w:rPr>
          <w:rFonts w:ascii="Times New Roman" w:hAnsi="Times New Roman" w:cs="Times New Roman" w:eastAsia="Times New Roman" w:hint="default"/>
        </w:rPr>
        <w:t>2016.11.21-2017.12.31</w:t>
      </w:r>
      <w:r>
        <w:rPr/>
        <w:t>。</w:t>
      </w:r>
    </w:p>
    <w:p>
      <w:pPr>
        <w:spacing w:line="240" w:lineRule="auto" w:before="13"/>
        <w:rPr>
          <w:rFonts w:ascii="宋体" w:hAnsi="宋体" w:cs="宋体" w:eastAsia="宋体" w:hint="default"/>
          <w:sz w:val="19"/>
          <w:szCs w:val="19"/>
        </w:rPr>
      </w:pPr>
    </w:p>
    <w:p>
      <w:pPr>
        <w:pStyle w:val="Heading2"/>
        <w:spacing w:line="240" w:lineRule="auto"/>
        <w:ind w:left="154" w:right="1118"/>
        <w:jc w:val="left"/>
        <w:rPr>
          <w:b w:val="0"/>
          <w:bCs w:val="0"/>
        </w:rPr>
      </w:pPr>
      <w:bookmarkStart w:name="十、年度报告披露后面临暂停上市和终止上市情况" w:id="81"/>
      <w:bookmarkEnd w:id="81"/>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十一、破产重整相关事项" w:id="82"/>
      <w:bookmarkEnd w:id="82"/>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18"/>
        <w:jc w:val="left"/>
        <w:rPr>
          <w:b w:val="0"/>
          <w:bCs w:val="0"/>
        </w:rPr>
      </w:pPr>
      <w:bookmarkStart w:name="十二、重大诉讼、仲裁事项" w:id="83"/>
      <w:bookmarkEnd w:id="83"/>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40" w:lineRule="auto"/>
        <w:jc w:val="left"/>
        <w:sectPr>
          <w:pgSz w:w="11910" w:h="16840"/>
          <w:pgMar w:header="687" w:footer="979" w:top="1140" w:bottom="1160" w:left="980" w:right="0"/>
        </w:sectPr>
      </w:pPr>
    </w:p>
    <w:p>
      <w:pPr>
        <w:spacing w:line="240" w:lineRule="auto" w:before="11"/>
        <w:rPr>
          <w:rFonts w:ascii="宋体" w:hAnsi="宋体" w:cs="宋体" w:eastAsia="宋体" w:hint="default"/>
          <w:sz w:val="17"/>
          <w:szCs w:val="17"/>
        </w:rPr>
      </w:pPr>
    </w:p>
    <w:p>
      <w:pPr>
        <w:pStyle w:val="Heading2"/>
        <w:spacing w:line="240" w:lineRule="auto" w:before="26"/>
        <w:ind w:left="154" w:right="1118"/>
        <w:jc w:val="left"/>
        <w:rPr>
          <w:b w:val="0"/>
          <w:bCs w:val="0"/>
        </w:rPr>
      </w:pPr>
      <w:bookmarkStart w:name="十三、处罚及整改情况" w:id="84"/>
      <w:bookmarkEnd w:id="84"/>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18"/>
        <w:jc w:val="left"/>
        <w:rPr>
          <w:b w:val="0"/>
          <w:bCs w:val="0"/>
        </w:rPr>
      </w:pPr>
      <w:bookmarkStart w:name="十四、公司及其控股股东、实际控制人的诚信状况" w:id="85"/>
      <w:bookmarkEnd w:id="85"/>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十五、公司股权激励计划、员工持股计划或其他员工激励措施的实施情况" w:id="86"/>
      <w:bookmarkEnd w:id="86"/>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118"/>
        <w:jc w:val="left"/>
        <w:rPr>
          <w:b w:val="0"/>
          <w:bCs w:val="0"/>
        </w:rPr>
      </w:pPr>
      <w:bookmarkStart w:name="十六、重大关联交易" w:id="87"/>
      <w:bookmarkEnd w:id="87"/>
      <w:r>
        <w:rPr>
          <w:b w:val="0"/>
          <w:bCs w:val="0"/>
        </w:rPr>
      </w:r>
      <w:r>
        <w:rPr/>
        <w:t>十六、重大关联交易</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与日常经营相关的关联交易" w:id="88"/>
      <w:bookmarkEnd w:id="8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566"/>
        <w:gridCol w:w="568"/>
        <w:gridCol w:w="566"/>
        <w:gridCol w:w="709"/>
        <w:gridCol w:w="710"/>
        <w:gridCol w:w="708"/>
        <w:gridCol w:w="709"/>
        <w:gridCol w:w="709"/>
        <w:gridCol w:w="709"/>
        <w:gridCol w:w="708"/>
        <w:gridCol w:w="708"/>
        <w:gridCol w:w="568"/>
        <w:gridCol w:w="922"/>
      </w:tblGrid>
      <w:tr>
        <w:trPr>
          <w:trHeight w:val="1211"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85" w:lineRule="auto"/>
              <w:ind w:left="169" w:right="78"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85" w:lineRule="auto"/>
              <w:ind w:left="98" w:right="9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99" w:right="96"/>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98" w:right="96"/>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80" w:right="77"/>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85" w:lineRule="auto"/>
              <w:ind w:left="79" w:right="78"/>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78" w:right="78"/>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0"/>
              <w:ind w:left="22" w:right="-45"/>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4"/>
              <w:ind w:left="79" w:right="78"/>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4"/>
              <w:ind w:left="79" w:right="78"/>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4"/>
                <w:szCs w:val="14"/>
              </w:rPr>
            </w:pPr>
          </w:p>
          <w:p>
            <w:pPr>
              <w:pStyle w:val="TableParagraph"/>
              <w:spacing w:line="285" w:lineRule="auto"/>
              <w:ind w:left="77" w:right="7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4"/>
              <w:ind w:left="79" w:right="77"/>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85" w:lineRule="auto"/>
              <w:ind w:left="99"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5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35"/>
              <w:jc w:val="both"/>
              <w:rPr>
                <w:rFonts w:ascii="宋体" w:hAnsi="宋体" w:cs="宋体" w:eastAsia="宋体" w:hint="default"/>
                <w:sz w:val="18"/>
                <w:szCs w:val="18"/>
              </w:rPr>
            </w:pPr>
            <w:r>
              <w:rPr>
                <w:rFonts w:ascii="宋体" w:hAnsi="宋体" w:cs="宋体" w:eastAsia="宋体" w:hint="default"/>
                <w:sz w:val="18"/>
                <w:szCs w:val="18"/>
              </w:rPr>
              <w:t>东方工 程株式 会社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85" w:lineRule="auto"/>
              <w:ind w:left="23" w:right="173"/>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3.39%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733.28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78" w:lineRule="auto"/>
              <w:ind w:left="22" w:right="22"/>
              <w:jc w:val="left"/>
              <w:rPr>
                <w:rFonts w:ascii="Times New Roman" w:hAnsi="Times New Roman" w:cs="Times New Roman" w:eastAsia="Times New Roman" w:hint="default"/>
                <w:sz w:val="18"/>
                <w:szCs w:val="18"/>
              </w:rPr>
            </w:pPr>
            <w:hyperlink r:id="rId16">
              <w:r>
                <w:rPr>
                  <w:rFonts w:ascii="Times New Roman"/>
                  <w:sz w:val="18"/>
                </w:rPr>
                <w:t>http://www.</w:t>
              </w:r>
            </w:hyperlink>
            <w:r>
              <w:rPr>
                <w:rFonts w:ascii="Times New Roman"/>
                <w:w w:val="99"/>
                <w:sz w:val="18"/>
              </w:rPr>
              <w:t> </w:t>
            </w:r>
            <w:r>
              <w:rPr>
                <w:rFonts w:ascii="Times New Roman"/>
                <w:sz w:val="18"/>
              </w:rPr>
              <w:t>cninfo.com.</w:t>
            </w:r>
            <w:r>
              <w:rPr>
                <w:rFonts w:ascii="Times New Roman"/>
                <w:sz w:val="18"/>
              </w:rPr>
              <w:t> cn/cninfo-n ew/disclosu</w:t>
            </w:r>
            <w:r>
              <w:rPr>
                <w:rFonts w:ascii="Times New Roman"/>
                <w:w w:val="99"/>
                <w:sz w:val="18"/>
              </w:rPr>
              <w:t> </w:t>
            </w:r>
            <w:r>
              <w:rPr>
                <w:rFonts w:ascii="Times New Roman"/>
                <w:sz w:val="18"/>
              </w:rPr>
              <w:t>re/szse_sm</w:t>
            </w:r>
            <w:r>
              <w:rPr>
                <w:rFonts w:ascii="Times New Roman"/>
                <w:w w:val="99"/>
                <w:sz w:val="18"/>
              </w:rPr>
              <w:t> </w:t>
            </w:r>
            <w:r>
              <w:rPr>
                <w:rFonts w:ascii="Times New Roman"/>
                <w:sz w:val="18"/>
              </w:rPr>
              <w:t>e/bulletin_d</w:t>
            </w:r>
            <w:r>
              <w:rPr>
                <w:rFonts w:ascii="Times New Roman"/>
                <w:sz w:val="18"/>
              </w:rPr>
              <w:t> etail/true/1 203162046</w:t>
            </w:r>
          </w:p>
          <w:p>
            <w:pPr>
              <w:pStyle w:val="TableParagraph"/>
              <w:spacing w:line="278" w:lineRule="auto" w:before="1"/>
              <w:ind w:left="22" w:right="45"/>
              <w:jc w:val="left"/>
              <w:rPr>
                <w:rFonts w:ascii="Times New Roman" w:hAnsi="Times New Roman" w:cs="Times New Roman" w:eastAsia="Times New Roman" w:hint="default"/>
                <w:sz w:val="18"/>
                <w:szCs w:val="18"/>
              </w:rPr>
            </w:pPr>
            <w:r>
              <w:rPr>
                <w:rFonts w:ascii="Times New Roman"/>
                <w:sz w:val="18"/>
              </w:rPr>
              <w:t>?announce Time=2017</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-03-16</w:t>
            </w:r>
          </w:p>
        </w:tc>
      </w:tr>
      <w:tr>
        <w:trPr>
          <w:trHeight w:val="105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5"/>
              <w:jc w:val="both"/>
              <w:rPr>
                <w:rFonts w:ascii="宋体" w:hAnsi="宋体" w:cs="宋体" w:eastAsia="宋体" w:hint="default"/>
                <w:sz w:val="18"/>
                <w:szCs w:val="18"/>
              </w:rPr>
            </w:pPr>
            <w:r>
              <w:rPr>
                <w:rFonts w:ascii="宋体" w:hAnsi="宋体" w:cs="宋体" w:eastAsia="宋体" w:hint="default"/>
                <w:sz w:val="18"/>
                <w:szCs w:val="18"/>
              </w:rPr>
              <w:t>广州丰 东热炼 有限公 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联营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销售 设备 及配 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885.34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tcBorders>
              <w:left w:val="single" w:sz="4" w:space="0" w:color="000000"/>
              <w:right w:val="single" w:sz="4" w:space="0" w:color="000000"/>
            </w:tcBorders>
          </w:tcPr>
          <w:p>
            <w:pPr/>
          </w:p>
        </w:tc>
      </w:tr>
      <w:tr>
        <w:trPr>
          <w:trHeight w:val="105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5"/>
              <w:jc w:val="both"/>
              <w:rPr>
                <w:rFonts w:ascii="宋体" w:hAnsi="宋体" w:cs="宋体" w:eastAsia="宋体" w:hint="default"/>
                <w:sz w:val="18"/>
                <w:szCs w:val="18"/>
              </w:rPr>
            </w:pPr>
            <w:r>
              <w:rPr>
                <w:rFonts w:ascii="宋体" w:hAnsi="宋体" w:cs="宋体" w:eastAsia="宋体" w:hint="default"/>
                <w:sz w:val="18"/>
                <w:szCs w:val="18"/>
              </w:rPr>
              <w:t>盐城高 周波热 炼有限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both"/>
              <w:rPr>
                <w:rFonts w:ascii="宋体" w:hAnsi="宋体" w:cs="宋体" w:eastAsia="宋体" w:hint="default"/>
                <w:sz w:val="18"/>
                <w:szCs w:val="18"/>
              </w:rPr>
            </w:pPr>
            <w:r>
              <w:rPr>
                <w:rFonts w:ascii="宋体" w:hAnsi="宋体" w:cs="宋体" w:eastAsia="宋体" w:hint="default"/>
                <w:sz w:val="18"/>
                <w:szCs w:val="18"/>
              </w:rPr>
              <w:t>销售 设备 及配 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191.23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tcBorders>
              <w:left w:val="single" w:sz="4" w:space="0" w:color="000000"/>
              <w:right w:val="single" w:sz="4" w:space="0" w:color="000000"/>
            </w:tcBorders>
          </w:tcPr>
          <w:p>
            <w:pPr/>
          </w:p>
        </w:tc>
      </w:tr>
      <w:tr>
        <w:trPr>
          <w:trHeight w:val="105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5"/>
              <w:jc w:val="both"/>
              <w:rPr>
                <w:rFonts w:ascii="宋体" w:hAnsi="宋体" w:cs="宋体" w:eastAsia="宋体" w:hint="default"/>
                <w:sz w:val="18"/>
                <w:szCs w:val="18"/>
              </w:rPr>
            </w:pPr>
            <w:r>
              <w:rPr>
                <w:rFonts w:ascii="宋体" w:hAnsi="宋体" w:cs="宋体" w:eastAsia="宋体" w:hint="default"/>
                <w:sz w:val="18"/>
                <w:szCs w:val="18"/>
              </w:rPr>
              <w:t>盐城高 周波热 炼有限 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3" w:right="173"/>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73"/>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0.17%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36.22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6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tcBorders>
              <w:left w:val="single" w:sz="4" w:space="0" w:color="000000"/>
              <w:right w:val="single" w:sz="4" w:space="0" w:color="000000"/>
            </w:tcBorders>
          </w:tcPr>
          <w:p>
            <w:pPr/>
          </w:p>
        </w:tc>
      </w:tr>
      <w:tr>
        <w:trPr>
          <w:trHeight w:val="12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5"/>
              <w:jc w:val="both"/>
              <w:rPr>
                <w:rFonts w:ascii="宋体" w:hAnsi="宋体" w:cs="宋体" w:eastAsia="宋体" w:hint="default"/>
                <w:sz w:val="18"/>
                <w:szCs w:val="18"/>
              </w:rPr>
            </w:pPr>
            <w:r>
              <w:rPr>
                <w:rFonts w:ascii="宋体" w:hAnsi="宋体" w:cs="宋体" w:eastAsia="宋体" w:hint="default"/>
                <w:sz w:val="18"/>
                <w:szCs w:val="18"/>
              </w:rPr>
              <w:t>江苏石 川岛丰 东真空 技术有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3" w:right="173"/>
              <w:jc w:val="left"/>
              <w:rPr>
                <w:rFonts w:ascii="宋体" w:hAnsi="宋体" w:cs="宋体" w:eastAsia="宋体" w:hint="default"/>
                <w:sz w:val="18"/>
                <w:szCs w:val="18"/>
              </w:rPr>
            </w:pPr>
            <w:r>
              <w:rPr>
                <w:rFonts w:ascii="宋体" w:hAnsi="宋体" w:cs="宋体" w:eastAsia="宋体" w:hint="default"/>
                <w:sz w:val="18"/>
                <w:szCs w:val="18"/>
              </w:rPr>
              <w:t>商品 销售</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73"/>
              <w:jc w:val="both"/>
              <w:rPr>
                <w:rFonts w:ascii="宋体" w:hAnsi="宋体" w:cs="宋体" w:eastAsia="宋体" w:hint="default"/>
                <w:sz w:val="18"/>
                <w:szCs w:val="18"/>
              </w:rPr>
            </w:pPr>
            <w:r>
              <w:rPr>
                <w:rFonts w:ascii="宋体" w:hAnsi="宋体" w:cs="宋体" w:eastAsia="宋体" w:hint="default"/>
                <w:sz w:val="18"/>
                <w:szCs w:val="18"/>
              </w:rPr>
              <w:t>销售 设备 及配 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594.96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tcBorders>
              <w:left w:val="single" w:sz="4" w:space="0" w:color="000000"/>
              <w:right w:val="single" w:sz="4" w:space="0" w:color="000000"/>
            </w:tcBorders>
          </w:tcPr>
          <w:p>
            <w:pPr/>
          </w:p>
        </w:tc>
      </w:tr>
      <w:tr>
        <w:trPr>
          <w:trHeight w:val="12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5"/>
              <w:jc w:val="both"/>
              <w:rPr>
                <w:rFonts w:ascii="宋体" w:hAnsi="宋体" w:cs="宋体" w:eastAsia="宋体" w:hint="default"/>
                <w:sz w:val="18"/>
                <w:szCs w:val="18"/>
              </w:rPr>
            </w:pPr>
            <w:r>
              <w:rPr>
                <w:rFonts w:ascii="宋体" w:hAnsi="宋体" w:cs="宋体" w:eastAsia="宋体" w:hint="default"/>
                <w:sz w:val="18"/>
                <w:szCs w:val="18"/>
              </w:rPr>
              <w:t>江苏石 川岛丰 东真空 技术有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3" w:right="173"/>
              <w:jc w:val="left"/>
              <w:rPr>
                <w:rFonts w:ascii="宋体" w:hAnsi="宋体" w:cs="宋体" w:eastAsia="宋体" w:hint="default"/>
                <w:sz w:val="18"/>
                <w:szCs w:val="18"/>
              </w:rPr>
            </w:pPr>
            <w:r>
              <w:rPr>
                <w:rFonts w:ascii="宋体" w:hAnsi="宋体" w:cs="宋体" w:eastAsia="宋体" w:hint="default"/>
                <w:sz w:val="18"/>
                <w:szCs w:val="18"/>
              </w:rPr>
              <w:t>商品 采购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73"/>
              <w:jc w:val="left"/>
              <w:rPr>
                <w:rFonts w:ascii="宋体" w:hAnsi="宋体" w:cs="宋体" w:eastAsia="宋体" w:hint="default"/>
                <w:sz w:val="18"/>
                <w:szCs w:val="18"/>
              </w:rPr>
            </w:pPr>
            <w:r>
              <w:rPr>
                <w:rFonts w:ascii="宋体" w:hAnsi="宋体" w:cs="宋体" w:eastAsia="宋体" w:hint="default"/>
                <w:sz w:val="18"/>
                <w:szCs w:val="18"/>
              </w:rPr>
              <w:t>材料 采购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20.36%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4404.10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02" w:lineRule="exact"/>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vMerge/>
            <w:tcBorders>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710"/>
        <w:gridCol w:w="566"/>
        <w:gridCol w:w="568"/>
        <w:gridCol w:w="566"/>
        <w:gridCol w:w="709"/>
        <w:gridCol w:w="710"/>
        <w:gridCol w:w="708"/>
        <w:gridCol w:w="709"/>
        <w:gridCol w:w="709"/>
        <w:gridCol w:w="709"/>
        <w:gridCol w:w="708"/>
        <w:gridCol w:w="708"/>
        <w:gridCol w:w="568"/>
        <w:gridCol w:w="922"/>
      </w:tblGrid>
      <w:tr>
        <w:trPr>
          <w:trHeight w:val="12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35"/>
              <w:jc w:val="both"/>
              <w:rPr>
                <w:rFonts w:ascii="宋体" w:hAnsi="宋体" w:cs="宋体" w:eastAsia="宋体" w:hint="default"/>
                <w:sz w:val="18"/>
                <w:szCs w:val="18"/>
              </w:rPr>
            </w:pPr>
            <w:r>
              <w:rPr>
                <w:rFonts w:ascii="宋体" w:hAnsi="宋体" w:cs="宋体" w:eastAsia="宋体" w:hint="default"/>
                <w:sz w:val="18"/>
                <w:szCs w:val="18"/>
              </w:rPr>
              <w:t>江苏石 川岛丰 东真空 技术有 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73"/>
              <w:jc w:val="left"/>
              <w:rPr>
                <w:rFonts w:ascii="宋体" w:hAnsi="宋体" w:cs="宋体" w:eastAsia="宋体" w:hint="default"/>
                <w:sz w:val="18"/>
                <w:szCs w:val="18"/>
              </w:rPr>
            </w:pPr>
            <w:r>
              <w:rPr>
                <w:rFonts w:ascii="宋体" w:hAnsi="宋体" w:cs="宋体" w:eastAsia="宋体" w:hint="default"/>
                <w:sz w:val="18"/>
                <w:szCs w:val="18"/>
              </w:rPr>
              <w:t>合营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3" w:right="173"/>
              <w:jc w:val="left"/>
              <w:rPr>
                <w:rFonts w:ascii="宋体" w:hAnsi="宋体" w:cs="宋体" w:eastAsia="宋体" w:hint="default"/>
                <w:sz w:val="18"/>
                <w:szCs w:val="18"/>
              </w:rPr>
            </w:pPr>
            <w:r>
              <w:rPr>
                <w:rFonts w:ascii="宋体" w:hAnsi="宋体" w:cs="宋体" w:eastAsia="宋体" w:hint="default"/>
                <w:sz w:val="18"/>
                <w:szCs w:val="18"/>
              </w:rPr>
              <w:t>房屋 租赁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73"/>
              <w:jc w:val="left"/>
              <w:rPr>
                <w:rFonts w:ascii="宋体" w:hAnsi="宋体" w:cs="宋体" w:eastAsia="宋体" w:hint="default"/>
                <w:sz w:val="18"/>
                <w:szCs w:val="18"/>
              </w:rPr>
            </w:pPr>
            <w:r>
              <w:rPr>
                <w:rFonts w:ascii="宋体" w:hAnsi="宋体" w:cs="宋体" w:eastAsia="宋体" w:hint="default"/>
                <w:sz w:val="18"/>
                <w:szCs w:val="18"/>
              </w:rPr>
              <w:t>出租 房屋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14.29</w:t>
            </w:r>
          </w:p>
        </w:tc>
        <w:tc>
          <w:tcPr>
            <w:tcW w:w="56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67"/>
              <w:jc w:val="left"/>
              <w:rPr>
                <w:rFonts w:ascii="宋体" w:hAnsi="宋体" w:cs="宋体" w:eastAsia="宋体" w:hint="default"/>
                <w:sz w:val="18"/>
                <w:szCs w:val="18"/>
              </w:rPr>
            </w:pPr>
            <w:r>
              <w:rPr>
                <w:rFonts w:ascii="宋体" w:hAnsi="宋体" w:cs="宋体" w:eastAsia="宋体" w:hint="default"/>
                <w:sz w:val="18"/>
                <w:szCs w:val="18"/>
              </w:rPr>
              <w:t>未达披露 标准</w:t>
            </w:r>
          </w:p>
        </w:tc>
      </w:tr>
      <w:tr>
        <w:trPr>
          <w:trHeight w:val="273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0"/>
              <w:ind w:left="22" w:right="135"/>
              <w:jc w:val="both"/>
              <w:rPr>
                <w:rFonts w:ascii="宋体" w:hAnsi="宋体" w:cs="宋体" w:eastAsia="宋体" w:hint="default"/>
                <w:sz w:val="18"/>
                <w:szCs w:val="18"/>
              </w:rPr>
            </w:pPr>
            <w:r>
              <w:rPr>
                <w:rFonts w:ascii="宋体" w:hAnsi="宋体" w:cs="宋体" w:eastAsia="宋体" w:hint="default"/>
                <w:sz w:val="18"/>
                <w:szCs w:val="18"/>
              </w:rPr>
              <w:t>广东益 东金财 资产管 理中心</w:t>
            </w:r>
          </w:p>
          <w:p>
            <w:pPr>
              <w:pStyle w:val="TableParagraph"/>
              <w:spacing w:line="244" w:lineRule="auto" w:before="1"/>
              <w:ind w:left="22" w:right="135"/>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9"/>
              <w:ind w:left="22" w:right="173"/>
              <w:jc w:val="left"/>
              <w:rPr>
                <w:rFonts w:ascii="宋体" w:hAnsi="宋体" w:cs="宋体" w:eastAsia="宋体" w:hint="default"/>
                <w:sz w:val="18"/>
                <w:szCs w:val="18"/>
              </w:rPr>
            </w:pPr>
            <w:r>
              <w:rPr>
                <w:rFonts w:ascii="宋体" w:hAnsi="宋体" w:cs="宋体" w:eastAsia="宋体" w:hint="default"/>
                <w:sz w:val="18"/>
                <w:szCs w:val="18"/>
              </w:rPr>
              <w:t>关联 方</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9"/>
              <w:ind w:left="23" w:right="173"/>
              <w:jc w:val="left"/>
              <w:rPr>
                <w:rFonts w:ascii="宋体" w:hAnsi="宋体" w:cs="宋体" w:eastAsia="宋体" w:hint="default"/>
                <w:sz w:val="18"/>
                <w:szCs w:val="18"/>
              </w:rPr>
            </w:pPr>
            <w:r>
              <w:rPr>
                <w:rFonts w:ascii="宋体" w:hAnsi="宋体" w:cs="宋体" w:eastAsia="宋体" w:hint="default"/>
                <w:sz w:val="18"/>
                <w:szCs w:val="18"/>
              </w:rPr>
              <w:t>房屋 租赁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9"/>
              <w:ind w:left="22" w:right="173"/>
              <w:jc w:val="left"/>
              <w:rPr>
                <w:rFonts w:ascii="宋体" w:hAnsi="宋体" w:cs="宋体" w:eastAsia="宋体" w:hint="default"/>
                <w:sz w:val="18"/>
                <w:szCs w:val="18"/>
              </w:rPr>
            </w:pPr>
            <w:r>
              <w:rPr>
                <w:rFonts w:ascii="宋体" w:hAnsi="宋体" w:cs="宋体" w:eastAsia="宋体" w:hint="default"/>
                <w:sz w:val="18"/>
                <w:szCs w:val="18"/>
              </w:rPr>
              <w:t>承租 房屋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市场价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公允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货币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257.41</w:t>
            </w:r>
          </w:p>
        </w:tc>
        <w:tc>
          <w:tcPr>
            <w:tcW w:w="568"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4"/>
              <w:ind w:left="22" w:right="22"/>
              <w:jc w:val="left"/>
              <w:rPr>
                <w:rFonts w:ascii="Times New Roman" w:hAnsi="Times New Roman" w:cs="Times New Roman" w:eastAsia="Times New Roman" w:hint="default"/>
                <w:sz w:val="18"/>
                <w:szCs w:val="18"/>
              </w:rPr>
            </w:pPr>
            <w:hyperlink r:id="rId16">
              <w:r>
                <w:rPr>
                  <w:rFonts w:ascii="Times New Roman"/>
                  <w:sz w:val="18"/>
                </w:rPr>
                <w:t>http://www.</w:t>
              </w:r>
            </w:hyperlink>
            <w:r>
              <w:rPr>
                <w:rFonts w:ascii="Times New Roman"/>
                <w:w w:val="99"/>
                <w:sz w:val="18"/>
              </w:rPr>
              <w:t> </w:t>
            </w:r>
            <w:r>
              <w:rPr>
                <w:rFonts w:ascii="Times New Roman"/>
                <w:sz w:val="18"/>
              </w:rPr>
              <w:t>cninfo.com.</w:t>
            </w:r>
            <w:r>
              <w:rPr>
                <w:rFonts w:ascii="Times New Roman"/>
                <w:sz w:val="18"/>
              </w:rPr>
              <w:t> cn/cninfo-n ew/disclosu</w:t>
            </w:r>
            <w:r>
              <w:rPr>
                <w:rFonts w:ascii="Times New Roman"/>
                <w:w w:val="99"/>
                <w:sz w:val="18"/>
              </w:rPr>
              <w:t> </w:t>
            </w:r>
            <w:r>
              <w:rPr>
                <w:rFonts w:ascii="Times New Roman"/>
                <w:sz w:val="18"/>
              </w:rPr>
              <w:t>re/szse_sm</w:t>
            </w:r>
            <w:r>
              <w:rPr>
                <w:rFonts w:ascii="Times New Roman"/>
                <w:w w:val="99"/>
                <w:sz w:val="18"/>
              </w:rPr>
              <w:t> </w:t>
            </w:r>
            <w:r>
              <w:rPr>
                <w:rFonts w:ascii="Times New Roman"/>
                <w:sz w:val="18"/>
              </w:rPr>
              <w:t>e/bulletin_d</w:t>
            </w:r>
            <w:r>
              <w:rPr>
                <w:rFonts w:ascii="Times New Roman"/>
                <w:sz w:val="18"/>
              </w:rPr>
              <w:t> etail/true/1 203753244</w:t>
            </w:r>
          </w:p>
          <w:p>
            <w:pPr>
              <w:pStyle w:val="TableParagraph"/>
              <w:spacing w:line="278" w:lineRule="auto" w:before="1"/>
              <w:ind w:left="22" w:right="45"/>
              <w:jc w:val="left"/>
              <w:rPr>
                <w:rFonts w:ascii="Times New Roman" w:hAnsi="Times New Roman" w:cs="Times New Roman" w:eastAsia="Times New Roman" w:hint="default"/>
                <w:sz w:val="18"/>
                <w:szCs w:val="18"/>
              </w:rPr>
            </w:pPr>
            <w:r>
              <w:rPr>
                <w:rFonts w:ascii="Times New Roman"/>
                <w:sz w:val="18"/>
              </w:rPr>
              <w:t>?announce Time=2017</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sz w:val="18"/>
              </w:rPr>
              <w:t>-08-02</w:t>
            </w:r>
          </w:p>
        </w:tc>
      </w:tr>
      <w:tr>
        <w:trPr>
          <w:trHeight w:val="402" w:hRule="exact"/>
        </w:trPr>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7,116.83</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8,800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16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 w:hRule="exact"/>
        </w:trPr>
        <w:tc>
          <w:tcPr>
            <w:tcW w:w="241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160" w:type="dxa"/>
            <w:gridSpan w:val="10"/>
            <w:vMerge w:val="restart"/>
            <w:tcBorders>
              <w:top w:val="single" w:sz="4" w:space="0" w:color="000000"/>
              <w:left w:val="single" w:sz="13" w:space="0" w:color="D2D2D2"/>
              <w:right w:val="single" w:sz="4" w:space="0" w:color="000000"/>
            </w:tcBorders>
          </w:tcPr>
          <w:p>
            <w:pPr>
              <w:pStyle w:val="TableParagraph"/>
              <w:spacing w:line="230" w:lineRule="auto" w:before="29"/>
              <w:ind w:left="12" w:right="20" w:firstLine="36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年度预计日常关联交易，公司拟与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VIF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发生不超过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万元的热处理 材料及零配件采购交易，结合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年上半年度实际发生的采购金额，公司根据《深圳证券 交易所股票上市规则》和《公司章程》履行总经理办公会审批程序：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月，经公司 </w:t>
            </w:r>
            <w:r>
              <w:rPr>
                <w:rFonts w:ascii="宋体" w:hAnsi="宋体" w:cs="宋体" w:eastAsia="宋体" w:hint="default"/>
                <w:spacing w:val="-3"/>
                <w:sz w:val="18"/>
                <w:szCs w:val="18"/>
              </w:rPr>
              <w:t>总经理办公会审议，同意公司全资子公司丰东热技术增加与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VIF </w:t>
            </w:r>
            <w:r>
              <w:rPr>
                <w:rFonts w:ascii="宋体" w:hAnsi="宋体" w:cs="宋体" w:eastAsia="宋体" w:hint="default"/>
                <w:sz w:val="18"/>
                <w:szCs w:val="18"/>
              </w:rPr>
              <w:t>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万元的的热处 理材料及零配件采购交易。</w:t>
            </w:r>
          </w:p>
        </w:tc>
      </w:tr>
      <w:tr>
        <w:trPr>
          <w:trHeight w:val="1165" w:hRule="exact"/>
        </w:trPr>
        <w:tc>
          <w:tcPr>
            <w:tcW w:w="2410"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35"/>
              <w:jc w:val="both"/>
              <w:rPr>
                <w:rFonts w:ascii="宋体" w:hAnsi="宋体" w:cs="宋体" w:eastAsia="宋体" w:hint="default"/>
                <w:sz w:val="18"/>
                <w:szCs w:val="18"/>
              </w:rPr>
            </w:pPr>
            <w:r>
              <w:rPr>
                <w:rFonts w:ascii="宋体" w:hAnsi="宋体" w:cs="宋体" w:eastAsia="宋体" w:hint="default"/>
                <w:sz w:val="18"/>
                <w:szCs w:val="18"/>
              </w:rPr>
              <w:t>按类别对本期将发生的日常关 联交易进行总金额预计的，在 报告期内的实际履行情况（如 有）</w:t>
            </w:r>
          </w:p>
        </w:tc>
        <w:tc>
          <w:tcPr>
            <w:tcW w:w="7160" w:type="dxa"/>
            <w:gridSpan w:val="10"/>
            <w:vMerge/>
            <w:tcBorders>
              <w:left w:val="single" w:sz="13" w:space="0" w:color="D2D2D2"/>
              <w:bottom w:val="single" w:sz="4" w:space="0" w:color="000000"/>
              <w:right w:val="single" w:sz="4" w:space="0" w:color="000000"/>
            </w:tcBorders>
          </w:tcPr>
          <w:p>
            <w:pPr/>
          </w:p>
        </w:tc>
      </w:tr>
      <w:tr>
        <w:trPr>
          <w:trHeight w:val="570" w:hRule="exact"/>
        </w:trPr>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交易价格与市场参考价格差异 较大的原因（如适用）</w:t>
            </w:r>
          </w:p>
        </w:tc>
        <w:tc>
          <w:tcPr>
            <w:tcW w:w="716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37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19"/>
          <w:szCs w:val="19"/>
        </w:rPr>
      </w:pPr>
    </w:p>
    <w:p>
      <w:pPr>
        <w:pStyle w:val="Heading3"/>
        <w:spacing w:line="240" w:lineRule="auto" w:before="38"/>
        <w:ind w:right="1118"/>
        <w:jc w:val="left"/>
        <w:rPr>
          <w:b w:val="0"/>
          <w:bCs w:val="0"/>
        </w:rPr>
      </w:pPr>
      <w:bookmarkStart w:name="2、资产或股权收购、出售发生的关联交易" w:id="89"/>
      <w:bookmarkEnd w:id="8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6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9"/>
        <w:rPr>
          <w:rFonts w:ascii="宋体" w:hAnsi="宋体" w:cs="宋体" w:eastAsia="宋体" w:hint="default"/>
          <w:sz w:val="21"/>
          <w:szCs w:val="21"/>
        </w:rPr>
      </w:pPr>
    </w:p>
    <w:p>
      <w:pPr>
        <w:pStyle w:val="Heading3"/>
        <w:spacing w:line="240" w:lineRule="auto"/>
        <w:ind w:left="556" w:right="1118"/>
        <w:jc w:val="left"/>
        <w:rPr>
          <w:b w:val="0"/>
          <w:bCs w:val="0"/>
        </w:rPr>
      </w:pPr>
      <w:bookmarkStart w:name="3、共同对外投资的关联交易" w:id="90"/>
      <w:bookmarkEnd w:id="9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139"/>
        <w:jc w:val="right"/>
      </w:pPr>
      <w:r>
        <w:rPr/>
        <w:pict>
          <v:shape style="position:absolute;margin-left:56.459999pt;margin-top:-18.708284pt;width:479.2pt;height:189.2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559"/>
                    <w:gridCol w:w="991"/>
                    <w:gridCol w:w="1277"/>
                    <w:gridCol w:w="991"/>
                    <w:gridCol w:w="1277"/>
                    <w:gridCol w:w="1276"/>
                    <w:gridCol w:w="1204"/>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4" w:right="93" w:hanging="181"/>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 w:right="38"/>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17" w:firstLine="69"/>
                          <w:jc w:val="left"/>
                          <w:rPr>
                            <w:rFonts w:ascii="宋体" w:hAnsi="宋体" w:cs="宋体" w:eastAsia="宋体" w:hint="default"/>
                            <w:sz w:val="18"/>
                            <w:szCs w:val="18"/>
                          </w:rPr>
                        </w:pPr>
                        <w:r>
                          <w:rPr>
                            <w:rFonts w:ascii="宋体" w:hAnsi="宋体" w:cs="宋体" w:eastAsia="宋体" w:hint="default"/>
                            <w:sz w:val="18"/>
                            <w:szCs w:val="18"/>
                          </w:rPr>
                          <w:t>被投资企业的 总资产（万元）</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 w:firstLine="69"/>
                          <w:jc w:val="left"/>
                          <w:rPr>
                            <w:rFonts w:ascii="宋体" w:hAnsi="宋体" w:cs="宋体" w:eastAsia="宋体" w:hint="default"/>
                            <w:sz w:val="18"/>
                            <w:szCs w:val="18"/>
                          </w:rPr>
                        </w:pPr>
                        <w:r>
                          <w:rPr>
                            <w:rFonts w:ascii="宋体" w:hAnsi="宋体" w:cs="宋体" w:eastAsia="宋体" w:hint="default"/>
                            <w:sz w:val="18"/>
                            <w:szCs w:val="18"/>
                          </w:rPr>
                          <w:t>被投资企业的 净资产（万元）</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5" w:firstLine="33"/>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4"/>
                            <w:sz w:val="18"/>
                            <w:szCs w:val="18"/>
                          </w:rPr>
                          <w:t>净利润（万元</w:t>
                        </w:r>
                      </w:p>
                    </w:tc>
                  </w:tr>
                  <w:tr>
                    <w:trPr>
                      <w:trHeight w:val="20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85" w:lineRule="auto"/>
                          <w:ind w:left="22" w:right="419"/>
                          <w:jc w:val="left"/>
                          <w:rPr>
                            <w:rFonts w:ascii="宋体" w:hAnsi="宋体" w:cs="宋体" w:eastAsia="宋体" w:hint="default"/>
                            <w:sz w:val="18"/>
                            <w:szCs w:val="18"/>
                          </w:rPr>
                        </w:pPr>
                        <w:r>
                          <w:rPr>
                            <w:rFonts w:ascii="宋体" w:hAnsi="宋体" w:cs="宋体" w:eastAsia="宋体" w:hint="default"/>
                            <w:sz w:val="18"/>
                            <w:szCs w:val="18"/>
                          </w:rPr>
                          <w:t>朱文明 徐正军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朱文明为本公司持 股</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以上股东、实</w:t>
                        </w:r>
                        <w:r>
                          <w:rPr>
                            <w:rFonts w:ascii="宋体" w:hAnsi="宋体" w:cs="宋体" w:eastAsia="宋体" w:hint="default"/>
                            <w:sz w:val="18"/>
                            <w:szCs w:val="18"/>
                          </w:rPr>
                          <w:t> 际控制人，担任本 公司董事长、总经 理；徐正军为本公 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东，担任本公司副 董事长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2" w:right="56"/>
                          <w:jc w:val="left"/>
                          <w:rPr>
                            <w:rFonts w:ascii="宋体" w:hAnsi="宋体" w:cs="宋体" w:eastAsia="宋体" w:hint="default"/>
                            <w:sz w:val="18"/>
                            <w:szCs w:val="18"/>
                          </w:rPr>
                        </w:pPr>
                        <w:r>
                          <w:rPr>
                            <w:rFonts w:ascii="宋体" w:hAnsi="宋体" w:cs="宋体" w:eastAsia="宋体" w:hint="default"/>
                            <w:sz w:val="18"/>
                            <w:szCs w:val="18"/>
                          </w:rPr>
                          <w:t>苏州方泽投 资合伙企业</w:t>
                        </w:r>
                      </w:p>
                      <w:p>
                        <w:pPr>
                          <w:pStyle w:val="TableParagraph"/>
                          <w:spacing w:line="244" w:lineRule="auto" w:before="1"/>
                          <w:ind w:left="22" w:right="236"/>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4" w:right="21"/>
                          <w:jc w:val="left"/>
                          <w:rPr>
                            <w:rFonts w:ascii="宋体" w:hAnsi="宋体" w:cs="宋体" w:eastAsia="宋体" w:hint="default"/>
                            <w:sz w:val="18"/>
                            <w:szCs w:val="18"/>
                          </w:rPr>
                        </w:pPr>
                        <w:r>
                          <w:rPr>
                            <w:rFonts w:ascii="宋体" w:hAnsi="宋体" w:cs="宋体" w:eastAsia="宋体" w:hint="default"/>
                            <w:spacing w:val="-6"/>
                            <w:sz w:val="18"/>
                            <w:szCs w:val="18"/>
                          </w:rPr>
                          <w:t>股权投资、创业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投资、投资管 </w:t>
                        </w:r>
                        <w:r>
                          <w:rPr>
                            <w:rFonts w:ascii="宋体" w:hAnsi="宋体" w:cs="宋体" w:eastAsia="宋体" w:hint="default"/>
                            <w:spacing w:val="-6"/>
                            <w:sz w:val="18"/>
                            <w:szCs w:val="18"/>
                          </w:rPr>
                          <w:t>理、投资咨询及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资产管理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1,502,000,0</w:t>
                        </w:r>
                      </w:p>
                      <w:p>
                        <w:pPr>
                          <w:pStyle w:val="TableParagraph"/>
                          <w:spacing w:line="240" w:lineRule="auto" w:before="34"/>
                          <w:ind w:left="22" w:right="0"/>
                          <w:jc w:val="left"/>
                          <w:rPr>
                            <w:rFonts w:ascii="Times New Roman" w:hAnsi="Times New Roman" w:cs="Times New Roman" w:eastAsia="Times New Roman" w:hint="default"/>
                            <w:sz w:val="18"/>
                            <w:szCs w:val="18"/>
                          </w:rPr>
                        </w:pPr>
                        <w:r>
                          <w:rPr>
                            <w:rFonts w:ascii="Times New Roman"/>
                            <w:sz w:val="18"/>
                          </w:rPr>
                          <w:t>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4" w:lineRule="auto"/>
                          <w:ind w:left="22" w:right="178"/>
                          <w:jc w:val="left"/>
                          <w:rPr>
                            <w:rFonts w:ascii="宋体" w:hAnsi="宋体" w:cs="宋体" w:eastAsia="宋体" w:hint="default"/>
                            <w:sz w:val="18"/>
                            <w:szCs w:val="18"/>
                          </w:rPr>
                        </w:pPr>
                        <w:r>
                          <w:rPr>
                            <w:rFonts w:ascii="宋体" w:hAnsi="宋体" w:cs="宋体" w:eastAsia="宋体" w:hint="default"/>
                            <w:sz w:val="18"/>
                            <w:szCs w:val="18"/>
                          </w:rPr>
                          <w:t>被投资企业的重大在建项目的 进展情况（如有）</w:t>
                        </w:r>
                      </w:p>
                    </w:tc>
                    <w:tc>
                      <w:tcPr>
                        <w:tcW w:w="70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21"/>
                          <w:jc w:val="left"/>
                          <w:rPr>
                            <w:rFonts w:ascii="宋体" w:hAnsi="宋体" w:cs="宋体" w:eastAsia="宋体" w:hint="default"/>
                            <w:sz w:val="18"/>
                            <w:szCs w:val="18"/>
                          </w:rPr>
                        </w:pPr>
                        <w:r>
                          <w:rPr>
                            <w:rFonts w:ascii="宋体" w:hAnsi="宋体" w:cs="宋体" w:eastAsia="宋体" w:hint="default"/>
                            <w:spacing w:val="-4"/>
                            <w:sz w:val="18"/>
                            <w:szCs w:val="18"/>
                          </w:rPr>
                          <w:t>目前，苏州方泽投资合伙企业（有限合伙）（简称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并购基金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）已完成工商登记注册手续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并已根据《证券投资基金法》和《私募投资基金监督管理暂行办法》等法律法规的要求在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中国证券投资基金业协会完成了备案手续，并取得了《私募投资基金备案证明》（备案编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码：</w:t>
                        </w:r>
                        <w:r>
                          <w:rPr>
                            <w:rFonts w:ascii="Times New Roman" w:hAnsi="Times New Roman" w:cs="Times New Roman" w:eastAsia="Times New Roman" w:hint="default"/>
                            <w:sz w:val="18"/>
                            <w:szCs w:val="18"/>
                          </w:rPr>
                          <w:t>SX7413</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139"/>
        <w:jc w:val="right"/>
      </w:pPr>
      <w:r>
        <w:rPr/>
        <w:t>。</w:t>
      </w:r>
    </w:p>
    <w:p>
      <w:pPr>
        <w:spacing w:after="0" w:line="240" w:lineRule="auto"/>
        <w:jc w:val="right"/>
        <w:sectPr>
          <w:pgSz w:w="11910" w:h="16840"/>
          <w:pgMar w:header="687" w:footer="979" w:top="1140" w:bottom="1160" w:left="980" w:right="0"/>
        </w:sectPr>
      </w:pPr>
    </w:p>
    <w:p>
      <w:pPr>
        <w:spacing w:line="240" w:lineRule="auto" w:before="5"/>
        <w:rPr>
          <w:rFonts w:ascii="宋体" w:hAnsi="宋体" w:cs="宋体" w:eastAsia="宋体" w:hint="default"/>
          <w:sz w:val="19"/>
          <w:szCs w:val="19"/>
        </w:rPr>
      </w:pPr>
    </w:p>
    <w:p>
      <w:pPr>
        <w:pStyle w:val="Heading3"/>
        <w:spacing w:line="240" w:lineRule="auto" w:before="38"/>
        <w:ind w:right="1118"/>
        <w:jc w:val="left"/>
        <w:rPr>
          <w:b w:val="0"/>
          <w:bCs w:val="0"/>
        </w:rPr>
      </w:pPr>
      <w:bookmarkStart w:name="4、关联债权债务往来" w:id="91"/>
      <w:bookmarkEnd w:id="9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1"/>
          <w:szCs w:val="21"/>
        </w:rPr>
      </w:pPr>
    </w:p>
    <w:p>
      <w:pPr>
        <w:pStyle w:val="Heading3"/>
        <w:spacing w:line="240" w:lineRule="auto"/>
        <w:ind w:left="556" w:right="1118"/>
        <w:jc w:val="left"/>
        <w:rPr>
          <w:b w:val="0"/>
          <w:bCs w:val="0"/>
        </w:rPr>
      </w:pPr>
      <w:bookmarkStart w:name="5、其他重大关联交易" w:id="92"/>
      <w:bookmarkEnd w:id="9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1118"/>
        <w:jc w:val="left"/>
        <w:rPr>
          <w:b w:val="0"/>
          <w:bCs w:val="0"/>
        </w:rPr>
      </w:pPr>
      <w:bookmarkStart w:name="十七、重大合同及其履行情况" w:id="93"/>
      <w:bookmarkEnd w:id="93"/>
      <w:r>
        <w:rPr>
          <w:b w:val="0"/>
          <w:bCs w:val="0"/>
        </w:rPr>
      </w:r>
      <w:r>
        <w:rPr/>
        <w:t>十七、重大合同及其履行情况</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left="153" w:right="1118"/>
        <w:jc w:val="left"/>
        <w:rPr>
          <w:b w:val="0"/>
          <w:bCs w:val="0"/>
        </w:rPr>
      </w:pPr>
      <w:bookmarkStart w:name="1、托管、承包、租赁事项情况" w:id="94"/>
      <w:bookmarkEnd w:id="9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托管情况" w:id="95"/>
      <w:bookmarkEnd w:id="9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1"/>
          <w:szCs w:val="21"/>
        </w:rPr>
      </w:pPr>
    </w:p>
    <w:p>
      <w:pPr>
        <w:pStyle w:val="Heading3"/>
        <w:spacing w:line="240" w:lineRule="auto"/>
        <w:ind w:right="1118"/>
        <w:jc w:val="left"/>
        <w:rPr>
          <w:b w:val="0"/>
          <w:bCs w:val="0"/>
        </w:rPr>
      </w:pPr>
      <w:bookmarkStart w:name="（2）承包情况" w:id="96"/>
      <w:bookmarkEnd w:id="9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2"/>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9"/>
        <w:rPr>
          <w:rFonts w:ascii="宋体" w:hAnsi="宋体" w:cs="宋体" w:eastAsia="宋体" w:hint="default"/>
          <w:sz w:val="21"/>
          <w:szCs w:val="21"/>
        </w:rPr>
      </w:pPr>
    </w:p>
    <w:p>
      <w:pPr>
        <w:pStyle w:val="Heading3"/>
        <w:spacing w:line="240" w:lineRule="auto"/>
        <w:ind w:right="1118"/>
        <w:jc w:val="left"/>
        <w:rPr>
          <w:b w:val="0"/>
          <w:bCs w:val="0"/>
        </w:rPr>
      </w:pPr>
      <w:bookmarkStart w:name="（3）租赁情况" w:id="97"/>
      <w:bookmarkEnd w:id="9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7"/>
          <w:szCs w:val="27"/>
        </w:rPr>
      </w:pPr>
    </w:p>
    <w:p>
      <w:pPr>
        <w:pStyle w:val="BodyText"/>
        <w:spacing w:line="415"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34"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83"/>
        </w:rPr>
        <w:t>、</w:t>
      </w:r>
      <w:r>
        <w:rPr/>
        <w:t>公司子公司方欣科技与广东益东金财资产管理中</w:t>
      </w:r>
      <w:r>
        <w:rPr>
          <w:spacing w:val="-83"/>
        </w:rPr>
        <w:t>心</w:t>
      </w:r>
      <w:r>
        <w:rPr/>
        <w:t>（有限合伙</w:t>
      </w:r>
      <w:r>
        <w:rPr>
          <w:spacing w:val="-83"/>
        </w:rPr>
        <w:t>）</w:t>
      </w:r>
      <w:r>
        <w:rPr/>
        <w:t>签</w:t>
      </w:r>
      <w:r>
        <w:rPr>
          <w:spacing w:val="-83"/>
        </w:rPr>
        <w:t>订</w:t>
      </w:r>
      <w:r>
        <w:rPr>
          <w:spacing w:val="1"/>
        </w:rPr>
        <w:t>《</w:t>
      </w:r>
      <w:r>
        <w:rPr/>
        <w:t>租赁合同</w:t>
      </w:r>
      <w:r>
        <w:rPr>
          <w:spacing w:val="-83"/>
        </w:rPr>
        <w:t>》，</w:t>
      </w:r>
      <w:r>
        <w:rPr>
          <w:spacing w:val="1"/>
        </w:rPr>
        <w:t>向</w:t>
      </w:r>
      <w:r>
        <w:rPr/>
        <w:t>其租赁办公楼</w:t>
      </w:r>
      <w:r>
        <w:rPr>
          <w:spacing w:val="-83"/>
        </w:rPr>
        <w:t>，</w:t>
      </w:r>
      <w:r>
        <w:rPr/>
        <w:t>建筑面积</w:t>
      </w:r>
      <w:r>
        <w:rPr>
          <w:spacing w:val="-45"/>
        </w:rPr>
        <w:t> </w:t>
      </w:r>
      <w:r>
        <w:rPr>
          <w:rFonts w:ascii="Times New Roman" w:hAnsi="Times New Roman" w:cs="Times New Roman" w:eastAsia="Times New Roman" w:hint="default"/>
        </w:rPr>
        <w:t>11,428.84</w:t>
      </w:r>
    </w:p>
    <w:p>
      <w:pPr>
        <w:pStyle w:val="BodyText"/>
        <w:spacing w:line="240" w:lineRule="auto" w:before="63"/>
        <w:ind w:left="153" w:right="1118"/>
        <w:jc w:val="left"/>
      </w:pPr>
      <w:r>
        <w:rPr/>
        <w:t>平方米，租赁期限为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日。各年租金如下：</w:t>
      </w:r>
    </w:p>
    <w:p>
      <w:pPr>
        <w:spacing w:line="240" w:lineRule="auto" w:before="2"/>
        <w:rPr>
          <w:rFonts w:ascii="宋体" w:hAnsi="宋体" w:cs="宋体" w:eastAsia="宋体" w:hint="default"/>
          <w:sz w:val="13"/>
          <w:szCs w:val="13"/>
        </w:rPr>
      </w:pPr>
    </w:p>
    <w:tbl>
      <w:tblPr>
        <w:tblW w:w="0" w:type="auto"/>
        <w:jc w:val="left"/>
        <w:tblInd w:w="485" w:type="dxa"/>
        <w:tblLayout w:type="fixed"/>
        <w:tblCellMar>
          <w:top w:w="0" w:type="dxa"/>
          <w:left w:w="0" w:type="dxa"/>
          <w:bottom w:w="0" w:type="dxa"/>
          <w:right w:w="0" w:type="dxa"/>
        </w:tblCellMar>
        <w:tblLook w:val="01E0"/>
      </w:tblPr>
      <w:tblGrid>
        <w:gridCol w:w="1224"/>
        <w:gridCol w:w="4110"/>
        <w:gridCol w:w="3632"/>
      </w:tblGrid>
      <w:tr>
        <w:trPr>
          <w:trHeight w:val="342" w:hRule="exact"/>
        </w:trPr>
        <w:tc>
          <w:tcPr>
            <w:tcW w:w="122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11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租赁日期</w:t>
            </w:r>
          </w:p>
        </w:tc>
        <w:tc>
          <w:tcPr>
            <w:tcW w:w="3632"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租金（元）</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6,857,305.80</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8,722,492.98</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9,245,842.56</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9,800,593.11</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10,388,628.70</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11,011,946.42</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11,672,663.20</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12,373,023.00</w:t>
            </w:r>
          </w:p>
        </w:tc>
      </w:tr>
      <w:tr>
        <w:trPr>
          <w:trHeight w:val="34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13,115,404.37</w:t>
            </w:r>
          </w:p>
        </w:tc>
      </w:tr>
      <w:tr>
        <w:trPr>
          <w:trHeight w:val="34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13,902,328.64</w:t>
            </w:r>
          </w:p>
        </w:tc>
      </w:tr>
    </w:tbl>
    <w:p>
      <w:pPr>
        <w:pStyle w:val="BodyText"/>
        <w:spacing w:line="240" w:lineRule="auto" w:before="51"/>
        <w:ind w:left="514" w:right="111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日，丰东热技术与江苏石川岛丰东真空技术有限公司签署《研发中心五楼及附属设施租赁合同》，</w:t>
      </w:r>
    </w:p>
    <w:p>
      <w:pPr>
        <w:spacing w:after="0" w:line="240" w:lineRule="auto"/>
        <w:jc w:val="left"/>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240" w:lineRule="auto" w:before="44"/>
        <w:ind w:left="154" w:right="0"/>
        <w:jc w:val="left"/>
      </w:pPr>
      <w:r>
        <w:rPr/>
        <w:t>向其提供租赁服务，房屋建筑面积平方米，租赁期限</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日止，租金每年</w:t>
      </w:r>
      <w:r>
        <w:rPr>
          <w:spacing w:val="-46"/>
        </w:rPr>
        <w:t> </w:t>
      </w:r>
      <w:r>
        <w:rPr>
          <w:rFonts w:ascii="Times New Roman" w:hAnsi="Times New Roman" w:cs="Times New Roman" w:eastAsia="Times New Roman" w:hint="default"/>
        </w:rPr>
        <w:t>150,000.00</w:t>
      </w:r>
      <w:r>
        <w:rPr>
          <w:rFonts w:ascii="Times New Roman" w:hAnsi="Times New Roman" w:cs="Times New Roman" w:eastAsia="Times New Roman" w:hint="default"/>
          <w:spacing w:val="1"/>
        </w:rPr>
        <w:t> </w:t>
      </w:r>
      <w:r>
        <w:rPr/>
        <w:t>元。</w:t>
      </w:r>
    </w:p>
    <w:p>
      <w:pPr>
        <w:pStyle w:val="BodyText"/>
        <w:spacing w:line="240" w:lineRule="auto" w:before="101"/>
        <w:ind w:left="514" w:right="0"/>
        <w:jc w:val="left"/>
      </w:pPr>
      <w:r>
        <w:rPr>
          <w:rFonts w:ascii="Times New Roman" w:hAnsi="Times New Roman" w:cs="Times New Roman" w:eastAsia="Times New Roman" w:hint="default"/>
          <w:spacing w:val="-7"/>
        </w:rPr>
        <w:t>3</w:t>
      </w:r>
      <w:r>
        <w:rPr>
          <w:spacing w:val="-7"/>
        </w:rPr>
        <w:t>、</w:t>
      </w:r>
      <w:r>
        <w:rPr>
          <w:rFonts w:ascii="Times New Roman" w:hAnsi="Times New Roman" w:cs="Times New Roman" w:eastAsia="Times New Roman" w:hint="default"/>
          <w:spacing w:val="-7"/>
        </w:rPr>
        <w:t>2016</w:t>
      </w:r>
      <w:r>
        <w:rPr>
          <w:rFonts w:ascii="Times New Roman" w:hAnsi="Times New Roman" w:cs="Times New Roman" w:eastAsia="Times New Roman" w:hint="default"/>
          <w:spacing w:val="-18"/>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63"/>
        </w:rPr>
        <w:t> </w:t>
      </w:r>
      <w:r>
        <w:rPr>
          <w:rFonts w:ascii="Times New Roman" w:hAnsi="Times New Roman" w:cs="Times New Roman" w:eastAsia="Times New Roman" w:hint="default"/>
        </w:rPr>
        <w:t>16</w:t>
      </w:r>
      <w:r>
        <w:rPr>
          <w:rFonts w:ascii="Times New Roman" w:hAnsi="Times New Roman" w:cs="Times New Roman" w:eastAsia="Times New Roman" w:hint="default"/>
          <w:spacing w:val="-18"/>
        </w:rPr>
        <w:t> </w:t>
      </w:r>
      <w:r>
        <w:rPr/>
        <w:t>日，方欣科技下属公司广州浪潮创新计算机科技服务有限公司与广州农业科技开发研究基地签订《租</w:t>
      </w:r>
    </w:p>
    <w:p>
      <w:pPr>
        <w:pStyle w:val="BodyText"/>
        <w:spacing w:line="240" w:lineRule="auto" w:before="63"/>
        <w:ind w:left="153" w:right="1118"/>
        <w:jc w:val="left"/>
      </w:pPr>
      <w:r>
        <w:rPr/>
        <w:t>赁合同》，向其租赁办公楼，占地面积</w:t>
      </w:r>
      <w:r>
        <w:rPr>
          <w:spacing w:val="-46"/>
        </w:rPr>
        <w:t> </w:t>
      </w:r>
      <w:r>
        <w:rPr>
          <w:rFonts w:ascii="Times New Roman" w:hAnsi="Times New Roman" w:cs="Times New Roman" w:eastAsia="Times New Roman" w:hint="default"/>
        </w:rPr>
        <w:t>1,090.40 </w:t>
      </w:r>
      <w:r>
        <w:rPr/>
        <w:t>平方米，租赁期自</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日止，每年租金</w:t>
      </w:r>
    </w:p>
    <w:p>
      <w:pPr>
        <w:pStyle w:val="BodyText"/>
        <w:spacing w:line="240" w:lineRule="auto" w:before="64"/>
        <w:ind w:left="154" w:right="1118"/>
        <w:jc w:val="left"/>
      </w:pPr>
      <w:r>
        <w:rPr>
          <w:rFonts w:ascii="Times New Roman" w:hAnsi="Times New Roman" w:cs="Times New Roman" w:eastAsia="Times New Roman" w:hint="default"/>
        </w:rPr>
        <w:t>392,544.00 </w:t>
      </w:r>
      <w:r>
        <w:rPr/>
        <w:t>元。</w:t>
      </w:r>
    </w:p>
    <w:p>
      <w:pPr>
        <w:pStyle w:val="BodyText"/>
        <w:spacing w:line="300" w:lineRule="auto" w:before="103"/>
        <w:ind w:left="154" w:right="1131" w:firstLine="360"/>
        <w:jc w:val="both"/>
      </w:pPr>
      <w:r>
        <w:rPr>
          <w:rFonts w:ascii="Times New Roman" w:hAnsi="Times New Roman" w:cs="Times New Roman" w:eastAsia="Times New Roman" w:hint="default"/>
          <w:spacing w:val="-9"/>
        </w:rPr>
        <w:t>4</w:t>
      </w:r>
      <w:r>
        <w:rPr>
          <w:spacing w:val="-9"/>
        </w:rPr>
        <w:t>、</w:t>
      </w:r>
      <w:r>
        <w:rPr>
          <w:rFonts w:ascii="Times New Roman" w:hAnsi="Times New Roman" w:cs="Times New Roman" w:eastAsia="Times New Roman" w:hint="default"/>
          <w:spacing w:val="-9"/>
        </w:rPr>
        <w:t>2017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4"/>
        </w:rPr>
        <w:t>月，方欣科技下属子公司金财互联数据服务有限公司与福建天创投资发展有限公司签订《房屋租赁合同》，</w:t>
      </w:r>
      <w:r>
        <w:rPr/>
        <w:t> 向其租赁办公楼，建筑面积</w:t>
      </w:r>
      <w:r>
        <w:rPr>
          <w:spacing w:val="-47"/>
        </w:rPr>
        <w:t> </w:t>
      </w:r>
      <w:r>
        <w:rPr>
          <w:rFonts w:ascii="Times New Roman" w:hAnsi="Times New Roman" w:cs="Times New Roman" w:eastAsia="Times New Roman" w:hint="default"/>
        </w:rPr>
        <w:t>950.51</w:t>
      </w:r>
      <w:r>
        <w:rPr>
          <w:rFonts w:ascii="Times New Roman" w:hAnsi="Times New Roman" w:cs="Times New Roman" w:eastAsia="Times New Roman" w:hint="default"/>
          <w:spacing w:val="-2"/>
        </w:rPr>
        <w:t> </w:t>
      </w:r>
      <w:r>
        <w:rPr/>
        <w:t>平方米，租赁期自</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日止，各年租金为</w:t>
      </w:r>
      <w:r>
        <w:rPr>
          <w:spacing w:val="-47"/>
        </w:rPr>
        <w:t> </w:t>
      </w:r>
      <w:r>
        <w:rPr>
          <w:rFonts w:ascii="Times New Roman" w:hAnsi="Times New Roman" w:cs="Times New Roman" w:eastAsia="Times New Roman" w:hint="default"/>
        </w:rPr>
        <w:t>1,050,841.44 </w:t>
      </w:r>
      <w:r>
        <w:rPr/>
        <w:t>元、</w:t>
      </w:r>
      <w:r>
        <w:rPr>
          <w:rFonts w:ascii="Times New Roman" w:hAnsi="Times New Roman" w:cs="Times New Roman" w:eastAsia="Times New Roman" w:hint="default"/>
        </w:rPr>
        <w:t>1,103,348.88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1,158,253.92</w:t>
      </w:r>
      <w:r>
        <w:rPr>
          <w:rFonts w:ascii="Times New Roman" w:hAnsi="Times New Roman" w:cs="Times New Roman" w:eastAsia="Times New Roman" w:hint="default"/>
          <w:spacing w:val="-2"/>
        </w:rPr>
        <w:t> </w:t>
      </w:r>
      <w:r>
        <w:rPr/>
        <w:t>元及</w:t>
      </w:r>
      <w:r>
        <w:rPr>
          <w:spacing w:val="-48"/>
        </w:rPr>
        <w:t> </w:t>
      </w:r>
      <w:r>
        <w:rPr>
          <w:rFonts w:ascii="Times New Roman" w:hAnsi="Times New Roman" w:cs="Times New Roman" w:eastAsia="Times New Roman" w:hint="default"/>
        </w:rPr>
        <w:t>1,216,169.28</w:t>
      </w:r>
      <w:r>
        <w:rPr>
          <w:rFonts w:ascii="Times New Roman" w:hAnsi="Times New Roman" w:cs="Times New Roman" w:eastAsia="Times New Roman" w:hint="default"/>
          <w:spacing w:val="-2"/>
        </w:rPr>
        <w:t> </w:t>
      </w:r>
      <w:r>
        <w:rPr/>
        <w:t>元。</w:t>
      </w:r>
    </w:p>
    <w:p>
      <w:pPr>
        <w:pStyle w:val="BodyText"/>
        <w:spacing w:line="240" w:lineRule="auto" w:before="51"/>
        <w:ind w:right="1118"/>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日，丰东热技术下属子公司青岛丰东与蓝兆胜签订《租赁合同》，向其租赁厂房、办公楼、生活楼</w:t>
      </w:r>
    </w:p>
    <w:p>
      <w:pPr>
        <w:pStyle w:val="BodyText"/>
        <w:spacing w:line="240" w:lineRule="auto" w:before="64"/>
        <w:ind w:left="153" w:right="0"/>
        <w:jc w:val="left"/>
      </w:pPr>
      <w:r>
        <w:rPr>
          <w:spacing w:val="-6"/>
        </w:rPr>
        <w:t>及其他附属设施，占地面积</w:t>
      </w:r>
      <w:r>
        <w:rPr>
          <w:spacing w:val="-45"/>
        </w:rPr>
        <w:t> </w:t>
      </w:r>
      <w:r>
        <w:rPr>
          <w:rFonts w:ascii="Times New Roman" w:hAnsi="Times New Roman" w:cs="Times New Roman" w:eastAsia="Times New Roman" w:hint="default"/>
        </w:rPr>
        <w:t>3000 </w:t>
      </w:r>
      <w:r>
        <w:rPr>
          <w:spacing w:val="-9"/>
        </w:rPr>
        <w:t>平方米，租赁期限</w:t>
      </w:r>
      <w:r>
        <w:rPr>
          <w:spacing w:val="-45"/>
        </w:rPr>
        <w:t> </w:t>
      </w:r>
      <w:r>
        <w:rPr>
          <w:rFonts w:ascii="Times New Roman" w:hAnsi="Times New Roman" w:cs="Times New Roman" w:eastAsia="Times New Roman" w:hint="default"/>
        </w:rPr>
        <w:t>3 </w:t>
      </w:r>
      <w:r>
        <w:rPr>
          <w:spacing w:val="-22"/>
        </w:rPr>
        <w:t>年，自</w:t>
      </w:r>
      <w:r>
        <w:rPr>
          <w:spacing w:val="-45"/>
        </w:rPr>
        <w:t> </w:t>
      </w:r>
      <w:r>
        <w:rPr>
          <w:rFonts w:ascii="Times New Roman" w:hAnsi="Times New Roman" w:cs="Times New Roman" w:eastAsia="Times New Roman" w:hint="default"/>
        </w:rPr>
        <w:t>2016 </w:t>
      </w:r>
      <w:r>
        <w:rPr/>
        <w:t>年</w:t>
      </w:r>
      <w:r>
        <w:rPr>
          <w:spacing w:val="-44"/>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 </w:t>
      </w:r>
      <w:r>
        <w:rPr/>
        <w:t>日起至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spacing w:val="-10"/>
        </w:rPr>
        <w:t>日止，每年租金</w:t>
      </w:r>
      <w:r>
        <w:rPr>
          <w:spacing w:val="-45"/>
        </w:rPr>
        <w:t> </w:t>
      </w:r>
      <w:r>
        <w:rPr>
          <w:rFonts w:ascii="Times New Roman" w:hAnsi="Times New Roman" w:cs="Times New Roman" w:eastAsia="Times New Roman" w:hint="default"/>
        </w:rPr>
        <w:t>22 </w:t>
      </w:r>
      <w:r>
        <w:rPr/>
        <w:t>万元。</w:t>
      </w:r>
    </w:p>
    <w:p>
      <w:pPr>
        <w:pStyle w:val="BodyText"/>
        <w:spacing w:line="240" w:lineRule="auto" w:before="101"/>
        <w:ind w:left="514"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日，丰东热技术下属子公司重庆丰东与重庆市超祥商贸有限公司签订《房屋租赁合同》，向其租用厂</w:t>
      </w:r>
    </w:p>
    <w:p>
      <w:pPr>
        <w:pStyle w:val="BodyText"/>
        <w:spacing w:line="240" w:lineRule="auto" w:before="63"/>
        <w:ind w:left="154" w:right="0"/>
        <w:jc w:val="left"/>
      </w:pPr>
      <w:r>
        <w:rPr/>
        <w:t>房及办公楼房屋的建筑面积为</w:t>
      </w:r>
      <w:r>
        <w:rPr>
          <w:spacing w:val="-50"/>
        </w:rPr>
        <w:t> </w:t>
      </w:r>
      <w:r>
        <w:rPr>
          <w:rFonts w:ascii="Times New Roman" w:hAnsi="Times New Roman" w:cs="Times New Roman" w:eastAsia="Times New Roman" w:hint="default"/>
        </w:rPr>
        <w:t>5763</w:t>
      </w:r>
      <w:r>
        <w:rPr>
          <w:rFonts w:ascii="Times New Roman" w:hAnsi="Times New Roman" w:cs="Times New Roman" w:eastAsia="Times New Roman" w:hint="default"/>
          <w:spacing w:val="-5"/>
        </w:rPr>
        <w:t> </w:t>
      </w:r>
      <w:r>
        <w:rPr/>
        <w:t>平方米，租金标准为每平方米</w:t>
      </w:r>
      <w:r>
        <w:rPr>
          <w:rFonts w:ascii="Times New Roman" w:hAnsi="Times New Roman" w:cs="Times New Roman" w:eastAsia="Times New Roman" w:hint="default"/>
        </w:rPr>
        <w:t>/</w:t>
      </w:r>
      <w:r>
        <w:rPr/>
        <w:t>每月</w:t>
      </w:r>
      <w:r>
        <w:rPr>
          <w:spacing w:val="-50"/>
        </w:rPr>
        <w:t> </w:t>
      </w:r>
      <w:r>
        <w:rPr>
          <w:rFonts w:ascii="Times New Roman" w:hAnsi="Times New Roman" w:cs="Times New Roman" w:eastAsia="Times New Roman" w:hint="default"/>
        </w:rPr>
        <w:t>13.5</w:t>
      </w:r>
      <w:r>
        <w:rPr>
          <w:rFonts w:ascii="Times New Roman" w:hAnsi="Times New Roman" w:cs="Times New Roman" w:eastAsia="Times New Roman" w:hint="default"/>
          <w:spacing w:val="-5"/>
        </w:rPr>
        <w:t> </w:t>
      </w:r>
      <w:r>
        <w:rPr>
          <w:spacing w:val="-3"/>
        </w:rPr>
        <w:t>元；租用辅助房屋的面积为</w:t>
      </w:r>
      <w:r>
        <w:rPr>
          <w:spacing w:val="-50"/>
        </w:rPr>
        <w:t> </w:t>
      </w:r>
      <w:r>
        <w:rPr>
          <w:rFonts w:ascii="Times New Roman" w:hAnsi="Times New Roman" w:cs="Times New Roman" w:eastAsia="Times New Roman" w:hint="default"/>
        </w:rPr>
        <w:t>562</w:t>
      </w:r>
      <w:r>
        <w:rPr>
          <w:rFonts w:ascii="Times New Roman" w:hAnsi="Times New Roman" w:cs="Times New Roman" w:eastAsia="Times New Roman" w:hint="default"/>
          <w:spacing w:val="-5"/>
        </w:rPr>
        <w:t> </w:t>
      </w:r>
      <w:r>
        <w:rPr>
          <w:spacing w:val="-4"/>
        </w:rPr>
        <w:t>平方米，租金标</w:t>
      </w:r>
    </w:p>
    <w:p>
      <w:pPr>
        <w:pStyle w:val="BodyText"/>
        <w:spacing w:line="415" w:lineRule="auto" w:before="64"/>
        <w:ind w:left="514" w:right="5309" w:hanging="360"/>
        <w:jc w:val="left"/>
      </w:pPr>
      <w:r>
        <w:rPr/>
        <w:t>准为每平方米</w:t>
      </w:r>
      <w:r>
        <w:rPr>
          <w:rFonts w:ascii="Times New Roman" w:hAnsi="Times New Roman" w:cs="Times New Roman" w:eastAsia="Times New Roman" w:hint="default"/>
        </w:rPr>
        <w:t>/</w:t>
      </w:r>
      <w:r>
        <w:rPr/>
        <w:t>每月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元。自起租日起至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日租金不变。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07" w:lineRule="exact"/>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18"/>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2、重大担保" w:id="98"/>
      <w:bookmarkEnd w:id="9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1"/>
          <w:szCs w:val="21"/>
        </w:rPr>
      </w:pPr>
    </w:p>
    <w:p>
      <w:pPr>
        <w:pStyle w:val="Heading3"/>
        <w:spacing w:line="240" w:lineRule="auto"/>
        <w:ind w:right="1118"/>
        <w:jc w:val="left"/>
        <w:rPr>
          <w:b w:val="0"/>
          <w:bCs w:val="0"/>
        </w:rPr>
      </w:pPr>
      <w:bookmarkStart w:name="3、委托他人进行现金资产管理情况" w:id="99"/>
      <w:bookmarkEnd w:id="9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委托理财情况" w:id="100"/>
      <w:bookmarkEnd w:id="10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687" w:footer="979" w:top="114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2315" w:space="6065"/>
            <w:col w:w="255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单项金额重大或安全性较低、流动性较差、不保本的高风险委托理财具体情况</w:t>
      </w:r>
    </w:p>
    <w:p>
      <w:pPr>
        <w:pStyle w:val="BodyText"/>
        <w:spacing w:line="340" w:lineRule="auto" w:before="116"/>
        <w:ind w:right="5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1"/>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2）委托贷款情况" w:id="101"/>
      <w:bookmarkEnd w:id="10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3"/>
        <w:rPr>
          <w:rFonts w:ascii="宋体" w:hAnsi="宋体" w:cs="宋体" w:eastAsia="宋体" w:hint="default"/>
          <w:sz w:val="20"/>
          <w:szCs w:val="20"/>
        </w:rPr>
      </w:pPr>
    </w:p>
    <w:p>
      <w:pPr>
        <w:pStyle w:val="BodyText"/>
        <w:spacing w:line="240" w:lineRule="auto" w:before="44"/>
        <w:ind w:left="514" w:right="1118"/>
        <w:jc w:val="left"/>
      </w:pPr>
      <w:r>
        <w:rPr/>
        <w:t>公司报告期不存在委托贷款。</w:t>
      </w:r>
    </w:p>
    <w:p>
      <w:pPr>
        <w:spacing w:line="240" w:lineRule="auto" w:before="0"/>
        <w:rPr>
          <w:rFonts w:ascii="宋体" w:hAnsi="宋体" w:cs="宋体" w:eastAsia="宋体" w:hint="default"/>
          <w:sz w:val="18"/>
          <w:szCs w:val="18"/>
        </w:rPr>
      </w:pPr>
    </w:p>
    <w:p>
      <w:pPr>
        <w:pStyle w:val="Heading3"/>
        <w:spacing w:line="240" w:lineRule="auto" w:before="123"/>
        <w:ind w:right="1118"/>
        <w:jc w:val="left"/>
        <w:rPr>
          <w:b w:val="0"/>
          <w:bCs w:val="0"/>
        </w:rPr>
      </w:pPr>
      <w:bookmarkStart w:name="4、其他重大合同" w:id="102"/>
      <w:bookmarkEnd w:id="10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118"/>
        <w:jc w:val="left"/>
        <w:rPr>
          <w:b w:val="0"/>
          <w:bCs w:val="0"/>
        </w:rPr>
      </w:pPr>
      <w:bookmarkStart w:name="十八、社会责任情况" w:id="103"/>
      <w:bookmarkEnd w:id="103"/>
      <w:r>
        <w:rPr>
          <w:b w:val="0"/>
          <w:bCs w:val="0"/>
        </w:rPr>
      </w:r>
      <w:r>
        <w:rPr/>
        <w:t>十八、社会责任情况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18"/>
        <w:jc w:val="left"/>
        <w:rPr>
          <w:b w:val="0"/>
          <w:bCs w:val="0"/>
        </w:rPr>
      </w:pPr>
      <w:bookmarkStart w:name="1、履行社会责任情况" w:id="104"/>
      <w:bookmarkEnd w:id="104"/>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left="153" w:right="1033" w:firstLine="360"/>
        <w:jc w:val="left"/>
      </w:pPr>
      <w:r>
        <w:rPr>
          <w:spacing w:val="-2"/>
        </w:rPr>
        <w:t>股东权益保护：公司始终严格按照《公司法》、《证券法》等有关法律法规的要求，不断完善公司法人治理结构，建立</w:t>
      </w:r>
      <w:r>
        <w:rPr/>
        <w:t> </w:t>
      </w:r>
      <w:r>
        <w:rPr>
          <w:spacing w:val="-2"/>
        </w:rPr>
        <w:t>健全内部控制体系，规范公司运作，认真及时履行信息披露义务，提升公司治理水平，提高公司效益，切实保障全体股东和</w:t>
      </w:r>
      <w:r>
        <w:rPr>
          <w:spacing w:val="-66"/>
        </w:rPr>
        <w:t> </w:t>
      </w:r>
      <w:r>
        <w:rPr>
          <w:spacing w:val="-66"/>
        </w:rPr>
      </w:r>
      <w:r>
        <w:rPr>
          <w:spacing w:val="-5"/>
        </w:rPr>
        <w:t>债权人的合法权益。公司严格按照《上市公司股东大会规则》、《公司章程》及《股东大会议事规则》等规定和要求，召集、</w:t>
      </w:r>
      <w:r>
        <w:rPr>
          <w:spacing w:val="-80"/>
        </w:rPr>
        <w:t> </w:t>
      </w:r>
      <w:r>
        <w:rPr>
          <w:spacing w:val="-80"/>
        </w:rPr>
      </w:r>
      <w:r>
        <w:rPr/>
        <w:t>召开股东大会，并聘请律师对股东大会的合法性出具法律意见书，平等对待所有股东，特别是保证中小股东享有平等地位，</w:t>
      </w:r>
      <w:r>
        <w:rPr>
          <w:spacing w:val="-85"/>
        </w:rPr>
        <w:t> </w:t>
      </w:r>
      <w:r>
        <w:rPr>
          <w:spacing w:val="-85"/>
        </w:rPr>
      </w:r>
      <w:r>
        <w:rPr>
          <w:spacing w:val="-2"/>
        </w:rPr>
        <w:t>充分行使自己的权利。股东大会审议影响中小投资者利益的重大事项时，对中小投资者的表决进行单独计票，并将单独计票</w:t>
      </w:r>
      <w:r>
        <w:rPr>
          <w:spacing w:val="-65"/>
        </w:rPr>
        <w:t> </w:t>
      </w:r>
      <w:r>
        <w:rPr>
          <w:spacing w:val="-65"/>
        </w:rPr>
      </w:r>
      <w:r>
        <w:rPr/>
        <w:t>结果及时公开披露。</w:t>
      </w:r>
    </w:p>
    <w:p>
      <w:pPr>
        <w:pStyle w:val="BodyText"/>
        <w:spacing w:line="319" w:lineRule="auto" w:before="56"/>
        <w:ind w:left="153" w:right="1132" w:firstLine="450"/>
        <w:jc w:val="both"/>
      </w:pPr>
      <w:r>
        <w:rPr/>
        <w:t>职工权益保护：</w:t>
      </w:r>
      <w:r>
        <w:rPr>
          <w:spacing w:val="-1"/>
        </w:rPr>
        <w:t> </w:t>
      </w:r>
      <w:r>
        <w:rPr>
          <w:spacing w:val="-2"/>
        </w:rPr>
        <w:t>公司严格遵守《劳动法》、《劳动合同法》等法律法规的要求，与员工签订劳动合同，办理医疗、养</w:t>
      </w:r>
      <w:r>
        <w:rPr/>
        <w:t> </w:t>
      </w:r>
      <w:r>
        <w:rPr>
          <w:spacing w:val="-2"/>
        </w:rPr>
        <w:t>老、失业、工伤、生育等社会保险，为员工缴纳住房公积金、提供健康、安全的生产和生活环境，切实维护员工的切身和合</w:t>
      </w:r>
      <w:r>
        <w:rPr>
          <w:spacing w:val="-72"/>
        </w:rPr>
        <w:t> </w:t>
      </w:r>
      <w:r>
        <w:rPr>
          <w:spacing w:val="-72"/>
        </w:rPr>
      </w:r>
      <w:r>
        <w:rPr/>
        <w:t>法利益；公司拥有健全和完善的党委、工会和职工代表大会组织机构，代表和维护职工权益。</w:t>
      </w:r>
    </w:p>
    <w:p>
      <w:pPr>
        <w:spacing w:line="240" w:lineRule="auto" w:before="12"/>
        <w:rPr>
          <w:rFonts w:ascii="宋体" w:hAnsi="宋体" w:cs="宋体" w:eastAsia="宋体" w:hint="default"/>
          <w:sz w:val="22"/>
          <w:szCs w:val="22"/>
        </w:rPr>
      </w:pPr>
    </w:p>
    <w:p>
      <w:pPr>
        <w:pStyle w:val="Heading3"/>
        <w:spacing w:line="240" w:lineRule="auto"/>
        <w:ind w:right="1118"/>
        <w:jc w:val="left"/>
        <w:rPr>
          <w:b w:val="0"/>
          <w:bCs w:val="0"/>
        </w:rPr>
      </w:pPr>
      <w:bookmarkStart w:name="2、履行精准扶贫社会责任情况" w:id="105"/>
      <w:bookmarkEnd w:id="10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118"/>
        <w:jc w:val="left"/>
        <w:rPr>
          <w:b w:val="0"/>
          <w:bCs w:val="0"/>
        </w:rPr>
      </w:pPr>
      <w:bookmarkStart w:name="（1）精准扶贫规划" w:id="106"/>
      <w:bookmarkEnd w:id="106"/>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2）年度精准扶贫概要" w:id="107"/>
      <w:bookmarkEnd w:id="107"/>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1</w:t>
      </w:r>
      <w:r>
        <w:rPr/>
        <w:t>、自</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年下半年至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年上半年，公司共资助贫困大学生四名，</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人</w:t>
      </w:r>
      <w:r>
        <w:rPr>
          <w:rFonts w:ascii="Times New Roman" w:hAnsi="Times New Roman" w:cs="Times New Roman" w:eastAsia="Times New Roman" w:hint="default"/>
        </w:rPr>
        <w:t>/</w:t>
      </w:r>
      <w:r>
        <w:rPr/>
        <w:t>学期，共计</w:t>
      </w:r>
      <w:r>
        <w:rPr>
          <w:spacing w:val="-47"/>
        </w:rPr>
        <w:t> </w:t>
      </w:r>
      <w:r>
        <w:rPr>
          <w:rFonts w:ascii="Times New Roman" w:hAnsi="Times New Roman" w:cs="Times New Roman" w:eastAsia="Times New Roman" w:hint="default"/>
        </w:rPr>
        <w:t>96,000.00</w:t>
      </w:r>
      <w:r>
        <w:rPr>
          <w:rFonts w:ascii="Times New Roman" w:hAnsi="Times New Roman" w:cs="Times New Roman" w:eastAsia="Times New Roman" w:hint="default"/>
          <w:spacing w:val="-2"/>
        </w:rPr>
        <w:t> </w:t>
      </w:r>
      <w:r>
        <w:rPr/>
        <w:t>元。本报告期</w:t>
      </w:r>
    </w:p>
    <w:p>
      <w:pPr>
        <w:pStyle w:val="BodyText"/>
        <w:spacing w:line="240" w:lineRule="auto" w:before="64"/>
        <w:ind w:left="153" w:right="1118"/>
        <w:jc w:val="left"/>
      </w:pPr>
      <w:r>
        <w:rPr/>
        <w:t>发生金额为</w:t>
      </w:r>
      <w:r>
        <w:rPr>
          <w:spacing w:val="-46"/>
        </w:rPr>
        <w:t> </w:t>
      </w:r>
      <w:r>
        <w:rPr>
          <w:rFonts w:ascii="Times New Roman" w:hAnsi="Times New Roman" w:cs="Times New Roman" w:eastAsia="Times New Roman" w:hint="default"/>
        </w:rPr>
        <w:t>12,000.00</w:t>
      </w:r>
      <w:r>
        <w:rPr>
          <w:rFonts w:ascii="Times New Roman" w:hAnsi="Times New Roman" w:cs="Times New Roman" w:eastAsia="Times New Roman" w:hint="default"/>
          <w:spacing w:val="-1"/>
        </w:rPr>
        <w:t> </w:t>
      </w:r>
      <w:r>
        <w:rPr/>
        <w:t>元，截至本报告披露日已全部支付。</w:t>
      </w:r>
    </w:p>
    <w:p>
      <w:pPr>
        <w:pStyle w:val="BodyText"/>
        <w:spacing w:line="240" w:lineRule="auto" w:before="102"/>
        <w:ind w:right="1118"/>
        <w:jc w:val="left"/>
      </w:pPr>
      <w:r>
        <w:rPr>
          <w:rFonts w:ascii="Times New Roman" w:hAnsi="Times New Roman" w:cs="Times New Roman" w:eastAsia="Times New Roman" w:hint="default"/>
        </w:rPr>
        <w:t>2</w:t>
      </w:r>
      <w:r>
        <w:rPr/>
        <w:t>、本公司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年度扶持贫困村，共计</w:t>
      </w:r>
      <w:r>
        <w:rPr>
          <w:spacing w:val="-46"/>
        </w:rPr>
        <w:t> </w:t>
      </w:r>
      <w:r>
        <w:rPr>
          <w:rFonts w:ascii="Times New Roman" w:hAnsi="Times New Roman" w:cs="Times New Roman" w:eastAsia="Times New Roman" w:hint="default"/>
        </w:rPr>
        <w:t>30,000.00 </w:t>
      </w:r>
      <w:r>
        <w:rPr/>
        <w:t>元，截止本报告披露日已全部支付。</w:t>
      </w:r>
    </w:p>
    <w:p>
      <w:pPr>
        <w:spacing w:line="240" w:lineRule="auto" w:before="6"/>
        <w:rPr>
          <w:rFonts w:ascii="宋体" w:hAnsi="宋体" w:cs="宋体" w:eastAsia="宋体" w:hint="default"/>
          <w:sz w:val="26"/>
          <w:szCs w:val="26"/>
        </w:rPr>
      </w:pPr>
    </w:p>
    <w:p>
      <w:pPr>
        <w:pStyle w:val="Heading3"/>
        <w:spacing w:line="240" w:lineRule="auto"/>
        <w:ind w:left="556" w:right="1118"/>
        <w:jc w:val="left"/>
        <w:rPr>
          <w:b w:val="0"/>
          <w:bCs w:val="0"/>
        </w:rPr>
      </w:pPr>
      <w:bookmarkStart w:name="（3）精准扶贫成效" w:id="108"/>
      <w:bookmarkEnd w:id="108"/>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3"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b/>
          <w:bCs/>
          <w:sz w:val="22"/>
          <w:szCs w:val="22"/>
        </w:rPr>
      </w:pPr>
    </w:p>
    <w:tbl>
      <w:tblPr>
        <w:tblW w:w="0" w:type="auto"/>
        <w:jc w:val="left"/>
        <w:tblInd w:w="160" w:type="dxa"/>
        <w:tblLayout w:type="fixed"/>
        <w:tblCellMar>
          <w:top w:w="0" w:type="dxa"/>
          <w:left w:w="0" w:type="dxa"/>
          <w:bottom w:w="0" w:type="dxa"/>
          <w:right w:w="0" w:type="dxa"/>
        </w:tblCellMar>
        <w:tblLook w:val="01E0"/>
      </w:tblPr>
      <w:tblGrid>
        <w:gridCol w:w="3583"/>
        <w:gridCol w:w="1450"/>
        <w:gridCol w:w="4524"/>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8"/>
        <w:rPr>
          <w:rFonts w:ascii="宋体" w:hAnsi="宋体" w:cs="宋体" w:eastAsia="宋体" w:hint="default"/>
          <w:b/>
          <w:bCs/>
          <w:sz w:val="19"/>
          <w:szCs w:val="19"/>
        </w:rPr>
      </w:pPr>
    </w:p>
    <w:p>
      <w:pPr>
        <w:pStyle w:val="Heading3"/>
        <w:spacing w:line="240" w:lineRule="auto" w:before="38"/>
        <w:ind w:right="1118"/>
        <w:jc w:val="left"/>
        <w:rPr>
          <w:b w:val="0"/>
          <w:bCs w:val="0"/>
        </w:rPr>
      </w:pPr>
      <w:bookmarkStart w:name="3、环境保护相关的情况" w:id="109"/>
      <w:bookmarkEnd w:id="10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2"/>
        <w:rPr>
          <w:rFonts w:ascii="宋体" w:hAnsi="宋体" w:cs="宋体" w:eastAsia="宋体" w:hint="default"/>
          <w:b/>
          <w:bCs/>
          <w:sz w:val="26"/>
          <w:szCs w:val="26"/>
        </w:rPr>
      </w:pPr>
    </w:p>
    <w:p>
      <w:pPr>
        <w:pStyle w:val="BodyText"/>
        <w:spacing w:line="360" w:lineRule="auto"/>
        <w:ind w:left="514" w:right="5352"/>
        <w:jc w:val="left"/>
      </w:pPr>
      <w:r>
        <w:rPr/>
        <w:t>上市公司及其子公司是否属于环境保护部门公布的重点排污单位 否</w:t>
      </w:r>
    </w:p>
    <w:p>
      <w:pPr>
        <w:pStyle w:val="BodyText"/>
        <w:spacing w:line="240" w:lineRule="auto" w:before="25"/>
        <w:ind w:left="514" w:right="1118"/>
        <w:jc w:val="left"/>
      </w:pPr>
      <w:r>
        <w:rPr/>
        <w:t>本公司及子公司均不属于环境保护部门公布的重点排污单位。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九、其他重大事项的说明" w:id="110"/>
      <w:bookmarkEnd w:id="110"/>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日召开了第四届董事第一次会议、于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日召开了</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年第二次临时股东大会，</w:t>
      </w:r>
    </w:p>
    <w:p>
      <w:pPr>
        <w:pStyle w:val="BodyText"/>
        <w:spacing w:line="240" w:lineRule="auto" w:before="63"/>
        <w:ind w:left="154" w:right="1118"/>
        <w:jc w:val="left"/>
        <w:rPr>
          <w:rFonts w:ascii="Times New Roman" w:hAnsi="Times New Roman" w:cs="Times New Roman" w:eastAsia="Times New Roman" w:hint="default"/>
        </w:rPr>
      </w:pPr>
      <w:r>
        <w:rPr/>
        <w:t>审议通过了《关于拟参与设立并购基金的议案》，同意公司使用不超过</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亿元人民币的自有资金参与设立并购基金。</w:t>
      </w:r>
      <w:r>
        <w:rPr>
          <w:rFonts w:ascii="Times New Roman" w:hAnsi="Times New Roman" w:cs="Times New Roman" w:eastAsia="Times New Roman" w:hint="default"/>
        </w:rPr>
        <w:t>2017</w:t>
      </w:r>
    </w:p>
    <w:p>
      <w:pPr>
        <w:pStyle w:val="BodyText"/>
        <w:spacing w:line="240" w:lineRule="auto" w:before="63"/>
        <w:ind w:left="154" w:right="0"/>
        <w:jc w:val="left"/>
      </w:pPr>
      <w:r>
        <w:rPr/>
        <w:t>年</w:t>
      </w:r>
      <w:r>
        <w:rPr>
          <w:spacing w:val="-67"/>
        </w:rPr>
        <w:t>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月</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22"/>
        </w:rPr>
        <w:t> </w:t>
      </w:r>
      <w:r>
        <w:rPr/>
        <w:t>日，公司与苏州工业园区管理委员会签署了战略合作框架协议，公司将根据业务实际需要，将原《关于拟参与设立</w:t>
      </w:r>
    </w:p>
    <w:p>
      <w:pPr>
        <w:pStyle w:val="BodyText"/>
        <w:spacing w:line="240" w:lineRule="auto" w:before="63"/>
        <w:ind w:left="154" w:right="0"/>
        <w:jc w:val="left"/>
      </w:pPr>
      <w:r>
        <w:rPr/>
        <w:t>并购基金的议案</w:t>
      </w:r>
      <w:r>
        <w:rPr>
          <w:spacing w:val="-87"/>
        </w:rPr>
        <w:t>》</w:t>
      </w:r>
      <w:r>
        <w:rPr/>
        <w:t>审议的不超过</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亿元的</w:t>
      </w:r>
      <w:r>
        <w:rPr>
          <w:spacing w:val="1"/>
        </w:rPr>
        <w:t>基</w:t>
      </w:r>
      <w:r>
        <w:rPr/>
        <w:t>金总规模分多期基金予以落实</w:t>
      </w:r>
      <w:r>
        <w:rPr>
          <w:spacing w:val="-87"/>
        </w:rPr>
        <w:t>，</w:t>
      </w:r>
      <w:r>
        <w:rPr/>
        <w:t>苏州工业园区将全力支持公司并购基金的设立。</w:t>
      </w:r>
    </w:p>
    <w:p>
      <w:pPr>
        <w:pStyle w:val="BodyText"/>
        <w:spacing w:line="240" w:lineRule="auto" w:before="63"/>
        <w:ind w:left="154" w:right="1118"/>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日并购基金</w:t>
      </w:r>
      <w:r>
        <w:rPr>
          <w:rFonts w:ascii="Times New Roman" w:hAnsi="Times New Roman" w:cs="Times New Roman" w:eastAsia="Times New Roman" w:hint="default"/>
        </w:rPr>
        <w:t>“</w:t>
      </w:r>
      <w:r>
        <w:rPr/>
        <w:t>苏州方泽投资合伙企业（有限合伙）完成工商登记，其合伙期限：</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2022</w:t>
      </w:r>
    </w:p>
    <w:p>
      <w:pPr>
        <w:pStyle w:val="BodyText"/>
        <w:spacing w:line="240" w:lineRule="auto" w:before="63"/>
        <w:ind w:left="154" w:right="0"/>
        <w:jc w:val="left"/>
      </w:pP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日，经营范围：股权投资、创业投资、投资管理、投资咨询及资产管理。（依法须经批准的项目，经相关部门批</w:t>
      </w:r>
    </w:p>
    <w:p>
      <w:pPr>
        <w:pStyle w:val="BodyText"/>
        <w:spacing w:line="240" w:lineRule="auto" w:before="64"/>
        <w:ind w:left="154" w:right="1118"/>
        <w:jc w:val="left"/>
      </w:pPr>
      <w:r>
        <w:rPr/>
        <w:t>准后方可开展经营活动），基金规模：人民币</w:t>
      </w:r>
      <w:r>
        <w:rPr>
          <w:spacing w:val="-46"/>
        </w:rPr>
        <w:t> </w:t>
      </w:r>
      <w:r>
        <w:rPr>
          <w:rFonts w:ascii="Times New Roman" w:hAnsi="Times New Roman" w:cs="Times New Roman" w:eastAsia="Times New Roman" w:hint="default"/>
        </w:rPr>
        <w:t>15.02 </w:t>
      </w:r>
      <w:r>
        <w:rPr/>
        <w:t>亿元。</w:t>
      </w:r>
    </w:p>
    <w:p>
      <w:pPr>
        <w:pStyle w:val="BodyText"/>
        <w:spacing w:line="302" w:lineRule="auto" w:before="102"/>
        <w:ind w:left="153" w:right="1118"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8 </w:t>
      </w:r>
      <w:r>
        <w:rPr/>
        <w:t>日，苏州方泽投资合伙企业（有限合伙）已根据《证券投资基金法》和《私募投资基金监督管理暂行办 </w:t>
      </w:r>
      <w:r>
        <w:rPr>
          <w:spacing w:val="-12"/>
          <w:w w:val="99"/>
        </w:rPr>
        <w:t>法》等法律法规的要求在中国证券投资基金业协会完成了备案手续，并取得了《私募投资基金备案证明》（备案编码：</w:t>
      </w:r>
      <w:r>
        <w:rPr>
          <w:rFonts w:ascii="Times New Roman" w:hAnsi="Times New Roman" w:cs="Times New Roman" w:eastAsia="Times New Roman" w:hint="default"/>
          <w:spacing w:val="-12"/>
          <w:w w:val="99"/>
        </w:rPr>
        <w:t>SX7413</w:t>
      </w:r>
      <w:r>
        <w:rPr>
          <w:spacing w:val="-12"/>
          <w:w w:val="99"/>
        </w:rPr>
        <w:t>）。</w:t>
      </w:r>
      <w:r>
        <w:rPr>
          <w:w w:val="99"/>
        </w:rPr>
      </w:r>
    </w:p>
    <w:p>
      <w:pPr>
        <w:pStyle w:val="BodyText"/>
        <w:spacing w:line="300" w:lineRule="auto" w:before="49"/>
        <w:ind w:left="153" w:right="1132" w:firstLine="360"/>
        <w:jc w:val="both"/>
      </w:pPr>
      <w:r>
        <w:rPr>
          <w:rFonts w:ascii="Times New Roman" w:hAnsi="Times New Roman" w:cs="Times New Roman" w:eastAsia="Times New Roman" w:hint="default"/>
        </w:rPr>
        <w:t>2</w:t>
      </w:r>
      <w:r>
        <w:rPr/>
        <w:t>、公司全资子公司方欣科技拟以现金方式收购青岛高校信息产业股份有限公司（以下简称</w:t>
      </w:r>
      <w:r>
        <w:rPr>
          <w:rFonts w:ascii="Times New Roman" w:hAnsi="Times New Roman" w:cs="Times New Roman" w:eastAsia="Times New Roman" w:hint="default"/>
        </w:rPr>
        <w:t>“</w:t>
      </w:r>
      <w:r>
        <w:rPr/>
        <w:t>高信股份</w:t>
      </w:r>
      <w:r>
        <w:rPr>
          <w:rFonts w:ascii="Times New Roman" w:hAnsi="Times New Roman" w:cs="Times New Roman" w:eastAsia="Times New Roman" w:hint="default"/>
        </w:rPr>
        <w:t>”</w:t>
      </w:r>
      <w:r>
        <w:rPr/>
        <w:t>）、杜长河、青 岛融易信投资中心（有限合伙）合计持有的青岛高新金财信息科技有限公司</w:t>
      </w:r>
      <w:r>
        <w:rPr>
          <w:spacing w:val="-63"/>
        </w:rPr>
        <w:t> </w:t>
      </w:r>
      <w:r>
        <w:rPr>
          <w:rFonts w:ascii="Times New Roman" w:hAnsi="Times New Roman" w:cs="Times New Roman" w:eastAsia="Times New Roman" w:hint="default"/>
        </w:rPr>
        <w:t>100%</w:t>
      </w:r>
      <w:r>
        <w:rPr/>
        <w:t>股权，交易合计为</w:t>
      </w:r>
      <w:r>
        <w:rPr>
          <w:spacing w:val="-63"/>
        </w:rPr>
        <w:t> </w:t>
      </w:r>
      <w:r>
        <w:rPr>
          <w:rFonts w:ascii="Times New Roman" w:hAnsi="Times New Roman" w:cs="Times New Roman" w:eastAsia="Times New Roman" w:hint="default"/>
        </w:rPr>
        <w:t>19,100</w:t>
      </w:r>
      <w:r>
        <w:rPr>
          <w:rFonts w:ascii="Times New Roman" w:hAnsi="Times New Roman" w:cs="Times New Roman" w:eastAsia="Times New Roman" w:hint="default"/>
          <w:spacing w:val="-18"/>
        </w:rPr>
        <w:t> </w:t>
      </w:r>
      <w:r>
        <w:rPr/>
        <w:t>万元人民币。该 事项已经公司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16 </w:t>
      </w:r>
      <w:r>
        <w:rPr/>
        <w:t>日召开的第四届董事会第四次会议审议通过。</w:t>
      </w:r>
    </w:p>
    <w:p>
      <w:pPr>
        <w:pStyle w:val="BodyText"/>
        <w:spacing w:line="240" w:lineRule="auto" w:before="51"/>
        <w:ind w:right="111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6 </w:t>
      </w:r>
      <w:r>
        <w:rPr/>
        <w:t>日，方欣科技已按照《股权转让协议》的约定，向高信股份、杜长河分别支付了本次交易股权转让对价</w:t>
      </w:r>
    </w:p>
    <w:p>
      <w:pPr>
        <w:pStyle w:val="BodyText"/>
        <w:spacing w:line="302" w:lineRule="auto" w:before="63"/>
        <w:ind w:left="153" w:right="1207"/>
        <w:jc w:val="left"/>
      </w:pPr>
      <w:r>
        <w:rPr/>
        <w:t>款的</w:t>
      </w:r>
      <w:r>
        <w:rPr>
          <w:spacing w:val="-46"/>
        </w:rPr>
        <w:t> </w:t>
      </w:r>
      <w:r>
        <w:rPr>
          <w:rFonts w:ascii="Times New Roman" w:hAnsi="Times New Roman" w:cs="Times New Roman" w:eastAsia="Times New Roman" w:hint="default"/>
        </w:rPr>
        <w:t>50%</w:t>
      </w:r>
      <w:r>
        <w:rPr/>
        <w:t>，即向高信股份支付</w:t>
      </w:r>
      <w:r>
        <w:rPr>
          <w:spacing w:val="-46"/>
        </w:rPr>
        <w:t> </w:t>
      </w:r>
      <w:r>
        <w:rPr>
          <w:rFonts w:ascii="Times New Roman" w:hAnsi="Times New Roman" w:cs="Times New Roman" w:eastAsia="Times New Roman" w:hint="default"/>
        </w:rPr>
        <w:t>4,870.50</w:t>
      </w:r>
      <w:r>
        <w:rPr>
          <w:rFonts w:ascii="Times New Roman" w:hAnsi="Times New Roman" w:cs="Times New Roman" w:eastAsia="Times New Roman" w:hint="default"/>
          <w:spacing w:val="-1"/>
        </w:rPr>
        <w:t> </w:t>
      </w:r>
      <w:r>
        <w:rPr/>
        <w:t>万元，向杜长河支付了</w:t>
      </w:r>
      <w:r>
        <w:rPr>
          <w:spacing w:val="-46"/>
        </w:rPr>
        <w:t> </w:t>
      </w:r>
      <w:r>
        <w:rPr>
          <w:rFonts w:ascii="Times New Roman" w:hAnsi="Times New Roman" w:cs="Times New Roman" w:eastAsia="Times New Roman" w:hint="default"/>
        </w:rPr>
        <w:t>859.50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日，高新金财已办理完毕本次 交易的工商变更登记手续。</w:t>
      </w:r>
    </w:p>
    <w:p>
      <w:pPr>
        <w:pStyle w:val="BodyText"/>
        <w:spacing w:line="307" w:lineRule="auto" w:before="69"/>
        <w:ind w:left="153" w:right="1119" w:firstLine="360"/>
        <w:jc w:val="left"/>
      </w:pPr>
      <w:r>
        <w:rPr>
          <w:spacing w:val="-3"/>
        </w:rPr>
        <w:t>因《股权转让协议》约定的高信股份业务、人才剥离等条件未能如期完成，同时因宏观市场环境和财税行业政策在</w:t>
      </w:r>
      <w:r>
        <w:rPr>
          <w:spacing w:val="-33"/>
        </w:rPr>
        <w:t> </w:t>
      </w:r>
      <w:r>
        <w:rPr>
          <w:rFonts w:ascii="Times New Roman" w:hAnsi="Times New Roman" w:cs="Times New Roman" w:eastAsia="Times New Roman" w:hint="default"/>
        </w:rPr>
        <w:t>2017 </w:t>
      </w:r>
      <w:r>
        <w:rPr>
          <w:spacing w:val="-2"/>
        </w:rPr>
        <w:t>年发生了较大变化，从而导致交易各方原约定的盈利预测及对赌业绩未能达成。经交易各方充分沟通，本着谨慎、务实、可</w:t>
      </w:r>
      <w:r>
        <w:rPr>
          <w:spacing w:val="-67"/>
        </w:rPr>
        <w:t> </w:t>
      </w:r>
      <w:r>
        <w:rPr>
          <w:spacing w:val="-67"/>
        </w:rPr>
      </w:r>
      <w:r>
        <w:rPr/>
        <w:t>行的原则，并结合当前的市场环境，同意对高新金财的对赌业绩及公司估值进行调整，并于</w:t>
      </w:r>
      <w:r>
        <w:rPr>
          <w:spacing w:val="-45"/>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日签署了《关于 </w:t>
      </w:r>
      <w:r>
        <w:rPr>
          <w:spacing w:val="-2"/>
        </w:rPr>
        <w:t>青岛高新金财信息科技有限公司股权收购事项交易方案调整的备忘录》，各方同意结合目前市场情况以及政策情况，并基于</w:t>
      </w:r>
      <w:r>
        <w:rPr>
          <w:spacing w:val="-66"/>
        </w:rPr>
        <w:t> </w:t>
      </w:r>
      <w:r>
        <w:rPr>
          <w:spacing w:val="-66"/>
        </w:rPr>
      </w:r>
      <w:r>
        <w:rPr/>
        <w:t>高新金财管理团队重新测算的标的公司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年至</w:t>
      </w:r>
      <w:r>
        <w:rPr>
          <w:spacing w:val="-4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spacing w:val="-3"/>
        </w:rPr>
        <w:t>年的盈利预测数据，聘请具有证券从业资格的资产评估机构对于标的</w:t>
      </w:r>
      <w:r>
        <w:rPr/>
        <w:t> 公司</w:t>
      </w:r>
      <w:r>
        <w:rPr>
          <w:spacing w:val="-46"/>
        </w:rPr>
        <w:t> </w:t>
      </w:r>
      <w:r>
        <w:rPr>
          <w:rFonts w:ascii="Times New Roman" w:hAnsi="Times New Roman" w:cs="Times New Roman" w:eastAsia="Times New Roman" w:hint="default"/>
        </w:rPr>
        <w:t>100%</w:t>
      </w:r>
      <w:r>
        <w:rPr/>
        <w:t>股权进行重新评估，并参考前述评估机构确认的新评估价值，协商确定本次交易标的公司</w:t>
      </w:r>
      <w:r>
        <w:rPr>
          <w:spacing w:val="-45"/>
        </w:rPr>
        <w:t> </w:t>
      </w:r>
      <w:r>
        <w:rPr>
          <w:rFonts w:ascii="Times New Roman" w:hAnsi="Times New Roman" w:cs="Times New Roman" w:eastAsia="Times New Roman" w:hint="default"/>
        </w:rPr>
        <w:t>100%</w:t>
      </w:r>
      <w:r>
        <w:rPr/>
        <w:t>股权的新交易对 价。</w:t>
      </w:r>
    </w:p>
    <w:p>
      <w:pPr>
        <w:pStyle w:val="BodyText"/>
        <w:spacing w:line="240" w:lineRule="auto" w:before="64"/>
        <w:ind w:left="514" w:right="0"/>
        <w:jc w:val="left"/>
      </w:pPr>
      <w:r>
        <w:rPr>
          <w:rFonts w:ascii="Times New Roman" w:hAnsi="Times New Roman" w:cs="Times New Roman" w:eastAsia="Times New Roman" w:hint="default"/>
        </w:rPr>
        <w:t>3</w:t>
      </w:r>
      <w:r>
        <w:rPr>
          <w:spacing w:val="-81"/>
        </w:rPr>
        <w:t>、</w:t>
      </w:r>
      <w:r>
        <w:rPr/>
        <w:t>为助推公司全资子公司方欣科技互联网财税服务业务的发展</w:t>
      </w:r>
      <w:r>
        <w:rPr>
          <w:spacing w:val="-81"/>
        </w:rPr>
        <w:t>，</w:t>
      </w:r>
      <w:r>
        <w:rPr/>
        <w:t>更好地实施方欣科技</w:t>
      </w:r>
      <w:r>
        <w:rPr>
          <w:rFonts w:ascii="Times New Roman" w:hAnsi="Times New Roman" w:cs="Times New Roman" w:eastAsia="Times New Roman" w:hint="default"/>
          <w:w w:val="100"/>
        </w:rPr>
        <w:t>“</w:t>
      </w:r>
      <w:r>
        <w:rPr/>
        <w:t>在全国范围快速推广财税云服务，</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00" w:lineRule="auto" w:before="44"/>
        <w:ind w:left="153" w:right="1133"/>
        <w:jc w:val="left"/>
      </w:pPr>
      <w:r>
        <w:rPr/>
        <w:t>加快聚集平台用户数量；建设智慧财税服务互联平台，构建企业全生命周期服务生态圈；建立企业大数据创新服务平台</w:t>
      </w:r>
      <w:r>
        <w:rPr>
          <w:rFonts w:ascii="Times New Roman" w:hAnsi="Times New Roman" w:cs="Times New Roman" w:eastAsia="Times New Roman" w:hint="default"/>
        </w:rPr>
        <w:t>”</w:t>
      </w:r>
      <w:r>
        <w:rPr/>
        <w:t>发 展战略，方欣科技拟出资设立子公司广州市金财互联小额贷款有限公司，注册资本为</w:t>
      </w:r>
      <w:r>
        <w:rPr>
          <w:spacing w:val="-45"/>
        </w:rPr>
        <w:t> </w:t>
      </w:r>
      <w:r>
        <w:rPr>
          <w:rFonts w:ascii="Times New Roman" w:hAnsi="Times New Roman" w:cs="Times New Roman" w:eastAsia="Times New Roman" w:hint="default"/>
        </w:rPr>
        <w:t>30,000 </w:t>
      </w:r>
      <w:r>
        <w:rPr/>
        <w:t>万元人民币。该事项已经公司</w:t>
      </w:r>
    </w:p>
    <w:p>
      <w:pPr>
        <w:pStyle w:val="BodyText"/>
        <w:spacing w:line="240" w:lineRule="auto" w:before="14"/>
        <w:ind w:left="153" w:right="111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年第三次临时股东大会审议通过。</w:t>
      </w:r>
    </w:p>
    <w:p>
      <w:pPr>
        <w:pStyle w:val="BodyText"/>
        <w:spacing w:line="240" w:lineRule="auto" w:before="101"/>
        <w:ind w:right="111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8 </w:t>
      </w:r>
      <w:r>
        <w:rPr/>
        <w:t>日，公司召开了第四届董事会第九次会议，审议通过了《关于向广州金财互联小额贷款有限公司追加投</w:t>
      </w:r>
    </w:p>
    <w:p>
      <w:pPr>
        <w:pStyle w:val="BodyText"/>
        <w:spacing w:line="240" w:lineRule="auto" w:before="64"/>
        <w:ind w:left="153" w:right="1118"/>
        <w:jc w:val="left"/>
      </w:pPr>
      <w:r>
        <w:rPr/>
        <w:t>资的议案》，同意公司全资子公司方欣科技以自有资金向广州金财互联小额贷款有限公司追加投资</w:t>
      </w:r>
      <w:r>
        <w:rPr>
          <w:spacing w:val="-45"/>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t>万元人民币。</w:t>
      </w:r>
    </w:p>
    <w:p>
      <w:pPr>
        <w:pStyle w:val="BodyText"/>
        <w:spacing w:line="314" w:lineRule="auto" w:before="102"/>
        <w:ind w:left="153" w:right="1131" w:firstLine="360"/>
        <w:jc w:val="both"/>
      </w:pPr>
      <w:r>
        <w:rPr>
          <w:spacing w:val="-3"/>
        </w:rPr>
        <w:t>方欣科技已按照相关审批要求提交相关文件，并获得当地金融主管部门审批通过。此项目受</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月互联网金融风 </w:t>
      </w:r>
      <w:r>
        <w:rPr>
          <w:spacing w:val="-2"/>
        </w:rPr>
        <w:t>险专项整治工作领导小组办公室下发的《关于立即暂停批设网络小额贷款公司的通知》影响，根据文件要求，本次拟设立的</w:t>
      </w:r>
      <w:r>
        <w:rPr>
          <w:spacing w:val="-66"/>
        </w:rPr>
        <w:t> </w:t>
      </w:r>
      <w:r>
        <w:rPr>
          <w:spacing w:val="-66"/>
        </w:rPr>
      </w:r>
      <w:r>
        <w:rPr>
          <w:spacing w:val="-2"/>
        </w:rPr>
        <w:t>互联网小额贷款公司被暂停批设，因此，最终的投资方案及该项投资是否能够完成尚存在不确定性。目前，公司将待监管部</w:t>
      </w:r>
      <w:r>
        <w:rPr>
          <w:spacing w:val="-66"/>
        </w:rPr>
        <w:t> </w:t>
      </w:r>
      <w:r>
        <w:rPr>
          <w:spacing w:val="-66"/>
        </w:rPr>
      </w:r>
      <w:r>
        <w:rPr>
          <w:spacing w:val="-2"/>
        </w:rPr>
        <w:t>门有进一步发文公告相关指导政策，公司再根据实际情况推进后续事宜。公司将根据相关事项后续进展情况履行相应程序和</w:t>
      </w:r>
      <w:r>
        <w:rPr>
          <w:spacing w:val="-64"/>
        </w:rPr>
        <w:t> </w:t>
      </w:r>
      <w:r>
        <w:rPr>
          <w:spacing w:val="-64"/>
        </w:rPr>
      </w:r>
      <w:r>
        <w:rPr/>
        <w:t>信息披露义务，敬请广大投资者注意投资风险。</w:t>
      </w:r>
    </w:p>
    <w:p>
      <w:pPr>
        <w:spacing w:line="240" w:lineRule="auto" w:before="9"/>
        <w:rPr>
          <w:rFonts w:ascii="宋体" w:hAnsi="宋体" w:cs="宋体" w:eastAsia="宋体" w:hint="default"/>
          <w:sz w:val="20"/>
          <w:szCs w:val="20"/>
        </w:rPr>
      </w:pPr>
    </w:p>
    <w:p>
      <w:pPr>
        <w:pStyle w:val="Heading2"/>
        <w:spacing w:line="240" w:lineRule="auto"/>
        <w:ind w:right="1118"/>
        <w:jc w:val="left"/>
        <w:rPr>
          <w:b w:val="0"/>
          <w:bCs w:val="0"/>
        </w:rPr>
      </w:pPr>
      <w:bookmarkStart w:name="二十、公司子公司重大事项" w:id="111"/>
      <w:bookmarkEnd w:id="111"/>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2966" w:right="1118"/>
        <w:jc w:val="left"/>
        <w:rPr>
          <w:b w:val="0"/>
          <w:bCs w:val="0"/>
        </w:rPr>
      </w:pPr>
      <w:bookmarkStart w:name="第六节 股份变动及股东情况" w:id="112"/>
      <w:bookmarkEnd w:id="112"/>
      <w:r>
        <w:rPr>
          <w:b w:val="0"/>
          <w:bCs w:val="0"/>
        </w:rPr>
      </w:r>
      <w:bookmarkStart w:name="_bookmark5" w:id="113"/>
      <w:bookmarkEnd w:id="11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股份变动情况" w:id="114"/>
      <w:bookmarkEnd w:id="114"/>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18"/>
        <w:jc w:val="left"/>
        <w:rPr>
          <w:b w:val="0"/>
          <w:bCs w:val="0"/>
        </w:rPr>
      </w:pPr>
      <w:bookmarkStart w:name="1、股份变动情况" w:id="115"/>
      <w:bookmarkEnd w:id="11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22" w:type="dxa"/>
        <w:tblLayout w:type="fixed"/>
        <w:tblCellMar>
          <w:top w:w="0" w:type="dxa"/>
          <w:left w:w="0" w:type="dxa"/>
          <w:bottom w:w="0" w:type="dxa"/>
          <w:right w:w="0" w:type="dxa"/>
        </w:tblCellMar>
        <w:tblLook w:val="01E0"/>
      </w:tblPr>
      <w:tblGrid>
        <w:gridCol w:w="1962"/>
        <w:gridCol w:w="1042"/>
        <w:gridCol w:w="709"/>
        <w:gridCol w:w="710"/>
        <w:gridCol w:w="708"/>
        <w:gridCol w:w="708"/>
        <w:gridCol w:w="992"/>
        <w:gridCol w:w="994"/>
        <w:gridCol w:w="1134"/>
        <w:gridCol w:w="744"/>
      </w:tblGrid>
      <w:tr>
        <w:trPr>
          <w:trHeight w:val="330"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2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5"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169" w:right="16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169" w:right="7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5"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4"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42"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r>
      <w:tr>
        <w:trPr>
          <w:trHeight w:val="145"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319,641,853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-40,499,672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-40,499,672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279,142,181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319,641,853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-40,499,672</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-40,499,672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279,142,181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129,852,533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26.46%</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-28,517,589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-28,517,589</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101,334,944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189,789,320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-11,982,083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-11,982,083</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177,807,237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40,499,672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40,499,672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211,599,672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171,100,000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40,499,672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40,499,672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211,599,672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43.12%</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490,741,853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490,741,853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股份变动的原因</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85"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日公司向徐正军等特定对象发行</w:t>
      </w:r>
      <w:r>
        <w:rPr>
          <w:spacing w:val="-46"/>
        </w:rPr>
        <w:t> </w:t>
      </w:r>
      <w:r>
        <w:rPr>
          <w:rFonts w:ascii="Times New Roman" w:hAnsi="Times New Roman" w:cs="Times New Roman" w:eastAsia="Times New Roman" w:hint="default"/>
        </w:rPr>
        <w:t>148,392,413</w:t>
      </w:r>
      <w:r>
        <w:rPr>
          <w:rFonts w:ascii="Times New Roman" w:hAnsi="Times New Roman" w:cs="Times New Roman" w:eastAsia="Times New Roman" w:hint="default"/>
          <w:spacing w:val="-1"/>
        </w:rPr>
        <w:t> </w:t>
      </w:r>
      <w:r>
        <w:rPr/>
        <w:t>股股份在深圳证券交易所上市，徐正军、王金根、曹 锋、邓国庭自新增股份上市之日起十二个月内不以任何形式转让，十二个月后解锁全部取得本公司股份的</w:t>
      </w:r>
      <w:r>
        <w:rPr>
          <w:spacing w:val="-45"/>
        </w:rPr>
        <w:t> </w:t>
      </w:r>
      <w:r>
        <w:rPr>
          <w:rFonts w:ascii="Times New Roman" w:hAnsi="Times New Roman" w:cs="Times New Roman" w:eastAsia="Times New Roman" w:hint="default"/>
        </w:rPr>
        <w:t>10%</w:t>
      </w:r>
      <w:r>
        <w:rPr/>
        <w:t>，二十四个 月后解锁至全部取得本公司股份的</w:t>
      </w:r>
      <w:r>
        <w:rPr>
          <w:spacing w:val="-46"/>
        </w:rPr>
        <w:t> </w:t>
      </w:r>
      <w:r>
        <w:rPr>
          <w:rFonts w:ascii="Times New Roman" w:hAnsi="Times New Roman" w:cs="Times New Roman" w:eastAsia="Times New Roman" w:hint="default"/>
        </w:rPr>
        <w:t>35%</w:t>
      </w:r>
      <w:r>
        <w:rPr/>
        <w:t>，三十六个月后解锁全部取得本公司股份的剩余股份；北京众诚、苏州松禾、深圳 金蝶、广州西域自新增股份上市之日起十二个月内不以任何形式转让。</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日，北京众诚、深圳金蝶、苏州松</w:t>
      </w:r>
    </w:p>
    <w:p>
      <w:pPr>
        <w:pStyle w:val="BodyText"/>
        <w:spacing w:line="302" w:lineRule="auto" w:before="13"/>
        <w:ind w:left="154" w:right="1115"/>
        <w:jc w:val="left"/>
      </w:pPr>
      <w:r>
        <w:rPr/>
        <w:t>禾、广州西域所持本公司股份全部解除限售，即境内法人持股合计解除限售股份数量为</w:t>
      </w:r>
      <w:r>
        <w:rPr>
          <w:spacing w:val="-59"/>
        </w:rPr>
        <w:t> </w:t>
      </w:r>
      <w:r>
        <w:rPr>
          <w:rFonts w:ascii="Times New Roman" w:hAnsi="Times New Roman" w:cs="Times New Roman" w:eastAsia="Times New Roman" w:hint="default"/>
        </w:rPr>
        <w:t>28,517,589</w:t>
      </w:r>
      <w:r>
        <w:rPr>
          <w:rFonts w:ascii="Times New Roman" w:hAnsi="Times New Roman" w:cs="Times New Roman" w:eastAsia="Times New Roman" w:hint="default"/>
          <w:spacing w:val="-14"/>
        </w:rPr>
        <w:t> </w:t>
      </w:r>
      <w:r>
        <w:rPr>
          <w:spacing w:val="-5"/>
        </w:rPr>
        <w:t>股；徐正军、王金根、曹</w:t>
      </w:r>
      <w:r>
        <w:rPr/>
        <w:t> 锋、邓国庭所持本公司股份</w:t>
      </w:r>
      <w:r>
        <w:rPr>
          <w:spacing w:val="-46"/>
        </w:rPr>
        <w:t> </w:t>
      </w:r>
      <w:r>
        <w:rPr>
          <w:rFonts w:ascii="Times New Roman" w:hAnsi="Times New Roman" w:cs="Times New Roman" w:eastAsia="Times New Roman" w:hint="default"/>
        </w:rPr>
        <w:t>10%</w:t>
      </w:r>
      <w:r>
        <w:rPr/>
        <w:t>解除限售，即境内自然人持股合计解除限售股份数量为</w:t>
      </w:r>
      <w:r>
        <w:rPr>
          <w:spacing w:val="-46"/>
        </w:rPr>
        <w:t> </w:t>
      </w:r>
      <w:r>
        <w:rPr>
          <w:rFonts w:ascii="Times New Roman" w:hAnsi="Times New Roman" w:cs="Times New Roman" w:eastAsia="Times New Roman" w:hint="default"/>
        </w:rPr>
        <w:t>11,987,483 </w:t>
      </w:r>
      <w:r>
        <w:rPr/>
        <w:t>股。</w:t>
      </w:r>
    </w:p>
    <w:p>
      <w:pPr>
        <w:pStyle w:val="BodyText"/>
        <w:spacing w:line="240" w:lineRule="auto" w:before="49"/>
        <w:ind w:left="514" w:right="1118"/>
        <w:jc w:val="left"/>
      </w:pPr>
      <w:r>
        <w:rPr>
          <w:rFonts w:ascii="Times New Roman" w:hAnsi="Times New Roman" w:cs="Times New Roman" w:eastAsia="Times New Roman" w:hint="default"/>
        </w:rPr>
        <w:t>2</w:t>
      </w:r>
      <w:r>
        <w:rPr/>
        <w:t>、报告期末，本公司第四届董事会董事夏晓宇先生持有的本公司</w:t>
      </w:r>
      <w:r>
        <w:rPr>
          <w:spacing w:val="-45"/>
        </w:rPr>
        <w:t> </w:t>
      </w:r>
      <w:r>
        <w:rPr>
          <w:rFonts w:ascii="Times New Roman" w:hAnsi="Times New Roman" w:cs="Times New Roman" w:eastAsia="Times New Roman" w:hint="default"/>
        </w:rPr>
        <w:t>1,200</w:t>
      </w:r>
      <w:r>
        <w:rPr>
          <w:rFonts w:ascii="Times New Roman" w:hAnsi="Times New Roman" w:cs="Times New Roman" w:eastAsia="Times New Roman" w:hint="default"/>
          <w:spacing w:val="-1"/>
        </w:rPr>
        <w:t> </w:t>
      </w:r>
      <w:r>
        <w:rPr/>
        <w:t>股股票，锁定</w:t>
      </w:r>
      <w:r>
        <w:rPr>
          <w:spacing w:val="-46"/>
        </w:rPr>
        <w:t> </w:t>
      </w:r>
      <w:r>
        <w:rPr>
          <w:rFonts w:ascii="Times New Roman" w:hAnsi="Times New Roman" w:cs="Times New Roman" w:eastAsia="Times New Roman" w:hint="default"/>
        </w:rPr>
        <w:t>900</w:t>
      </w:r>
      <w:r>
        <w:rPr>
          <w:rFonts w:ascii="Times New Roman" w:hAnsi="Times New Roman" w:cs="Times New Roman" w:eastAsia="Times New Roman" w:hint="default"/>
          <w:spacing w:val="-1"/>
        </w:rPr>
        <w:t> </w:t>
      </w:r>
      <w:r>
        <w:rPr/>
        <w:t>股；报告期末，本公司第三</w:t>
      </w:r>
    </w:p>
    <w:p>
      <w:pPr>
        <w:pStyle w:val="BodyText"/>
        <w:spacing w:line="415" w:lineRule="auto" w:before="64"/>
        <w:ind w:left="514" w:right="5626" w:hanging="360"/>
        <w:jc w:val="left"/>
      </w:pPr>
      <w:r>
        <w:rPr/>
        <w:t>届副总经理张建新先生持有本公司</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股股票，锁定</w:t>
      </w:r>
      <w:r>
        <w:rPr>
          <w:spacing w:val="-46"/>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t>股。 股份变动的批准情况</w:t>
      </w:r>
    </w:p>
    <w:p>
      <w:pPr>
        <w:pStyle w:val="BodyText"/>
        <w:spacing w:line="235" w:lineRule="exact"/>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right="1118"/>
        <w:jc w:val="left"/>
      </w:pPr>
      <w:r>
        <w:rPr/>
        <w:t>股份变动的过户情况</w:t>
      </w:r>
    </w:p>
    <w:p>
      <w:pPr>
        <w:pStyle w:val="BodyText"/>
        <w:spacing w:line="415"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股份变动对最近一年和最近一期基本每股收益和稀释每股收益、归属于公司普通股股东的每股净资产等财务指标的影响</w:t>
      </w:r>
    </w:p>
    <w:p>
      <w:pPr>
        <w:pStyle w:val="BodyText"/>
        <w:spacing w:line="235" w:lineRule="exact"/>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4"/>
          <w:szCs w:val="14"/>
        </w:rPr>
      </w:pPr>
    </w:p>
    <w:p>
      <w:pPr>
        <w:pStyle w:val="BodyText"/>
        <w:spacing w:line="240" w:lineRule="auto"/>
        <w:ind w:right="1118"/>
        <w:jc w:val="left"/>
      </w:pPr>
      <w:r>
        <w:rPr/>
        <w:t>公司认为必要或证券监管机构要求披露的其他内容</w:t>
      </w:r>
    </w:p>
    <w:p>
      <w:pPr>
        <w:pStyle w:val="BodyText"/>
        <w:spacing w:line="240" w:lineRule="auto" w:before="117"/>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限售股份变动情况" w:id="116"/>
      <w:bookmarkEnd w:id="11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44"/>
        <w:ind w:left="6807" w:right="0"/>
        <w:jc w:val="left"/>
      </w:pPr>
      <w:r>
        <w:rPr/>
        <w:pict>
          <v:group style="position:absolute;margin-left:54.540001pt;margin-top:-103.828293pt;width:486.25pt;height:619.75pt;mso-position-horizontal-relative:page;mso-position-vertical-relative:paragraph;z-index:-986512" coordorigin="1091,-2077" coordsize="9725,12395">
            <v:group style="position:absolute;left:1102;top:-2062;width:1125;height:177" coordorigin="1102,-2062" coordsize="1125,177">
              <v:shape style="position:absolute;left:1102;top:-2062;width:1125;height:177" coordorigin="1102,-2062" coordsize="1125,177" path="m1102,-1885l2226,-1885,2226,-2062,1102,-2062,1102,-1885xe" filled="true" fillcolor="#d2d2d2" stroked="false">
                <v:path arrowok="t"/>
                <v:fill type="solid"/>
              </v:shape>
            </v:group>
            <v:group style="position:absolute;left:1113;top:-1885;width:2;height:392" coordorigin="1113,-1885" coordsize="2,392">
              <v:shape style="position:absolute;left:1113;top:-1885;width:2;height:392" coordorigin="1113,-1885" coordsize="0,392" path="m1113,-1885l1113,-1494e" filled="false" stroked="true" strokeweight="1.140pt" strokecolor="#d2d2d2">
                <v:path arrowok="t"/>
              </v:shape>
            </v:group>
            <v:group style="position:absolute;left:2215;top:-1885;width:2;height:392" coordorigin="2215,-1885" coordsize="2,392">
              <v:shape style="position:absolute;left:2215;top:-1885;width:2;height:392" coordorigin="2215,-1885" coordsize="0,392" path="m2215,-1885l2215,-1494e" filled="false" stroked="true" strokeweight="1.140pt" strokecolor="#d2d2d2">
                <v:path arrowok="t"/>
              </v:shape>
            </v:group>
            <v:group style="position:absolute;left:1102;top:-1494;width:1125;height:177" coordorigin="1102,-1494" coordsize="1125,177">
              <v:shape style="position:absolute;left:1102;top:-1494;width:1125;height:177" coordorigin="1102,-1494" coordsize="1125,177" path="m1102,-1318l2226,-1318,2226,-1494,1102,-1494,1102,-1318xe" filled="true" fillcolor="#d2d2d2" stroked="false">
                <v:path arrowok="t"/>
                <v:fill type="solid"/>
              </v:shape>
            </v:group>
            <v:group style="position:absolute;left:1124;top:-1885;width:1080;height:392" coordorigin="1124,-1885" coordsize="1080,392">
              <v:shape style="position:absolute;left:1124;top:-1885;width:1080;height:392" coordorigin="1124,-1885" coordsize="1080,392" path="m1124,-1494l2204,-1494,2204,-1885,1124,-1885,1124,-1494xe" filled="true" fillcolor="#d2d2d2" stroked="false">
                <v:path arrowok="t"/>
                <v:fill type="solid"/>
              </v:shape>
            </v:group>
            <v:group style="position:absolute;left:2247;top:-2062;width:2;height:745" coordorigin="2247,-2062" coordsize="2,745">
              <v:shape style="position:absolute;left:2247;top:-2062;width:2;height:745" coordorigin="2247,-2062" coordsize="0,745" path="m2247,-2062l2247,-1318e" filled="false" stroked="true" strokeweight="1.140pt" strokecolor="#d2d2d2">
                <v:path arrowok="t"/>
              </v:shape>
            </v:group>
            <v:group style="position:absolute;left:3207;top:-2062;width:2;height:745" coordorigin="3207,-2062" coordsize="2,745">
              <v:shape style="position:absolute;left:3207;top:-2062;width:2;height:745" coordorigin="3207,-2062" coordsize="0,745" path="m3207,-2062l3207,-1318e" filled="false" stroked="true" strokeweight="1.140pt" strokecolor="#d2d2d2">
                <v:path arrowok="t"/>
              </v:shape>
            </v:group>
            <v:group style="position:absolute;left:2259;top:-2062;width:938;height:393" coordorigin="2259,-2062" coordsize="938,393">
              <v:shape style="position:absolute;left:2259;top:-2062;width:938;height:393" coordorigin="2259,-2062" coordsize="938,393" path="m2259,-1669l3196,-1669,3196,-2062,2259,-2062,2259,-1669xe" filled="true" fillcolor="#d2d2d2" stroked="false">
                <v:path arrowok="t"/>
                <v:fill type="solid"/>
              </v:shape>
            </v:group>
            <v:group style="position:absolute;left:2259;top:-1669;width:938;height:352" coordorigin="2259,-1669" coordsize="938,352">
              <v:shape style="position:absolute;left:2259;top:-1669;width:938;height:352" coordorigin="2259,-1669" coordsize="938,352" path="m2259,-1318l3196,-1318,3196,-1669,2259,-1669,2259,-1318xe" filled="true" fillcolor="#d2d2d2" stroked="false">
                <v:path arrowok="t"/>
                <v:fill type="solid"/>
              </v:shape>
            </v:group>
            <v:group style="position:absolute;left:3228;top:-2052;width:840;height:2" coordorigin="3228,-2052" coordsize="840,2">
              <v:shape style="position:absolute;left:3228;top:-2052;width:840;height:2" coordorigin="3228,-2052" coordsize="840,0" path="m3228,-2052l4068,-2052e" filled="false" stroked="true" strokeweight="1.02pt" strokecolor="#d2d2d2">
                <v:path arrowok="t"/>
              </v:shape>
            </v:group>
            <v:group style="position:absolute;left:3240;top:-2042;width:2;height:704" coordorigin="3240,-2042" coordsize="2,704">
              <v:shape style="position:absolute;left:3240;top:-2042;width:2;height:704" coordorigin="3240,-2042" coordsize="0,704" path="m3240,-2042l3240,-1338e" filled="false" stroked="true" strokeweight="1.140pt" strokecolor="#d2d2d2">
                <v:path arrowok="t"/>
              </v:shape>
            </v:group>
            <v:group style="position:absolute;left:4057;top:-2042;width:2;height:704" coordorigin="4057,-2042" coordsize="2,704">
              <v:shape style="position:absolute;left:4057;top:-2042;width:2;height:704" coordorigin="4057,-2042" coordsize="0,704" path="m4057,-2042l4057,-1338e" filled="false" stroked="true" strokeweight="1.140pt" strokecolor="#d2d2d2">
                <v:path arrowok="t"/>
              </v:shape>
            </v:group>
            <v:group style="position:absolute;left:3228;top:-1328;width:840;height:2" coordorigin="3228,-1328" coordsize="840,2">
              <v:shape style="position:absolute;left:3228;top:-1328;width:840;height:2" coordorigin="3228,-1328" coordsize="840,0" path="m3228,-1328l4068,-1328e" filled="false" stroked="true" strokeweight="1.02pt" strokecolor="#d2d2d2">
                <v:path arrowok="t"/>
              </v:shape>
            </v:group>
            <v:group style="position:absolute;left:3251;top:-2042;width:795;height:352" coordorigin="3251,-2042" coordsize="795,352">
              <v:shape style="position:absolute;left:3251;top:-2042;width:795;height:352" coordorigin="3251,-2042" coordsize="795,352" path="m3251,-1690l4046,-1690,4046,-2042,3251,-2042,3251,-1690xe" filled="true" fillcolor="#d2d2d2" stroked="false">
                <v:path arrowok="t"/>
                <v:fill type="solid"/>
              </v:shape>
            </v:group>
            <v:group style="position:absolute;left:3251;top:-1690;width:795;height:352" coordorigin="3251,-1690" coordsize="795,352">
              <v:shape style="position:absolute;left:3251;top:-1690;width:795;height:352" coordorigin="3251,-1690" coordsize="795,352" path="m3251,-1338l4046,-1338,4046,-1690,3251,-1690,3251,-1338xe" filled="true" fillcolor="#d2d2d2" stroked="false">
                <v:path arrowok="t"/>
                <v:fill type="solid"/>
              </v:shape>
            </v:group>
            <v:group style="position:absolute;left:4089;top:-2062;width:2;height:745" coordorigin="4089,-2062" coordsize="2,745">
              <v:shape style="position:absolute;left:4089;top:-2062;width:2;height:745" coordorigin="4089,-2062" coordsize="0,745" path="m4089,-2062l4089,-1318e" filled="false" stroked="true" strokeweight="1.140pt" strokecolor="#d2d2d2">
                <v:path arrowok="t"/>
              </v:shape>
            </v:group>
            <v:group style="position:absolute;left:5050;top:-2062;width:2;height:745" coordorigin="5050,-2062" coordsize="2,745">
              <v:shape style="position:absolute;left:5050;top:-2062;width:2;height:745" coordorigin="5050,-2062" coordsize="0,745" path="m5050,-2062l5050,-1318e" filled="false" stroked="true" strokeweight="1.140pt" strokecolor="#d2d2d2">
                <v:path arrowok="t"/>
              </v:shape>
            </v:group>
            <v:group style="position:absolute;left:4101;top:-2062;width:938;height:393" coordorigin="4101,-2062" coordsize="938,393">
              <v:shape style="position:absolute;left:4101;top:-2062;width:938;height:393" coordorigin="4101,-2062" coordsize="938,393" path="m4101,-1669l5038,-1669,5038,-2062,4101,-2062,4101,-1669xe" filled="true" fillcolor="#d2d2d2" stroked="false">
                <v:path arrowok="t"/>
                <v:fill type="solid"/>
              </v:shape>
            </v:group>
            <v:group style="position:absolute;left:4101;top:-1669;width:938;height:352" coordorigin="4101,-1669" coordsize="938,352">
              <v:shape style="position:absolute;left:4101;top:-1669;width:938;height:352" coordorigin="4101,-1669" coordsize="938,352" path="m4101,-1318l5038,-1318,5038,-1669,4101,-1669,4101,-1318xe" filled="true" fillcolor="#d2d2d2" stroked="false">
                <v:path arrowok="t"/>
                <v:fill type="solid"/>
              </v:shape>
            </v:group>
            <v:group style="position:absolute;left:5072;top:-2062;width:1265;height:177" coordorigin="5072,-2062" coordsize="1265,177">
              <v:shape style="position:absolute;left:5072;top:-2062;width:1265;height:177" coordorigin="5072,-2062" coordsize="1265,177" path="m5072,-1885l6337,-1885,6337,-2062,5072,-2062,5072,-1885xe" filled="true" fillcolor="#d2d2d2" stroked="false">
                <v:path arrowok="t"/>
                <v:fill type="solid"/>
              </v:shape>
            </v:group>
            <v:group style="position:absolute;left:5083;top:-1885;width:2;height:392" coordorigin="5083,-1885" coordsize="2,392">
              <v:shape style="position:absolute;left:5083;top:-1885;width:2;height:392" coordorigin="5083,-1885" coordsize="0,392" path="m5083,-1885l5083,-1494e" filled="false" stroked="true" strokeweight="1.140pt" strokecolor="#d2d2d2">
                <v:path arrowok="t"/>
              </v:shape>
            </v:group>
            <v:group style="position:absolute;left:6325;top:-1885;width:2;height:392" coordorigin="6325,-1885" coordsize="2,392">
              <v:shape style="position:absolute;left:6325;top:-1885;width:2;height:392" coordorigin="6325,-1885" coordsize="0,392" path="m6325,-1885l6325,-1494e" filled="false" stroked="true" strokeweight="1.140pt" strokecolor="#d2d2d2">
                <v:path arrowok="t"/>
              </v:shape>
            </v:group>
            <v:group style="position:absolute;left:5072;top:-1494;width:1265;height:177" coordorigin="5072,-1494" coordsize="1265,177">
              <v:shape style="position:absolute;left:5072;top:-1494;width:1265;height:177" coordorigin="5072,-1494" coordsize="1265,177" path="m5072,-1318l6337,-1318,6337,-1494,5072,-1494,5072,-1318xe" filled="true" fillcolor="#d2d2d2" stroked="false">
                <v:path arrowok="t"/>
                <v:fill type="solid"/>
              </v:shape>
            </v:group>
            <v:group style="position:absolute;left:5095;top:-1885;width:1220;height:392" coordorigin="5095,-1885" coordsize="1220,392">
              <v:shape style="position:absolute;left:5095;top:-1885;width:1220;height:392" coordorigin="5095,-1885" coordsize="1220,392" path="m5095,-1494l6314,-1494,6314,-1885,5095,-1885,5095,-1494xe" filled="true" fillcolor="#d2d2d2" stroked="false">
                <v:path arrowok="t"/>
                <v:fill type="solid"/>
              </v:shape>
            </v:group>
            <v:group style="position:absolute;left:6346;top:-2062;width:1409;height:177" coordorigin="6346,-2062" coordsize="1409,177">
              <v:shape style="position:absolute;left:6346;top:-2062;width:1409;height:177" coordorigin="6346,-2062" coordsize="1409,177" path="m6346,-1885l7755,-1885,7755,-2062,6346,-2062,6346,-1885xe" filled="true" fillcolor="#d2d2d2" stroked="false">
                <v:path arrowok="t"/>
                <v:fill type="solid"/>
              </v:shape>
            </v:group>
            <v:group style="position:absolute;left:6358;top:-1885;width:2;height:392" coordorigin="6358,-1885" coordsize="2,392">
              <v:shape style="position:absolute;left:6358;top:-1885;width:2;height:392" coordorigin="6358,-1885" coordsize="0,392" path="m6358,-1885l6358,-1494e" filled="false" stroked="true" strokeweight="1.140pt" strokecolor="#d2d2d2">
                <v:path arrowok="t"/>
              </v:shape>
            </v:group>
            <v:group style="position:absolute;left:7744;top:-1885;width:2;height:392" coordorigin="7744,-1885" coordsize="2,392">
              <v:shape style="position:absolute;left:7744;top:-1885;width:2;height:392" coordorigin="7744,-1885" coordsize="0,392" path="m7744,-1885l7744,-1494e" filled="false" stroked="true" strokeweight="1.140pt" strokecolor="#d2d2d2">
                <v:path arrowok="t"/>
              </v:shape>
            </v:group>
            <v:group style="position:absolute;left:6346;top:-1494;width:1409;height:177" coordorigin="6346,-1494" coordsize="1409,177">
              <v:shape style="position:absolute;left:6346;top:-1494;width:1409;height:177" coordorigin="6346,-1494" coordsize="1409,177" path="m6346,-1318l7755,-1318,7755,-1494,6346,-1494,6346,-1318xe" filled="true" fillcolor="#d2d2d2" stroked="false">
                <v:path arrowok="t"/>
                <v:fill type="solid"/>
              </v:shape>
            </v:group>
            <v:group style="position:absolute;left:6369;top:-1885;width:1364;height:392" coordorigin="6369,-1885" coordsize="1364,392">
              <v:shape style="position:absolute;left:6369;top:-1885;width:1364;height:392" coordorigin="6369,-1885" coordsize="1364,392" path="m6369,-1494l7732,-1494,7732,-1885,6369,-1885,6369,-1494xe" filled="true" fillcolor="#d2d2d2" stroked="false">
                <v:path arrowok="t"/>
                <v:fill type="solid"/>
              </v:shape>
            </v:group>
            <v:group style="position:absolute;left:7765;top:-2062;width:3040;height:177" coordorigin="7765,-2062" coordsize="3040,177">
              <v:shape style="position:absolute;left:7765;top:-2062;width:3040;height:177" coordorigin="7765,-2062" coordsize="3040,177" path="m7765,-1885l10805,-1885,10805,-2062,7765,-2062,7765,-1885xe" filled="true" fillcolor="#d2d2d2" stroked="false">
                <v:path arrowok="t"/>
                <v:fill type="solid"/>
              </v:shape>
            </v:group>
            <v:group style="position:absolute;left:7776;top:-1885;width:2;height:392" coordorigin="7776,-1885" coordsize="2,392">
              <v:shape style="position:absolute;left:7776;top:-1885;width:2;height:392" coordorigin="7776,-1885" coordsize="0,392" path="m7776,-1885l7776,-1494e" filled="false" stroked="true" strokeweight="1.140pt" strokecolor="#d2d2d2">
                <v:path arrowok="t"/>
              </v:shape>
            </v:group>
            <v:group style="position:absolute;left:10793;top:-1885;width:2;height:392" coordorigin="10793,-1885" coordsize="2,392">
              <v:shape style="position:absolute;left:10793;top:-1885;width:2;height:392" coordorigin="10793,-1885" coordsize="0,392" path="m10793,-1885l10793,-1494e" filled="false" stroked="true" strokeweight="1.140pt" strokecolor="#d2d2d2">
                <v:path arrowok="t"/>
              </v:shape>
            </v:group>
            <v:group style="position:absolute;left:7765;top:-1494;width:3040;height:177" coordorigin="7765,-1494" coordsize="3040,177">
              <v:shape style="position:absolute;left:7765;top:-1494;width:3040;height:177" coordorigin="7765,-1494" coordsize="3040,177" path="m7765,-1318l10805,-1318,10805,-1494,7765,-1494,7765,-1318xe" filled="true" fillcolor="#d2d2d2" stroked="false">
                <v:path arrowok="t"/>
                <v:fill type="solid"/>
              </v:shape>
            </v:group>
            <v:group style="position:absolute;left:7788;top:-1885;width:2995;height:392" coordorigin="7788,-1885" coordsize="2995,392">
              <v:shape style="position:absolute;left:7788;top:-1885;width:2995;height:392" coordorigin="7788,-1885" coordsize="2995,392" path="m7788,-1494l10782,-1494,10782,-1885,7788,-1885,7788,-1494xe" filled="true" fillcolor="#d2d2d2" stroked="false">
                <v:path arrowok="t"/>
                <v:fill type="solid"/>
              </v:shape>
            </v:group>
            <v:group style="position:absolute;left:1100;top:-2067;width:1126;height:2" coordorigin="1100,-2067" coordsize="1126,2">
              <v:shape style="position:absolute;left:1100;top:-2067;width:1126;height:2" coordorigin="1100,-2067" coordsize="1126,0" path="m1100,-2067l2226,-2067e" filled="false" stroked="true" strokeweight=".48pt" strokecolor="#000000">
                <v:path arrowok="t"/>
              </v:shape>
            </v:group>
            <v:group style="position:absolute;left:2236;top:-2067;width:983;height:2" coordorigin="2236,-2067" coordsize="983,2">
              <v:shape style="position:absolute;left:2236;top:-2067;width:983;height:2" coordorigin="2236,-2067" coordsize="983,0" path="m2236,-2067l3219,-2067e" filled="false" stroked="true" strokeweight=".48pt" strokecolor="#000000">
                <v:path arrowok="t"/>
              </v:shape>
            </v:group>
            <v:group style="position:absolute;left:3228;top:-2067;width:840;height:2" coordorigin="3228,-2067" coordsize="840,2">
              <v:shape style="position:absolute;left:3228;top:-2067;width:840;height:2" coordorigin="3228,-2067" coordsize="840,0" path="m3228,-2067l4068,-2067e" filled="false" stroked="true" strokeweight=".48pt" strokecolor="#000000">
                <v:path arrowok="t"/>
              </v:shape>
            </v:group>
            <v:group style="position:absolute;left:4078;top:-2067;width:985;height:2" coordorigin="4078,-2067" coordsize="985,2">
              <v:shape style="position:absolute;left:4078;top:-2067;width:985;height:2" coordorigin="4078,-2067" coordsize="985,0" path="m4078,-2067l5062,-2067e" filled="false" stroked="true" strokeweight=".48pt" strokecolor="#000000">
                <v:path arrowok="t"/>
              </v:shape>
            </v:group>
            <v:group style="position:absolute;left:5072;top:-2067;width:1265;height:2" coordorigin="5072,-2067" coordsize="1265,2">
              <v:shape style="position:absolute;left:5072;top:-2067;width:1265;height:2" coordorigin="5072,-2067" coordsize="1265,0" path="m5072,-2067l6337,-2067e" filled="false" stroked="true" strokeweight=".48pt" strokecolor="#000000">
                <v:path arrowok="t"/>
              </v:shape>
            </v:group>
            <v:group style="position:absolute;left:6346;top:-2067;width:1409;height:2" coordorigin="6346,-2067" coordsize="1409,2">
              <v:shape style="position:absolute;left:6346;top:-2067;width:1409;height:2" coordorigin="6346,-2067" coordsize="1409,0" path="m6346,-2067l7755,-2067e" filled="false" stroked="true" strokeweight=".48pt" strokecolor="#000000">
                <v:path arrowok="t"/>
              </v:shape>
            </v:group>
            <v:group style="position:absolute;left:7765;top:-2067;width:3042;height:2" coordorigin="7765,-2067" coordsize="3042,2">
              <v:shape style="position:absolute;left:7765;top:-2067;width:3042;height:2" coordorigin="7765,-2067" coordsize="3042,0" path="m7765,-2067l10806,-2067e" filled="false" stroked="true" strokeweight=".48pt" strokecolor="#000000">
                <v:path arrowok="t"/>
              </v:shape>
            </v:group>
            <v:group style="position:absolute;left:1100;top:-1313;width:1126;height:2" coordorigin="1100,-1313" coordsize="1126,2">
              <v:shape style="position:absolute;left:1100;top:-1313;width:1126;height:2" coordorigin="1100,-1313" coordsize="1126,0" path="m1100,-1313l2226,-1313e" filled="false" stroked="true" strokeweight=".48pt" strokecolor="#000000">
                <v:path arrowok="t"/>
              </v:shape>
            </v:group>
            <v:group style="position:absolute;left:2236;top:-1313;width:983;height:2" coordorigin="2236,-1313" coordsize="983,2">
              <v:shape style="position:absolute;left:2236;top:-1313;width:983;height:2" coordorigin="2236,-1313" coordsize="983,0" path="m2236,-1313l3219,-1313e" filled="false" stroked="true" strokeweight=".48pt" strokecolor="#000000">
                <v:path arrowok="t"/>
              </v:shape>
            </v:group>
            <v:group style="position:absolute;left:3228;top:-1313;width:840;height:2" coordorigin="3228,-1313" coordsize="840,2">
              <v:shape style="position:absolute;left:3228;top:-1313;width:840;height:2" coordorigin="3228,-1313" coordsize="840,0" path="m3228,-1313l4068,-1313e" filled="false" stroked="true" strokeweight=".48pt" strokecolor="#000000">
                <v:path arrowok="t"/>
              </v:shape>
            </v:group>
            <v:group style="position:absolute;left:4078;top:-1313;width:985;height:2" coordorigin="4078,-1313" coordsize="985,2">
              <v:shape style="position:absolute;left:4078;top:-1313;width:985;height:2" coordorigin="4078,-1313" coordsize="985,0" path="m4078,-1313l5062,-1313e" filled="false" stroked="true" strokeweight=".48pt" strokecolor="#000000">
                <v:path arrowok="t"/>
              </v:shape>
            </v:group>
            <v:group style="position:absolute;left:5072;top:-1313;width:1265;height:2" coordorigin="5072,-1313" coordsize="1265,2">
              <v:shape style="position:absolute;left:5072;top:-1313;width:1265;height:2" coordorigin="5072,-1313" coordsize="1265,0" path="m5072,-1313l6337,-1313e" filled="false" stroked="true" strokeweight=".48pt" strokecolor="#000000">
                <v:path arrowok="t"/>
              </v:shape>
            </v:group>
            <v:group style="position:absolute;left:6346;top:-1313;width:1409;height:2" coordorigin="6346,-1313" coordsize="1409,2">
              <v:shape style="position:absolute;left:6346;top:-1313;width:1409;height:2" coordorigin="6346,-1313" coordsize="1409,0" path="m6346,-1313l7755,-1313e" filled="false" stroked="true" strokeweight=".48pt" strokecolor="#000000">
                <v:path arrowok="t"/>
              </v:shape>
            </v:group>
            <v:group style="position:absolute;left:7765;top:-1313;width:3042;height:2" coordorigin="7765,-1313" coordsize="3042,2">
              <v:shape style="position:absolute;left:7765;top:-1313;width:3042;height:2" coordorigin="7765,-1313" coordsize="3042,0" path="m7765,-1313l10806,-1313e" filled="false" stroked="true" strokeweight=".48pt" strokecolor="#000000">
                <v:path arrowok="t"/>
              </v:shape>
            </v:group>
            <v:group style="position:absolute;left:1096;top:-2072;width:2;height:12386" coordorigin="1096,-2072" coordsize="2,12386">
              <v:shape style="position:absolute;left:1096;top:-2072;width:2;height:12386" coordorigin="1096,-2072" coordsize="0,12386" path="m1096,-2072l1096,10313e" filled="false" stroked="true" strokeweight=".48pt" strokecolor="#000000">
                <v:path arrowok="t"/>
              </v:shape>
            </v:group>
            <v:group style="position:absolute;left:6342;top:-2072;width:2;height:12386" coordorigin="6342,-2072" coordsize="2,12386">
              <v:shape style="position:absolute;left:6342;top:-2072;width:2;height:12386" coordorigin="6342,-2072" coordsize="0,12386" path="m6342,-2072l6342,10313e" filled="false" stroked="true" strokeweight=".48pt" strokecolor="#000000">
                <v:path arrowok="t"/>
              </v:shape>
            </v:group>
            <v:group style="position:absolute;left:10811;top:-2072;width:2;height:12386" coordorigin="10811,-2072" coordsize="2,12386">
              <v:shape style="position:absolute;left:10811;top:-2072;width:2;height:12386" coordorigin="10811,-2072" coordsize="0,12386" path="m10811,-2072l10811,10313e" filled="false" stroked="true" strokeweight=".48pt" strokecolor="#000000">
                <v:path arrowok="t"/>
              </v:shape>
            </v:group>
            <w10:wrap type="none"/>
          </v:group>
        </w:pict>
      </w:r>
      <w:r>
        <w:rPr/>
        <w:pict>
          <v:shape style="position:absolute;margin-left:54.779999pt;margin-top:-103.348289pt;width:490.6pt;height:619.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992"/>
                    <w:gridCol w:w="850"/>
                    <w:gridCol w:w="994"/>
                    <w:gridCol w:w="2693"/>
                    <w:gridCol w:w="3147"/>
                  </w:tblGrid>
                  <w:tr>
                    <w:trPr>
                      <w:trHeight w:val="754" w:hRule="exact"/>
                    </w:trPr>
                    <w:tc>
                      <w:tcPr>
                        <w:tcW w:w="113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60" w:lineRule="auto" w:before="56"/>
                          <w:ind w:left="310" w:right="131"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77"/>
                          <w:ind w:left="59"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60" w:lineRule="auto" w:before="56"/>
                          <w:ind w:left="130" w:right="131"/>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26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tabs>
                            <w:tab w:pos="1525" w:val="left" w:leader="none"/>
                          </w:tabs>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期末限售股数</w:t>
                          <w:tab/>
                          <w:t>限售原因</w:t>
                        </w:r>
                      </w:p>
                    </w:tc>
                    <w:tc>
                      <w:tcPr>
                        <w:tcW w:w="3147"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850" w:hRule="exact"/>
                    </w:trPr>
                    <w:tc>
                      <w:tcPr>
                        <w:tcW w:w="1136" w:type="dxa"/>
                        <w:tcBorders>
                          <w:top w:val="nil" w:sz="6" w:space="0" w:color="auto"/>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80,126,857</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8,012,686</w:t>
                        </w:r>
                      </w:p>
                    </w:tc>
                    <w:tc>
                      <w:tcPr>
                        <w:tcW w:w="994"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199" w:lineRule="exact"/>
                          <w:ind w:left="1297" w:right="0"/>
                          <w:jc w:val="left"/>
                          <w:rPr>
                            <w:rFonts w:ascii="宋体" w:hAnsi="宋体" w:cs="宋体" w:eastAsia="宋体" w:hint="default"/>
                            <w:sz w:val="18"/>
                            <w:szCs w:val="18"/>
                          </w:rPr>
                        </w:pPr>
                        <w:r>
                          <w:rPr>
                            <w:rFonts w:ascii="宋体" w:hAnsi="宋体" w:cs="宋体" w:eastAsia="宋体" w:hint="default"/>
                            <w:sz w:val="18"/>
                            <w:szCs w:val="18"/>
                          </w:rPr>
                          <w:t>发行购买资产交</w:t>
                        </w:r>
                      </w:p>
                      <w:p>
                        <w:pPr>
                          <w:pStyle w:val="TableParagraph"/>
                          <w:spacing w:line="277" w:lineRule="exact"/>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72,114,171</w:t>
                        </w:r>
                        <w:r>
                          <w:rPr>
                            <w:rFonts w:ascii="Times New Roman" w:hAnsi="Times New Roman" w:cs="Times New Roman" w:eastAsia="Times New Roman" w:hint="default"/>
                            <w:spacing w:val="9"/>
                            <w:sz w:val="18"/>
                            <w:szCs w:val="18"/>
                          </w:rPr>
                          <w:t> </w:t>
                        </w:r>
                        <w:r>
                          <w:rPr>
                            <w:rFonts w:ascii="宋体" w:hAnsi="宋体" w:cs="宋体" w:eastAsia="宋体" w:hint="default"/>
                            <w:position w:val="-11"/>
                            <w:sz w:val="18"/>
                            <w:szCs w:val="18"/>
                          </w:rPr>
                          <w:t>易对方股份锁定</w:t>
                        </w:r>
                        <w:r>
                          <w:rPr>
                            <w:rFonts w:ascii="宋体" w:hAnsi="宋体" w:cs="宋体" w:eastAsia="宋体" w:hint="default"/>
                            <w:sz w:val="18"/>
                            <w:szCs w:val="18"/>
                          </w:rPr>
                        </w:r>
                      </w:p>
                    </w:tc>
                    <w:tc>
                      <w:tcPr>
                        <w:tcW w:w="3147" w:type="dxa"/>
                        <w:tcBorders>
                          <w:top w:val="nil" w:sz="6" w:space="0" w:color="auto"/>
                          <w:left w:val="single" w:sz="4" w:space="0" w:color="000000"/>
                          <w:bottom w:val="single" w:sz="4" w:space="0" w:color="000000"/>
                          <w:right w:val="nil" w:sz="6" w:space="0" w:color="auto"/>
                        </w:tcBorders>
                      </w:tcPr>
                      <w:p>
                        <w:pPr>
                          <w:pStyle w:val="TableParagraph"/>
                          <w:spacing w:line="245" w:lineRule="exact"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8,012,686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20,031,714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52,082,457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81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34,069,687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3,406,969</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0"/>
                          <w:ind w:left="1297" w:right="0"/>
                          <w:jc w:val="left"/>
                          <w:rPr>
                            <w:rFonts w:ascii="宋体" w:hAnsi="宋体" w:cs="宋体" w:eastAsia="宋体" w:hint="default"/>
                            <w:sz w:val="18"/>
                            <w:szCs w:val="18"/>
                          </w:rPr>
                        </w:pPr>
                        <w:r>
                          <w:rPr>
                            <w:rFonts w:ascii="宋体" w:hAnsi="宋体" w:cs="宋体" w:eastAsia="宋体" w:hint="default"/>
                            <w:spacing w:val="13"/>
                            <w:sz w:val="18"/>
                            <w:szCs w:val="18"/>
                          </w:rPr>
                          <w:t>发行购买资产交</w:t>
                        </w:r>
                      </w:p>
                      <w:p>
                        <w:pPr>
                          <w:pStyle w:val="TableParagraph"/>
                          <w:spacing w:line="142" w:lineRule="exact"/>
                          <w:ind w:left="431" w:right="0"/>
                          <w:jc w:val="left"/>
                          <w:rPr>
                            <w:rFonts w:ascii="Times New Roman" w:hAnsi="Times New Roman" w:cs="Times New Roman" w:eastAsia="Times New Roman" w:hint="default"/>
                            <w:sz w:val="18"/>
                            <w:szCs w:val="18"/>
                          </w:rPr>
                        </w:pPr>
                        <w:r>
                          <w:rPr>
                            <w:rFonts w:ascii="Times New Roman"/>
                            <w:sz w:val="18"/>
                          </w:rPr>
                          <w:t>27,662,718</w:t>
                        </w:r>
                      </w:p>
                      <w:p>
                        <w:pPr>
                          <w:pStyle w:val="TableParagraph"/>
                          <w:spacing w:line="186" w:lineRule="exact"/>
                          <w:ind w:left="1297" w:right="0"/>
                          <w:jc w:val="left"/>
                          <w:rPr>
                            <w:rFonts w:ascii="宋体" w:hAnsi="宋体" w:cs="宋体" w:eastAsia="宋体" w:hint="default"/>
                            <w:sz w:val="18"/>
                            <w:szCs w:val="18"/>
                          </w:rPr>
                        </w:pPr>
                        <w:r>
                          <w:rPr>
                            <w:rFonts w:ascii="宋体" w:hAnsi="宋体" w:cs="宋体" w:eastAsia="宋体" w:hint="default"/>
                            <w:sz w:val="18"/>
                            <w:szCs w:val="18"/>
                          </w:rPr>
                          <w:t>易对方股份锁定</w:t>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5" w:lineRule="exact"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3,406,969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8,517,422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1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478" w:val="left" w:leader="none"/>
                          </w:tabs>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曹</w:t>
                          <w:tab/>
                          <w:t>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3,785,520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378,552</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0"/>
                          <w:ind w:left="1297" w:right="0"/>
                          <w:jc w:val="left"/>
                          <w:rPr>
                            <w:rFonts w:ascii="宋体" w:hAnsi="宋体" w:cs="宋体" w:eastAsia="宋体" w:hint="default"/>
                            <w:sz w:val="18"/>
                            <w:szCs w:val="18"/>
                          </w:rPr>
                        </w:pPr>
                        <w:r>
                          <w:rPr>
                            <w:rFonts w:ascii="宋体" w:hAnsi="宋体" w:cs="宋体" w:eastAsia="宋体" w:hint="default"/>
                            <w:spacing w:val="13"/>
                            <w:sz w:val="18"/>
                            <w:szCs w:val="18"/>
                          </w:rPr>
                          <w:t>发行购买资产交</w:t>
                        </w:r>
                      </w:p>
                      <w:p>
                        <w:pPr>
                          <w:pStyle w:val="TableParagraph"/>
                          <w:spacing w:line="142" w:lineRule="exact"/>
                          <w:ind w:left="521" w:right="0"/>
                          <w:jc w:val="left"/>
                          <w:rPr>
                            <w:rFonts w:ascii="Times New Roman" w:hAnsi="Times New Roman" w:cs="Times New Roman" w:eastAsia="Times New Roman" w:hint="default"/>
                            <w:sz w:val="18"/>
                            <w:szCs w:val="18"/>
                          </w:rPr>
                        </w:pPr>
                        <w:r>
                          <w:rPr>
                            <w:rFonts w:ascii="Times New Roman"/>
                            <w:sz w:val="18"/>
                          </w:rPr>
                          <w:t>3,406,968</w:t>
                        </w:r>
                      </w:p>
                      <w:p>
                        <w:pPr>
                          <w:pStyle w:val="TableParagraph"/>
                          <w:spacing w:line="186" w:lineRule="exact"/>
                          <w:ind w:left="1297" w:right="0"/>
                          <w:jc w:val="left"/>
                          <w:rPr>
                            <w:rFonts w:ascii="宋体" w:hAnsi="宋体" w:cs="宋体" w:eastAsia="宋体" w:hint="default"/>
                            <w:sz w:val="18"/>
                            <w:szCs w:val="18"/>
                          </w:rPr>
                        </w:pPr>
                        <w:r>
                          <w:rPr>
                            <w:rFonts w:ascii="宋体" w:hAnsi="宋体" w:cs="宋体" w:eastAsia="宋体" w:hint="default"/>
                            <w:sz w:val="18"/>
                            <w:szCs w:val="18"/>
                          </w:rPr>
                          <w:t>易对方股份锁定</w:t>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5" w:lineRule="exact"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378,552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946,380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1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邓国庭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1,892,760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189,276</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0"/>
                          <w:ind w:left="1297" w:right="0"/>
                          <w:jc w:val="left"/>
                          <w:rPr>
                            <w:rFonts w:ascii="宋体" w:hAnsi="宋体" w:cs="宋体" w:eastAsia="宋体" w:hint="default"/>
                            <w:sz w:val="18"/>
                            <w:szCs w:val="18"/>
                          </w:rPr>
                        </w:pPr>
                        <w:r>
                          <w:rPr>
                            <w:rFonts w:ascii="宋体" w:hAnsi="宋体" w:cs="宋体" w:eastAsia="宋体" w:hint="default"/>
                            <w:spacing w:val="13"/>
                            <w:sz w:val="18"/>
                            <w:szCs w:val="18"/>
                          </w:rPr>
                          <w:t>发行购买资产交</w:t>
                        </w:r>
                      </w:p>
                      <w:p>
                        <w:pPr>
                          <w:pStyle w:val="TableParagraph"/>
                          <w:spacing w:line="142" w:lineRule="exact"/>
                          <w:ind w:left="521" w:right="0"/>
                          <w:jc w:val="left"/>
                          <w:rPr>
                            <w:rFonts w:ascii="Times New Roman" w:hAnsi="Times New Roman" w:cs="Times New Roman" w:eastAsia="Times New Roman" w:hint="default"/>
                            <w:sz w:val="18"/>
                            <w:szCs w:val="18"/>
                          </w:rPr>
                        </w:pPr>
                        <w:r>
                          <w:rPr>
                            <w:rFonts w:ascii="Times New Roman"/>
                            <w:sz w:val="18"/>
                          </w:rPr>
                          <w:t>1,703,484</w:t>
                        </w:r>
                      </w:p>
                      <w:p>
                        <w:pPr>
                          <w:pStyle w:val="TableParagraph"/>
                          <w:spacing w:line="186" w:lineRule="exact"/>
                          <w:ind w:left="1297" w:right="0"/>
                          <w:jc w:val="left"/>
                          <w:rPr>
                            <w:rFonts w:ascii="宋体" w:hAnsi="宋体" w:cs="宋体" w:eastAsia="宋体" w:hint="default"/>
                            <w:sz w:val="18"/>
                            <w:szCs w:val="18"/>
                          </w:rPr>
                        </w:pPr>
                        <w:r>
                          <w:rPr>
                            <w:rFonts w:ascii="宋体" w:hAnsi="宋体" w:cs="宋体" w:eastAsia="宋体" w:hint="default"/>
                            <w:sz w:val="18"/>
                            <w:szCs w:val="18"/>
                          </w:rPr>
                          <w:t>易对方股份锁定</w:t>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5" w:lineRule="exact"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473,190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81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2"/>
                          <w:ind w:left="28" w:right="201"/>
                          <w:jc w:val="left"/>
                          <w:rPr>
                            <w:rFonts w:ascii="宋体" w:hAnsi="宋体" w:cs="宋体" w:eastAsia="宋体" w:hint="default"/>
                            <w:sz w:val="18"/>
                            <w:szCs w:val="18"/>
                          </w:rPr>
                        </w:pPr>
                        <w:r>
                          <w:rPr>
                            <w:rFonts w:ascii="宋体" w:hAnsi="宋体" w:cs="宋体" w:eastAsia="宋体" w:hint="default"/>
                            <w:sz w:val="18"/>
                            <w:szCs w:val="18"/>
                          </w:rPr>
                          <w:t>北京众诚方 圆投资中心</w:t>
                        </w:r>
                      </w:p>
                      <w:p>
                        <w:pPr>
                          <w:pStyle w:val="TableParagraph"/>
                          <w:spacing w:line="240" w:lineRule="auto" w:before="1"/>
                          <w:ind w:left="28"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10,331,948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10,331,94</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0"/>
                          <w:ind w:left="1297" w:right="0"/>
                          <w:jc w:val="left"/>
                          <w:rPr>
                            <w:rFonts w:ascii="宋体" w:hAnsi="宋体" w:cs="宋体" w:eastAsia="宋体" w:hint="default"/>
                            <w:sz w:val="18"/>
                            <w:szCs w:val="18"/>
                          </w:rPr>
                        </w:pPr>
                        <w:r>
                          <w:rPr>
                            <w:rFonts w:ascii="宋体" w:hAnsi="宋体" w:cs="宋体" w:eastAsia="宋体" w:hint="default"/>
                            <w:spacing w:val="13"/>
                            <w:sz w:val="18"/>
                            <w:szCs w:val="18"/>
                          </w:rPr>
                          <w:t>发行购买资产交</w:t>
                        </w:r>
                      </w:p>
                      <w:p>
                        <w:pPr>
                          <w:pStyle w:val="TableParagraph"/>
                          <w:spacing w:line="142" w:lineRule="exact"/>
                          <w:ind w:right="287"/>
                          <w:jc w:val="center"/>
                          <w:rPr>
                            <w:rFonts w:ascii="Times New Roman" w:hAnsi="Times New Roman" w:cs="Times New Roman" w:eastAsia="Times New Roman" w:hint="default"/>
                            <w:sz w:val="18"/>
                            <w:szCs w:val="18"/>
                          </w:rPr>
                        </w:pPr>
                        <w:r>
                          <w:rPr>
                            <w:rFonts w:ascii="Times New Roman"/>
                            <w:sz w:val="18"/>
                          </w:rPr>
                          <w:t>0</w:t>
                        </w:r>
                      </w:p>
                      <w:p>
                        <w:pPr>
                          <w:pStyle w:val="TableParagraph"/>
                          <w:spacing w:line="186" w:lineRule="exact"/>
                          <w:ind w:left="1297" w:right="0"/>
                          <w:jc w:val="left"/>
                          <w:rPr>
                            <w:rFonts w:ascii="宋体" w:hAnsi="宋体" w:cs="宋体" w:eastAsia="宋体" w:hint="default"/>
                            <w:sz w:val="18"/>
                            <w:szCs w:val="18"/>
                          </w:rPr>
                        </w:pPr>
                        <w:r>
                          <w:rPr>
                            <w:rFonts w:ascii="宋体" w:hAnsi="宋体" w:cs="宋体" w:eastAsia="宋体" w:hint="default"/>
                            <w:sz w:val="18"/>
                            <w:szCs w:val="18"/>
                          </w:rPr>
                          <w:t>易对方股份锁定</w:t>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10,331,948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81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2"/>
                          <w:ind w:left="28" w:right="201"/>
                          <w:jc w:val="both"/>
                          <w:rPr>
                            <w:rFonts w:ascii="宋体" w:hAnsi="宋体" w:cs="宋体" w:eastAsia="宋体" w:hint="default"/>
                            <w:sz w:val="18"/>
                            <w:szCs w:val="18"/>
                          </w:rPr>
                        </w:pPr>
                        <w:r>
                          <w:rPr>
                            <w:rFonts w:ascii="宋体" w:hAnsi="宋体" w:cs="宋体" w:eastAsia="宋体" w:hint="default"/>
                            <w:sz w:val="18"/>
                            <w:szCs w:val="18"/>
                          </w:rPr>
                          <w:t>深圳市金蝶 软件配套用 品有限公司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6,309,201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6,309,201</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00"/>
                          <w:ind w:left="1297" w:right="0"/>
                          <w:jc w:val="left"/>
                          <w:rPr>
                            <w:rFonts w:ascii="宋体" w:hAnsi="宋体" w:cs="宋体" w:eastAsia="宋体" w:hint="default"/>
                            <w:sz w:val="18"/>
                            <w:szCs w:val="18"/>
                          </w:rPr>
                        </w:pPr>
                        <w:r>
                          <w:rPr>
                            <w:rFonts w:ascii="宋体" w:hAnsi="宋体" w:cs="宋体" w:eastAsia="宋体" w:hint="default"/>
                            <w:spacing w:val="13"/>
                            <w:sz w:val="18"/>
                            <w:szCs w:val="18"/>
                          </w:rPr>
                          <w:t>发行购买资产交</w:t>
                        </w:r>
                      </w:p>
                      <w:p>
                        <w:pPr>
                          <w:pStyle w:val="TableParagraph"/>
                          <w:spacing w:line="142" w:lineRule="exact"/>
                          <w:ind w:right="287"/>
                          <w:jc w:val="center"/>
                          <w:rPr>
                            <w:rFonts w:ascii="Times New Roman" w:hAnsi="Times New Roman" w:cs="Times New Roman" w:eastAsia="Times New Roman" w:hint="default"/>
                            <w:sz w:val="18"/>
                            <w:szCs w:val="18"/>
                          </w:rPr>
                        </w:pPr>
                        <w:r>
                          <w:rPr>
                            <w:rFonts w:ascii="Times New Roman"/>
                            <w:sz w:val="18"/>
                          </w:rPr>
                          <w:t>0</w:t>
                        </w:r>
                      </w:p>
                      <w:p>
                        <w:pPr>
                          <w:pStyle w:val="TableParagraph"/>
                          <w:spacing w:line="186" w:lineRule="exact"/>
                          <w:ind w:left="1297" w:right="0"/>
                          <w:jc w:val="left"/>
                          <w:rPr>
                            <w:rFonts w:ascii="宋体" w:hAnsi="宋体" w:cs="宋体" w:eastAsia="宋体" w:hint="default"/>
                            <w:sz w:val="18"/>
                            <w:szCs w:val="18"/>
                          </w:rPr>
                        </w:pPr>
                        <w:r>
                          <w:rPr>
                            <w:rFonts w:ascii="宋体" w:hAnsi="宋体" w:cs="宋体" w:eastAsia="宋体" w:hint="default"/>
                            <w:sz w:val="18"/>
                            <w:szCs w:val="18"/>
                          </w:rPr>
                          <w:t>易对方股份锁定</w:t>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6,309,201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5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28" w:right="139"/>
                          <w:jc w:val="both"/>
                          <w:rPr>
                            <w:rFonts w:ascii="Times New Roman" w:hAnsi="Times New Roman" w:cs="Times New Roman" w:eastAsia="Times New Roman" w:hint="default"/>
                            <w:sz w:val="18"/>
                            <w:szCs w:val="18"/>
                          </w:rPr>
                        </w:pPr>
                        <w:r>
                          <w:rPr>
                            <w:rFonts w:ascii="宋体" w:hAnsi="宋体" w:cs="宋体" w:eastAsia="宋体" w:hint="default"/>
                            <w:sz w:val="18"/>
                            <w:szCs w:val="18"/>
                          </w:rPr>
                          <w:t>苏州松禾成 长二号创业 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5,938,220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5,938,220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20" w:lineRule="exact"/>
                          <w:ind w:left="1297" w:right="0"/>
                          <w:jc w:val="left"/>
                          <w:rPr>
                            <w:rFonts w:ascii="宋体" w:hAnsi="宋体" w:cs="宋体" w:eastAsia="宋体" w:hint="default"/>
                            <w:sz w:val="18"/>
                            <w:szCs w:val="18"/>
                          </w:rPr>
                        </w:pPr>
                        <w:r>
                          <w:rPr>
                            <w:rFonts w:ascii="宋体" w:hAnsi="宋体" w:cs="宋体" w:eastAsia="宋体" w:hint="default"/>
                            <w:spacing w:val="13"/>
                            <w:sz w:val="18"/>
                            <w:szCs w:val="18"/>
                          </w:rPr>
                          <w:t>发行购买资产交</w:t>
                        </w:r>
                      </w:p>
                      <w:p>
                        <w:pPr>
                          <w:pStyle w:val="TableParagraph"/>
                          <w:spacing w:line="142" w:lineRule="exact"/>
                          <w:ind w:right="287"/>
                          <w:jc w:val="center"/>
                          <w:rPr>
                            <w:rFonts w:ascii="Times New Roman" w:hAnsi="Times New Roman" w:cs="Times New Roman" w:eastAsia="Times New Roman" w:hint="default"/>
                            <w:sz w:val="18"/>
                            <w:szCs w:val="18"/>
                          </w:rPr>
                        </w:pPr>
                        <w:r>
                          <w:rPr>
                            <w:rFonts w:ascii="Times New Roman"/>
                            <w:sz w:val="18"/>
                          </w:rPr>
                          <w:t>0</w:t>
                        </w:r>
                      </w:p>
                      <w:p>
                        <w:pPr>
                          <w:pStyle w:val="TableParagraph"/>
                          <w:spacing w:line="186" w:lineRule="exact"/>
                          <w:ind w:left="1297" w:right="0"/>
                          <w:jc w:val="left"/>
                          <w:rPr>
                            <w:rFonts w:ascii="宋体" w:hAnsi="宋体" w:cs="宋体" w:eastAsia="宋体" w:hint="default"/>
                            <w:sz w:val="18"/>
                            <w:szCs w:val="18"/>
                          </w:rPr>
                        </w:pPr>
                        <w:r>
                          <w:rPr>
                            <w:rFonts w:ascii="宋体" w:hAnsi="宋体" w:cs="宋体" w:eastAsia="宋体" w:hint="default"/>
                            <w:sz w:val="18"/>
                            <w:szCs w:val="18"/>
                          </w:rPr>
                          <w:t>易对方股份锁定</w:t>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5,938,220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29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2"/>
                          <w:ind w:left="28" w:right="21"/>
                          <w:jc w:val="left"/>
                          <w:rPr>
                            <w:rFonts w:ascii="宋体" w:hAnsi="宋体" w:cs="宋体" w:eastAsia="宋体" w:hint="default"/>
                            <w:sz w:val="18"/>
                            <w:szCs w:val="18"/>
                          </w:rPr>
                        </w:pPr>
                        <w:r>
                          <w:rPr>
                            <w:rFonts w:ascii="宋体" w:hAnsi="宋体" w:cs="宋体" w:eastAsia="宋体" w:hint="default"/>
                            <w:sz w:val="18"/>
                            <w:szCs w:val="18"/>
                          </w:rPr>
                          <w:t>广州西域洪 昌互联网创 业投资合伙 企业（有限合 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5,938,220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5,938,220</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20" w:lineRule="exact"/>
                          <w:ind w:left="1297" w:right="0"/>
                          <w:jc w:val="left"/>
                          <w:rPr>
                            <w:rFonts w:ascii="宋体" w:hAnsi="宋体" w:cs="宋体" w:eastAsia="宋体" w:hint="default"/>
                            <w:sz w:val="18"/>
                            <w:szCs w:val="18"/>
                          </w:rPr>
                        </w:pPr>
                        <w:r>
                          <w:rPr>
                            <w:rFonts w:ascii="宋体" w:hAnsi="宋体" w:cs="宋体" w:eastAsia="宋体" w:hint="default"/>
                            <w:spacing w:val="13"/>
                            <w:sz w:val="18"/>
                            <w:szCs w:val="18"/>
                          </w:rPr>
                          <w:t>发行购买资产交</w:t>
                        </w:r>
                      </w:p>
                      <w:p>
                        <w:pPr>
                          <w:pStyle w:val="TableParagraph"/>
                          <w:spacing w:line="142" w:lineRule="exact"/>
                          <w:ind w:right="287"/>
                          <w:jc w:val="center"/>
                          <w:rPr>
                            <w:rFonts w:ascii="Times New Roman" w:hAnsi="Times New Roman" w:cs="Times New Roman" w:eastAsia="Times New Roman" w:hint="default"/>
                            <w:sz w:val="18"/>
                            <w:szCs w:val="18"/>
                          </w:rPr>
                        </w:pPr>
                        <w:r>
                          <w:rPr>
                            <w:rFonts w:ascii="Times New Roman"/>
                            <w:sz w:val="18"/>
                          </w:rPr>
                          <w:t>0</w:t>
                        </w:r>
                      </w:p>
                      <w:p>
                        <w:pPr>
                          <w:pStyle w:val="TableParagraph"/>
                          <w:spacing w:line="186" w:lineRule="exact"/>
                          <w:ind w:left="1297" w:right="0"/>
                          <w:jc w:val="left"/>
                          <w:rPr>
                            <w:rFonts w:ascii="宋体" w:hAnsi="宋体" w:cs="宋体" w:eastAsia="宋体" w:hint="default"/>
                            <w:sz w:val="18"/>
                            <w:szCs w:val="18"/>
                          </w:rPr>
                        </w:pPr>
                        <w:r>
                          <w:rPr>
                            <w:rFonts w:ascii="宋体" w:hAnsi="宋体" w:cs="宋体" w:eastAsia="宋体" w:hint="default"/>
                            <w:sz w:val="18"/>
                            <w:szCs w:val="18"/>
                          </w:rPr>
                          <w:t>易对方股份锁定</w:t>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5,938,220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7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40,272,614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22"/>
                          <w:ind w:left="1297" w:right="0"/>
                          <w:jc w:val="left"/>
                          <w:rPr>
                            <w:rFonts w:ascii="宋体" w:hAnsi="宋体" w:cs="宋体" w:eastAsia="宋体" w:hint="default"/>
                            <w:sz w:val="18"/>
                            <w:szCs w:val="18"/>
                          </w:rPr>
                        </w:pPr>
                        <w:r>
                          <w:rPr>
                            <w:rFonts w:ascii="宋体" w:hAnsi="宋体" w:cs="宋体" w:eastAsia="宋体" w:hint="default"/>
                            <w:sz w:val="18"/>
                            <w:szCs w:val="18"/>
                          </w:rPr>
                          <w:t>非公开发行股份</w:t>
                        </w:r>
                      </w:p>
                      <w:p>
                        <w:pPr>
                          <w:pStyle w:val="TableParagraph"/>
                          <w:spacing w:line="277" w:lineRule="exact"/>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40,272,614</w:t>
                        </w:r>
                        <w:r>
                          <w:rPr>
                            <w:rFonts w:ascii="Times New Roman" w:hAnsi="Times New Roman" w:cs="Times New Roman" w:eastAsia="Times New Roman" w:hint="default"/>
                            <w:spacing w:val="9"/>
                            <w:sz w:val="18"/>
                            <w:szCs w:val="18"/>
                          </w:rPr>
                          <w:t> </w:t>
                        </w:r>
                        <w:r>
                          <w:rPr>
                            <w:rFonts w:ascii="宋体" w:hAnsi="宋体" w:cs="宋体" w:eastAsia="宋体" w:hint="default"/>
                            <w:position w:val="-11"/>
                            <w:sz w:val="18"/>
                            <w:szCs w:val="18"/>
                          </w:rPr>
                          <w:t>锁定</w:t>
                        </w:r>
                        <w:r>
                          <w:rPr>
                            <w:rFonts w:ascii="宋体" w:hAnsi="宋体" w:cs="宋体" w:eastAsia="宋体" w:hint="default"/>
                            <w:sz w:val="18"/>
                            <w:szCs w:val="18"/>
                          </w:rPr>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40,272,614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57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28"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26,641,883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22"/>
                          <w:ind w:left="1297" w:right="0"/>
                          <w:jc w:val="left"/>
                          <w:rPr>
                            <w:rFonts w:ascii="宋体" w:hAnsi="宋体" w:cs="宋体" w:eastAsia="宋体" w:hint="default"/>
                            <w:sz w:val="18"/>
                            <w:szCs w:val="18"/>
                          </w:rPr>
                        </w:pPr>
                        <w:r>
                          <w:rPr>
                            <w:rFonts w:ascii="宋体" w:hAnsi="宋体" w:cs="宋体" w:eastAsia="宋体" w:hint="default"/>
                            <w:sz w:val="18"/>
                            <w:szCs w:val="18"/>
                          </w:rPr>
                          <w:t>非公开发行股份</w:t>
                        </w:r>
                      </w:p>
                      <w:p>
                        <w:pPr>
                          <w:pStyle w:val="TableParagraph"/>
                          <w:spacing w:line="277" w:lineRule="exact"/>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26,641,883</w:t>
                        </w:r>
                        <w:r>
                          <w:rPr>
                            <w:rFonts w:ascii="Times New Roman" w:hAnsi="Times New Roman" w:cs="Times New Roman" w:eastAsia="Times New Roman" w:hint="default"/>
                            <w:spacing w:val="9"/>
                            <w:sz w:val="18"/>
                            <w:szCs w:val="18"/>
                          </w:rPr>
                          <w:t> </w:t>
                        </w:r>
                        <w:r>
                          <w:rPr>
                            <w:rFonts w:ascii="宋体" w:hAnsi="宋体" w:cs="宋体" w:eastAsia="宋体" w:hint="default"/>
                            <w:position w:val="-11"/>
                            <w:sz w:val="18"/>
                            <w:szCs w:val="18"/>
                          </w:rPr>
                          <w:t>锁定</w:t>
                        </w:r>
                        <w:r>
                          <w:rPr>
                            <w:rFonts w:ascii="宋体" w:hAnsi="宋体" w:cs="宋体" w:eastAsia="宋体" w:hint="default"/>
                            <w:sz w:val="18"/>
                            <w:szCs w:val="18"/>
                          </w:rPr>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26,641,883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r>
                    <w:trPr>
                      <w:trHeight w:val="129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40"/>
                          <w:ind w:left="28" w:right="20"/>
                          <w:jc w:val="left"/>
                          <w:rPr>
                            <w:rFonts w:ascii="宋体" w:hAnsi="宋体" w:cs="宋体" w:eastAsia="宋体" w:hint="default"/>
                            <w:sz w:val="18"/>
                            <w:szCs w:val="18"/>
                          </w:rPr>
                        </w:pPr>
                        <w:r>
                          <w:rPr>
                            <w:rFonts w:ascii="宋体" w:hAnsi="宋体" w:cs="宋体" w:eastAsia="宋体" w:hint="default"/>
                            <w:sz w:val="18"/>
                            <w:szCs w:val="18"/>
                          </w:rPr>
                          <w:t>民生证券</w:t>
                        </w:r>
                        <w:r>
                          <w:rPr>
                            <w:rFonts w:ascii="Times New Roman" w:hAnsi="Times New Roman" w:cs="Times New Roman" w:eastAsia="Times New Roman" w:hint="default"/>
                            <w:sz w:val="18"/>
                            <w:szCs w:val="18"/>
                          </w:rPr>
                          <w:t>-</w:t>
                        </w:r>
                        <w:r>
                          <w:rPr>
                            <w:rFonts w:ascii="宋体" w:hAnsi="宋体" w:cs="宋体" w:eastAsia="宋体" w:hint="default"/>
                            <w:sz w:val="18"/>
                            <w:szCs w:val="18"/>
                          </w:rPr>
                          <w:t>浦 发银行</w:t>
                        </w:r>
                        <w:r>
                          <w:rPr>
                            <w:rFonts w:ascii="Times New Roman" w:hAnsi="Times New Roman" w:cs="Times New Roman" w:eastAsia="Times New Roman" w:hint="default"/>
                            <w:sz w:val="18"/>
                            <w:szCs w:val="18"/>
                          </w:rPr>
                          <w:t>-</w:t>
                        </w:r>
                        <w:r>
                          <w:rPr>
                            <w:rFonts w:ascii="宋体" w:hAnsi="宋体" w:cs="宋体" w:eastAsia="宋体" w:hint="default"/>
                            <w:sz w:val="18"/>
                            <w:szCs w:val="18"/>
                          </w:rPr>
                          <w:t>民生 方欣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资产管理计 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4,434,944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199" w:lineRule="exact" w:before="147"/>
                          <w:ind w:left="1297" w:right="0"/>
                          <w:jc w:val="left"/>
                          <w:rPr>
                            <w:rFonts w:ascii="宋体" w:hAnsi="宋体" w:cs="宋体" w:eastAsia="宋体" w:hint="default"/>
                            <w:sz w:val="18"/>
                            <w:szCs w:val="18"/>
                          </w:rPr>
                        </w:pPr>
                        <w:r>
                          <w:rPr>
                            <w:rFonts w:ascii="宋体" w:hAnsi="宋体" w:cs="宋体" w:eastAsia="宋体" w:hint="default"/>
                            <w:sz w:val="18"/>
                            <w:szCs w:val="18"/>
                          </w:rPr>
                          <w:t>非公开发行股份</w:t>
                        </w:r>
                      </w:p>
                      <w:p>
                        <w:pPr>
                          <w:pStyle w:val="TableParagraph"/>
                          <w:spacing w:line="277" w:lineRule="exact"/>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4,434,944</w:t>
                        </w:r>
                        <w:r>
                          <w:rPr>
                            <w:rFonts w:ascii="Times New Roman" w:hAnsi="Times New Roman" w:cs="Times New Roman" w:eastAsia="Times New Roman" w:hint="default"/>
                            <w:spacing w:val="9"/>
                            <w:sz w:val="18"/>
                            <w:szCs w:val="18"/>
                          </w:rPr>
                          <w:t> </w:t>
                        </w:r>
                        <w:r>
                          <w:rPr>
                            <w:rFonts w:ascii="宋体" w:hAnsi="宋体" w:cs="宋体" w:eastAsia="宋体" w:hint="default"/>
                            <w:position w:val="-11"/>
                            <w:sz w:val="18"/>
                            <w:szCs w:val="18"/>
                          </w:rPr>
                          <w:t>锁定</w:t>
                        </w:r>
                        <w:r>
                          <w:rPr>
                            <w:rFonts w:ascii="宋体" w:hAnsi="宋体" w:cs="宋体" w:eastAsia="宋体" w:hint="default"/>
                            <w:sz w:val="18"/>
                            <w:szCs w:val="18"/>
                          </w:rPr>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4,434,944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7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tabs>
                            <w:tab w:pos="478" w:val="left" w:leader="none"/>
                          </w:tabs>
                          <w:spacing w:line="240" w:lineRule="auto" w:before="142"/>
                          <w:ind w:left="28" w:right="0"/>
                          <w:jc w:val="left"/>
                          <w:rPr>
                            <w:rFonts w:ascii="宋体" w:hAnsi="宋体" w:cs="宋体" w:eastAsia="宋体" w:hint="default"/>
                            <w:sz w:val="18"/>
                            <w:szCs w:val="18"/>
                          </w:rPr>
                        </w:pPr>
                        <w:r>
                          <w:rPr>
                            <w:rFonts w:ascii="宋体" w:hAnsi="宋体" w:cs="宋体" w:eastAsia="宋体" w:hint="default"/>
                            <w:sz w:val="18"/>
                            <w:szCs w:val="18"/>
                          </w:rPr>
                          <w:t>谢</w:t>
                          <w:tab/>
                          <w:t>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2,727,385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22"/>
                          <w:ind w:left="1297" w:right="0"/>
                          <w:jc w:val="left"/>
                          <w:rPr>
                            <w:rFonts w:ascii="宋体" w:hAnsi="宋体" w:cs="宋体" w:eastAsia="宋体" w:hint="default"/>
                            <w:sz w:val="18"/>
                            <w:szCs w:val="18"/>
                          </w:rPr>
                        </w:pPr>
                        <w:r>
                          <w:rPr>
                            <w:rFonts w:ascii="宋体" w:hAnsi="宋体" w:cs="宋体" w:eastAsia="宋体" w:hint="default"/>
                            <w:sz w:val="18"/>
                            <w:szCs w:val="18"/>
                          </w:rPr>
                          <w:t>非公开发行股份</w:t>
                        </w:r>
                      </w:p>
                      <w:p>
                        <w:pPr>
                          <w:pStyle w:val="TableParagraph"/>
                          <w:spacing w:line="277" w:lineRule="exact"/>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2,727,385</w:t>
                        </w:r>
                        <w:r>
                          <w:rPr>
                            <w:rFonts w:ascii="Times New Roman" w:hAnsi="Times New Roman" w:cs="Times New Roman" w:eastAsia="Times New Roman" w:hint="default"/>
                            <w:spacing w:val="9"/>
                            <w:sz w:val="18"/>
                            <w:szCs w:val="18"/>
                          </w:rPr>
                          <w:t> </w:t>
                        </w:r>
                        <w:r>
                          <w:rPr>
                            <w:rFonts w:ascii="宋体" w:hAnsi="宋体" w:cs="宋体" w:eastAsia="宋体" w:hint="default"/>
                            <w:position w:val="-11"/>
                            <w:sz w:val="18"/>
                            <w:szCs w:val="18"/>
                          </w:rPr>
                          <w:t>锁定</w:t>
                        </w:r>
                        <w:r>
                          <w:rPr>
                            <w:rFonts w:ascii="宋体" w:hAnsi="宋体" w:cs="宋体" w:eastAsia="宋体" w:hint="default"/>
                            <w:sz w:val="18"/>
                            <w:szCs w:val="18"/>
                          </w:rPr>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2,727,385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570" w:hRule="exact"/>
                    </w:trPr>
                    <w:tc>
                      <w:tcPr>
                        <w:tcW w:w="1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8" w:right="0"/>
                          <w:jc w:val="left"/>
                          <w:rPr>
                            <w:rFonts w:ascii="宋体" w:hAnsi="宋体" w:cs="宋体" w:eastAsia="宋体" w:hint="default"/>
                            <w:sz w:val="18"/>
                            <w:szCs w:val="18"/>
                          </w:rPr>
                        </w:pPr>
                        <w:r>
                          <w:rPr>
                            <w:rFonts w:ascii="宋体" w:hAnsi="宋体" w:cs="宋体" w:eastAsia="宋体" w:hint="default"/>
                            <w:sz w:val="18"/>
                            <w:szCs w:val="18"/>
                          </w:rPr>
                          <w:t>徐锦宏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272,614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before="22"/>
                          <w:ind w:left="1297" w:right="0"/>
                          <w:jc w:val="left"/>
                          <w:rPr>
                            <w:rFonts w:ascii="宋体" w:hAnsi="宋体" w:cs="宋体" w:eastAsia="宋体" w:hint="default"/>
                            <w:sz w:val="18"/>
                            <w:szCs w:val="18"/>
                          </w:rPr>
                        </w:pPr>
                        <w:r>
                          <w:rPr>
                            <w:rFonts w:ascii="宋体" w:hAnsi="宋体" w:cs="宋体" w:eastAsia="宋体" w:hint="default"/>
                            <w:sz w:val="18"/>
                            <w:szCs w:val="18"/>
                          </w:rPr>
                          <w:t>非公开发行股份</w:t>
                        </w:r>
                      </w:p>
                      <w:p>
                        <w:pPr>
                          <w:pStyle w:val="TableParagraph"/>
                          <w:spacing w:line="277" w:lineRule="exact"/>
                          <w:ind w:left="6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272,614</w:t>
                        </w:r>
                        <w:r>
                          <w:rPr>
                            <w:rFonts w:ascii="Times New Roman" w:hAnsi="Times New Roman" w:cs="Times New Roman" w:eastAsia="Times New Roman" w:hint="default"/>
                            <w:spacing w:val="9"/>
                            <w:sz w:val="18"/>
                            <w:szCs w:val="18"/>
                          </w:rPr>
                          <w:t> </w:t>
                        </w:r>
                        <w:r>
                          <w:rPr>
                            <w:rFonts w:ascii="宋体" w:hAnsi="宋体" w:cs="宋体" w:eastAsia="宋体" w:hint="default"/>
                            <w:position w:val="-11"/>
                            <w:sz w:val="18"/>
                            <w:szCs w:val="18"/>
                          </w:rPr>
                          <w:t>锁定</w:t>
                        </w:r>
                        <w:r>
                          <w:rPr>
                            <w:rFonts w:ascii="宋体" w:hAnsi="宋体" w:cs="宋体" w:eastAsia="宋体" w:hint="default"/>
                            <w:sz w:val="18"/>
                            <w:szCs w:val="18"/>
                          </w:rPr>
                        </w:r>
                      </w:p>
                    </w:tc>
                    <w:tc>
                      <w:tcPr>
                        <w:tcW w:w="31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272,614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293" w:hRule="exact"/>
                    </w:trPr>
                    <w:tc>
                      <w:tcPr>
                        <w:tcW w:w="1136"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江苏权健东</w:t>
                        </w:r>
                      </w:p>
                    </w:tc>
                    <w:tc>
                      <w:tcPr>
                        <w:tcW w:w="99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
                    </w:tc>
                    <w:tc>
                      <w:tcPr>
                        <w:tcW w:w="3147" w:type="dxa"/>
                        <w:tcBorders>
                          <w:top w:val="single" w:sz="4" w:space="0" w:color="000000"/>
                          <w:left w:val="single" w:sz="4" w:space="0" w:color="000000"/>
                          <w:bottom w:val="nil" w:sz="6" w:space="0" w:color="auto"/>
                          <w:right w:val="nil" w:sz="6" w:space="0" w:color="auto"/>
                        </w:tcBorders>
                      </w:tcPr>
                      <w:p>
                        <w:pPr/>
                      </w:p>
                    </w:tc>
                  </w:tr>
                  <w:tr>
                    <w:trPr>
                      <w:trHeight w:val="518" w:hRule="exact"/>
                    </w:trPr>
                    <w:tc>
                      <w:tcPr>
                        <w:tcW w:w="1136" w:type="dxa"/>
                        <w:tcBorders>
                          <w:top w:val="nil" w:sz="6" w:space="0" w:color="auto"/>
                          <w:left w:val="nil" w:sz="6" w:space="0" w:color="auto"/>
                          <w:bottom w:val="single" w:sz="4" w:space="0" w:color="000000"/>
                          <w:right w:val="single" w:sz="4" w:space="0" w:color="000000"/>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润投资管理</w:t>
                        </w:r>
                      </w:p>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z w:val="18"/>
                          </w:rPr>
                          <w:t>96,900,000</w:t>
                        </w:r>
                      </w:p>
                    </w:tc>
                    <w:tc>
                      <w:tcPr>
                        <w:tcW w:w="85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24" w:lineRule="exact"/>
                          <w:ind w:right="305"/>
                          <w:jc w:val="right"/>
                          <w:rPr>
                            <w:rFonts w:ascii="宋体" w:hAnsi="宋体" w:cs="宋体" w:eastAsia="宋体" w:hint="default"/>
                            <w:sz w:val="18"/>
                            <w:szCs w:val="18"/>
                          </w:rPr>
                        </w:pPr>
                        <w:r>
                          <w:rPr>
                            <w:rFonts w:ascii="Times New Roman" w:hAnsi="Times New Roman" w:cs="Times New Roman" w:eastAsia="Times New Roman" w:hint="default"/>
                            <w:sz w:val="18"/>
                            <w:szCs w:val="18"/>
                          </w:rPr>
                          <w:t>96,900,000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控股股东承诺</w:t>
                        </w:r>
                      </w:p>
                    </w:tc>
                    <w:tc>
                      <w:tcPr>
                        <w:tcW w:w="3147" w:type="dxa"/>
                        <w:tcBorders>
                          <w:top w:val="nil" w:sz="6" w:space="0" w:color="auto"/>
                          <w:left w:val="single" w:sz="4" w:space="0" w:color="000000"/>
                          <w:bottom w:val="single" w:sz="4" w:space="0" w:color="000000"/>
                          <w:right w:val="nil" w:sz="6" w:space="0" w:color="auto"/>
                        </w:tcBorders>
                      </w:tcPr>
                      <w:p>
                        <w:pPr>
                          <w:pStyle w:val="TableParagraph"/>
                          <w:spacing w:line="22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96,900,000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p>
              </w:txbxContent>
            </v:textbox>
            <w10:wrap type="none"/>
          </v:shape>
        </w:pic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日解锁</w:t>
      </w:r>
      <w:r>
        <w:rPr>
          <w:spacing w:val="-49"/>
        </w:rPr>
        <w:t> </w:t>
      </w:r>
      <w:r>
        <w:rPr>
          <w:rFonts w:ascii="Times New Roman" w:hAnsi="Times New Roman" w:cs="Times New Roman" w:eastAsia="Times New Roman" w:hint="default"/>
        </w:rPr>
        <w:t>22,145,296</w:t>
      </w:r>
      <w:r>
        <w:rPr>
          <w:rFonts w:ascii="Times New Roman" w:hAnsi="Times New Roman" w:cs="Times New Roman" w:eastAsia="Times New Roman" w:hint="default"/>
          <w:spacing w:val="-4"/>
        </w:rPr>
        <w:t> </w:t>
      </w:r>
      <w:r>
        <w:rPr/>
        <w:t>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44"/>
        <w:ind w:left="6807"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日解锁</w:t>
      </w:r>
      <w:r>
        <w:rPr>
          <w:spacing w:val="-46"/>
        </w:rPr>
        <w:t> </w:t>
      </w:r>
      <w:r>
        <w:rPr>
          <w:rFonts w:ascii="Times New Roman" w:hAnsi="Times New Roman" w:cs="Times New Roman" w:eastAsia="Times New Roman" w:hint="default"/>
        </w:rPr>
        <w:t>2,460,588</w:t>
      </w:r>
      <w:r>
        <w:rPr>
          <w:rFonts w:ascii="Times New Roman" w:hAnsi="Times New Roman" w:cs="Times New Roman" w:eastAsia="Times New Roman" w:hint="default"/>
          <w:spacing w:val="-1"/>
        </w:rPr>
        <w:t> </w:t>
      </w:r>
      <w:r>
        <w:rPr/>
        <w:t>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spacing w:line="240" w:lineRule="auto"/>
        <w:ind w:left="6807"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日解锁</w:t>
      </w:r>
      <w:r>
        <w:rPr>
          <w:spacing w:val="-46"/>
        </w:rPr>
        <w:t> </w:t>
      </w:r>
      <w:r>
        <w:rPr>
          <w:rFonts w:ascii="Times New Roman" w:hAnsi="Times New Roman" w:cs="Times New Roman" w:eastAsia="Times New Roman" w:hint="default"/>
        </w:rPr>
        <w:t>1,230,294</w:t>
      </w:r>
      <w:r>
        <w:rPr>
          <w:rFonts w:ascii="Times New Roman" w:hAnsi="Times New Roman" w:cs="Times New Roman" w:eastAsia="Times New Roman" w:hint="default"/>
          <w:spacing w:val="-1"/>
        </w:rPr>
        <w:t> </w:t>
      </w:r>
      <w:r>
        <w:rPr/>
        <w:t>股。</w:t>
      </w:r>
    </w:p>
    <w:p>
      <w:pPr>
        <w:spacing w:after="0" w:line="240" w:lineRule="auto"/>
        <w:jc w:val="left"/>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10" w:type="dxa"/>
        <w:tblLayout w:type="fixed"/>
        <w:tblCellMar>
          <w:top w:w="0" w:type="dxa"/>
          <w:left w:w="0" w:type="dxa"/>
          <w:bottom w:w="0" w:type="dxa"/>
          <w:right w:w="0" w:type="dxa"/>
        </w:tblCellMar>
        <w:tblLook w:val="01E0"/>
      </w:tblPr>
      <w:tblGrid>
        <w:gridCol w:w="1136"/>
        <w:gridCol w:w="992"/>
        <w:gridCol w:w="850"/>
        <w:gridCol w:w="994"/>
        <w:gridCol w:w="1274"/>
        <w:gridCol w:w="1418"/>
        <w:gridCol w:w="3051"/>
      </w:tblGrid>
      <w:tr>
        <w:trPr>
          <w:trHeight w:val="33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2"/>
              <w:jc w:val="right"/>
              <w:rPr>
                <w:rFonts w:ascii="Times New Roman" w:hAnsi="Times New Roman" w:cs="Times New Roman" w:eastAsia="Times New Roman" w:hint="default"/>
                <w:sz w:val="18"/>
                <w:szCs w:val="18"/>
              </w:rPr>
            </w:pPr>
            <w:r>
              <w:rPr>
                <w:rFonts w:ascii="Times New Roman"/>
                <w:sz w:val="18"/>
              </w:rPr>
              <w:t>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4,500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高管锁定股份</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319,641,853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40,505,07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276,142,181</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二、证券发行与上市情况" w:id="117"/>
      <w:bookmarkEnd w:id="117"/>
      <w:r>
        <w:rPr>
          <w:b w:val="0"/>
          <w:bCs w:val="0"/>
        </w:rPr>
      </w:r>
      <w:r>
        <w:rPr/>
        <w:t>二、证券发行与上市情况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报告期内证券发行（不含优先股）情况" w:id="118"/>
      <w:bookmarkEnd w:id="11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2、公司股份总数及股东结构的变动、公司资产和负债结构的变动情况说明" w:id="119"/>
      <w:bookmarkEnd w:id="11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3、现存的内部职工股情况" w:id="120"/>
      <w:bookmarkEnd w:id="12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三、股东和实际控制人情况" w:id="121"/>
      <w:bookmarkEnd w:id="121"/>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公司股东数量及持股情况" w:id="122"/>
      <w:bookmarkEnd w:id="12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355.600006pt;margin-top:53.577339pt;width:48.2pt;height:18.150pt;mso-position-horizontal-relative:page;mso-position-vertical-relative:paragraph;z-index:-986464" type="#_x0000_t202" filled="false" stroked="false">
            <v:textbox inset="0,0,0,0">
              <w:txbxContent>
                <w:p>
                  <w:pPr>
                    <w:pStyle w:val="BodyText"/>
                    <w:spacing w:line="180" w:lineRule="exact"/>
                    <w:ind w:left="0" w:right="0"/>
                    <w:jc w:val="left"/>
                  </w:pPr>
                  <w:r>
                    <w:rPr/>
                    <w:t>）</w:t>
                  </w:r>
                </w:p>
              </w:txbxContent>
            </v:textbox>
            <w10:wrap type="none"/>
          </v:shape>
        </w:pict>
      </w:r>
      <w:r>
        <w:rPr/>
        <w:pict>
          <v:group style="position:absolute;margin-left:361.779999pt;margin-top:53.691715pt;width:42pt;height:18pt;mso-position-horizontal-relative:page;mso-position-vertical-relative:paragraph;z-index:-986440" coordorigin="7236,1074" coordsize="840,360">
            <v:shape style="position:absolute;left:7236;top:1074;width:840;height:360" coordorigin="7236,1074" coordsize="840,360" path="m7236,1434l8076,1434,8076,1074,7236,1074,7236,14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801"/>
        <w:gridCol w:w="131"/>
        <w:gridCol w:w="1432"/>
        <w:gridCol w:w="693"/>
        <w:gridCol w:w="154"/>
        <w:gridCol w:w="838"/>
        <w:gridCol w:w="845"/>
        <w:gridCol w:w="402"/>
        <w:gridCol w:w="465"/>
        <w:gridCol w:w="131"/>
        <w:gridCol w:w="991"/>
        <w:gridCol w:w="562"/>
        <w:gridCol w:w="926"/>
      </w:tblGrid>
      <w:tr>
        <w:trPr>
          <w:trHeight w:val="125"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801"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13,160</w:t>
            </w:r>
          </w:p>
        </w:tc>
        <w:tc>
          <w:tcPr>
            <w:tcW w:w="156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47" w:type="dxa"/>
            <w:gridSpan w:val="2"/>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13,170</w:t>
            </w:r>
          </w:p>
        </w:tc>
        <w:tc>
          <w:tcPr>
            <w:tcW w:w="168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2" w:type="dxa"/>
            <w:tcBorders>
              <w:top w:val="single" w:sz="4" w:space="0" w:color="000000"/>
              <w:left w:val="single" w:sz="4" w:space="0" w:color="000000"/>
              <w:bottom w:val="nil" w:sz="6" w:space="0" w:color="auto"/>
              <w:right w:val="nil" w:sz="6" w:space="0" w:color="auto"/>
            </w:tcBorders>
          </w:tcPr>
          <w:p>
            <w:pPr/>
          </w:p>
        </w:tc>
        <w:tc>
          <w:tcPr>
            <w:tcW w:w="465" w:type="dxa"/>
            <w:tcBorders>
              <w:top w:val="single" w:sz="4" w:space="0" w:color="000000"/>
              <w:left w:val="nil" w:sz="6" w:space="0" w:color="auto"/>
              <w:bottom w:val="nil" w:sz="6" w:space="0" w:color="auto"/>
              <w:right w:val="single" w:sz="13" w:space="0" w:color="D2D2D2"/>
            </w:tcBorders>
          </w:tcPr>
          <w:p>
            <w:pPr/>
          </w:p>
        </w:tc>
        <w:tc>
          <w:tcPr>
            <w:tcW w:w="16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11" w:right="40"/>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2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801" w:type="dxa"/>
            <w:vMerge/>
            <w:tcBorders>
              <w:left w:val="single" w:sz="10" w:space="0" w:color="D2D2D2"/>
              <w:right w:val="single" w:sz="13" w:space="0" w:color="D2D2D2"/>
            </w:tcBorders>
          </w:tcPr>
          <w:p>
            <w:pPr/>
          </w:p>
        </w:tc>
        <w:tc>
          <w:tcPr>
            <w:tcW w:w="156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11" w:right="100"/>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847" w:type="dxa"/>
            <w:gridSpan w:val="2"/>
            <w:vMerge/>
            <w:tcBorders>
              <w:left w:val="single" w:sz="13" w:space="0" w:color="D2D2D2"/>
              <w:right w:val="single" w:sz="13" w:space="0" w:color="D2D2D2"/>
            </w:tcBorders>
          </w:tcPr>
          <w:p>
            <w:pPr/>
          </w:p>
        </w:tc>
        <w:tc>
          <w:tcPr>
            <w:tcW w:w="16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1"/>
              <w:ind w:left="11" w:right="40"/>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
              <w:ind w:left="11"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402" w:type="dxa"/>
            <w:tcBorders>
              <w:top w:val="nil" w:sz="6" w:space="0" w:color="auto"/>
              <w:left w:val="single" w:sz="13" w:space="0" w:color="D2D2D2"/>
              <w:bottom w:val="nil" w:sz="6" w:space="0" w:color="auto"/>
              <w:right w:val="nil" w:sz="6" w:space="0" w:color="auto"/>
            </w:tcBorders>
          </w:tcPr>
          <w:p>
            <w:pPr/>
          </w:p>
        </w:tc>
        <w:tc>
          <w:tcPr>
            <w:tcW w:w="465" w:type="dxa"/>
            <w:tcBorders>
              <w:top w:val="nil" w:sz="6" w:space="0" w:color="auto"/>
              <w:left w:val="nil" w:sz="6" w:space="0" w:color="auto"/>
              <w:bottom w:val="nil" w:sz="6" w:space="0" w:color="auto"/>
              <w:right w:val="single" w:sz="13" w:space="0" w:color="D2D2D2"/>
            </w:tcBorders>
          </w:tcPr>
          <w:p>
            <w:pPr/>
          </w:p>
        </w:tc>
        <w:tc>
          <w:tcPr>
            <w:tcW w:w="1684" w:type="dxa"/>
            <w:gridSpan w:val="3"/>
            <w:vMerge/>
            <w:tcBorders>
              <w:left w:val="single" w:sz="4" w:space="0" w:color="000000"/>
              <w:right w:val="single" w:sz="4" w:space="0" w:color="000000"/>
            </w:tcBorders>
            <w:shd w:val="clear" w:color="auto" w:fill="D2D2D2"/>
          </w:tcPr>
          <w:p>
            <w:pPr/>
          </w:p>
        </w:tc>
        <w:tc>
          <w:tcPr>
            <w:tcW w:w="926" w:type="dxa"/>
            <w:vMerge/>
            <w:tcBorders>
              <w:left w:val="single" w:sz="13" w:space="0" w:color="D2D2D2"/>
              <w:right w:val="single" w:sz="4" w:space="0" w:color="000000"/>
            </w:tcBorders>
          </w:tcPr>
          <w:p>
            <w:pPr/>
          </w:p>
        </w:tc>
      </w:tr>
      <w:tr>
        <w:trPr>
          <w:trHeight w:val="560"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801" w:type="dxa"/>
            <w:vMerge/>
            <w:tcBorders>
              <w:left w:val="single" w:sz="10" w:space="0" w:color="D2D2D2"/>
              <w:right w:val="single" w:sz="13" w:space="0" w:color="D2D2D2"/>
            </w:tcBorders>
          </w:tcPr>
          <w:p>
            <w:pPr/>
          </w:p>
        </w:tc>
        <w:tc>
          <w:tcPr>
            <w:tcW w:w="1564" w:type="dxa"/>
            <w:gridSpan w:val="2"/>
            <w:vMerge/>
            <w:tcBorders>
              <w:left w:val="single" w:sz="4" w:space="0" w:color="000000"/>
              <w:right w:val="single" w:sz="4" w:space="0" w:color="000000"/>
            </w:tcBorders>
            <w:shd w:val="clear" w:color="auto" w:fill="D2D2D2"/>
          </w:tcPr>
          <w:p>
            <w:pPr/>
          </w:p>
        </w:tc>
        <w:tc>
          <w:tcPr>
            <w:tcW w:w="847" w:type="dxa"/>
            <w:gridSpan w:val="2"/>
            <w:vMerge/>
            <w:tcBorders>
              <w:left w:val="single" w:sz="13" w:space="0" w:color="D2D2D2"/>
              <w:right w:val="single" w:sz="13" w:space="0" w:color="D2D2D2"/>
            </w:tcBorders>
          </w:tcPr>
          <w:p>
            <w:pPr/>
          </w:p>
        </w:tc>
        <w:tc>
          <w:tcPr>
            <w:tcW w:w="1683" w:type="dxa"/>
            <w:gridSpan w:val="2"/>
            <w:vMerge/>
            <w:tcBorders>
              <w:left w:val="single" w:sz="4" w:space="0" w:color="000000"/>
              <w:right w:val="single" w:sz="4" w:space="0" w:color="000000"/>
            </w:tcBorders>
            <w:shd w:val="clear" w:color="auto" w:fill="D2D2D2"/>
          </w:tcPr>
          <w:p>
            <w:pPr/>
          </w:p>
        </w:tc>
        <w:tc>
          <w:tcPr>
            <w:tcW w:w="402" w:type="dxa"/>
            <w:vMerge w:val="restart"/>
            <w:tcBorders>
              <w:top w:val="nil" w:sz="6" w:space="0" w:color="auto"/>
              <w:left w:val="single" w:sz="13" w:space="0" w:color="D2D2D2"/>
              <w:right w:val="nil" w:sz="6" w:space="0" w:color="auto"/>
            </w:tcBorders>
          </w:tcPr>
          <w:p>
            <w:pPr/>
          </w:p>
        </w:tc>
        <w:tc>
          <w:tcPr>
            <w:tcW w:w="465" w:type="dxa"/>
            <w:tcBorders>
              <w:top w:val="nil" w:sz="6" w:space="0" w:color="auto"/>
              <w:left w:val="nil" w:sz="6" w:space="0" w:color="auto"/>
              <w:bottom w:val="nil" w:sz="6" w:space="0" w:color="auto"/>
              <w:right w:val="single" w:sz="13" w:space="0" w:color="D2D2D2"/>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684" w:type="dxa"/>
            <w:gridSpan w:val="3"/>
            <w:vMerge/>
            <w:tcBorders>
              <w:left w:val="single" w:sz="4" w:space="0" w:color="000000"/>
              <w:right w:val="single" w:sz="4" w:space="0" w:color="000000"/>
            </w:tcBorders>
            <w:shd w:val="clear" w:color="auto" w:fill="D2D2D2"/>
          </w:tcPr>
          <w:p>
            <w:pPr/>
          </w:p>
        </w:tc>
        <w:tc>
          <w:tcPr>
            <w:tcW w:w="926" w:type="dxa"/>
            <w:vMerge/>
            <w:tcBorders>
              <w:left w:val="single" w:sz="13" w:space="0" w:color="D2D2D2"/>
              <w:right w:val="single" w:sz="4" w:space="0" w:color="000000"/>
            </w:tcBorders>
          </w:tcPr>
          <w:p>
            <w:pPr/>
          </w:p>
        </w:tc>
      </w:tr>
      <w:tr>
        <w:trPr>
          <w:trHeight w:val="250"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801" w:type="dxa"/>
            <w:vMerge/>
            <w:tcBorders>
              <w:left w:val="single" w:sz="10" w:space="0" w:color="D2D2D2"/>
              <w:bottom w:val="single" w:sz="4" w:space="0" w:color="000000"/>
              <w:right w:val="single" w:sz="13" w:space="0" w:color="D2D2D2"/>
            </w:tcBorders>
          </w:tcPr>
          <w:p>
            <w:pPr/>
          </w:p>
        </w:tc>
        <w:tc>
          <w:tcPr>
            <w:tcW w:w="1564" w:type="dxa"/>
            <w:gridSpan w:val="2"/>
            <w:vMerge/>
            <w:tcBorders>
              <w:left w:val="single" w:sz="4" w:space="0" w:color="000000"/>
              <w:bottom w:val="single" w:sz="4" w:space="0" w:color="000000"/>
              <w:right w:val="single" w:sz="4" w:space="0" w:color="000000"/>
            </w:tcBorders>
            <w:shd w:val="clear" w:color="auto" w:fill="D2D2D2"/>
          </w:tcPr>
          <w:p>
            <w:pPr/>
          </w:p>
        </w:tc>
        <w:tc>
          <w:tcPr>
            <w:tcW w:w="847" w:type="dxa"/>
            <w:gridSpan w:val="2"/>
            <w:vMerge/>
            <w:tcBorders>
              <w:left w:val="single" w:sz="13" w:space="0" w:color="D2D2D2"/>
              <w:bottom w:val="single" w:sz="4" w:space="0" w:color="000000"/>
              <w:right w:val="single" w:sz="13" w:space="0" w:color="D2D2D2"/>
            </w:tcBorders>
          </w:tcPr>
          <w:p>
            <w:pPr/>
          </w:p>
        </w:tc>
        <w:tc>
          <w:tcPr>
            <w:tcW w:w="1683" w:type="dxa"/>
            <w:gridSpan w:val="2"/>
            <w:vMerge/>
            <w:tcBorders>
              <w:left w:val="single" w:sz="4" w:space="0" w:color="000000"/>
              <w:bottom w:val="single" w:sz="4" w:space="0" w:color="000000"/>
              <w:right w:val="single" w:sz="4" w:space="0" w:color="000000"/>
            </w:tcBorders>
            <w:shd w:val="clear" w:color="auto" w:fill="D2D2D2"/>
          </w:tcPr>
          <w:p>
            <w:pPr/>
          </w:p>
        </w:tc>
        <w:tc>
          <w:tcPr>
            <w:tcW w:w="402" w:type="dxa"/>
            <w:vMerge/>
            <w:tcBorders>
              <w:left w:val="single" w:sz="13" w:space="0" w:color="D2D2D2"/>
              <w:bottom w:val="single" w:sz="4" w:space="0" w:color="000000"/>
              <w:right w:val="nil" w:sz="6" w:space="0" w:color="auto"/>
            </w:tcBorders>
          </w:tcPr>
          <w:p>
            <w:pPr/>
          </w:p>
        </w:tc>
        <w:tc>
          <w:tcPr>
            <w:tcW w:w="465" w:type="dxa"/>
            <w:tcBorders>
              <w:top w:val="nil" w:sz="6" w:space="0" w:color="auto"/>
              <w:left w:val="nil" w:sz="6" w:space="0" w:color="auto"/>
              <w:bottom w:val="single" w:sz="4" w:space="0" w:color="000000"/>
              <w:right w:val="single" w:sz="13" w:space="0" w:color="D2D2D2"/>
            </w:tcBorders>
          </w:tcPr>
          <w:p>
            <w:pPr/>
          </w:p>
        </w:tc>
        <w:tc>
          <w:tcPr>
            <w:tcW w:w="1684" w:type="dxa"/>
            <w:gridSpan w:val="3"/>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13" w:space="0" w:color="D2D2D2"/>
              <w:bottom w:val="single" w:sz="4" w:space="0" w:color="000000"/>
              <w:right w:val="single" w:sz="4" w:space="0" w:color="000000"/>
            </w:tcBorders>
          </w:tcPr>
          <w:p>
            <w:pPr/>
          </w:p>
        </w:tc>
      </w:tr>
      <w:tr>
        <w:trPr>
          <w:trHeight w:val="430"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84" w:hRule="exact"/>
        </w:trPr>
        <w:tc>
          <w:tcPr>
            <w:tcW w:w="2128" w:type="dxa"/>
            <w:gridSpan w:val="3"/>
            <w:vMerge w:val="restart"/>
            <w:tcBorders>
              <w:top w:val="single" w:sz="4" w:space="0" w:color="000000"/>
              <w:left w:val="single" w:sz="4" w:space="0" w:color="000000"/>
              <w:right w:val="single" w:sz="4" w:space="0" w:color="000000"/>
            </w:tcBorders>
            <w:shd w:val="clear" w:color="auto" w:fill="D2D2D2"/>
          </w:tcPr>
          <w:p>
            <w:pPr/>
          </w:p>
        </w:tc>
        <w:tc>
          <w:tcPr>
            <w:tcW w:w="1432" w:type="dxa"/>
            <w:vMerge w:val="restart"/>
            <w:tcBorders>
              <w:top w:val="single" w:sz="4" w:space="0" w:color="000000"/>
              <w:left w:val="single" w:sz="4" w:space="0" w:color="000000"/>
              <w:right w:val="single" w:sz="4" w:space="0" w:color="000000"/>
            </w:tcBorders>
            <w:shd w:val="clear" w:color="auto" w:fill="D2D2D2"/>
          </w:tcPr>
          <w:p>
            <w:pPr/>
          </w:p>
        </w:tc>
        <w:tc>
          <w:tcPr>
            <w:tcW w:w="693" w:type="dxa"/>
            <w:tcBorders>
              <w:top w:val="single" w:sz="4" w:space="0" w:color="000000"/>
              <w:left w:val="single" w:sz="4" w:space="0" w:color="000000"/>
              <w:bottom w:val="single" w:sz="8" w:space="0" w:color="FFFFFF"/>
              <w:right w:val="single" w:sz="4" w:space="0" w:color="000000"/>
            </w:tcBorders>
            <w:shd w:val="clear" w:color="auto" w:fill="D2D2D2"/>
          </w:tcPr>
          <w:p>
            <w:pPr/>
          </w:p>
        </w:tc>
        <w:tc>
          <w:tcPr>
            <w:tcW w:w="992" w:type="dxa"/>
            <w:gridSpan w:val="2"/>
            <w:tcBorders>
              <w:top w:val="single" w:sz="4" w:space="0" w:color="000000"/>
              <w:left w:val="single" w:sz="4" w:space="0" w:color="000000"/>
              <w:bottom w:val="single" w:sz="8" w:space="0" w:color="FFFFFF"/>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4"/>
              <w:ind w:left="60" w:right="5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4"/>
              <w:ind w:left="46" w:right="4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4"/>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8"/>
              <w:ind w:left="10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2128" w:type="dxa"/>
            <w:gridSpan w:val="3"/>
            <w:vMerge/>
            <w:tcBorders>
              <w:left w:val="single" w:sz="4" w:space="0" w:color="000000"/>
              <w:bottom w:val="nil" w:sz="6" w:space="0" w:color="auto"/>
              <w:right w:val="single" w:sz="4" w:space="0" w:color="000000"/>
            </w:tcBorders>
            <w:shd w:val="clear" w:color="auto" w:fill="D2D2D2"/>
          </w:tcPr>
          <w:p>
            <w:pPr/>
          </w:p>
        </w:tc>
        <w:tc>
          <w:tcPr>
            <w:tcW w:w="1432" w:type="dxa"/>
            <w:vMerge/>
            <w:tcBorders>
              <w:left w:val="single" w:sz="4" w:space="0" w:color="000000"/>
              <w:bottom w:val="nil" w:sz="6" w:space="0" w:color="auto"/>
              <w:right w:val="single" w:sz="4" w:space="0" w:color="000000"/>
            </w:tcBorders>
            <w:shd w:val="clear" w:color="auto" w:fill="D2D2D2"/>
          </w:tcPr>
          <w:p>
            <w:pPr/>
          </w:p>
        </w:tc>
        <w:tc>
          <w:tcPr>
            <w:tcW w:w="693" w:type="dxa"/>
            <w:vMerge w:val="restart"/>
            <w:tcBorders>
              <w:top w:val="single" w:sz="8" w:space="0" w:color="FFFFFF"/>
              <w:left w:val="single" w:sz="4" w:space="0" w:color="000000"/>
              <w:right w:val="single" w:sz="4" w:space="0" w:color="000000"/>
            </w:tcBorders>
            <w:shd w:val="clear" w:color="auto" w:fill="D2D2D2"/>
          </w:tcPr>
          <w:p>
            <w:pPr>
              <w:pStyle w:val="TableParagraph"/>
              <w:spacing w:line="360" w:lineRule="auto" w:before="31"/>
              <w:ind w:left="153"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2" w:type="dxa"/>
            <w:gridSpan w:val="2"/>
            <w:vMerge w:val="restart"/>
            <w:tcBorders>
              <w:top w:val="single" w:sz="8" w:space="0" w:color="FFFFFF"/>
              <w:left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45" w:type="dxa"/>
            <w:vMerge/>
            <w:tcBorders>
              <w:left w:val="single" w:sz="4" w:space="0" w:color="000000"/>
              <w:right w:val="single" w:sz="4" w:space="0" w:color="000000"/>
            </w:tcBorders>
            <w:shd w:val="clear" w:color="auto" w:fill="D2D2D2"/>
          </w:tcPr>
          <w:p>
            <w:pPr/>
          </w:p>
        </w:tc>
        <w:tc>
          <w:tcPr>
            <w:tcW w:w="999" w:type="dxa"/>
            <w:gridSpan w:val="3"/>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488" w:type="dxa"/>
            <w:gridSpan w:val="2"/>
            <w:vMerge/>
            <w:tcBorders>
              <w:left w:val="single" w:sz="4" w:space="0" w:color="000000"/>
              <w:bottom w:val="single" w:sz="4" w:space="0" w:color="000000"/>
              <w:right w:val="single" w:sz="4" w:space="0" w:color="000000"/>
            </w:tcBorders>
            <w:shd w:val="clear" w:color="auto" w:fill="D2D2D2"/>
          </w:tcPr>
          <w:p>
            <w:pPr/>
          </w:p>
        </w:tc>
      </w:tr>
      <w:tr>
        <w:trPr>
          <w:trHeight w:val="191" w:hRule="exact"/>
        </w:trPr>
        <w:tc>
          <w:tcPr>
            <w:tcW w:w="212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93"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999" w:type="dxa"/>
            <w:gridSpan w:val="3"/>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61"/>
              <w:ind w:left="99" w:right="90"/>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28" w:type="dxa"/>
            <w:gridSpan w:val="3"/>
            <w:vMerge/>
            <w:tcBorders>
              <w:left w:val="single" w:sz="4" w:space="0" w:color="000000"/>
              <w:bottom w:val="nil" w:sz="6" w:space="0" w:color="auto"/>
              <w:right w:val="single" w:sz="4" w:space="0" w:color="000000"/>
            </w:tcBorders>
            <w:shd w:val="clear" w:color="auto" w:fill="D2D2D2"/>
          </w:tcPr>
          <w:p>
            <w:pPr/>
          </w:p>
        </w:tc>
        <w:tc>
          <w:tcPr>
            <w:tcW w:w="1432" w:type="dxa"/>
            <w:vMerge/>
            <w:tcBorders>
              <w:left w:val="single" w:sz="4" w:space="0" w:color="000000"/>
              <w:bottom w:val="nil" w:sz="6" w:space="0" w:color="auto"/>
              <w:right w:val="single" w:sz="4" w:space="0" w:color="000000"/>
            </w:tcBorders>
            <w:shd w:val="clear" w:color="auto" w:fill="D2D2D2"/>
          </w:tcPr>
          <w:p>
            <w:pPr/>
          </w:p>
        </w:tc>
        <w:tc>
          <w:tcPr>
            <w:tcW w:w="693"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999" w:type="dxa"/>
            <w:gridSpan w:val="3"/>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2128" w:type="dxa"/>
            <w:gridSpan w:val="3"/>
            <w:vMerge w:val="restart"/>
            <w:tcBorders>
              <w:top w:val="nil" w:sz="6" w:space="0" w:color="auto"/>
              <w:left w:val="single" w:sz="4" w:space="0" w:color="000000"/>
              <w:right w:val="single" w:sz="4" w:space="0" w:color="000000"/>
            </w:tcBorders>
            <w:shd w:val="clear" w:color="auto" w:fill="D2D2D2"/>
          </w:tcPr>
          <w:p>
            <w:pPr/>
          </w:p>
        </w:tc>
        <w:tc>
          <w:tcPr>
            <w:tcW w:w="1432" w:type="dxa"/>
            <w:vMerge w:val="restart"/>
            <w:tcBorders>
              <w:top w:val="nil" w:sz="6" w:space="0" w:color="auto"/>
              <w:left w:val="single" w:sz="4" w:space="0" w:color="000000"/>
              <w:right w:val="single" w:sz="4" w:space="0" w:color="000000"/>
            </w:tcBorders>
            <w:shd w:val="clear" w:color="auto" w:fill="D2D2D2"/>
          </w:tcPr>
          <w:p>
            <w:pPr/>
          </w:p>
        </w:tc>
        <w:tc>
          <w:tcPr>
            <w:tcW w:w="693" w:type="dxa"/>
            <w:vMerge/>
            <w:tcBorders>
              <w:left w:val="single" w:sz="4" w:space="0" w:color="000000"/>
              <w:bottom w:val="single" w:sz="8" w:space="0" w:color="FFFFFF"/>
              <w:right w:val="single" w:sz="4" w:space="0" w:color="000000"/>
            </w:tcBorders>
            <w:shd w:val="clear" w:color="auto" w:fill="D2D2D2"/>
          </w:tcPr>
          <w:p>
            <w:pPr/>
          </w:p>
        </w:tc>
        <w:tc>
          <w:tcPr>
            <w:tcW w:w="992" w:type="dxa"/>
            <w:gridSpan w:val="2"/>
            <w:vMerge/>
            <w:tcBorders>
              <w:left w:val="single" w:sz="4" w:space="0" w:color="000000"/>
              <w:bottom w:val="single" w:sz="8" w:space="0" w:color="FFFFFF"/>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999" w:type="dxa"/>
            <w:gridSpan w:val="3"/>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198" w:hRule="exact"/>
        </w:trPr>
        <w:tc>
          <w:tcPr>
            <w:tcW w:w="2128" w:type="dxa"/>
            <w:gridSpan w:val="3"/>
            <w:vMerge/>
            <w:tcBorders>
              <w:left w:val="single" w:sz="4" w:space="0" w:color="000000"/>
              <w:bottom w:val="single" w:sz="4" w:space="0" w:color="000000"/>
              <w:right w:val="single" w:sz="4" w:space="0" w:color="000000"/>
            </w:tcBorders>
            <w:shd w:val="clear" w:color="auto" w:fill="D2D2D2"/>
          </w:tcPr>
          <w:p>
            <w:pPr/>
          </w:p>
        </w:tc>
        <w:tc>
          <w:tcPr>
            <w:tcW w:w="1432" w:type="dxa"/>
            <w:vMerge/>
            <w:tcBorders>
              <w:left w:val="single" w:sz="4" w:space="0" w:color="000000"/>
              <w:bottom w:val="single" w:sz="4" w:space="0" w:color="000000"/>
              <w:right w:val="single" w:sz="4" w:space="0" w:color="000000"/>
            </w:tcBorders>
            <w:shd w:val="clear" w:color="auto" w:fill="D2D2D2"/>
          </w:tcPr>
          <w:p>
            <w:pPr/>
          </w:p>
        </w:tc>
        <w:tc>
          <w:tcPr>
            <w:tcW w:w="693" w:type="dxa"/>
            <w:tcBorders>
              <w:top w:val="single" w:sz="8" w:space="0" w:color="FFFFFF"/>
              <w:left w:val="single" w:sz="4" w:space="0" w:color="000000"/>
              <w:bottom w:val="single" w:sz="4" w:space="0" w:color="000000"/>
              <w:right w:val="single" w:sz="4" w:space="0" w:color="000000"/>
            </w:tcBorders>
            <w:shd w:val="clear" w:color="auto" w:fill="D2D2D2"/>
          </w:tcPr>
          <w:p>
            <w:pPr/>
          </w:p>
        </w:tc>
        <w:tc>
          <w:tcPr>
            <w:tcW w:w="992" w:type="dxa"/>
            <w:gridSpan w:val="2"/>
            <w:tcBorders>
              <w:top w:val="single" w:sz="8" w:space="0" w:color="FFFFFF"/>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999" w:type="dxa"/>
            <w:gridSpan w:val="3"/>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70"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3"/>
              <w:jc w:val="left"/>
              <w:rPr>
                <w:rFonts w:ascii="宋体" w:hAnsi="宋体" w:cs="宋体" w:eastAsia="宋体" w:hint="default"/>
                <w:sz w:val="18"/>
                <w:szCs w:val="18"/>
              </w:rPr>
            </w:pPr>
            <w:r>
              <w:rPr>
                <w:rFonts w:ascii="宋体" w:hAnsi="宋体" w:cs="宋体" w:eastAsia="宋体" w:hint="default"/>
                <w:sz w:val="18"/>
                <w:szCs w:val="18"/>
              </w:rPr>
              <w:t>江苏权健东润投资管理有 限公司</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96,900,000</w:t>
            </w:r>
          </w:p>
        </w:tc>
        <w:tc>
          <w:tcPr>
            <w:tcW w:w="845" w:type="dxa"/>
            <w:tcBorders>
              <w:top w:val="single" w:sz="30" w:space="0" w:color="D2D2D2"/>
              <w:left w:val="single" w:sz="4" w:space="0" w:color="000000"/>
              <w:bottom w:val="single" w:sz="4" w:space="0" w:color="000000"/>
              <w:right w:val="single" w:sz="4" w:space="0" w:color="000000"/>
            </w:tcBorders>
          </w:tcPr>
          <w:p>
            <w:pPr/>
          </w:p>
        </w:tc>
        <w:tc>
          <w:tcPr>
            <w:tcW w:w="999" w:type="dxa"/>
            <w:gridSpan w:val="3"/>
            <w:tcBorders>
              <w:top w:val="single" w:sz="30" w:space="0" w:color="D2D2D2"/>
              <w:left w:val="single" w:sz="4" w:space="0" w:color="000000"/>
              <w:bottom w:val="single" w:sz="4" w:space="0" w:color="000000"/>
              <w:right w:val="single" w:sz="4" w:space="0" w:color="000000"/>
            </w:tcBorders>
          </w:tcPr>
          <w:p>
            <w:pPr>
              <w:pStyle w:val="TableParagraph"/>
              <w:spacing w:line="240" w:lineRule="auto" w:before="152"/>
              <w:ind w:left="154" w:right="0"/>
              <w:jc w:val="left"/>
              <w:rPr>
                <w:rFonts w:ascii="Times New Roman" w:hAnsi="Times New Roman" w:cs="Times New Roman" w:eastAsia="Times New Roman" w:hint="default"/>
                <w:sz w:val="18"/>
                <w:szCs w:val="18"/>
              </w:rPr>
            </w:pPr>
            <w:r>
              <w:rPr>
                <w:rFonts w:ascii="Times New Roman"/>
                <w:sz w:val="18"/>
              </w:rPr>
              <w:t>96,900,000</w:t>
            </w:r>
          </w:p>
        </w:tc>
        <w:tc>
          <w:tcPr>
            <w:tcW w:w="991" w:type="dxa"/>
            <w:tcBorders>
              <w:top w:val="single" w:sz="30" w:space="0" w:color="D2D2D2"/>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39,250,000</w:t>
            </w:r>
          </w:p>
        </w:tc>
      </w:tr>
      <w:tr>
        <w:trPr>
          <w:trHeight w:val="402"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80,126,857</w:t>
            </w:r>
          </w:p>
        </w:tc>
        <w:tc>
          <w:tcPr>
            <w:tcW w:w="845" w:type="dxa"/>
            <w:tcBorders>
              <w:top w:val="single" w:sz="4" w:space="0" w:color="000000"/>
              <w:left w:val="single" w:sz="4" w:space="0" w:color="000000"/>
              <w:bottom w:val="single" w:sz="4" w:space="0" w:color="000000"/>
              <w:right w:val="single" w:sz="4" w:space="0" w:color="000000"/>
            </w:tcBorders>
          </w:tcPr>
          <w:p>
            <w:pPr/>
          </w:p>
        </w:tc>
        <w:tc>
          <w:tcPr>
            <w:tcW w:w="9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72,114,171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8,012,686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60,710,000</w:t>
            </w:r>
          </w:p>
        </w:tc>
      </w:tr>
      <w:tr>
        <w:trPr>
          <w:trHeight w:val="402"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47,100,000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w w:val="95"/>
                <w:sz w:val="18"/>
              </w:rPr>
              <w:t>-2,500,000</w:t>
            </w:r>
            <w:r>
              <w:rPr>
                <w:rFonts w:ascii="Times New Roman"/>
                <w:sz w:val="18"/>
              </w:rPr>
            </w:r>
          </w:p>
        </w:tc>
        <w:tc>
          <w:tcPr>
            <w:tcW w:w="999"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47,100,000</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40,272,614</w:t>
            </w:r>
          </w:p>
        </w:tc>
        <w:tc>
          <w:tcPr>
            <w:tcW w:w="845" w:type="dxa"/>
            <w:tcBorders>
              <w:top w:val="single" w:sz="4" w:space="0" w:color="000000"/>
              <w:left w:val="single" w:sz="4" w:space="0" w:color="000000"/>
              <w:bottom w:val="single" w:sz="4" w:space="0" w:color="000000"/>
              <w:right w:val="single" w:sz="4" w:space="0" w:color="000000"/>
            </w:tcBorders>
          </w:tcPr>
          <w:p>
            <w:pPr/>
          </w:p>
        </w:tc>
        <w:tc>
          <w:tcPr>
            <w:tcW w:w="9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40,272,614</w:t>
            </w:r>
          </w:p>
        </w:tc>
        <w:tc>
          <w:tcPr>
            <w:tcW w:w="99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10,230,000</w:t>
            </w:r>
          </w:p>
        </w:tc>
      </w:tr>
      <w:tr>
        <w:trPr>
          <w:trHeight w:val="402"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王金根</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34,069,687</w:t>
            </w:r>
          </w:p>
        </w:tc>
        <w:tc>
          <w:tcPr>
            <w:tcW w:w="845" w:type="dxa"/>
            <w:tcBorders>
              <w:top w:val="single" w:sz="4" w:space="0" w:color="000000"/>
              <w:left w:val="single" w:sz="4" w:space="0" w:color="000000"/>
              <w:bottom w:val="single" w:sz="4" w:space="0" w:color="000000"/>
              <w:right w:val="single" w:sz="4" w:space="0" w:color="000000"/>
            </w:tcBorders>
          </w:tcPr>
          <w:p>
            <w:pPr/>
          </w:p>
        </w:tc>
        <w:tc>
          <w:tcPr>
            <w:tcW w:w="9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30,662,718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3,406,969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10,594,700</w:t>
            </w:r>
          </w:p>
        </w:tc>
      </w:tr>
      <w:tr>
        <w:trPr>
          <w:trHeight w:val="402"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束昱辉</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26,641,883</w:t>
            </w:r>
          </w:p>
        </w:tc>
        <w:tc>
          <w:tcPr>
            <w:tcW w:w="845" w:type="dxa"/>
            <w:tcBorders>
              <w:top w:val="single" w:sz="4" w:space="0" w:color="000000"/>
              <w:left w:val="single" w:sz="4" w:space="0" w:color="000000"/>
              <w:bottom w:val="single" w:sz="4" w:space="0" w:color="000000"/>
              <w:right w:val="single" w:sz="4" w:space="0" w:color="000000"/>
            </w:tcBorders>
          </w:tcPr>
          <w:p>
            <w:pPr/>
          </w:p>
        </w:tc>
        <w:tc>
          <w:tcPr>
            <w:tcW w:w="9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26,641,883</w:t>
            </w:r>
          </w:p>
        </w:tc>
        <w:tc>
          <w:tcPr>
            <w:tcW w:w="99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pacing w:val="-8"/>
                <w:sz w:val="18"/>
                <w:szCs w:val="18"/>
              </w:rPr>
              <w:t>北京众诚方圆投资中心（有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限合伙）</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10,331,948</w:t>
            </w:r>
          </w:p>
        </w:tc>
        <w:tc>
          <w:tcPr>
            <w:tcW w:w="845" w:type="dxa"/>
            <w:tcBorders>
              <w:top w:val="single" w:sz="4" w:space="0" w:color="000000"/>
              <w:left w:val="single" w:sz="4" w:space="0" w:color="000000"/>
              <w:bottom w:val="single" w:sz="4" w:space="0" w:color="000000"/>
              <w:right w:val="single" w:sz="4" w:space="0" w:color="000000"/>
            </w:tcBorders>
          </w:tcPr>
          <w:p>
            <w:pPr/>
          </w:p>
        </w:tc>
        <w:tc>
          <w:tcPr>
            <w:tcW w:w="999"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10,331,948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10,331,948</w:t>
            </w:r>
          </w:p>
        </w:tc>
      </w:tr>
      <w:tr>
        <w:trPr>
          <w:trHeight w:val="403" w:hRule="exact"/>
        </w:trPr>
        <w:tc>
          <w:tcPr>
            <w:tcW w:w="2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8,263,468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-229,500</w:t>
            </w:r>
          </w:p>
        </w:tc>
        <w:tc>
          <w:tcPr>
            <w:tcW w:w="999"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8,263,468</w:t>
            </w:r>
          </w:p>
        </w:tc>
        <w:tc>
          <w:tcPr>
            <w:tcW w:w="56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0" w:right="1140"/>
        <w:jc w:val="right"/>
      </w:pPr>
      <w:r>
        <w:rPr/>
        <w:pict>
          <v:shape style="position:absolute;margin-left:56.459999pt;margin-top:-99.068253pt;width:479.2pt;height:448.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416"/>
                    <w:gridCol w:w="710"/>
                    <w:gridCol w:w="992"/>
                    <w:gridCol w:w="851"/>
                    <w:gridCol w:w="993"/>
                    <w:gridCol w:w="142"/>
                    <w:gridCol w:w="850"/>
                    <w:gridCol w:w="426"/>
                    <w:gridCol w:w="142"/>
                    <w:gridCol w:w="920"/>
                  </w:tblGrid>
                  <w:tr>
                    <w:trPr>
                      <w:trHeight w:val="8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22" w:right="113"/>
                          <w:jc w:val="both"/>
                          <w:rPr>
                            <w:rFonts w:ascii="宋体" w:hAnsi="宋体" w:cs="宋体" w:eastAsia="宋体" w:hint="default"/>
                            <w:sz w:val="18"/>
                            <w:szCs w:val="18"/>
                          </w:rPr>
                        </w:pPr>
                        <w:r>
                          <w:rPr>
                            <w:rFonts w:ascii="宋体" w:hAnsi="宋体" w:cs="宋体" w:eastAsia="宋体" w:hint="default"/>
                            <w:sz w:val="18"/>
                            <w:szCs w:val="18"/>
                          </w:rPr>
                          <w:t>中国农业银行股份有限公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富兰克林国海弹性市 值混合型证券投资基金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pacing w:val="-80"/>
                            <w:sz w:val="18"/>
                            <w:szCs w:val="18"/>
                          </w:rPr>
                          <w:t>、</w:t>
                        </w:r>
                        <w:r>
                          <w:rPr>
                            <w:rFonts w:ascii="宋体" w:hAnsi="宋体" w:cs="宋体" w:eastAsia="宋体" w:hint="default"/>
                            <w:sz w:val="18"/>
                            <w:szCs w:val="18"/>
                          </w:rPr>
                          <w:t>理财产品等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6,506,836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6,506,836</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6,506,836</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苏州松禾成长二号创业投 资中心（有限合伙）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5,938,220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5,938,220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025"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141"/>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5" w:hRule="exact"/>
                    </w:trPr>
                    <w:tc>
                      <w:tcPr>
                        <w:tcW w:w="354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025" w:type="dxa"/>
                        <w:gridSpan w:val="9"/>
                        <w:vMerge w:val="restart"/>
                        <w:tcBorders>
                          <w:top w:val="single" w:sz="4" w:space="0" w:color="000000"/>
                          <w:left w:val="single" w:sz="9" w:space="0" w:color="D2D2D2"/>
                          <w:right w:val="single" w:sz="4" w:space="0" w:color="000000"/>
                        </w:tcBorders>
                      </w:tcPr>
                      <w:p>
                        <w:pPr>
                          <w:pStyle w:val="TableParagraph"/>
                          <w:spacing w:line="244" w:lineRule="auto" w:before="21"/>
                          <w:ind w:left="17" w:right="49"/>
                          <w:jc w:val="left"/>
                          <w:rPr>
                            <w:rFonts w:ascii="宋体" w:hAnsi="宋体" w:cs="宋体" w:eastAsia="宋体" w:hint="default"/>
                            <w:sz w:val="18"/>
                            <w:szCs w:val="18"/>
                          </w:rPr>
                        </w:pPr>
                        <w:r>
                          <w:rPr>
                            <w:rFonts w:ascii="宋体" w:hAnsi="宋体" w:cs="宋体" w:eastAsia="宋体" w:hint="default"/>
                            <w:spacing w:val="-2"/>
                            <w:sz w:val="18"/>
                            <w:szCs w:val="18"/>
                          </w:rPr>
                          <w:t>上述股东中，朱文明、束昱辉为一致行动人；徐正军、王金根为一致行动人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除此之外，上述股东之间不存在公司已知的关联关系，亦不存在公司已知的 一致行动人关系。</w:t>
                        </w:r>
                      </w:p>
                    </w:tc>
                  </w:tr>
                  <w:tr>
                    <w:trPr>
                      <w:trHeight w:val="320" w:hRule="exact"/>
                    </w:trPr>
                    <w:tc>
                      <w:tcPr>
                        <w:tcW w:w="354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25" w:type="dxa"/>
                        <w:gridSpan w:val="9"/>
                        <w:vMerge/>
                        <w:tcBorders>
                          <w:left w:val="single" w:sz="9" w:space="0" w:color="D2D2D2"/>
                          <w:right w:val="single" w:sz="4" w:space="0" w:color="000000"/>
                        </w:tcBorders>
                      </w:tcPr>
                      <w:p>
                        <w:pPr/>
                      </w:p>
                    </w:tc>
                  </w:tr>
                  <w:tr>
                    <w:trPr>
                      <w:trHeight w:val="245" w:hRule="exact"/>
                    </w:trPr>
                    <w:tc>
                      <w:tcPr>
                        <w:tcW w:w="354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025" w:type="dxa"/>
                        <w:gridSpan w:val="9"/>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45" w:hRule="exact"/>
                    </w:trPr>
                    <w:tc>
                      <w:tcPr>
                        <w:tcW w:w="609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111" w:right="111"/>
                          <w:jc w:val="both"/>
                          <w:rPr>
                            <w:rFonts w:ascii="宋体" w:hAnsi="宋体" w:cs="宋体" w:eastAsia="宋体" w:hint="default"/>
                            <w:sz w:val="18"/>
                            <w:szCs w:val="18"/>
                          </w:rPr>
                        </w:pPr>
                        <w:r>
                          <w:rPr>
                            <w:rFonts w:ascii="宋体" w:hAnsi="宋体" w:cs="宋体" w:eastAsia="宋体" w:hint="default"/>
                            <w:sz w:val="18"/>
                            <w:szCs w:val="18"/>
                          </w:rPr>
                          <w:t>报告期末持 有无限售条 件股份数量</w:t>
                        </w:r>
                      </w:p>
                    </w:tc>
                    <w:tc>
                      <w:tcPr>
                        <w:tcW w:w="233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23" w:hRule="exact"/>
                    </w:trPr>
                    <w:tc>
                      <w:tcPr>
                        <w:tcW w:w="609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gridSpan w:val="2"/>
                        <w:vMerge/>
                        <w:tcBorders>
                          <w:left w:val="single" w:sz="4" w:space="0" w:color="000000"/>
                          <w:right w:val="single" w:sz="4" w:space="0" w:color="000000"/>
                        </w:tcBorders>
                        <w:shd w:val="clear" w:color="auto" w:fill="D2D2D2"/>
                      </w:tcPr>
                      <w:p>
                        <w:pPr/>
                      </w:p>
                    </w:tc>
                    <w:tc>
                      <w:tcPr>
                        <w:tcW w:w="2338"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6097" w:type="dxa"/>
                        <w:gridSpan w:val="5"/>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45" w:hRule="exact"/>
                    </w:trPr>
                    <w:tc>
                      <w:tcPr>
                        <w:tcW w:w="609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1062"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47,100,000</w:t>
                        </w:r>
                      </w:p>
                    </w:tc>
                    <w:tc>
                      <w:tcPr>
                        <w:tcW w:w="1276" w:type="dxa"/>
                        <w:gridSpan w:val="2"/>
                        <w:tcBorders>
                          <w:top w:val="single" w:sz="30" w:space="0" w:color="D2D2D2"/>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30" w:space="0" w:color="D2D2D2"/>
                          <w:left w:val="single" w:sz="4" w:space="0" w:color="000000"/>
                          <w:bottom w:val="single" w:sz="4" w:space="0" w:color="000000"/>
                          <w:right w:val="single" w:sz="4" w:space="0" w:color="000000"/>
                        </w:tcBorders>
                      </w:tcPr>
                      <w:p>
                        <w:pPr>
                          <w:pStyle w:val="TableParagraph"/>
                          <w:spacing w:line="240" w:lineRule="auto" w:before="58"/>
                          <w:ind w:left="219" w:right="0"/>
                          <w:jc w:val="left"/>
                          <w:rPr>
                            <w:rFonts w:ascii="Times New Roman" w:hAnsi="Times New Roman" w:cs="Times New Roman" w:eastAsia="Times New Roman" w:hint="default"/>
                            <w:sz w:val="18"/>
                            <w:szCs w:val="18"/>
                          </w:rPr>
                        </w:pPr>
                        <w:r>
                          <w:rPr>
                            <w:rFonts w:ascii="Times New Roman"/>
                            <w:sz w:val="18"/>
                          </w:rPr>
                          <w:t>47,100,000</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北京众诚方圆投资中心（有限合伙）</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10,331,948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10,331,948</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8,263,468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8,263,468</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富兰克林国海弹性市值混合型证券投资基金</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6,506,836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6,506,836</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苏州松禾成长二号创业投资中心（有限合伙）</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5,938,220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5,938,220</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广州西域洪昌互联网创业投资合伙企业（有限合伙）</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5,938,220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5,938,220</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全国社保基金一一一组合</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5,387,311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5,387,311</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分红</w:t>
                        </w:r>
                        <w:r>
                          <w:rPr>
                            <w:rFonts w:ascii="Times New Roman" w:hAnsi="Times New Roman" w:cs="Times New Roman" w:eastAsia="Times New Roman" w:hint="default"/>
                            <w:sz w:val="18"/>
                            <w:szCs w:val="18"/>
                          </w:rPr>
                          <w:t>—</w:t>
                        </w: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4,823,639</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4,823,639</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富兰克林国海中小盘股票型证券投资基金</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4,442,356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4,442,356</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中欧中小盘股票型证券投资基金（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3,783,993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3,783,993</w:t>
                        </w:r>
                      </w:p>
                    </w:tc>
                  </w:tr>
                  <w:tr>
                    <w:trPr>
                      <w:trHeight w:val="570" w:hRule="exact"/>
                    </w:trPr>
                    <w:tc>
                      <w:tcPr>
                        <w:tcW w:w="60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 东之间关联关系或一致行动的说明</w:t>
                        </w:r>
                      </w:p>
                    </w:tc>
                    <w:tc>
                      <w:tcPr>
                        <w:tcW w:w="347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4" w:lineRule="auto" w:before="21"/>
                          <w:ind w:left="11" w:right="17"/>
                          <w:jc w:val="left"/>
                          <w:rPr>
                            <w:rFonts w:ascii="宋体" w:hAnsi="宋体" w:cs="宋体" w:eastAsia="宋体" w:hint="default"/>
                            <w:sz w:val="18"/>
                            <w:szCs w:val="18"/>
                          </w:rPr>
                        </w:pPr>
                        <w:r>
                          <w:rPr>
                            <w:rFonts w:ascii="宋体" w:hAnsi="宋体" w:cs="宋体" w:eastAsia="宋体" w:hint="default"/>
                            <w:sz w:val="18"/>
                            <w:szCs w:val="18"/>
                          </w:rPr>
                          <w:t>上述股东之间，不存在公司已知的关联关 系，亦不存在公司已知的一致行动人关系。</w:t>
                        </w:r>
                      </w:p>
                    </w:tc>
                  </w:tr>
                  <w:tr>
                    <w:trPr>
                      <w:trHeight w:val="402" w:hRule="exact"/>
                    </w:trPr>
                    <w:tc>
                      <w:tcPr>
                        <w:tcW w:w="60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347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left="514" w:right="111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1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5"/>
        <w:rPr>
          <w:rFonts w:ascii="宋体" w:hAnsi="宋体" w:cs="宋体" w:eastAsia="宋体" w:hint="default"/>
          <w:sz w:val="26"/>
          <w:szCs w:val="26"/>
        </w:rPr>
      </w:pPr>
    </w:p>
    <w:p>
      <w:pPr>
        <w:pStyle w:val="Heading3"/>
        <w:spacing w:line="240" w:lineRule="auto"/>
        <w:ind w:left="556" w:right="1118"/>
        <w:jc w:val="left"/>
        <w:rPr>
          <w:b w:val="0"/>
          <w:bCs w:val="0"/>
        </w:rPr>
      </w:pPr>
      <w:bookmarkStart w:name="2、公司控股股东情况" w:id="123"/>
      <w:bookmarkEnd w:id="12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left="514" w:right="823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128"/>
        <w:gridCol w:w="1984"/>
        <w:gridCol w:w="1608"/>
        <w:gridCol w:w="1935"/>
        <w:gridCol w:w="191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57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江苏权健东润投资管理有 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9132098272281206X2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78"/>
              <w:jc w:val="left"/>
              <w:rPr>
                <w:rFonts w:ascii="宋体" w:hAnsi="宋体" w:cs="宋体" w:eastAsia="宋体" w:hint="default"/>
                <w:sz w:val="18"/>
                <w:szCs w:val="18"/>
              </w:rPr>
            </w:pPr>
            <w:r>
              <w:rPr>
                <w:rFonts w:ascii="宋体" w:hAnsi="宋体" w:cs="宋体" w:eastAsia="宋体" w:hint="default"/>
                <w:sz w:val="18"/>
                <w:szCs w:val="18"/>
              </w:rPr>
              <w:t>投资业务；投资管理咨 询服务。</w:t>
            </w:r>
          </w:p>
        </w:tc>
      </w:tr>
      <w:tr>
        <w:trPr>
          <w:trHeight w:val="810"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1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4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3"/>
        <w:rPr>
          <w:rFonts w:ascii="宋体" w:hAnsi="宋体" w:cs="宋体" w:eastAsia="宋体" w:hint="default"/>
          <w:sz w:val="7"/>
          <w:szCs w:val="7"/>
        </w:rPr>
      </w:pPr>
    </w:p>
    <w:p>
      <w:pPr>
        <w:pStyle w:val="BodyText"/>
        <w:spacing w:line="240" w:lineRule="auto" w:before="44"/>
        <w:ind w:left="514" w:right="1118"/>
        <w:jc w:val="left"/>
      </w:pPr>
      <w:r>
        <w:rPr/>
        <w:t>控股股东报告期内变更</w:t>
      </w:r>
    </w:p>
    <w:p>
      <w:pPr>
        <w:spacing w:after="0" w:line="240" w:lineRule="auto"/>
        <w:jc w:val="left"/>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338" w:lineRule="auto" w:before="44"/>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1"/>
          <w:szCs w:val="21"/>
        </w:rPr>
      </w:pPr>
    </w:p>
    <w:p>
      <w:pPr>
        <w:pStyle w:val="Heading3"/>
        <w:spacing w:line="240" w:lineRule="auto"/>
        <w:ind w:left="556" w:right="1118"/>
        <w:jc w:val="left"/>
        <w:rPr>
          <w:b w:val="0"/>
          <w:bCs w:val="0"/>
        </w:rPr>
      </w:pPr>
      <w:bookmarkStart w:name="3、公司实际控制人情况" w:id="124"/>
      <w:bookmarkEnd w:id="12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3"/>
        <w:rPr>
          <w:rFonts w:ascii="宋体" w:hAnsi="宋体" w:cs="宋体" w:eastAsia="宋体" w:hint="default"/>
          <w:b/>
          <w:bCs/>
          <w:sz w:val="26"/>
          <w:szCs w:val="26"/>
        </w:rPr>
      </w:pPr>
    </w:p>
    <w:p>
      <w:pPr>
        <w:pStyle w:val="BodyText"/>
        <w:spacing w:line="360" w:lineRule="auto"/>
        <w:ind w:left="514" w:right="805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1844"/>
        <w:gridCol w:w="3878"/>
        <w:gridCol w:w="3848"/>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both"/>
              <w:rPr>
                <w:rFonts w:ascii="宋体" w:hAnsi="宋体" w:cs="宋体" w:eastAsia="宋体" w:hint="default"/>
                <w:sz w:val="18"/>
                <w:szCs w:val="18"/>
              </w:rPr>
            </w:pPr>
            <w:r>
              <w:rPr>
                <w:rFonts w:ascii="宋体" w:hAnsi="宋体" w:cs="宋体" w:eastAsia="宋体" w:hint="default"/>
                <w:spacing w:val="-2"/>
                <w:sz w:val="18"/>
                <w:szCs w:val="18"/>
              </w:rPr>
              <w:t>现任本公司董事长、总经理；兼任中国机械工程学会热处理分会副理事长、江苏省党代表、盐城市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工商联副会长；江苏权健东润投资管理有限公司、上海丰东热处理工程有限公司、天津丰东热处理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有限公司、广州鑫润丰东热处理有限公司、江苏石川岛丰东真空技术有限公司、上海君德实业有限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公司董事长，广州丰东热炼有限公司副董事长，江苏朸健生命科技发展有限公司监事。</w:t>
            </w:r>
          </w:p>
        </w:tc>
      </w:tr>
      <w:tr>
        <w:trPr>
          <w:trHeight w:val="81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58"/>
              <w:ind w:left="22" w:right="98"/>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 内外上市公司情况</w:t>
            </w:r>
          </w:p>
        </w:tc>
        <w:tc>
          <w:tcPr>
            <w:tcW w:w="7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本公司实际控制人朱文明除直接持有本公司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4027.2614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万股股份，且通过持有江苏权健东润投资管</w:t>
            </w:r>
          </w:p>
          <w:p>
            <w:pPr>
              <w:pStyle w:val="TableParagraph"/>
              <w:spacing w:line="240" w:lineRule="exact" w:before="14"/>
              <w:ind w:left="22" w:right="85"/>
              <w:jc w:val="left"/>
              <w:rPr>
                <w:rFonts w:ascii="宋体" w:hAnsi="宋体" w:cs="宋体" w:eastAsia="宋体" w:hint="default"/>
                <w:sz w:val="18"/>
                <w:szCs w:val="18"/>
              </w:rPr>
            </w:pPr>
            <w:r>
              <w:rPr>
                <w:rFonts w:ascii="宋体" w:hAnsi="宋体" w:cs="宋体" w:eastAsia="宋体" w:hint="default"/>
                <w:sz w:val="18"/>
                <w:szCs w:val="18"/>
              </w:rPr>
              <w:t>理有限公司股权而间接持有本公司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5547.16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万股股份为本公司实际控制人外，过去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年内未曾控 股其他境内外上市公司。</w:t>
            </w:r>
          </w:p>
        </w:tc>
      </w:tr>
    </w:tbl>
    <w:p>
      <w:pPr>
        <w:spacing w:line="240" w:lineRule="auto" w:before="10"/>
        <w:rPr>
          <w:rFonts w:ascii="宋体" w:hAnsi="宋体" w:cs="宋体" w:eastAsia="宋体" w:hint="default"/>
          <w:sz w:val="7"/>
          <w:szCs w:val="7"/>
        </w:rPr>
      </w:pPr>
    </w:p>
    <w:p>
      <w:pPr>
        <w:pStyle w:val="BodyText"/>
        <w:spacing w:line="240" w:lineRule="auto" w:before="44"/>
        <w:ind w:left="514" w:right="1118"/>
        <w:jc w:val="left"/>
      </w:pPr>
      <w:r>
        <w:rPr/>
        <w:t>实际控制人报告期内变更</w:t>
      </w:r>
    </w:p>
    <w:p>
      <w:pPr>
        <w:spacing w:line="240" w:lineRule="auto" w:before="0"/>
        <w:rPr>
          <w:rFonts w:ascii="宋体" w:hAnsi="宋体" w:cs="宋体" w:eastAsia="宋体" w:hint="default"/>
          <w:sz w:val="15"/>
          <w:szCs w:val="15"/>
        </w:rPr>
      </w:pPr>
    </w:p>
    <w:p>
      <w:pPr>
        <w:pStyle w:val="BodyText"/>
        <w:spacing w:line="427"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2"/>
        <w:rPr>
          <w:rFonts w:ascii="宋体" w:hAnsi="宋体" w:cs="宋体" w:eastAsia="宋体" w:hint="default"/>
          <w:sz w:val="16"/>
          <w:szCs w:val="16"/>
        </w:rPr>
      </w:pPr>
    </w:p>
    <w:p>
      <w:pPr>
        <w:spacing w:line="1992" w:lineRule="exact"/>
        <w:ind w:left="2993"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2531237" cy="1265301"/>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7" cstate="print"/>
                    <a:stretch>
                      <a:fillRect/>
                    </a:stretch>
                  </pic:blipFill>
                  <pic:spPr>
                    <a:xfrm>
                      <a:off x="0" y="0"/>
                      <a:ext cx="2531237" cy="1265301"/>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7"/>
        <w:rPr>
          <w:rFonts w:ascii="宋体" w:hAnsi="宋体" w:cs="宋体" w:eastAsia="宋体" w:hint="default"/>
          <w:sz w:val="23"/>
          <w:szCs w:val="23"/>
        </w:rPr>
      </w:pPr>
    </w:p>
    <w:p>
      <w:pPr>
        <w:pStyle w:val="BodyText"/>
        <w:spacing w:line="240" w:lineRule="auto"/>
        <w:ind w:right="1118"/>
        <w:jc w:val="left"/>
      </w:pPr>
      <w:r>
        <w:rPr/>
        <w:t>实际控制人通过信托或其他资产管理方式控制公司</w:t>
      </w:r>
    </w:p>
    <w:p>
      <w:pPr>
        <w:spacing w:line="240" w:lineRule="auto" w:before="12"/>
        <w:rPr>
          <w:rFonts w:ascii="宋体" w:hAnsi="宋体" w:cs="宋体" w:eastAsia="宋体" w:hint="default"/>
          <w:sz w:val="14"/>
          <w:szCs w:val="14"/>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4、其他持股在10%以上的法人股东" w:id="125"/>
      <w:bookmarkEnd w:id="125"/>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5、控股股东、实际控制人、重组方及其他承诺主体股份限制减持情况" w:id="126"/>
      <w:bookmarkEnd w:id="12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3286" w:right="1118"/>
        <w:jc w:val="left"/>
        <w:rPr>
          <w:b w:val="0"/>
          <w:bCs w:val="0"/>
        </w:rPr>
      </w:pPr>
      <w:bookmarkStart w:name="第七节 优先股相关情况" w:id="127"/>
      <w:bookmarkEnd w:id="127"/>
      <w:r>
        <w:rPr>
          <w:b w:val="0"/>
          <w:bCs w:val="0"/>
        </w:rPr>
      </w:r>
      <w:bookmarkStart w:name="_bookmark6" w:id="128"/>
      <w:bookmarkEnd w:id="12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1680" w:right="1118"/>
        <w:jc w:val="left"/>
        <w:rPr>
          <w:b w:val="0"/>
          <w:bCs w:val="0"/>
        </w:rPr>
      </w:pPr>
      <w:bookmarkStart w:name="第八节 董事、监事、高级管理人员和员工情况" w:id="129"/>
      <w:bookmarkEnd w:id="129"/>
      <w:r>
        <w:rPr>
          <w:b w:val="0"/>
          <w:bCs w:val="0"/>
        </w:rPr>
      </w:r>
      <w:bookmarkStart w:name="_bookmark7" w:id="130"/>
      <w:bookmarkEnd w:id="13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8"/>
        <w:jc w:val="left"/>
        <w:rPr>
          <w:b w:val="0"/>
          <w:bCs w:val="0"/>
        </w:rPr>
      </w:pPr>
      <w:bookmarkStart w:name="一、董事、监事和高级管理人员持股变动" w:id="131"/>
      <w:bookmarkEnd w:id="13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8"/>
        <w:gridCol w:w="797"/>
        <w:gridCol w:w="533"/>
        <w:gridCol w:w="566"/>
        <w:gridCol w:w="568"/>
        <w:gridCol w:w="992"/>
        <w:gridCol w:w="992"/>
        <w:gridCol w:w="992"/>
        <w:gridCol w:w="851"/>
        <w:gridCol w:w="850"/>
        <w:gridCol w:w="709"/>
        <w:gridCol w:w="992"/>
      </w:tblGrid>
      <w:tr>
        <w:trPr>
          <w:trHeight w:val="80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1"/>
              <w:ind w:left="81"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400" w:right="3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402"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79"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40,272,614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40,272,614</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80,126,857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80,126,857</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王  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俞玉岚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褚文兰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1"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b/>
          <w:bCs/>
          <w:sz w:val="22"/>
          <w:szCs w:val="22"/>
        </w:rPr>
      </w:pPr>
    </w:p>
    <w:tbl>
      <w:tblPr>
        <w:tblW w:w="0" w:type="auto"/>
        <w:jc w:val="left"/>
        <w:tblInd w:w="148" w:type="dxa"/>
        <w:tblLayout w:type="fixed"/>
        <w:tblCellMar>
          <w:top w:w="0" w:type="dxa"/>
          <w:left w:w="0" w:type="dxa"/>
          <w:bottom w:w="0" w:type="dxa"/>
          <w:right w:w="0" w:type="dxa"/>
        </w:tblCellMar>
        <w:tblLook w:val="01E0"/>
      </w:tblPr>
      <w:tblGrid>
        <w:gridCol w:w="798"/>
        <w:gridCol w:w="797"/>
        <w:gridCol w:w="533"/>
        <w:gridCol w:w="566"/>
        <w:gridCol w:w="568"/>
        <w:gridCol w:w="992"/>
        <w:gridCol w:w="992"/>
        <w:gridCol w:w="992"/>
        <w:gridCol w:w="851"/>
        <w:gridCol w:w="850"/>
        <w:gridCol w:w="709"/>
        <w:gridCol w:w="992"/>
      </w:tblGrid>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郜  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朱  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任免</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王  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金珍霞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2"/>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3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99"/>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120,400,671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120,406,671</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18"/>
        <w:jc w:val="left"/>
        <w:rPr>
          <w:b w:val="0"/>
          <w:bCs w:val="0"/>
        </w:rPr>
      </w:pPr>
      <w:bookmarkStart w:name="二、公司董事、监事、高级管理人员变动情况" w:id="132"/>
      <w:bookmarkEnd w:id="13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1276"/>
        <w:gridCol w:w="1702"/>
        <w:gridCol w:w="403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郜  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  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1276"/>
        <w:gridCol w:w="1702"/>
        <w:gridCol w:w="403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董事任期满离任，选举为第四届监事会监事会主席</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监事任期满离任，选举为第四届董事会董事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金珍霞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因个人及家庭原因，主动辞职</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三、任职情况" w:id="133"/>
      <w:bookmarkEnd w:id="13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公司现任董事、监事、高级管理人员专业背景、主要工作经历以及目前在公司的主要职责</w:t>
      </w:r>
    </w:p>
    <w:p>
      <w:pPr>
        <w:pStyle w:val="Heading4"/>
        <w:spacing w:line="240" w:lineRule="auto" w:before="116"/>
        <w:ind w:left="539" w:right="1118"/>
        <w:jc w:val="left"/>
        <w:rPr>
          <w:b w:val="0"/>
          <w:bCs w:val="0"/>
        </w:rPr>
      </w:pPr>
      <w:r>
        <w:rPr>
          <w:rFonts w:ascii="Times New Roman" w:hAnsi="Times New Roman" w:cs="Times New Roman" w:eastAsia="Times New Roman" w:hint="default"/>
        </w:rPr>
        <w:t>1</w:t>
      </w:r>
      <w:r>
        <w:rPr/>
        <w:t>、本公司现任董事专业背景、主要工作经历以及目前在公司的主要职责</w:t>
      </w:r>
      <w:r>
        <w:rPr>
          <w:b w:val="0"/>
          <w:bCs w:val="0"/>
        </w:rPr>
      </w:r>
    </w:p>
    <w:p>
      <w:pPr>
        <w:spacing w:line="240" w:lineRule="auto" w:before="13"/>
        <w:rPr>
          <w:rFonts w:ascii="宋体" w:hAnsi="宋体" w:cs="宋体" w:eastAsia="宋体" w:hint="default"/>
          <w:b/>
          <w:bCs/>
          <w:sz w:val="13"/>
          <w:szCs w:val="13"/>
        </w:rPr>
      </w:pPr>
    </w:p>
    <w:p>
      <w:pPr>
        <w:pStyle w:val="BodyText"/>
        <w:spacing w:line="314" w:lineRule="auto"/>
        <w:ind w:left="154" w:right="1131" w:firstLine="361"/>
        <w:jc w:val="both"/>
      </w:pPr>
      <w:r>
        <w:rPr>
          <w:rFonts w:ascii="宋体" w:hAnsi="宋体" w:cs="宋体" w:eastAsia="宋体" w:hint="default"/>
          <w:b/>
          <w:bCs/>
          <w:spacing w:val="-2"/>
        </w:rPr>
        <w:t>朱文明先生</w:t>
      </w:r>
      <w:r>
        <w:rPr>
          <w:spacing w:val="-2"/>
        </w:rPr>
        <w:t>，男，中国国籍，</w:t>
      </w:r>
      <w:r>
        <w:rPr>
          <w:rFonts w:ascii="Times New Roman" w:hAnsi="Times New Roman" w:cs="Times New Roman" w:eastAsia="Times New Roman" w:hint="default"/>
          <w:spacing w:val="-2"/>
        </w:rPr>
        <w:t>1967</w:t>
      </w:r>
      <w:r>
        <w:rPr>
          <w:spacing w:val="-2"/>
        </w:rPr>
        <w:t>年出生，本科学历。历任本公司前身盐城丰东热处理有限公司生产部技术员、营销部</w:t>
      </w:r>
      <w:r>
        <w:rPr/>
        <w:t> </w:t>
      </w:r>
      <w:r>
        <w:rPr>
          <w:spacing w:val="-2"/>
        </w:rPr>
        <w:t>部长、副总经理、总经理、董事、董事长。现任本公司董事长、总经理；江苏权健东润投资管理有限公司董事长；兼任上海</w:t>
      </w:r>
      <w:r>
        <w:rPr>
          <w:spacing w:val="-67"/>
        </w:rPr>
        <w:t> </w:t>
      </w:r>
      <w:r>
        <w:rPr>
          <w:spacing w:val="-67"/>
        </w:rPr>
      </w:r>
      <w:r>
        <w:rPr>
          <w:spacing w:val="-2"/>
        </w:rPr>
        <w:t>丰东热处理工程有限公司、广州鑫润丰东热处理有限公司、天津丰东热处理有限公司、江苏石川岛丰东真空技术有限公司董</w:t>
      </w:r>
      <w:r>
        <w:rPr>
          <w:spacing w:val="-66"/>
        </w:rPr>
        <w:t> </w:t>
      </w:r>
      <w:r>
        <w:rPr>
          <w:spacing w:val="-66"/>
        </w:rPr>
      </w:r>
      <w:r>
        <w:rPr>
          <w:spacing w:val="-2"/>
        </w:rPr>
        <w:t>事长，上海君德实业有限公司、上海君浩实业有限公司执行董事，广州丰东热炼有限公司副董事长，上海垒土资产管理有限</w:t>
      </w:r>
      <w:r>
        <w:rPr>
          <w:spacing w:val="-66"/>
        </w:rPr>
        <w:t> </w:t>
      </w:r>
      <w:r>
        <w:rPr>
          <w:spacing w:val="-66"/>
        </w:rPr>
      </w:r>
      <w:r>
        <w:rPr>
          <w:spacing w:val="-2"/>
        </w:rPr>
        <w:t>公司、江苏理研科技股份有限公司董事，江苏朸健生命科技发展有限公司监事。社会职务有：中国机械工程学会热处理分会</w:t>
      </w:r>
      <w:r>
        <w:rPr>
          <w:spacing w:val="-66"/>
        </w:rPr>
        <w:t> </w:t>
      </w:r>
      <w:r>
        <w:rPr>
          <w:spacing w:val="-66"/>
        </w:rPr>
      </w:r>
      <w:r>
        <w:rPr/>
        <w:t>副理事长、江苏省党代表、盐城市工商联副会长。</w:t>
      </w:r>
    </w:p>
    <w:p>
      <w:pPr>
        <w:pStyle w:val="BodyText"/>
        <w:spacing w:line="302" w:lineRule="auto" w:before="59"/>
        <w:ind w:left="153" w:right="1130" w:firstLine="361"/>
        <w:jc w:val="both"/>
      </w:pPr>
      <w:r>
        <w:rPr>
          <w:rFonts w:ascii="宋体" w:hAnsi="宋体" w:cs="宋体" w:eastAsia="宋体" w:hint="default"/>
          <w:b/>
          <w:bCs/>
          <w:spacing w:val="-2"/>
        </w:rPr>
        <w:t>徐正军先生</w:t>
      </w:r>
      <w:r>
        <w:rPr>
          <w:spacing w:val="-2"/>
        </w:rPr>
        <w:t>，男，中国国籍，</w:t>
      </w:r>
      <w:r>
        <w:rPr>
          <w:rFonts w:ascii="Times New Roman" w:hAnsi="Times New Roman" w:cs="Times New Roman" w:eastAsia="Times New Roman" w:hint="default"/>
          <w:spacing w:val="-2"/>
        </w:rPr>
        <w:t>1971</w:t>
      </w:r>
      <w:r>
        <w:rPr>
          <w:spacing w:val="-2"/>
        </w:rPr>
        <w:t>年出生，清华大学高级工商管理硕士，方欣科技有限公司创始人、董事长。现任方欣</w:t>
      </w:r>
      <w:r>
        <w:rPr/>
        <w:t> 科技有限公司董事长、总经理；本公司副董事长。</w:t>
      </w:r>
    </w:p>
    <w:p>
      <w:pPr>
        <w:pStyle w:val="BodyText"/>
        <w:spacing w:line="319" w:lineRule="auto" w:before="68"/>
        <w:ind w:left="153" w:right="1033" w:firstLine="361"/>
        <w:jc w:val="left"/>
      </w:pPr>
      <w:r>
        <w:rPr>
          <w:rFonts w:ascii="宋体" w:hAnsi="宋体" w:cs="宋体" w:eastAsia="宋体" w:hint="default"/>
          <w:b/>
          <w:bCs/>
          <w:spacing w:val="-2"/>
        </w:rPr>
        <w:t>向建华先生，</w:t>
      </w:r>
      <w:r>
        <w:rPr>
          <w:spacing w:val="-2"/>
        </w:rPr>
        <w:t>男，中国国籍，</w:t>
      </w:r>
      <w:r>
        <w:rPr>
          <w:rFonts w:ascii="宋体" w:hAnsi="宋体" w:cs="宋体" w:eastAsia="宋体" w:hint="default"/>
          <w:spacing w:val="-2"/>
        </w:rPr>
        <w:t>1966</w:t>
      </w:r>
      <w:r>
        <w:rPr>
          <w:spacing w:val="-2"/>
        </w:rPr>
        <w:t>年出生，研究生学历，享受国务院特殊津贴专家，高级工程师。曾任公司前身盐城丰</w:t>
      </w:r>
      <w:r>
        <w:rPr/>
        <w:t> </w:t>
      </w:r>
      <w:r>
        <w:rPr>
          <w:spacing w:val="-5"/>
        </w:rPr>
        <w:t>东热处理有限公司生产部技术员、加工部部长、副总经理、副董事长；大丰市新团镇副镇长、副书记。现任本公司副董事长；</w:t>
      </w:r>
      <w:r>
        <w:rPr>
          <w:spacing w:val="-82"/>
        </w:rPr>
        <w:t> </w:t>
      </w:r>
      <w:r>
        <w:rPr>
          <w:spacing w:val="-82"/>
        </w:rPr>
      </w:r>
      <w:r>
        <w:rPr/>
        <w:t>江苏权健东润投资管理有限公司董事；兼任江苏丰东热技术有限公司、江苏丰东热处理及表面改性工程技术研究有限公司、</w:t>
      </w:r>
      <w:r>
        <w:rPr>
          <w:spacing w:val="-85"/>
        </w:rPr>
        <w:t> </w:t>
      </w:r>
      <w:r>
        <w:rPr>
          <w:spacing w:val="-85"/>
        </w:rPr>
      </w:r>
      <w:r>
        <w:rPr>
          <w:spacing w:val="-2"/>
        </w:rPr>
        <w:t>青岛丰东热处理有限公司、青岛丰东热工技术有限公司、潍坊丰东热处理有限公司、南京丰东热处理工程有限公司、常州鑫</w:t>
      </w:r>
      <w:r>
        <w:rPr>
          <w:spacing w:val="-66"/>
        </w:rPr>
        <w:t> </w:t>
      </w:r>
      <w:r>
        <w:rPr>
          <w:spacing w:val="-66"/>
        </w:rPr>
      </w:r>
      <w:r>
        <w:rPr>
          <w:spacing w:val="-2"/>
        </w:rPr>
        <w:t>润丰东热处理工程有限公司和江苏华本健康生活科技股份有限公司董事长，盐都华本中医诊所法定代表人，上海丰东热处理</w:t>
      </w:r>
      <w:r>
        <w:rPr>
          <w:spacing w:val="-63"/>
        </w:rPr>
        <w:t> </w:t>
      </w:r>
      <w:r>
        <w:rPr>
          <w:spacing w:val="-63"/>
        </w:rPr>
      </w:r>
      <w:r>
        <w:rPr>
          <w:spacing w:val="-2"/>
        </w:rPr>
        <w:t>工程有限公司、盐城丰东特种炉业有限公司、盐城明华电气安装有限公司董事，南京东旭投资管理合伙企业（有限合伙）执</w:t>
      </w:r>
      <w:r>
        <w:rPr>
          <w:spacing w:val="-66"/>
        </w:rPr>
        <w:t> </w:t>
      </w:r>
      <w:r>
        <w:rPr>
          <w:spacing w:val="-66"/>
        </w:rPr>
      </w:r>
      <w:r>
        <w:rPr>
          <w:spacing w:val="-2"/>
        </w:rPr>
        <w:t>行合伙人。社会职务有：中国热处理行业协会副理事长、全国热处理标准化技术委员会副主任委员、南京航空航天大学兼职</w:t>
      </w:r>
      <w:r>
        <w:rPr>
          <w:spacing w:val="-66"/>
        </w:rPr>
        <w:t> </w:t>
      </w:r>
      <w:r>
        <w:rPr>
          <w:spacing w:val="-66"/>
        </w:rPr>
      </w:r>
      <w:r>
        <w:rPr>
          <w:spacing w:val="-2"/>
        </w:rPr>
        <w:t>教授、《金属热处理》杂志编委、盐城市机械工程学会理事长、盐城市质量与信息化协会副会长、盐城市大丰区科协副主席</w:t>
      </w:r>
      <w:r>
        <w:rPr>
          <w:spacing w:val="-67"/>
        </w:rPr>
        <w:t> </w:t>
      </w:r>
      <w:r>
        <w:rPr>
          <w:spacing w:val="-67"/>
        </w:rPr>
      </w:r>
      <w:r>
        <w:rPr/>
        <w:t>等职务。</w:t>
      </w:r>
    </w:p>
    <w:p>
      <w:pPr>
        <w:pStyle w:val="BodyText"/>
        <w:spacing w:line="309" w:lineRule="auto" w:before="56"/>
        <w:ind w:left="153" w:right="1130" w:firstLine="361"/>
        <w:jc w:val="both"/>
      </w:pPr>
      <w:r>
        <w:rPr>
          <w:rFonts w:ascii="宋体" w:hAnsi="宋体" w:cs="宋体" w:eastAsia="宋体" w:hint="default"/>
          <w:b/>
          <w:bCs/>
          <w:spacing w:val="-2"/>
        </w:rPr>
        <w:t>王毅先生</w:t>
      </w:r>
      <w:r>
        <w:rPr>
          <w:spacing w:val="-2"/>
        </w:rPr>
        <w:t>，男，中国国籍，</w:t>
      </w:r>
      <w:r>
        <w:rPr>
          <w:rFonts w:ascii="Times New Roman" w:hAnsi="Times New Roman" w:cs="Times New Roman" w:eastAsia="Times New Roman" w:hint="default"/>
          <w:spacing w:val="-2"/>
        </w:rPr>
        <w:t>1967</w:t>
      </w:r>
      <w:r>
        <w:rPr>
          <w:spacing w:val="-2"/>
        </w:rPr>
        <w:t>年出生，大专学历。曾任南京跃进汽车集团技术员、工程师，南京法雷奥离合器有限公</w:t>
      </w:r>
      <w:r>
        <w:rPr/>
        <w:t> </w:t>
      </w:r>
      <w:r>
        <w:rPr>
          <w:spacing w:val="-2"/>
        </w:rPr>
        <w:t>司制造工程部部长；历任公司前身盐城丰东热处理有限公司营销部副部长、营销总监。现任本公司董事、副总经理；兼任盐</w:t>
      </w:r>
      <w:r>
        <w:rPr>
          <w:spacing w:val="-66"/>
        </w:rPr>
        <w:t> </w:t>
      </w:r>
      <w:r>
        <w:rPr>
          <w:spacing w:val="-66"/>
        </w:rPr>
      </w:r>
      <w:r>
        <w:rPr/>
        <w:t>城高周波热炼有限公司董事长，上海丰东热处理工程有限公司、北京丰东建通工业炉科技有限公司董事。</w:t>
      </w:r>
    </w:p>
    <w:p>
      <w:pPr>
        <w:pStyle w:val="BodyText"/>
        <w:spacing w:line="314" w:lineRule="auto" w:before="62"/>
        <w:ind w:left="154" w:right="1032" w:firstLine="361"/>
        <w:jc w:val="left"/>
      </w:pPr>
      <w:r>
        <w:rPr>
          <w:rFonts w:ascii="宋体" w:hAnsi="宋体" w:cs="宋体" w:eastAsia="宋体" w:hint="default"/>
          <w:b/>
          <w:bCs/>
          <w:spacing w:val="-2"/>
        </w:rPr>
        <w:t>朱小军先生</w:t>
      </w:r>
      <w:r>
        <w:rPr>
          <w:spacing w:val="-2"/>
        </w:rPr>
        <w:t>，男，中国国籍，</w:t>
      </w:r>
      <w:r>
        <w:rPr>
          <w:rFonts w:ascii="Times New Roman" w:hAnsi="Times New Roman" w:cs="Times New Roman" w:eastAsia="Times New Roman" w:hint="default"/>
          <w:spacing w:val="-2"/>
        </w:rPr>
        <w:t>1975</w:t>
      </w:r>
      <w:r>
        <w:rPr>
          <w:spacing w:val="-2"/>
        </w:rPr>
        <w:t>年出生，本科学历。曾就职于江苏森威集团股份有限公司，历任公司前身盐城丰东热</w:t>
      </w:r>
      <w:r>
        <w:rPr/>
        <w:t> </w:t>
      </w:r>
      <w:r>
        <w:rPr>
          <w:spacing w:val="-2"/>
        </w:rPr>
        <w:t>处理有限公司技术部技术员、主任工程师及营销部销售经理、部长助理、部长。现任本公司董事；江苏丰东热技术有限公司</w:t>
      </w:r>
      <w:r>
        <w:rPr>
          <w:spacing w:val="-66"/>
        </w:rPr>
        <w:t> </w:t>
      </w:r>
      <w:r>
        <w:rPr>
          <w:spacing w:val="-66"/>
        </w:rPr>
      </w:r>
      <w:r>
        <w:rPr>
          <w:spacing w:val="-2"/>
        </w:rPr>
        <w:t>董事、总经理；兼任上海宝华威热处理设备有限公司、盐城丰东祺耀工业炉有限公司、盐城丰东特种炉业有限公司、重庆丰</w:t>
      </w:r>
      <w:r>
        <w:rPr>
          <w:spacing w:val="-66"/>
        </w:rPr>
        <w:t> </w:t>
      </w:r>
      <w:r>
        <w:rPr>
          <w:spacing w:val="-66"/>
        </w:rPr>
      </w:r>
      <w:r>
        <w:rPr/>
        <w:t>东热处理工程有限公司和烟台丰东热技术有限公司董事长；上海丰东热处理工程有限公司、南京丰东热处理工程有限公司、</w:t>
      </w:r>
      <w:r>
        <w:rPr>
          <w:spacing w:val="-85"/>
        </w:rPr>
        <w:t> </w:t>
      </w:r>
      <w:r>
        <w:rPr>
          <w:spacing w:val="-85"/>
        </w:rPr>
      </w:r>
      <w:r>
        <w:rPr>
          <w:spacing w:val="-2"/>
        </w:rPr>
        <w:t>天津丰东热处理有限公司、青岛丰东热处理有限公司、青岛丰东热工技术有限公司、潍坊丰东热处理有限公司、广州鑫润丰</w:t>
      </w:r>
      <w:r>
        <w:rPr>
          <w:spacing w:val="-66"/>
        </w:rPr>
        <w:t> </w:t>
      </w:r>
      <w:r>
        <w:rPr>
          <w:spacing w:val="-66"/>
        </w:rPr>
      </w:r>
      <w:r>
        <w:rPr>
          <w:spacing w:val="-5"/>
        </w:rPr>
        <w:t>东热处理有限公司、常州鑫润丰东热处理工程有限公司、盐城高周波热炼有限公司、江苏石川岛丰东真空技术有限公司董事。</w:t>
      </w:r>
      <w:r>
        <w:rPr>
          <w:spacing w:val="-79"/>
        </w:rPr>
        <w:t> </w:t>
      </w:r>
      <w:r>
        <w:rPr>
          <w:spacing w:val="-79"/>
        </w:rPr>
      </w:r>
      <w:r>
        <w:rPr/>
        <w:t>社会职务有：中国热处理行业协会理事。</w:t>
      </w:r>
    </w:p>
    <w:p>
      <w:pPr>
        <w:pStyle w:val="BodyText"/>
        <w:spacing w:line="312" w:lineRule="auto" w:before="59"/>
        <w:ind w:left="154" w:right="1129" w:firstLine="361"/>
        <w:jc w:val="both"/>
      </w:pPr>
      <w:r>
        <w:rPr>
          <w:rFonts w:ascii="宋体" w:hAnsi="宋体" w:cs="宋体" w:eastAsia="宋体" w:hint="default"/>
          <w:b/>
          <w:bCs/>
        </w:rPr>
        <w:t>夏晓宇先生，</w:t>
      </w:r>
      <w:r>
        <w:rPr/>
        <w:t>男</w:t>
      </w:r>
      <w:r>
        <w:rPr>
          <w:spacing w:val="-14"/>
        </w:rPr>
        <w:t> </w:t>
      </w:r>
      <w:r>
        <w:rPr/>
        <w:t>中国国籍，</w:t>
      </w:r>
      <w:r>
        <w:rPr>
          <w:rFonts w:ascii="Times New Roman" w:hAnsi="Times New Roman" w:cs="Times New Roman" w:eastAsia="Times New Roman" w:hint="default"/>
        </w:rPr>
        <w:t>1969</w:t>
      </w:r>
      <w:r>
        <w:rPr/>
        <w:t>年出生，本科学历，民主党派九三学社社员。曾任公司前身盐城丰东热处理有限公司 </w:t>
      </w:r>
      <w:r>
        <w:rPr>
          <w:spacing w:val="-2"/>
        </w:rPr>
        <w:t>技术员、技术部部长助理、副部长、技术部部长；盐城丰东特种炉业有限公司副总经理；广州丰东热炼有限公司董事、总经</w:t>
      </w:r>
      <w:r>
        <w:rPr>
          <w:spacing w:val="-67"/>
        </w:rPr>
        <w:t> </w:t>
      </w:r>
      <w:r>
        <w:rPr>
          <w:spacing w:val="-67"/>
        </w:rPr>
      </w:r>
      <w:r>
        <w:rPr>
          <w:spacing w:val="-2"/>
        </w:rPr>
        <w:t>理。现任本公司董事，广州丰东热炼有限公司董事、总经理，江苏丰东热技术有限公司董事。社会职务有：中国热处理行业</w:t>
      </w:r>
      <w:r>
        <w:rPr>
          <w:spacing w:val="-68"/>
        </w:rPr>
        <w:t> </w:t>
      </w:r>
      <w:r>
        <w:rPr>
          <w:spacing w:val="-68"/>
        </w:rPr>
      </w:r>
      <w:r>
        <w:rPr/>
        <w:t>协会理事、广东省热处理协会副会长。</w:t>
      </w:r>
    </w:p>
    <w:p>
      <w:pPr>
        <w:pStyle w:val="BodyText"/>
        <w:spacing w:line="300" w:lineRule="auto" w:before="62"/>
        <w:ind w:left="153" w:right="1130" w:firstLine="361"/>
        <w:jc w:val="both"/>
      </w:pPr>
      <w:r>
        <w:rPr>
          <w:rFonts w:ascii="宋体" w:hAnsi="宋体" w:cs="宋体" w:eastAsia="宋体" w:hint="default"/>
          <w:b/>
          <w:bCs/>
          <w:spacing w:val="-2"/>
        </w:rPr>
        <w:t>陈丽花女士</w:t>
      </w:r>
      <w:r>
        <w:rPr>
          <w:spacing w:val="-2"/>
        </w:rPr>
        <w:t>，女，中国国籍，</w:t>
      </w:r>
      <w:r>
        <w:rPr>
          <w:rFonts w:ascii="Times New Roman" w:hAnsi="Times New Roman" w:cs="Times New Roman" w:eastAsia="Times New Roman" w:hint="default"/>
          <w:spacing w:val="-2"/>
        </w:rPr>
        <w:t>1965</w:t>
      </w:r>
      <w:r>
        <w:rPr>
          <w:spacing w:val="-2"/>
        </w:rPr>
        <w:t>年出生，管理学博士，南京大学商学院会计学系教授。历任南京大学讲师、南京大学</w:t>
      </w:r>
      <w:r>
        <w:rPr/>
        <w:t> </w:t>
      </w:r>
      <w:r>
        <w:rPr>
          <w:spacing w:val="-5"/>
        </w:rPr>
        <w:t>副教授、南京大学教授。现任南京大学教授；担任本公司、常州强力电子新材料股份有限公司、江苏联发纺织股份有限公司、</w:t>
      </w:r>
    </w:p>
    <w:p>
      <w:pPr>
        <w:spacing w:after="0" w:line="300" w:lineRule="auto"/>
        <w:jc w:val="both"/>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18"/>
        <w:jc w:val="left"/>
      </w:pPr>
      <w:r>
        <w:rPr>
          <w:spacing w:val="-2"/>
        </w:rPr>
        <w:t>北海银河生物产业投资股份有限公司、江苏东强股份有限公司（拟上市）、苏州蜗牛数字科技股份有限公司（拟上市）、江</w:t>
      </w:r>
      <w:r>
        <w:rPr>
          <w:spacing w:val="-71"/>
        </w:rPr>
        <w:t> </w:t>
      </w:r>
      <w:r>
        <w:rPr>
          <w:spacing w:val="-71"/>
        </w:rPr>
      </w:r>
      <w:r>
        <w:rPr/>
        <w:t>苏海安农村商业银行股份有限公司（拟上市）独立董事。</w:t>
      </w:r>
    </w:p>
    <w:p>
      <w:pPr>
        <w:pStyle w:val="BodyText"/>
        <w:spacing w:line="307" w:lineRule="auto" w:before="55"/>
        <w:ind w:left="154" w:right="1131" w:firstLine="361"/>
        <w:jc w:val="both"/>
      </w:pPr>
      <w:r>
        <w:rPr>
          <w:rFonts w:ascii="宋体" w:hAnsi="宋体" w:cs="宋体" w:eastAsia="宋体" w:hint="default"/>
          <w:b/>
          <w:bCs/>
          <w:spacing w:val="-2"/>
        </w:rPr>
        <w:t>季小琴女士</w:t>
      </w:r>
      <w:r>
        <w:rPr>
          <w:spacing w:val="-2"/>
        </w:rPr>
        <w:t>，女，中国国籍，</w:t>
      </w:r>
      <w:r>
        <w:rPr>
          <w:rFonts w:ascii="Times New Roman" w:hAnsi="Times New Roman" w:cs="Times New Roman" w:eastAsia="Times New Roman" w:hint="default"/>
          <w:spacing w:val="-2"/>
        </w:rPr>
        <w:t>1963</w:t>
      </w:r>
      <w:r>
        <w:rPr>
          <w:spacing w:val="-2"/>
        </w:rPr>
        <w:t>年出生，管理学（会计学）博士，中国注册会计师非执业会员，中国会计学会资深会</w:t>
      </w:r>
      <w:r>
        <w:rPr/>
        <w:t> </w:t>
      </w:r>
      <w:r>
        <w:rPr>
          <w:spacing w:val="-2"/>
        </w:rPr>
        <w:t>员。现任职于中南财经政法大学会计学院会计系副教授、会计学专业硕士生导师；兼任中南财经政法大学司法鉴定中心副主</w:t>
      </w:r>
      <w:r>
        <w:rPr>
          <w:spacing w:val="-66"/>
        </w:rPr>
        <w:t> </w:t>
      </w:r>
      <w:r>
        <w:rPr>
          <w:spacing w:val="-66"/>
        </w:rPr>
      </w:r>
      <w:r>
        <w:rPr>
          <w:spacing w:val="-2"/>
        </w:rPr>
        <w:t>任、</w:t>
      </w:r>
      <w:r>
        <w:rPr>
          <w:rFonts w:ascii="Times New Roman" w:hAnsi="Times New Roman" w:cs="Times New Roman" w:eastAsia="Times New Roman" w:hint="default"/>
          <w:spacing w:val="-2"/>
        </w:rPr>
        <w:t>“</w:t>
      </w:r>
      <w:r>
        <w:rPr>
          <w:spacing w:val="-2"/>
        </w:rPr>
        <w:t>九三</w:t>
      </w:r>
      <w:r>
        <w:rPr>
          <w:rFonts w:ascii="Times New Roman" w:hAnsi="Times New Roman" w:cs="Times New Roman" w:eastAsia="Times New Roman" w:hint="default"/>
          <w:spacing w:val="-2"/>
        </w:rPr>
        <w:t>”</w:t>
      </w:r>
      <w:r>
        <w:rPr>
          <w:spacing w:val="-2"/>
        </w:rPr>
        <w:t>学社湖北省委第六届妇女工作委员会委员。担任本公司、广东太安堂药业股份有限公司、湖北鼎龙化学股份有限</w:t>
      </w:r>
      <w:r>
        <w:rPr>
          <w:spacing w:val="-45"/>
        </w:rPr>
        <w:t> </w:t>
      </w:r>
      <w:r>
        <w:rPr>
          <w:spacing w:val="-45"/>
        </w:rPr>
      </w:r>
      <w:r>
        <w:rPr/>
        <w:t>公司独立董事。</w:t>
      </w:r>
    </w:p>
    <w:p>
      <w:pPr>
        <w:pStyle w:val="BodyText"/>
        <w:spacing w:line="302" w:lineRule="auto" w:before="65"/>
        <w:ind w:left="153" w:right="1129" w:firstLine="361"/>
        <w:jc w:val="both"/>
      </w:pPr>
      <w:r>
        <w:rPr>
          <w:rFonts w:ascii="宋体" w:hAnsi="宋体" w:cs="宋体" w:eastAsia="宋体" w:hint="default"/>
          <w:b/>
          <w:bCs/>
        </w:rPr>
        <w:t>夏维剑先生</w:t>
      </w:r>
      <w:r>
        <w:rPr/>
        <w:t>，男，中国国籍，</w:t>
      </w:r>
      <w:r>
        <w:rPr>
          <w:rFonts w:ascii="Times New Roman" w:hAnsi="Times New Roman" w:cs="Times New Roman" w:eastAsia="Times New Roman" w:hint="default"/>
        </w:rPr>
        <w:t>1967</w:t>
      </w:r>
      <w:r>
        <w:rPr/>
        <w:t>年出生，大学法律本科毕业，执业律师，中共党员。曾在南京市司法局工作；</w:t>
      </w:r>
      <w:r>
        <w:rPr>
          <w:rFonts w:ascii="Times New Roman" w:hAnsi="Times New Roman" w:cs="Times New Roman" w:eastAsia="Times New Roman" w:hint="default"/>
        </w:rPr>
        <w:t>1993 </w:t>
      </w:r>
      <w:r>
        <w:rPr/>
        <w:t>年</w:t>
      </w:r>
      <w:r>
        <w:rPr>
          <w:rFonts w:ascii="Times New Roman" w:hAnsi="Times New Roman" w:cs="Times New Roman" w:eastAsia="Times New Roman" w:hint="default"/>
        </w:rPr>
        <w:t>7</w:t>
      </w:r>
      <w:r>
        <w:rPr/>
        <w:t>月至今，从事律师工作。现任江苏金禾律师事务所合伙人、本公司独立董事。</w:t>
      </w:r>
    </w:p>
    <w:p>
      <w:pPr>
        <w:spacing w:line="338" w:lineRule="auto" w:before="50"/>
        <w:ind w:left="515"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、本公司现任监事专业背景、主要工作经历以及目前在公司的主要职责</w:t>
      </w:r>
      <w:r>
        <w:rPr>
          <w:rFonts w:ascii="宋体" w:hAnsi="宋体" w:cs="宋体" w:eastAsia="宋体" w:hint="default"/>
          <w:b/>
          <w:bCs/>
          <w:w w:val="99"/>
          <w:sz w:val="18"/>
          <w:szCs w:val="18"/>
        </w:rPr>
        <w:t> </w:t>
      </w:r>
      <w:r>
        <w:rPr>
          <w:rFonts w:ascii="宋体" w:hAnsi="宋体" w:cs="宋体" w:eastAsia="宋体" w:hint="default"/>
          <w:b/>
          <w:bCs/>
          <w:spacing w:val="-2"/>
          <w:sz w:val="18"/>
          <w:szCs w:val="18"/>
        </w:rPr>
        <w:t>河田一喜先生</w:t>
      </w:r>
      <w:r>
        <w:rPr>
          <w:rFonts w:ascii="宋体" w:hAnsi="宋体" w:cs="宋体" w:eastAsia="宋体" w:hint="default"/>
          <w:spacing w:val="-2"/>
          <w:sz w:val="18"/>
          <w:szCs w:val="18"/>
        </w:rPr>
        <w:t>，男，日本国籍，</w:t>
      </w:r>
      <w:r>
        <w:rPr>
          <w:rFonts w:ascii="Times New Roman" w:hAnsi="Times New Roman" w:cs="Times New Roman" w:eastAsia="Times New Roman" w:hint="default"/>
          <w:spacing w:val="-2"/>
          <w:sz w:val="18"/>
          <w:szCs w:val="18"/>
        </w:rPr>
        <w:t>1954</w:t>
      </w:r>
      <w:r>
        <w:rPr>
          <w:rFonts w:ascii="宋体" w:hAnsi="宋体" w:cs="宋体" w:eastAsia="宋体" w:hint="default"/>
          <w:spacing w:val="-2"/>
          <w:sz w:val="18"/>
          <w:szCs w:val="18"/>
        </w:rPr>
        <w:t>年出生，大学学历。历任东方工程株式会社课长、次长、部长、取缔役、本公司副</w:t>
      </w:r>
    </w:p>
    <w:p>
      <w:pPr>
        <w:pStyle w:val="BodyText"/>
        <w:spacing w:line="217" w:lineRule="exact"/>
        <w:ind w:left="153" w:right="0"/>
        <w:jc w:val="left"/>
      </w:pPr>
      <w:r>
        <w:rPr/>
        <w:t>董事长。现任东方工程株式会社代表取缔役、社长，本公司监事会主席；兼任江苏丰东热技术有限公司、天津丰东热处理有</w:t>
      </w:r>
    </w:p>
    <w:p>
      <w:pPr>
        <w:pStyle w:val="BodyText"/>
        <w:spacing w:line="357" w:lineRule="auto" w:before="77"/>
        <w:ind w:left="515" w:right="1118" w:hanging="362"/>
        <w:jc w:val="left"/>
      </w:pPr>
      <w:r>
        <w:rPr/>
        <w:t>限公司副董事长。 </w:t>
      </w:r>
      <w:r>
        <w:rPr>
          <w:rFonts w:ascii="宋体" w:hAnsi="宋体" w:cs="宋体" w:eastAsia="宋体" w:hint="default"/>
          <w:b/>
          <w:bCs/>
          <w:spacing w:val="-2"/>
        </w:rPr>
        <w:t>朱雪芳女士，</w:t>
      </w:r>
      <w:r>
        <w:rPr>
          <w:spacing w:val="-2"/>
        </w:rPr>
        <w:t>女，中国国籍，</w:t>
      </w:r>
      <w:r>
        <w:rPr>
          <w:rFonts w:ascii="Times New Roman" w:hAnsi="Times New Roman" w:cs="Times New Roman" w:eastAsia="Times New Roman" w:hint="default"/>
          <w:spacing w:val="-2"/>
        </w:rPr>
        <w:t>1983</w:t>
      </w:r>
      <w:r>
        <w:rPr>
          <w:spacing w:val="-2"/>
        </w:rPr>
        <w:t>年出生，本科学历，人力资源管理师。现任方欣科技有限公司董事长秘书、采购部副</w:t>
      </w:r>
    </w:p>
    <w:p>
      <w:pPr>
        <w:pStyle w:val="BodyText"/>
        <w:spacing w:line="202" w:lineRule="exact"/>
        <w:ind w:left="153" w:right="1118"/>
        <w:jc w:val="left"/>
      </w:pPr>
      <w:r>
        <w:rPr/>
        <w:t>总监，本公司监事。</w:t>
      </w:r>
    </w:p>
    <w:p>
      <w:pPr>
        <w:pStyle w:val="BodyText"/>
        <w:spacing w:line="300" w:lineRule="auto" w:before="115"/>
        <w:ind w:left="153" w:right="1131" w:firstLine="361"/>
        <w:jc w:val="both"/>
      </w:pPr>
      <w:r>
        <w:rPr>
          <w:rFonts w:ascii="宋体" w:hAnsi="宋体" w:cs="宋体" w:eastAsia="宋体" w:hint="default"/>
          <w:b/>
          <w:bCs/>
          <w:spacing w:val="-8"/>
        </w:rPr>
        <w:t>俞玉岚</w:t>
      </w:r>
      <w:r>
        <w:rPr>
          <w:spacing w:val="-8"/>
        </w:rPr>
        <w:t>，女，中国国籍，</w:t>
      </w:r>
      <w:r>
        <w:rPr>
          <w:rFonts w:ascii="Times New Roman" w:hAnsi="Times New Roman" w:cs="Times New Roman" w:eastAsia="Times New Roman" w:hint="default"/>
          <w:spacing w:val="-8"/>
        </w:rPr>
        <w:t>1989</w:t>
      </w:r>
      <w:r>
        <w:rPr>
          <w:spacing w:val="-8"/>
        </w:rPr>
        <w:t>年</w:t>
      </w:r>
      <w:r>
        <w:rPr>
          <w:rFonts w:ascii="Times New Roman" w:hAnsi="Times New Roman" w:cs="Times New Roman" w:eastAsia="Times New Roman" w:hint="default"/>
          <w:spacing w:val="-8"/>
        </w:rPr>
        <w:t>12</w:t>
      </w:r>
      <w:r>
        <w:rPr>
          <w:spacing w:val="-8"/>
        </w:rPr>
        <w:t>月出生，本科学历。</w:t>
      </w:r>
      <w:r>
        <w:rPr>
          <w:rFonts w:ascii="Times New Roman" w:hAnsi="Times New Roman" w:cs="Times New Roman" w:eastAsia="Times New Roman" w:hint="default"/>
          <w:spacing w:val="-8"/>
        </w:rPr>
        <w:t>2011</w:t>
      </w:r>
      <w:r>
        <w:rPr>
          <w:spacing w:val="-8"/>
        </w:rPr>
        <w:t>年</w:t>
      </w:r>
      <w:r>
        <w:rPr>
          <w:rFonts w:ascii="Times New Roman" w:hAnsi="Times New Roman" w:cs="Times New Roman" w:eastAsia="Times New Roman" w:hint="default"/>
          <w:spacing w:val="-8"/>
        </w:rPr>
        <w:t>9</w:t>
      </w:r>
      <w:r>
        <w:rPr>
          <w:spacing w:val="-8"/>
        </w:rPr>
        <w:t>月至</w:t>
      </w: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4</w:t>
      </w:r>
      <w:r>
        <w:rPr>
          <w:spacing w:val="-8"/>
        </w:rPr>
        <w:t>月就职于众华会计师事务所（特殊普通合伙），</w:t>
      </w:r>
      <w:r>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月就职于上海三众企业管理咨询有限公司。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月就职于本公司，任投资部投资经理。现任本公司</w:t>
      </w:r>
      <w:r>
        <w:rPr>
          <w:spacing w:val="-50"/>
        </w:rPr>
        <w:t> </w:t>
      </w:r>
      <w:r>
        <w:rPr>
          <w:spacing w:val="-50"/>
        </w:rPr>
      </w:r>
      <w:r>
        <w:rPr/>
        <w:t>职工代表监事、内部审计部负责人。</w:t>
      </w:r>
    </w:p>
    <w:p>
      <w:pPr>
        <w:spacing w:line="338" w:lineRule="auto" w:before="71"/>
        <w:ind w:left="515" w:right="4093" w:firstLine="0"/>
        <w:jc w:val="lef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3</w:t>
      </w:r>
      <w:r>
        <w:rPr>
          <w:rFonts w:ascii="宋体" w:hAnsi="宋体" w:cs="宋体" w:eastAsia="宋体" w:hint="default"/>
          <w:b/>
          <w:bCs/>
          <w:w w:val="95"/>
          <w:sz w:val="18"/>
          <w:szCs w:val="18"/>
        </w:rPr>
        <w:t>、本公司现任高级管理人员专业背景、主要工作经历以及目前在公司的主要职责</w:t>
      </w:r>
      <w:r>
        <w:rPr>
          <w:rFonts w:ascii="宋体" w:hAnsi="宋体" w:cs="宋体" w:eastAsia="宋体" w:hint="default"/>
          <w:b/>
          <w:bCs/>
          <w:spacing w:val="55"/>
          <w:w w:val="95"/>
          <w:sz w:val="18"/>
          <w:szCs w:val="18"/>
        </w:rPr>
        <w:t> </w:t>
      </w:r>
      <w:r>
        <w:rPr>
          <w:rFonts w:ascii="宋体" w:hAnsi="宋体" w:cs="宋体" w:eastAsia="宋体" w:hint="default"/>
          <w:b/>
          <w:bCs/>
          <w:spacing w:val="55"/>
          <w:w w:val="95"/>
          <w:sz w:val="18"/>
          <w:szCs w:val="18"/>
        </w:rPr>
      </w:r>
      <w:r>
        <w:rPr>
          <w:rFonts w:ascii="宋体" w:hAnsi="宋体" w:cs="宋体" w:eastAsia="宋体" w:hint="default"/>
          <w:b/>
          <w:bCs/>
          <w:sz w:val="18"/>
          <w:szCs w:val="18"/>
        </w:rPr>
        <w:t>朱文明先生，</w:t>
      </w:r>
      <w:r>
        <w:rPr>
          <w:rFonts w:ascii="宋体" w:hAnsi="宋体" w:cs="宋体" w:eastAsia="宋体" w:hint="default"/>
          <w:sz w:val="18"/>
          <w:szCs w:val="18"/>
        </w:rPr>
        <w:t>总经理，详见本节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部分。 </w:t>
      </w:r>
      <w:r>
        <w:rPr>
          <w:rFonts w:ascii="宋体" w:hAnsi="宋体" w:cs="宋体" w:eastAsia="宋体" w:hint="default"/>
          <w:b/>
          <w:bCs/>
          <w:sz w:val="18"/>
          <w:szCs w:val="18"/>
        </w:rPr>
        <w:t>王毅先生，</w:t>
      </w:r>
      <w:r>
        <w:rPr>
          <w:rFonts w:ascii="宋体" w:hAnsi="宋体" w:cs="宋体" w:eastAsia="宋体" w:hint="default"/>
          <w:sz w:val="18"/>
          <w:szCs w:val="18"/>
        </w:rPr>
        <w:t>副总经理，详见本节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p>
      <w:pPr>
        <w:pStyle w:val="BodyText"/>
        <w:spacing w:line="302" w:lineRule="auto" w:before="19"/>
        <w:ind w:left="153" w:right="1130" w:firstLine="361"/>
        <w:jc w:val="right"/>
      </w:pPr>
      <w:r>
        <w:rPr>
          <w:rFonts w:ascii="宋体" w:hAnsi="宋体" w:cs="宋体" w:eastAsia="宋体" w:hint="default"/>
          <w:b/>
          <w:bCs/>
          <w:spacing w:val="-5"/>
        </w:rPr>
        <w:t>黄光明先生，</w:t>
      </w:r>
      <w:r>
        <w:rPr>
          <w:spacing w:val="-5"/>
        </w:rPr>
        <w:t>男，中国国籍，</w:t>
      </w:r>
      <w:r>
        <w:rPr>
          <w:rFonts w:ascii="Times New Roman" w:hAnsi="Times New Roman" w:cs="Times New Roman" w:eastAsia="Times New Roman" w:hint="default"/>
          <w:spacing w:val="-5"/>
        </w:rPr>
        <w:t>1970</w:t>
      </w:r>
      <w:r>
        <w:rPr>
          <w:spacing w:val="-5"/>
        </w:rPr>
        <w:t>年出生，研究生毕业，硕士学位。历任深圳市华达电源系统有限公司和艾诺斯（中国）</w:t>
      </w:r>
      <w:r>
        <w:rPr/>
        <w:t> </w:t>
      </w:r>
      <w:r>
        <w:rPr>
          <w:spacing w:val="-5"/>
        </w:rPr>
        <w:t>华达电源系统有限公司经理、方欣科技有限公司营销中心总监、副总经理。现任方欣科技有限公司总经理，本公司副总经理。</w:t>
      </w:r>
    </w:p>
    <w:p>
      <w:pPr>
        <w:pStyle w:val="BodyText"/>
        <w:spacing w:line="302" w:lineRule="auto" w:before="69"/>
        <w:ind w:left="153" w:right="1130" w:firstLine="361"/>
        <w:jc w:val="both"/>
      </w:pPr>
      <w:r>
        <w:rPr>
          <w:rFonts w:ascii="宋体" w:hAnsi="宋体" w:cs="宋体" w:eastAsia="宋体" w:hint="default"/>
          <w:b/>
          <w:bCs/>
          <w:spacing w:val="-2"/>
        </w:rPr>
        <w:t>房莉莉女士，</w:t>
      </w:r>
      <w:r>
        <w:rPr>
          <w:spacing w:val="-2"/>
        </w:rPr>
        <w:t>中国国籍，</w:t>
      </w:r>
      <w:r>
        <w:rPr>
          <w:rFonts w:ascii="Times New Roman" w:hAnsi="Times New Roman" w:cs="Times New Roman" w:eastAsia="Times New Roman" w:hint="default"/>
          <w:spacing w:val="-2"/>
        </w:rPr>
        <w:t>1980</w:t>
      </w:r>
      <w:r>
        <w:rPr>
          <w:spacing w:val="-2"/>
        </w:rPr>
        <w:t>年出生，本科学历。历任公司证券部助理、职工代表监事。现任本公司副总经理、董事会</w:t>
      </w:r>
      <w:r>
        <w:rPr/>
        <w:t> 秘书、证券部部长，兼任江苏大丰农村商业银行股份有限公司监事。</w:t>
      </w:r>
    </w:p>
    <w:p>
      <w:pPr>
        <w:pStyle w:val="BodyText"/>
        <w:spacing w:line="300" w:lineRule="auto" w:before="68"/>
        <w:ind w:left="153" w:right="1028" w:firstLine="361"/>
        <w:jc w:val="left"/>
      </w:pPr>
      <w:r>
        <w:rPr>
          <w:rFonts w:ascii="宋体" w:hAnsi="宋体" w:cs="宋体" w:eastAsia="宋体" w:hint="default"/>
          <w:b/>
          <w:bCs/>
        </w:rPr>
        <w:t>褚文兰女士，</w:t>
      </w:r>
      <w:r>
        <w:rPr/>
        <w:t>中国国籍，</w:t>
      </w:r>
      <w:r>
        <w:rPr>
          <w:rFonts w:ascii="Times New Roman" w:hAnsi="Times New Roman" w:cs="Times New Roman" w:eastAsia="Times New Roman" w:hint="default"/>
        </w:rPr>
        <w:t>1976</w:t>
      </w:r>
      <w:r>
        <w:rPr/>
        <w:t>年出生，硕士，高级会计师，中国注册会计师（证券从业资格），中国注册资产评估师、 中国注册税务师，并拥有中国律师资格，</w:t>
      </w:r>
      <w:r>
        <w:rPr>
          <w:rFonts w:ascii="Times New Roman" w:hAnsi="Times New Roman" w:cs="Times New Roman" w:eastAsia="Times New Roman" w:hint="default"/>
        </w:rPr>
        <w:t>ACA </w:t>
      </w:r>
      <w:r>
        <w:rPr/>
        <w:t>、</w:t>
      </w:r>
      <w:r>
        <w:rPr>
          <w:rFonts w:ascii="Times New Roman" w:hAnsi="Times New Roman" w:cs="Times New Roman" w:eastAsia="Times New Roman" w:hint="default"/>
        </w:rPr>
        <w:t>ACCA</w:t>
      </w:r>
      <w:r>
        <w:rPr>
          <w:rFonts w:ascii="Times New Roman" w:hAnsi="Times New Roman" w:cs="Times New Roman" w:eastAsia="Times New Roman" w:hint="default"/>
          <w:spacing w:val="36"/>
        </w:rPr>
        <w:t> </w:t>
      </w:r>
      <w:r>
        <w:rPr/>
        <w:t>资格。历任众华会计师事务所（特殊普通合伙）授薪合伙人、上海 华群实业股份有限公司财务总监、西交利物浦（国际）大学国际商学院兼职讲师。现任本公司财务总监。</w:t>
      </w:r>
    </w:p>
    <w:p>
      <w:pPr>
        <w:pStyle w:val="BodyText"/>
        <w:spacing w:line="240" w:lineRule="auto" w:before="150"/>
        <w:ind w:right="1118"/>
        <w:jc w:val="left"/>
      </w:pPr>
      <w:r>
        <w:rPr/>
        <w:t>在股东单位任职情况</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2753"/>
        <w:gridCol w:w="992"/>
        <w:gridCol w:w="1559"/>
        <w:gridCol w:w="1563"/>
        <w:gridCol w:w="1484"/>
      </w:tblGrid>
      <w:tr>
        <w:trPr>
          <w:trHeight w:val="570"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40" w:right="4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江苏权健东润投资管理有限公司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江苏权健东润投资管理有限公司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代表取缔役</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在其他单位任职情况</w:t>
      </w:r>
    </w:p>
    <w:p>
      <w:pPr>
        <w:pStyle w:val="BodyText"/>
        <w:spacing w:line="240" w:lineRule="auto" w:before="116"/>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3119"/>
        <w:gridCol w:w="1134"/>
        <w:gridCol w:w="1560"/>
        <w:gridCol w:w="1559"/>
        <w:gridCol w:w="1345"/>
      </w:tblGrid>
      <w:tr>
        <w:trPr>
          <w:trHeight w:val="75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1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11" w:right="11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851"/>
        <w:gridCol w:w="3119"/>
        <w:gridCol w:w="1134"/>
        <w:gridCol w:w="1560"/>
        <w:gridCol w:w="1559"/>
        <w:gridCol w:w="1345"/>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上海君德实业有限公司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上海君浩实业有限公司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上海垒土资产管理有限公司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江苏理研科技股份有限公司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江苏朸健生命科技发展有限公司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 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青岛丰东热工技术有限公司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江苏华本健康生活科技股份有限公司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盐都华本中医诊所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盐城明华电气安装有限公司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南京东旭投资管理合伙企</w:t>
            </w:r>
            <w:r>
              <w:rPr>
                <w:rFonts w:ascii="宋体" w:hAnsi="宋体" w:cs="宋体" w:eastAsia="宋体" w:hint="default"/>
                <w:spacing w:val="-88"/>
                <w:sz w:val="18"/>
                <w:szCs w:val="18"/>
              </w:rPr>
              <w:t>业</w:t>
            </w:r>
            <w:r>
              <w:rPr>
                <w:rFonts w:ascii="宋体" w:hAnsi="宋体" w:cs="宋体" w:eastAsia="宋体" w:hint="default"/>
                <w:sz w:val="18"/>
                <w:szCs w:val="18"/>
              </w:rPr>
              <w:t>（有限合伙</w:t>
            </w:r>
            <w:r>
              <w:rPr>
                <w:rFonts w:ascii="宋体" w:hAnsi="宋体" w:cs="宋体" w:eastAsia="宋体" w:hint="default"/>
                <w:spacing w:val="-34"/>
                <w:sz w:val="18"/>
                <w:szCs w:val="18"/>
              </w:rPr>
              <w:t>）</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执行合伙人</w:t>
            </w:r>
          </w:p>
          <w:p>
            <w:pPr>
              <w:pStyle w:val="TableParagraph"/>
              <w:spacing w:line="415" w:lineRule="exact"/>
              <w:ind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5.05pt;height:20.8pt;mso-position-horizontal-relative:char;mso-position-vertical-relative:line" coordorigin="0,0" coordsize="1101,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1078;height:393" coordorigin="23,11" coordsize="1078,393">
                    <v:shape style="position:absolute;left:23;top:11;width:1078;height:393" coordorigin="23,11" coordsize="1078,393" path="m23,404l1100,404,1100,11,23,11,23,404xe" filled="true" fillcolor="#ffffff" stroked="false">
                      <v:path arrowok="t"/>
                      <v:fill type="solid"/>
                    </v:shape>
                  </v:group>
                </v:group>
              </w:pict>
            </w:r>
            <w:r>
              <w:rPr>
                <w:rFonts w:ascii="Times New Roman" w:hAnsi="Times New Roman" w:cs="Times New Roman" w:eastAsia="Times New Roman" w:hint="default"/>
                <w:position w:val="-7"/>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烟台丰东热技术有限公司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559"/>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851"/>
        <w:gridCol w:w="3119"/>
        <w:gridCol w:w="1134"/>
        <w:gridCol w:w="1560"/>
        <w:gridCol w:w="1559"/>
        <w:gridCol w:w="1345"/>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南京大学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常州强力电子新材料股份有限公司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江苏联发纺织股份有限公司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北海银河生物产业投资股份有限公司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苏州蜗牛数字科技股份有限公司</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（拟上市）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江苏东强股份有限公司（拟上市）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江苏海安农村商业银行股份有限公司</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（拟上市）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1"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58"/>
              <w:ind w:left="22" w:right="154"/>
              <w:jc w:val="left"/>
              <w:rPr>
                <w:rFonts w:ascii="宋体" w:hAnsi="宋体" w:cs="宋体" w:eastAsia="宋体" w:hint="default"/>
                <w:sz w:val="18"/>
                <w:szCs w:val="18"/>
              </w:rPr>
            </w:pPr>
            <w:r>
              <w:rPr>
                <w:rFonts w:ascii="宋体" w:hAnsi="宋体" w:cs="宋体" w:eastAsia="宋体" w:hint="default"/>
                <w:sz w:val="18"/>
                <w:szCs w:val="18"/>
              </w:rPr>
              <w:t>中南财经政法大学会计学院会计系</w:t>
            </w:r>
            <w:r>
              <w:rPr>
                <w:rFonts w:ascii="Times New Roman" w:hAnsi="Times New Roman" w:cs="Times New Roman" w:eastAsia="Times New Roman" w:hint="default"/>
                <w:sz w:val="18"/>
                <w:szCs w:val="18"/>
              </w:rPr>
              <w:t>/</w:t>
            </w:r>
            <w:r>
              <w:rPr>
                <w:rFonts w:ascii="宋体" w:hAnsi="宋体" w:cs="宋体" w:eastAsia="宋体" w:hint="default"/>
                <w:sz w:val="18"/>
                <w:szCs w:val="18"/>
              </w:rPr>
              <w:t>会 计学专业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22" w:right="199"/>
              <w:jc w:val="left"/>
              <w:rPr>
                <w:rFonts w:ascii="宋体" w:hAnsi="宋体" w:cs="宋体" w:eastAsia="宋体" w:hint="default"/>
                <w:sz w:val="18"/>
                <w:szCs w:val="18"/>
              </w:rPr>
            </w:pPr>
            <w:r>
              <w:rPr>
                <w:rFonts w:ascii="宋体" w:hAnsi="宋体" w:cs="宋体" w:eastAsia="宋体" w:hint="default"/>
                <w:sz w:val="18"/>
                <w:szCs w:val="18"/>
              </w:rPr>
              <w:t>副教授 研究生导师</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中南财经政法大学司法鉴定中心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九三</w:t>
            </w:r>
            <w:r>
              <w:rPr>
                <w:rFonts w:ascii="Times New Roman" w:hAnsi="Times New Roman" w:cs="Times New Roman" w:eastAsia="Times New Roman" w:hint="default"/>
                <w:sz w:val="18"/>
                <w:szCs w:val="18"/>
              </w:rPr>
              <w:t>"</w:t>
            </w:r>
            <w:r>
              <w:rPr>
                <w:rFonts w:ascii="宋体" w:hAnsi="宋体" w:cs="宋体" w:eastAsia="宋体" w:hint="default"/>
                <w:sz w:val="18"/>
                <w:szCs w:val="18"/>
              </w:rPr>
              <w:t>学社湖北省委第六届妇女工作委 员会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广东太安堂药业股份有限公司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湖北鼎龙化学股份有限公司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江苏金禾律师事务所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9"/>
              <w:jc w:val="left"/>
              <w:rPr>
                <w:rFonts w:ascii="宋体" w:hAnsi="宋体" w:cs="宋体" w:eastAsia="宋体" w:hint="default"/>
                <w:sz w:val="18"/>
                <w:szCs w:val="18"/>
              </w:rPr>
            </w:pPr>
            <w:r>
              <w:rPr>
                <w:rFonts w:ascii="宋体" w:hAnsi="宋体" w:cs="宋体" w:eastAsia="宋体" w:hint="default"/>
                <w:sz w:val="18"/>
                <w:szCs w:val="18"/>
              </w:rPr>
              <w:t>代表取缔役 社长</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9"/>
              <w:jc w:val="both"/>
              <w:rPr>
                <w:rFonts w:ascii="宋体" w:hAnsi="宋体" w:cs="宋体" w:eastAsia="宋体" w:hint="default"/>
                <w:sz w:val="18"/>
                <w:szCs w:val="18"/>
              </w:rPr>
            </w:pPr>
            <w:r>
              <w:rPr>
                <w:rFonts w:ascii="宋体" w:hAnsi="宋体" w:cs="宋体" w:eastAsia="宋体" w:hint="default"/>
                <w:sz w:val="18"/>
                <w:szCs w:val="18"/>
              </w:rPr>
              <w:t>董事长秘书 采购部副总 监</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江苏大丰农村商业银行股份有限公司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7"/>
          <w:szCs w:val="7"/>
        </w:rPr>
      </w:pPr>
    </w:p>
    <w:p>
      <w:pPr>
        <w:pStyle w:val="BodyText"/>
        <w:spacing w:line="240" w:lineRule="auto" w:before="44"/>
        <w:ind w:left="514" w:right="1118"/>
        <w:jc w:val="left"/>
      </w:pPr>
      <w:r>
        <w:rPr/>
        <w:t>公司现任及报告期内离任董事、监事和高级管理人员近三年证券监管机构处罚的情况</w:t>
      </w:r>
    </w:p>
    <w:p>
      <w:pPr>
        <w:spacing w:line="240" w:lineRule="auto" w:before="12"/>
        <w:rPr>
          <w:rFonts w:ascii="宋体" w:hAnsi="宋体" w:cs="宋体" w:eastAsia="宋体" w:hint="default"/>
          <w:sz w:val="14"/>
          <w:szCs w:val="14"/>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18"/>
        <w:jc w:val="left"/>
        <w:rPr>
          <w:b w:val="0"/>
          <w:bCs w:val="0"/>
        </w:rPr>
      </w:pPr>
      <w:bookmarkStart w:name="四、董事、监事、高级管理人员报酬情况" w:id="134"/>
      <w:bookmarkEnd w:id="13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董事、监事、高级管理人员报酬的决策程序、确定依据、实际支付情况</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00" w:lineRule="auto" w:before="44"/>
        <w:ind w:left="153" w:right="1132" w:firstLine="360"/>
        <w:jc w:val="both"/>
      </w:pPr>
      <w:r>
        <w:rPr>
          <w:rFonts w:ascii="Times New Roman" w:hAnsi="Times New Roman" w:cs="Times New Roman" w:eastAsia="Times New Roman" w:hint="default"/>
        </w:rPr>
        <w:t>1</w:t>
      </w:r>
      <w:r>
        <w:rPr/>
        <w:t>、董事、监事、高级管理人员报酬的决策程序：《第三届董事、监事津贴方案》经公司第三届董事会第二次会议审议 </w:t>
      </w:r>
      <w:r>
        <w:rPr>
          <w:spacing w:val="-2"/>
        </w:rPr>
        <w:t>并提交</w:t>
      </w:r>
      <w:r>
        <w:rPr>
          <w:rFonts w:ascii="Times New Roman" w:hAnsi="Times New Roman" w:cs="Times New Roman" w:eastAsia="Times New Roman" w:hint="default"/>
          <w:spacing w:val="-2"/>
        </w:rPr>
        <w:t>2013</w:t>
      </w:r>
      <w:r>
        <w:rPr>
          <w:spacing w:val="-2"/>
        </w:rPr>
        <w:t>年度股东大会审议通过、《关于第四届独立董事津贴的议案》经公司第四届董事会第三次会议审议并将提交</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3"/>
        </w:rPr>
        <w:t> </w:t>
      </w:r>
      <w:r>
        <w:rPr/>
        <w:t>年度股东大会审议通过；高级管理人员</w:t>
      </w:r>
      <w:r>
        <w:rPr>
          <w:rFonts w:ascii="Times New Roman" w:hAnsi="Times New Roman" w:cs="Times New Roman" w:eastAsia="Times New Roman" w:hint="default"/>
        </w:rPr>
        <w:t>2017</w:t>
      </w:r>
      <w:r>
        <w:rPr/>
        <w:t>年度报酬经公司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日召开的董事会薪酬委员会会议同意，并提交公司 第四届董事会第十七次会议审议通过。</w:t>
      </w:r>
    </w:p>
    <w:p>
      <w:pPr>
        <w:pStyle w:val="BodyText"/>
        <w:spacing w:line="300" w:lineRule="auto" w:before="70"/>
        <w:ind w:left="153" w:right="1130" w:firstLine="360"/>
        <w:jc w:val="both"/>
      </w:pPr>
      <w:r>
        <w:rPr>
          <w:rFonts w:ascii="Times New Roman" w:hAnsi="Times New Roman" w:cs="Times New Roman" w:eastAsia="Times New Roman" w:hint="default"/>
        </w:rPr>
        <w:t>2</w:t>
      </w:r>
      <w:r>
        <w:rPr/>
        <w:t>、董事、监事、高级管理人员报酬的确定依据：独立董事薪酬是公司根据独立董事实际工作开展情况结合当前市场实 </w:t>
      </w:r>
      <w:r>
        <w:rPr>
          <w:spacing w:val="-2"/>
        </w:rPr>
        <w:t>际确定。高级管理人员的报酬是根据公司《高级管理人员薪酬管理制度》的相关规定，结合公司</w:t>
      </w:r>
      <w:r>
        <w:rPr>
          <w:rFonts w:ascii="Times New Roman" w:hAnsi="Times New Roman" w:cs="Times New Roman" w:eastAsia="Times New Roman" w:hint="default"/>
          <w:spacing w:val="-2"/>
        </w:rPr>
        <w:t>2017</w:t>
      </w:r>
      <w:r>
        <w:rPr>
          <w:spacing w:val="-2"/>
        </w:rPr>
        <w:t>年度经营结果和公司高</w:t>
      </w:r>
      <w:r>
        <w:rPr>
          <w:spacing w:val="-62"/>
        </w:rPr>
        <w:t> </w:t>
      </w:r>
      <w:r>
        <w:rPr/>
        <w:t>级管理人员在完成年度经营目标所承担的具体岗位职责确定的。</w:t>
      </w:r>
    </w:p>
    <w:p>
      <w:pPr>
        <w:pStyle w:val="BodyText"/>
        <w:spacing w:line="302" w:lineRule="auto" w:before="71"/>
        <w:ind w:left="154" w:right="1140" w:firstLine="360"/>
        <w:jc w:val="both"/>
      </w:pPr>
      <w:r>
        <w:rPr>
          <w:rFonts w:ascii="Times New Roman" w:hAnsi="Times New Roman" w:cs="Times New Roman" w:eastAsia="Times New Roman" w:hint="default"/>
        </w:rPr>
        <w:t>3</w:t>
      </w:r>
      <w:r>
        <w:rPr/>
        <w:t>、董事、监事、高级管理人员报酬的实际支付情况：独立董事报酬每月按标准支付到个人账户；高级管理人员报酬根 据月度考核结果按月发放。</w:t>
      </w:r>
    </w:p>
    <w:p>
      <w:pPr>
        <w:spacing w:line="240" w:lineRule="auto" w:before="12"/>
        <w:rPr>
          <w:rFonts w:ascii="宋体" w:hAnsi="宋体" w:cs="宋体" w:eastAsia="宋体" w:hint="default"/>
          <w:sz w:val="7"/>
          <w:szCs w:val="7"/>
        </w:rPr>
      </w:pPr>
    </w:p>
    <w:p>
      <w:pPr>
        <w:pStyle w:val="BodyText"/>
        <w:spacing w:line="240" w:lineRule="auto" w:before="44"/>
        <w:ind w:left="514" w:right="1118"/>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2033"/>
        <w:gridCol w:w="994"/>
        <w:gridCol w:w="1074"/>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徐正军</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夏晓宇</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朱雪芳</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俞玉岚</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房莉莉</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褚文兰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徐仕俊</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郜翀</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成志明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朱东</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河田一喜</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张广仁</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朱小军</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370"/>
        <w:gridCol w:w="2033"/>
        <w:gridCol w:w="994"/>
        <w:gridCol w:w="1074"/>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许红明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营销总监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张建新</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塚田幸弘</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韩伯群</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金珍霞</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487.95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公司董事、高级管理人员报告期内被授予的股权激励情况</w:t>
      </w:r>
    </w:p>
    <w:p>
      <w:pPr>
        <w:pStyle w:val="BodyText"/>
        <w:spacing w:line="240" w:lineRule="auto" w:before="117"/>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0" w:right="8690"/>
        <w:jc w:val="center"/>
        <w:rPr>
          <w:b w:val="0"/>
          <w:bCs w:val="0"/>
        </w:rPr>
      </w:pPr>
      <w:bookmarkStart w:name="五、公司员工情况" w:id="135"/>
      <w:bookmarkEnd w:id="135"/>
      <w:r>
        <w:rPr>
          <w:b w:val="0"/>
          <w:bCs w:val="0"/>
        </w:rPr>
      </w:r>
      <w:r>
        <w:rPr/>
        <w:t>五、公司员工情况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员工数量、专业构成及教育程度" w:id="136"/>
      <w:bookmarkEnd w:id="13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19</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2,891</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2,910</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2,910</w:t>
            </w:r>
          </w:p>
        </w:tc>
      </w:tr>
      <w:tr>
        <w:trPr>
          <w:trHeight w:val="35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w:t>
            </w:r>
          </w:p>
        </w:tc>
      </w:tr>
      <w:tr>
        <w:trPr>
          <w:trHeight w:val="34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5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699</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592</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1,280</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57</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282</w:t>
            </w:r>
          </w:p>
        </w:tc>
      </w:tr>
      <w:tr>
        <w:trPr>
          <w:trHeight w:val="35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2,910</w:t>
            </w:r>
          </w:p>
        </w:tc>
      </w:tr>
      <w:tr>
        <w:trPr>
          <w:trHeight w:val="340"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55"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49"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2</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57</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1,307</w:t>
            </w:r>
          </w:p>
        </w:tc>
      </w:tr>
      <w:tr>
        <w:trPr>
          <w:trHeight w:val="349"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820</w:t>
            </w:r>
          </w:p>
        </w:tc>
      </w:tr>
      <w:tr>
        <w:trPr>
          <w:trHeight w:val="350"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724</w:t>
            </w:r>
          </w:p>
        </w:tc>
      </w:tr>
      <w:tr>
        <w:trPr>
          <w:trHeight w:val="351"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2,910</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5"/>
        <w:rPr>
          <w:rFonts w:ascii="宋体" w:hAnsi="宋体" w:cs="宋体" w:eastAsia="宋体" w:hint="default"/>
          <w:b/>
          <w:bCs/>
          <w:sz w:val="19"/>
          <w:szCs w:val="19"/>
        </w:rPr>
      </w:pPr>
    </w:p>
    <w:p>
      <w:pPr>
        <w:pStyle w:val="Heading3"/>
        <w:spacing w:line="240" w:lineRule="auto" w:before="38"/>
        <w:ind w:right="1118"/>
        <w:jc w:val="left"/>
        <w:rPr>
          <w:b w:val="0"/>
          <w:bCs w:val="0"/>
        </w:rPr>
      </w:pPr>
      <w:bookmarkStart w:name="2、薪酬政策" w:id="137"/>
      <w:bookmarkEnd w:id="13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18"/>
        <w:jc w:val="left"/>
      </w:pPr>
      <w:r>
        <w:rPr/>
        <w:t>公司员工薪酬由基本工资、绩效工资构成；公司独立董事薪酬根据股东大会确定的标准发放。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Heading3"/>
        <w:spacing w:line="240" w:lineRule="auto"/>
        <w:ind w:right="1118"/>
        <w:jc w:val="left"/>
        <w:rPr>
          <w:b w:val="0"/>
          <w:bCs w:val="0"/>
        </w:rPr>
      </w:pPr>
      <w:bookmarkStart w:name="3、培训计划" w:id="138"/>
      <w:bookmarkEnd w:id="13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153" w:right="1118" w:firstLine="360"/>
        <w:jc w:val="left"/>
      </w:pPr>
      <w:r>
        <w:rPr>
          <w:spacing w:val="-2"/>
        </w:rPr>
        <w:t>为提高公司员工整体素质和工作效率，公司人力资源部根据各部门提交的年度培训计划统筹组织安排培训，培训内容主</w:t>
      </w:r>
      <w:r>
        <w:rPr/>
        <w:t> 要包含但不限于员工素质、职业技能、生产安全、质量环境管理体系、内部控制制度、企业文化等各个方面。</w:t>
      </w:r>
    </w:p>
    <w:p>
      <w:pPr>
        <w:spacing w:line="240" w:lineRule="auto" w:before="3"/>
        <w:rPr>
          <w:rFonts w:ascii="宋体" w:hAnsi="宋体" w:cs="宋体" w:eastAsia="宋体" w:hint="default"/>
          <w:sz w:val="23"/>
          <w:szCs w:val="23"/>
        </w:rPr>
      </w:pPr>
    </w:p>
    <w:p>
      <w:pPr>
        <w:pStyle w:val="Heading3"/>
        <w:spacing w:line="240" w:lineRule="auto"/>
        <w:ind w:left="556" w:right="1118"/>
        <w:jc w:val="left"/>
        <w:rPr>
          <w:b w:val="0"/>
          <w:bCs w:val="0"/>
        </w:rPr>
      </w:pPr>
      <w:bookmarkStart w:name="4、劳务外包情况" w:id="139"/>
      <w:bookmarkEnd w:id="13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112,464</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10,432,317.75</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right="978"/>
        <w:jc w:val="center"/>
        <w:rPr>
          <w:b w:val="0"/>
          <w:bCs w:val="0"/>
        </w:rPr>
      </w:pPr>
      <w:bookmarkStart w:name="第九节 公司治理" w:id="140"/>
      <w:bookmarkEnd w:id="140"/>
      <w:r>
        <w:rPr>
          <w:b w:val="0"/>
          <w:bCs w:val="0"/>
        </w:rPr>
      </w:r>
      <w:bookmarkStart w:name="_bookmark8" w:id="141"/>
      <w:bookmarkEnd w:id="14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公司治理的基本状况" w:id="142"/>
      <w:bookmarkEnd w:id="14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3" w:right="1130" w:firstLine="360"/>
        <w:jc w:val="both"/>
      </w:pPr>
      <w:r>
        <w:rPr>
          <w:spacing w:val="-2"/>
        </w:rPr>
        <w:t>报告期内，公司及公司董事、监事、高级管理人员严格按照《公司法》、《证券法》、《上市公司治理准则》、《深圳</w:t>
      </w:r>
      <w:r>
        <w:rPr/>
        <w:t> </w:t>
      </w:r>
      <w:r>
        <w:rPr>
          <w:spacing w:val="-5"/>
        </w:rPr>
        <w:t>证券交易所股票上市规则》、《深圳证券交易所中小企业板上市公司规范运作指引》等法律法规、规范性文件和《公司章程》</w:t>
      </w:r>
      <w:r>
        <w:rPr>
          <w:spacing w:val="-79"/>
        </w:rPr>
        <w:t> </w:t>
      </w:r>
      <w:r>
        <w:rPr>
          <w:spacing w:val="-79"/>
        </w:rPr>
      </w:r>
      <w:r>
        <w:rPr/>
        <w:t>的有关规定，不断完善公司的法人治理结构，健全内部管理制度，促进公司规范运作，提高公司治理水平。</w:t>
      </w:r>
    </w:p>
    <w:p>
      <w:pPr>
        <w:pStyle w:val="BodyText"/>
        <w:spacing w:line="316" w:lineRule="auto" w:before="139"/>
        <w:ind w:left="153" w:right="1033" w:firstLine="360"/>
        <w:jc w:val="left"/>
      </w:pPr>
      <w:r>
        <w:rPr>
          <w:spacing w:val="-2"/>
        </w:rPr>
        <w:t>截至报告期末，公司治理的实际情况基本符合中国证监会发布的有关上市公司治理的规范性文件的要求。公司将坚持以</w:t>
      </w:r>
      <w:r>
        <w:rPr/>
        <w:t> 相关法律法规为准绳，不断完善公司治理制度，自觉履行信息披露义务，做好投资者关系管理工作，切实维护投资者利益，</w:t>
      </w:r>
      <w:r>
        <w:rPr>
          <w:spacing w:val="-83"/>
        </w:rPr>
        <w:t> </w:t>
      </w:r>
      <w:r>
        <w:rPr>
          <w:spacing w:val="-83"/>
        </w:rPr>
      </w:r>
      <w:r>
        <w:rPr/>
        <w:t>不断提升公司规范运作水平。</w:t>
      </w:r>
    </w:p>
    <w:p>
      <w:pPr>
        <w:pStyle w:val="BodyText"/>
        <w:spacing w:line="240" w:lineRule="auto" w:before="139"/>
        <w:ind w:right="1118"/>
        <w:jc w:val="left"/>
      </w:pPr>
      <w:r>
        <w:rPr/>
        <w:t>截至本报告期末公司已建立的各项制度名称及公开信息披露情况如下表：</w:t>
      </w:r>
    </w:p>
    <w:p>
      <w:pPr>
        <w:spacing w:line="240" w:lineRule="auto" w:before="3"/>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710"/>
        <w:gridCol w:w="5717"/>
        <w:gridCol w:w="2978"/>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57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9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最新披露时间</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董事会薪酬委员会议事规则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董事会秘书工作制度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独立董事制度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关联交易决策制度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财务管理办法</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信息披露管理制度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子公司综合管理制度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对外担保制度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控股股东、实际控制人行为规范</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独立董事年报工作流程</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董事、监事和高级管理人员持有和买卖本公司股票管理制度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24</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高级管理人员薪酬管理制度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26</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6" w:type="dxa"/>
        <w:tblLayout w:type="fixed"/>
        <w:tblCellMar>
          <w:top w:w="0" w:type="dxa"/>
          <w:left w:w="0" w:type="dxa"/>
          <w:bottom w:w="0" w:type="dxa"/>
          <w:right w:w="0" w:type="dxa"/>
        </w:tblCellMar>
        <w:tblLook w:val="01E0"/>
      </w:tblPr>
      <w:tblGrid>
        <w:gridCol w:w="710"/>
        <w:gridCol w:w="5717"/>
        <w:gridCol w:w="2978"/>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27</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28</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内幕信息知情人登记管理制度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内部问责制度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利润分配管理制度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31</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募集资金使用管理办法</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57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对外捐赠管理制度</w:t>
            </w:r>
          </w:p>
        </w:tc>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bl>
    <w:p>
      <w:pPr>
        <w:spacing w:line="240" w:lineRule="auto" w:before="9"/>
        <w:rPr>
          <w:rFonts w:ascii="宋体" w:hAnsi="宋体" w:cs="宋体" w:eastAsia="宋体" w:hint="default"/>
          <w:sz w:val="6"/>
          <w:szCs w:val="6"/>
        </w:rPr>
      </w:pPr>
    </w:p>
    <w:p>
      <w:pPr>
        <w:pStyle w:val="BodyText"/>
        <w:spacing w:line="240" w:lineRule="auto" w:before="44"/>
        <w:ind w:left="587" w:right="1118"/>
        <w:jc w:val="left"/>
      </w:pPr>
      <w:r>
        <w:rPr/>
        <w:t>报告期末，公司未收到被监管部门采取行政监管措施的有关文件。</w:t>
      </w:r>
    </w:p>
    <w:p>
      <w:pPr>
        <w:pStyle w:val="BodyText"/>
        <w:spacing w:line="357" w:lineRule="auto" w:before="116"/>
        <w:ind w:left="514" w:right="1118" w:firstLine="1"/>
        <w:jc w:val="left"/>
      </w:pPr>
      <w:r>
        <w:rPr>
          <w:rFonts w:ascii="宋体" w:hAnsi="宋体" w:cs="宋体" w:eastAsia="宋体" w:hint="default"/>
          <w:b/>
          <w:bCs/>
        </w:rPr>
        <w:t>（一）关于股东与股东大会</w:t>
      </w:r>
      <w:r>
        <w:rPr>
          <w:rFonts w:ascii="宋体" w:hAnsi="宋体" w:cs="宋体" w:eastAsia="宋体" w:hint="default"/>
          <w:b/>
          <w:bCs/>
          <w:w w:val="99"/>
        </w:rPr>
        <w:t> </w:t>
      </w:r>
      <w:r>
        <w:rPr>
          <w:spacing w:val="-2"/>
        </w:rPr>
        <w:t>公司能够根据《公司法》、《证券法》、《上市公司股东大会规则》及公司《股东大会议事规则》等规定和要求，规范</w:t>
      </w:r>
    </w:p>
    <w:p>
      <w:pPr>
        <w:pStyle w:val="BodyText"/>
        <w:spacing w:line="224" w:lineRule="exact"/>
        <w:ind w:left="154" w:right="0"/>
        <w:jc w:val="left"/>
      </w:pPr>
      <w:r>
        <w:rPr/>
        <w:t>股东大会的召集、召开、表决程序，确保各股东享有平等地位，充分行使自己的权利。在实施选举董事、监事表决程序时采</w:t>
      </w:r>
    </w:p>
    <w:p>
      <w:pPr>
        <w:pStyle w:val="BodyText"/>
        <w:spacing w:line="240" w:lineRule="auto" w:before="77"/>
        <w:ind w:left="154" w:right="1118"/>
        <w:jc w:val="left"/>
      </w:pPr>
      <w:r>
        <w:rPr/>
        <w:t>取累积投票制，让各股东充分行使自己的权利。</w:t>
      </w:r>
    </w:p>
    <w:p>
      <w:pPr>
        <w:pStyle w:val="BodyText"/>
        <w:spacing w:line="357" w:lineRule="auto" w:before="117"/>
        <w:ind w:left="514" w:right="1118" w:firstLine="1"/>
        <w:jc w:val="left"/>
      </w:pPr>
      <w:r>
        <w:rPr>
          <w:rFonts w:ascii="宋体" w:hAnsi="宋体" w:cs="宋体" w:eastAsia="宋体" w:hint="default"/>
          <w:b/>
          <w:bCs/>
        </w:rPr>
        <w:t>（二）关于控股股东与公司</w:t>
      </w:r>
      <w:r>
        <w:rPr>
          <w:rFonts w:ascii="宋体" w:hAnsi="宋体" w:cs="宋体" w:eastAsia="宋体" w:hint="default"/>
          <w:b/>
          <w:bCs/>
          <w:w w:val="99"/>
        </w:rPr>
        <w:t> </w:t>
      </w:r>
      <w:r>
        <w:rPr>
          <w:spacing w:val="-2"/>
        </w:rPr>
        <w:t>公司控股股东行为规范，能依法行使其权利，并承担相应义务，没有直接或间接干预公司的决策和经营活动。公司具有</w:t>
      </w:r>
    </w:p>
    <w:p>
      <w:pPr>
        <w:pStyle w:val="BodyText"/>
        <w:spacing w:line="224" w:lineRule="exact"/>
        <w:ind w:left="154" w:right="0"/>
        <w:jc w:val="left"/>
      </w:pPr>
      <w:r>
        <w:rPr/>
        <w:t>独立的业务、经营能力和完备的运营体系，公司业务、人员、资产、机构、财务独立，公司董事会、监事会和内部机构能够</w:t>
      </w:r>
    </w:p>
    <w:p>
      <w:pPr>
        <w:pStyle w:val="BodyText"/>
        <w:spacing w:line="240" w:lineRule="auto" w:before="77"/>
        <w:ind w:left="154" w:right="1118"/>
        <w:jc w:val="left"/>
      </w:pPr>
      <w:r>
        <w:rPr/>
        <w:t>独立运作。</w:t>
      </w:r>
    </w:p>
    <w:p>
      <w:pPr>
        <w:pStyle w:val="BodyText"/>
        <w:spacing w:line="357" w:lineRule="auto" w:before="116"/>
        <w:ind w:left="514" w:right="1118" w:firstLine="1"/>
        <w:jc w:val="left"/>
      </w:pPr>
      <w:r>
        <w:rPr>
          <w:rFonts w:ascii="宋体" w:hAnsi="宋体" w:cs="宋体" w:eastAsia="宋体" w:hint="default"/>
          <w:b/>
          <w:bCs/>
        </w:rPr>
        <w:t>（三）关于董事与董事会</w:t>
      </w:r>
      <w:r>
        <w:rPr>
          <w:rFonts w:ascii="宋体" w:hAnsi="宋体" w:cs="宋体" w:eastAsia="宋体" w:hint="default"/>
          <w:b/>
          <w:bCs/>
          <w:w w:val="99"/>
        </w:rPr>
        <w:t> </w:t>
      </w:r>
      <w:r>
        <w:rPr>
          <w:spacing w:val="-2"/>
        </w:rPr>
        <w:t>公司目前董事会成员</w:t>
      </w:r>
      <w:r>
        <w:rPr>
          <w:rFonts w:ascii="Times New Roman" w:hAnsi="Times New Roman" w:cs="Times New Roman" w:eastAsia="Times New Roman" w:hint="default"/>
          <w:spacing w:val="-2"/>
        </w:rPr>
        <w:t>9</w:t>
      </w:r>
      <w:r>
        <w:rPr>
          <w:spacing w:val="-2"/>
        </w:rPr>
        <w:t>人，其中独立董事</w:t>
      </w:r>
      <w:r>
        <w:rPr>
          <w:rFonts w:ascii="Times New Roman" w:hAnsi="Times New Roman" w:cs="Times New Roman" w:eastAsia="Times New Roman" w:hint="default"/>
          <w:spacing w:val="-2"/>
        </w:rPr>
        <w:t>3</w:t>
      </w:r>
      <w:r>
        <w:rPr>
          <w:spacing w:val="-2"/>
        </w:rPr>
        <w:t>人，公司董事会人数和人员构成符合法律、法规的要求。董事会按照《董事会</w:t>
      </w:r>
    </w:p>
    <w:p>
      <w:pPr>
        <w:pStyle w:val="BodyText"/>
        <w:spacing w:line="201" w:lineRule="exact"/>
        <w:ind w:left="153" w:right="0"/>
        <w:jc w:val="left"/>
      </w:pPr>
      <w:r>
        <w:rPr/>
        <w:t>议事规则》召开会议，执行股东大会决议并依法行使职权；公司全体董事能够按照《董事会议事规则》等的要求认真履行勤</w:t>
      </w:r>
    </w:p>
    <w:p>
      <w:pPr>
        <w:pStyle w:val="BodyText"/>
        <w:spacing w:line="309" w:lineRule="auto" w:before="76"/>
        <w:ind w:left="153" w:right="1131"/>
        <w:jc w:val="both"/>
      </w:pPr>
      <w:r>
        <w:rPr/>
        <w:t>勉尽责的义务，行使《公司章程》赋予的职权，按时出席董事会和股东大会，熟悉有关法律法规；公司的</w:t>
      </w:r>
      <w:r>
        <w:rPr>
          <w:rFonts w:ascii="Times New Roman" w:hAnsi="Times New Roman" w:cs="Times New Roman" w:eastAsia="Times New Roman" w:hint="default"/>
        </w:rPr>
        <w:t>3</w:t>
      </w:r>
      <w:r>
        <w:rPr/>
        <w:t>位独立董事在工 </w:t>
      </w:r>
      <w:r>
        <w:rPr>
          <w:spacing w:val="-2"/>
        </w:rPr>
        <w:t>作中保持充分的独立性，积极参加董事会会议，认真审议各项议案，对相关事项发表了独立意见，切实维护公司和中小股东</w:t>
      </w:r>
      <w:r>
        <w:rPr>
          <w:spacing w:val="-66"/>
        </w:rPr>
        <w:t> </w:t>
      </w:r>
      <w:r>
        <w:rPr>
          <w:spacing w:val="-66"/>
        </w:rPr>
      </w:r>
      <w:r>
        <w:rPr/>
        <w:t>的利益。</w:t>
      </w:r>
    </w:p>
    <w:p>
      <w:pPr>
        <w:pStyle w:val="BodyText"/>
        <w:spacing w:line="357" w:lineRule="auto" w:before="64"/>
        <w:ind w:right="1123" w:firstLine="1"/>
        <w:jc w:val="left"/>
      </w:pPr>
      <w:r>
        <w:rPr>
          <w:rFonts w:ascii="宋体" w:hAnsi="宋体" w:cs="宋体" w:eastAsia="宋体" w:hint="default"/>
          <w:b/>
          <w:bCs/>
        </w:rPr>
        <w:t>（四）关于监事与监事会</w:t>
      </w:r>
      <w:r>
        <w:rPr>
          <w:rFonts w:ascii="宋体" w:hAnsi="宋体" w:cs="宋体" w:eastAsia="宋体" w:hint="default"/>
          <w:b/>
          <w:bCs/>
          <w:w w:val="99"/>
        </w:rPr>
        <w:t> </w:t>
      </w:r>
      <w:r>
        <w:rPr/>
        <w:t>公司监事会由</w:t>
      </w:r>
      <w:r>
        <w:rPr>
          <w:rFonts w:ascii="Times New Roman" w:hAnsi="Times New Roman" w:cs="Times New Roman" w:eastAsia="Times New Roman" w:hint="default"/>
        </w:rPr>
        <w:t>3</w:t>
      </w:r>
      <w:r>
        <w:rPr/>
        <w:t>名监事组成，非职工代表监事</w:t>
      </w:r>
      <w:r>
        <w:rPr>
          <w:rFonts w:ascii="Times New Roman" w:hAnsi="Times New Roman" w:cs="Times New Roman" w:eastAsia="Times New Roman" w:hint="default"/>
        </w:rPr>
        <w:t>2</w:t>
      </w:r>
      <w:r>
        <w:rPr/>
        <w:t>人、职工代表监事</w:t>
      </w:r>
      <w:r>
        <w:rPr>
          <w:rFonts w:ascii="Times New Roman" w:hAnsi="Times New Roman" w:cs="Times New Roman" w:eastAsia="Times New Roman" w:hint="default"/>
        </w:rPr>
        <w:t>1</w:t>
      </w:r>
      <w:r>
        <w:rPr/>
        <w:t>人，监事人数和人员构成符合法律、法规的要求。公</w:t>
      </w:r>
    </w:p>
    <w:p>
      <w:pPr>
        <w:pStyle w:val="BodyText"/>
        <w:spacing w:line="201" w:lineRule="exact"/>
        <w:ind w:left="153" w:right="0"/>
        <w:jc w:val="left"/>
      </w:pPr>
      <w:r>
        <w:rPr>
          <w:spacing w:val="-5"/>
        </w:rPr>
        <w:t>司监事会严格按照《公司章程》及《监事会议事规则》等相关规定召集召开监事会。各监事按时出席监事会，认真履行职责，</w:t>
      </w:r>
    </w:p>
    <w:p>
      <w:pPr>
        <w:pStyle w:val="BodyText"/>
        <w:spacing w:line="240" w:lineRule="auto" w:before="77"/>
        <w:ind w:left="153" w:right="0"/>
        <w:jc w:val="left"/>
      </w:pPr>
      <w:r>
        <w:rPr>
          <w:spacing w:val="-5"/>
        </w:rPr>
        <w:t>能够本着对股东负责的精神，对公司重大事项、关联交易、财务状况等进行监督并发表意见，维护了公司及股东的合法权益。</w:t>
      </w:r>
    </w:p>
    <w:p>
      <w:pPr>
        <w:spacing w:line="357" w:lineRule="auto" w:before="117"/>
        <w:ind w:left="514" w:right="1032" w:firstLine="1"/>
        <w:jc w:val="left"/>
        <w:rPr>
          <w:rFonts w:ascii="宋体" w:hAnsi="宋体" w:cs="宋体" w:eastAsia="宋体" w:hint="default"/>
          <w:sz w:val="18"/>
          <w:szCs w:val="18"/>
        </w:rPr>
      </w:pPr>
      <w:r>
        <w:rPr>
          <w:rFonts w:ascii="宋体" w:hAnsi="宋体" w:cs="宋体" w:eastAsia="宋体" w:hint="default"/>
          <w:b/>
          <w:bCs/>
          <w:sz w:val="18"/>
          <w:szCs w:val="18"/>
        </w:rPr>
        <w:t>（五）关于信息披露与透明度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公司严格按照有关法律法规及公司《信息披露管理制度》、《投资者关系管理制度》的要求，加强信息披露事务管理，</w:t>
      </w:r>
    </w:p>
    <w:p>
      <w:pPr>
        <w:pStyle w:val="BodyText"/>
        <w:spacing w:line="224" w:lineRule="exact"/>
        <w:ind w:left="154" w:right="0"/>
        <w:jc w:val="left"/>
      </w:pPr>
      <w:r>
        <w:rPr/>
        <w:t>履行信息披露义务。公司指定董事会秘书为公司信息披露工作、投资者关系管理负责人，负责公司的信息披露与投资者关系</w:t>
      </w:r>
    </w:p>
    <w:p>
      <w:pPr>
        <w:pStyle w:val="BodyText"/>
        <w:spacing w:line="312" w:lineRule="auto" w:before="76"/>
        <w:ind w:left="153" w:right="1118"/>
        <w:jc w:val="left"/>
      </w:pPr>
      <w:r>
        <w:rPr>
          <w:spacing w:val="-2"/>
        </w:rPr>
        <w:t>的管理工作；公司证券部为公司信息披露事务的日常工作部门。公司注重与投资者沟通交流，开通了投资者电话专线、专用</w:t>
      </w:r>
      <w:r>
        <w:rPr>
          <w:spacing w:val="-66"/>
        </w:rPr>
        <w:t> </w:t>
      </w:r>
      <w:r>
        <w:rPr>
          <w:spacing w:val="-66"/>
        </w:rPr>
      </w:r>
      <w:r>
        <w:rPr>
          <w:spacing w:val="-2"/>
        </w:rPr>
        <w:t>电子信箱，接待投资者和调研机构的来访和咨询，认真、及时回复深交所互动平台投资者的提问，确保公司所有股东能够以</w:t>
      </w:r>
      <w:r>
        <w:rPr>
          <w:spacing w:val="-66"/>
        </w:rPr>
        <w:t> </w:t>
      </w:r>
      <w:r>
        <w:rPr>
          <w:spacing w:val="-66"/>
        </w:rPr>
      </w:r>
      <w:r>
        <w:rPr/>
        <w:t>平等的机会获得信息。公司上市后指定《证券时报》等报刊和巨潮资讯网（</w:t>
      </w:r>
      <w:r>
        <w:rPr>
          <w:rFonts w:ascii="Times New Roman" w:hAnsi="Times New Roman" w:cs="Times New Roman" w:eastAsia="Times New Roman" w:hint="default"/>
          <w:color w:val="6C6C6C"/>
        </w:rPr>
      </w:r>
      <w:hyperlink r:id="rId14">
        <w:r>
          <w:rPr>
            <w:rFonts w:ascii="Times New Roman" w:hAnsi="Times New Roman" w:cs="Times New Roman" w:eastAsia="Times New Roman" w:hint="default"/>
            <w:color w:val="6C6C6C"/>
            <w:u w:val="single" w:color="6C6C6C"/>
          </w:rPr>
          <w:t>www.cninfo.com.cn</w:t>
        </w:r>
        <w:r>
          <w:rPr>
            <w:rFonts w:ascii="Times New Roman" w:hAnsi="Times New Roman" w:cs="Times New Roman" w:eastAsia="Times New Roman" w:hint="default"/>
            <w:color w:val="6C6C6C"/>
          </w:rPr>
        </w:r>
      </w:hyperlink>
      <w:r>
        <w:rPr/>
        <w:t>）为公司信息披露的报纸和</w:t>
      </w:r>
      <w:r>
        <w:rPr>
          <w:w w:val="99"/>
        </w:rPr>
        <w:t> </w:t>
      </w:r>
      <w:r>
        <w:rPr/>
        <w:t>网站。</w:t>
      </w:r>
    </w:p>
    <w:p>
      <w:pPr>
        <w:pStyle w:val="BodyText"/>
        <w:spacing w:line="357" w:lineRule="auto" w:before="62"/>
        <w:ind w:right="1118" w:firstLine="1"/>
        <w:jc w:val="left"/>
      </w:pPr>
      <w:r>
        <w:rPr>
          <w:rFonts w:ascii="宋体" w:hAnsi="宋体" w:cs="宋体" w:eastAsia="宋体" w:hint="default"/>
          <w:b/>
          <w:bCs/>
        </w:rPr>
        <w:t>（六）关于相关利益者</w:t>
      </w:r>
      <w:r>
        <w:rPr>
          <w:rFonts w:ascii="宋体" w:hAnsi="宋体" w:cs="宋体" w:eastAsia="宋体" w:hint="default"/>
          <w:b/>
          <w:bCs/>
          <w:w w:val="99"/>
        </w:rPr>
        <w:t> </w:t>
      </w:r>
      <w:r>
        <w:rPr>
          <w:spacing w:val="-6"/>
        </w:rPr>
        <w:t>公司能够充分尊重和维护相关利益者的合法权益，积极与相关利益者合作，加强与各方的沟通和交流，实现公司、股东、</w:t>
      </w:r>
    </w:p>
    <w:p>
      <w:pPr>
        <w:pStyle w:val="BodyText"/>
        <w:spacing w:line="357" w:lineRule="auto"/>
        <w:ind w:left="514" w:right="1032" w:hanging="360"/>
        <w:jc w:val="left"/>
      </w:pPr>
      <w:r>
        <w:rPr/>
        <w:t>员工、社会等各方利益的和谐发展，以推动公司持续、稳健发展。 公司治理的实际情况与中国证监会有关上市公司治理的规范性文件要求基本符合。公司治理是一项系统而长期的工程，</w:t>
      </w:r>
    </w:p>
    <w:p>
      <w:pPr>
        <w:pStyle w:val="BodyText"/>
        <w:spacing w:line="224" w:lineRule="exact"/>
        <w:ind w:left="154" w:right="0"/>
        <w:jc w:val="left"/>
      </w:pPr>
      <w:r>
        <w:rPr/>
        <w:t>需要不断持续改进，公司愿意接受各方监督，不断完善公司治理制度体系，加强内控制度的执行，促进公司健康稳健发展，</w:t>
      </w:r>
    </w:p>
    <w:p>
      <w:pPr>
        <w:pStyle w:val="BodyText"/>
        <w:spacing w:line="240" w:lineRule="auto" w:before="77"/>
        <w:ind w:left="154" w:right="1118"/>
        <w:jc w:val="left"/>
      </w:pPr>
      <w:r>
        <w:rPr/>
        <w:t>提高公司整体竞争力。</w:t>
      </w:r>
    </w:p>
    <w:p>
      <w:pPr>
        <w:spacing w:line="357" w:lineRule="auto" w:before="116"/>
        <w:ind w:left="514" w:right="1118" w:firstLine="1"/>
        <w:jc w:val="left"/>
        <w:rPr>
          <w:rFonts w:ascii="宋体" w:hAnsi="宋体" w:cs="宋体" w:eastAsia="宋体" w:hint="default"/>
          <w:sz w:val="18"/>
          <w:szCs w:val="18"/>
        </w:rPr>
      </w:pPr>
      <w:r>
        <w:rPr>
          <w:rFonts w:ascii="宋体" w:hAnsi="宋体" w:cs="宋体" w:eastAsia="宋体" w:hint="default"/>
          <w:b/>
          <w:bCs/>
          <w:sz w:val="18"/>
          <w:szCs w:val="18"/>
        </w:rPr>
        <w:t>（七）关于绩效评价与激励约束机制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公司建立了公正、透明、有效的董事、监事和高级管理人员的绩效评价标准和激励约束机制，公司高级管理人员的聘任</w:t>
      </w:r>
    </w:p>
    <w:p>
      <w:pPr>
        <w:spacing w:after="0" w:line="357"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18"/>
        <w:jc w:val="left"/>
      </w:pPr>
      <w:r>
        <w:rPr>
          <w:spacing w:val="-2"/>
        </w:rPr>
        <w:t>公开、透明，严格按照有关法律法规的规定进行。公司未来还将探索更多形式的激励方式，形成多层次的综合激励机制，完</w:t>
      </w:r>
      <w:r>
        <w:rPr>
          <w:spacing w:val="-66"/>
        </w:rPr>
        <w:t> </w:t>
      </w:r>
      <w:r>
        <w:rPr>
          <w:spacing w:val="-66"/>
        </w:rPr>
      </w:r>
      <w:r>
        <w:rPr/>
        <w:t>善绩效评价标准，更好地调动管理人员的工作积极性，吸引和稳定优秀管理人才和技术、业务骨干。</w:t>
      </w:r>
    </w:p>
    <w:p>
      <w:pPr>
        <w:pStyle w:val="BodyText"/>
        <w:spacing w:line="240" w:lineRule="auto" w:before="56"/>
        <w:ind w:right="1118"/>
        <w:jc w:val="left"/>
      </w:pPr>
      <w:r>
        <w:rPr/>
        <w:t>公司治理的实际状况与中国证监会发布的有关上市公司治理的规范性文件是否存在重大差异</w:t>
      </w:r>
    </w:p>
    <w:p>
      <w:pPr>
        <w:pStyle w:val="BodyText"/>
        <w:spacing w:line="338" w:lineRule="auto" w:before="117"/>
        <w:ind w:right="3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18"/>
        <w:jc w:val="left"/>
        <w:rPr>
          <w:b w:val="0"/>
          <w:bCs w:val="0"/>
        </w:rPr>
      </w:pPr>
      <w:bookmarkStart w:name="二、公司相对于控股股东在业务、人员、资产、机构、财务等方面的独立情况" w:id="143"/>
      <w:bookmarkEnd w:id="14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30" w:firstLine="360"/>
        <w:jc w:val="both"/>
      </w:pPr>
      <w:r>
        <w:rPr>
          <w:spacing w:val="-2"/>
        </w:rPr>
        <w:t>公司自设立以来，严格按照《公司法》、《公司章程》及其他法律法规的要求规范运作，公司与控股股东江苏权健东润</w:t>
      </w:r>
      <w:r>
        <w:rPr/>
        <w:t> </w:t>
      </w:r>
      <w:r>
        <w:rPr>
          <w:spacing w:val="-2"/>
        </w:rPr>
        <w:t>投资管理有限公司在业务、人员、资产、机构、财务上完全分开，拥有独立完整的业务系统，具有面向市场自主生产经营能</w:t>
      </w:r>
      <w:r>
        <w:rPr>
          <w:spacing w:val="-67"/>
        </w:rPr>
        <w:t> </w:t>
      </w:r>
      <w:r>
        <w:rPr>
          <w:spacing w:val="-67"/>
        </w:rPr>
      </w:r>
      <w:r>
        <w:rPr>
          <w:spacing w:val="-2"/>
        </w:rPr>
        <w:t>力。同时公司控股股东江苏权健东润投资管理有限公司未以任何形式占用公司的货币资金或其他资产，不存在为其提供担保</w:t>
      </w:r>
      <w:r>
        <w:rPr>
          <w:spacing w:val="-64"/>
        </w:rPr>
        <w:t> </w:t>
      </w:r>
      <w:r>
        <w:rPr>
          <w:spacing w:val="-64"/>
        </w:rPr>
      </w:r>
      <w:r>
        <w:rPr/>
        <w:t>的情况。</w:t>
      </w:r>
    </w:p>
    <w:p>
      <w:pPr>
        <w:pStyle w:val="BodyText"/>
        <w:spacing w:line="357" w:lineRule="auto" w:before="56"/>
        <w:ind w:right="1118" w:firstLine="1"/>
        <w:jc w:val="left"/>
      </w:pPr>
      <w:r>
        <w:rPr>
          <w:rFonts w:ascii="宋体" w:hAnsi="宋体" w:cs="宋体" w:eastAsia="宋体" w:hint="default"/>
          <w:b/>
          <w:bCs/>
        </w:rPr>
        <w:t>（一）业务独立情况</w:t>
      </w:r>
      <w:r>
        <w:rPr>
          <w:rFonts w:ascii="宋体" w:hAnsi="宋体" w:cs="宋体" w:eastAsia="宋体" w:hint="default"/>
          <w:b/>
          <w:bCs/>
          <w:w w:val="99"/>
        </w:rPr>
        <w:t> </w:t>
      </w:r>
      <w:r>
        <w:rPr>
          <w:spacing w:val="-2"/>
        </w:rPr>
        <w:t>公司主要从事的业务为实业投资；股权投资；投资咨询；资产管理；税务服务；财务、税务咨询服务；互联网软、硬件</w:t>
      </w:r>
    </w:p>
    <w:p>
      <w:pPr>
        <w:pStyle w:val="BodyText"/>
        <w:spacing w:line="224" w:lineRule="exact"/>
        <w:ind w:left="153" w:right="0"/>
        <w:jc w:val="left"/>
      </w:pPr>
      <w:r>
        <w:rPr/>
        <w:t>产品研发、销售、技术服务、系统集成服务；数据服务；金属材料热处理及表面改性设备的技术开发、技术咨询、制造、销</w:t>
      </w:r>
    </w:p>
    <w:p>
      <w:pPr>
        <w:pStyle w:val="BodyText"/>
        <w:spacing w:line="319" w:lineRule="auto" w:before="76"/>
        <w:ind w:left="153" w:right="1118"/>
        <w:jc w:val="left"/>
      </w:pPr>
      <w:r>
        <w:rPr>
          <w:spacing w:val="-2"/>
        </w:rPr>
        <w:t>售及维修服务等。本公司及公司控股的下属公司拥有独立的生产、销售及研发等系统。公司自主经营，业务不依赖于控股股</w:t>
      </w:r>
      <w:r>
        <w:rPr>
          <w:spacing w:val="-66"/>
        </w:rPr>
        <w:t> </w:t>
      </w:r>
      <w:r>
        <w:rPr>
          <w:spacing w:val="-66"/>
        </w:rPr>
      </w:r>
      <w:r>
        <w:rPr/>
        <w:t>东，也不存在与控股股东之间的同业竞争与关联交易。</w:t>
      </w:r>
    </w:p>
    <w:p>
      <w:pPr>
        <w:pStyle w:val="BodyText"/>
        <w:spacing w:line="357" w:lineRule="auto" w:before="56"/>
        <w:ind w:left="514" w:right="1118" w:firstLine="1"/>
        <w:jc w:val="left"/>
      </w:pPr>
      <w:r>
        <w:rPr>
          <w:rFonts w:ascii="宋体" w:hAnsi="宋体" w:cs="宋体" w:eastAsia="宋体" w:hint="default"/>
          <w:b/>
          <w:bCs/>
        </w:rPr>
        <w:t>（二）人员独立情况</w:t>
      </w:r>
      <w:r>
        <w:rPr>
          <w:rFonts w:ascii="宋体" w:hAnsi="宋体" w:cs="宋体" w:eastAsia="宋体" w:hint="default"/>
          <w:b/>
          <w:bCs/>
          <w:w w:val="99"/>
        </w:rPr>
        <w:t> </w:t>
      </w:r>
      <w:r>
        <w:rPr>
          <w:spacing w:val="-2"/>
        </w:rPr>
        <w:t>公司在劳动、人事及工资管理等方面完全独立。公司高级管理人员均专职在公司工作并领取薪酬，未在控股股东单位担</w:t>
      </w:r>
    </w:p>
    <w:p>
      <w:pPr>
        <w:pStyle w:val="BodyText"/>
        <w:spacing w:line="224" w:lineRule="exact"/>
        <w:ind w:left="154" w:right="0"/>
        <w:jc w:val="left"/>
      </w:pPr>
      <w:r>
        <w:rPr/>
        <w:t>任除董事、监事以外的其他职务，未在控股股东单位领取薪酬。公司董事、监事及高级管理人员的任职，均严格按照《公司</w:t>
      </w:r>
    </w:p>
    <w:p>
      <w:pPr>
        <w:pStyle w:val="BodyText"/>
        <w:spacing w:line="319" w:lineRule="auto" w:before="76"/>
        <w:ind w:left="154" w:right="1127"/>
        <w:jc w:val="left"/>
      </w:pPr>
      <w:r>
        <w:rPr>
          <w:spacing w:val="-5"/>
        </w:rPr>
        <w:t>法》、《公司章程》等规定的程序推选和任免，不存在控股股东超越公司股东大会、董事会和《公司章程》的规定，对董事、</w:t>
      </w:r>
      <w:r>
        <w:rPr>
          <w:spacing w:val="-78"/>
        </w:rPr>
        <w:t> </w:t>
      </w:r>
      <w:r>
        <w:rPr>
          <w:spacing w:val="-78"/>
        </w:rPr>
      </w:r>
      <w:r>
        <w:rPr/>
        <w:t>监事及高级管理人员作出人事任免决定的情形。</w:t>
      </w:r>
    </w:p>
    <w:p>
      <w:pPr>
        <w:pStyle w:val="BodyText"/>
        <w:spacing w:line="357" w:lineRule="auto" w:before="58"/>
        <w:ind w:left="514" w:right="1118" w:firstLine="1"/>
        <w:jc w:val="left"/>
      </w:pPr>
      <w:r>
        <w:rPr>
          <w:rFonts w:ascii="宋体" w:hAnsi="宋体" w:cs="宋体" w:eastAsia="宋体" w:hint="default"/>
          <w:b/>
          <w:bCs/>
        </w:rPr>
        <w:t>（三）资产独立情况</w:t>
      </w:r>
      <w:r>
        <w:rPr>
          <w:rFonts w:ascii="宋体" w:hAnsi="宋体" w:cs="宋体" w:eastAsia="宋体" w:hint="default"/>
          <w:b/>
          <w:bCs/>
          <w:w w:val="99"/>
        </w:rPr>
        <w:t> </w:t>
      </w:r>
      <w:r>
        <w:rPr>
          <w:spacing w:val="-2"/>
        </w:rPr>
        <w:t>公司具有独立完整的资产，公司的资产全部处于公司的控制之下，并为公司独立拥有和运营。公司不存在资金、资产被</w:t>
      </w:r>
    </w:p>
    <w:p>
      <w:pPr>
        <w:pStyle w:val="BodyText"/>
        <w:spacing w:line="225" w:lineRule="exact"/>
        <w:ind w:left="154" w:right="1118"/>
        <w:jc w:val="left"/>
      </w:pPr>
      <w:r>
        <w:rPr/>
        <w:t>控股股东占用的情形。</w:t>
      </w:r>
    </w:p>
    <w:p>
      <w:pPr>
        <w:pStyle w:val="BodyText"/>
        <w:spacing w:line="357" w:lineRule="auto" w:before="116"/>
        <w:ind w:left="514" w:right="1118" w:firstLine="1"/>
        <w:jc w:val="left"/>
      </w:pPr>
      <w:r>
        <w:rPr>
          <w:rFonts w:ascii="宋体" w:hAnsi="宋体" w:cs="宋体" w:eastAsia="宋体" w:hint="default"/>
          <w:b/>
          <w:bCs/>
        </w:rPr>
        <w:t>（四）机构独立情况</w:t>
      </w:r>
      <w:r>
        <w:rPr>
          <w:rFonts w:ascii="宋体" w:hAnsi="宋体" w:cs="宋体" w:eastAsia="宋体" w:hint="default"/>
          <w:b/>
          <w:bCs/>
          <w:w w:val="99"/>
        </w:rPr>
        <w:t> </w:t>
      </w:r>
      <w:r>
        <w:rPr>
          <w:spacing w:val="-6"/>
        </w:rPr>
        <w:t>公司建立健全了包括股东大会、董事会、监事会、总经理办公会相互制衡的法人治理结构，并严格按照《公司法》、《公</w:t>
      </w:r>
    </w:p>
    <w:p>
      <w:pPr>
        <w:pStyle w:val="BodyText"/>
        <w:spacing w:line="237" w:lineRule="exact"/>
        <w:ind w:left="154" w:right="0"/>
        <w:jc w:val="left"/>
      </w:pPr>
      <w:r>
        <w:rPr/>
        <w:t>司章程》等规定履行各自的职责；公司根据经营管理需要设置了完全独立于控股股东的</w:t>
      </w:r>
      <w:r>
        <w:rPr>
          <w:rFonts w:ascii="Times New Roman" w:hAnsi="Times New Roman" w:cs="Times New Roman" w:eastAsia="Times New Roman" w:hint="default"/>
        </w:rPr>
        <w:t>6</w:t>
      </w:r>
      <w:r>
        <w:rPr/>
        <w:t>个职能部门的内部组织机构。公司</w:t>
      </w:r>
    </w:p>
    <w:p>
      <w:pPr>
        <w:pStyle w:val="BodyText"/>
        <w:spacing w:line="240" w:lineRule="auto" w:before="64"/>
        <w:ind w:left="153" w:right="1118"/>
        <w:jc w:val="left"/>
      </w:pPr>
      <w:r>
        <w:rPr/>
        <w:t>独立行使经营管理职权，与控股股东之间不存在机构混同的情形。</w:t>
      </w:r>
    </w:p>
    <w:p>
      <w:pPr>
        <w:pStyle w:val="BodyText"/>
        <w:spacing w:line="357" w:lineRule="auto" w:before="116"/>
        <w:ind w:left="514" w:right="1118" w:firstLine="1"/>
        <w:jc w:val="left"/>
      </w:pPr>
      <w:r>
        <w:rPr>
          <w:rFonts w:ascii="宋体" w:hAnsi="宋体" w:cs="宋体" w:eastAsia="宋体" w:hint="default"/>
          <w:b/>
          <w:bCs/>
        </w:rPr>
        <w:t>（五）财务独立情况</w:t>
      </w:r>
      <w:r>
        <w:rPr>
          <w:rFonts w:ascii="宋体" w:hAnsi="宋体" w:cs="宋体" w:eastAsia="宋体" w:hint="default"/>
          <w:b/>
          <w:bCs/>
          <w:w w:val="99"/>
        </w:rPr>
        <w:t> </w:t>
      </w:r>
      <w:r>
        <w:rPr>
          <w:spacing w:val="-2"/>
        </w:rPr>
        <w:t>公司设立了独立于控股股东及其他发起人股东的财务部门，建立了独立的会计核算体系和财务管理制度。公司以独立法</w:t>
      </w:r>
    </w:p>
    <w:p>
      <w:pPr>
        <w:pStyle w:val="BodyText"/>
        <w:spacing w:line="224" w:lineRule="exact"/>
        <w:ind w:left="154" w:right="0"/>
        <w:jc w:val="left"/>
      </w:pPr>
      <w:r>
        <w:rPr/>
        <w:t>人的地位对外编制会计报表，公司独立作出财务决策，独立在银行开户，依法独立进行纳税申报和履行纳税义务。公司独立</w:t>
      </w:r>
    </w:p>
    <w:p>
      <w:pPr>
        <w:pStyle w:val="BodyText"/>
        <w:spacing w:line="319" w:lineRule="auto" w:before="76"/>
        <w:ind w:left="154" w:right="1118"/>
        <w:jc w:val="left"/>
      </w:pPr>
      <w:r>
        <w:rPr>
          <w:spacing w:val="-2"/>
        </w:rPr>
        <w:t>对外签订合同，不受股东和关联方的影响。公司不存在为控股股东提供担保，也不存在将本公司的借款转借给控股股东及其</w:t>
      </w:r>
      <w:r>
        <w:rPr>
          <w:spacing w:val="-66"/>
        </w:rPr>
        <w:t> </w:t>
      </w:r>
      <w:r>
        <w:rPr>
          <w:spacing w:val="-66"/>
        </w:rPr>
      </w:r>
      <w:r>
        <w:rPr/>
        <w:t>他发起人股东使用的情形。</w:t>
      </w:r>
    </w:p>
    <w:p>
      <w:pPr>
        <w:spacing w:line="240" w:lineRule="auto" w:before="7"/>
        <w:rPr>
          <w:rFonts w:ascii="宋体" w:hAnsi="宋体" w:cs="宋体" w:eastAsia="宋体" w:hint="default"/>
          <w:sz w:val="20"/>
          <w:szCs w:val="20"/>
        </w:rPr>
      </w:pPr>
    </w:p>
    <w:p>
      <w:pPr>
        <w:pStyle w:val="Heading2"/>
        <w:spacing w:line="240" w:lineRule="auto"/>
        <w:ind w:left="154" w:right="1118"/>
        <w:jc w:val="left"/>
        <w:rPr>
          <w:b w:val="0"/>
          <w:bCs w:val="0"/>
        </w:rPr>
      </w:pPr>
      <w:bookmarkStart w:name="三、同业竞争情况" w:id="144"/>
      <w:bookmarkEnd w:id="144"/>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87" w:footer="979" w:top="1140" w:bottom="1160" w:left="980" w:right="0"/>
        </w:sectPr>
      </w:pPr>
    </w:p>
    <w:p>
      <w:pPr>
        <w:spacing w:line="240" w:lineRule="auto" w:before="11"/>
        <w:rPr>
          <w:rFonts w:ascii="宋体" w:hAnsi="宋体" w:cs="宋体" w:eastAsia="宋体" w:hint="default"/>
          <w:sz w:val="17"/>
          <w:szCs w:val="17"/>
        </w:rPr>
      </w:pPr>
    </w:p>
    <w:p>
      <w:pPr>
        <w:pStyle w:val="Heading2"/>
        <w:spacing w:line="240" w:lineRule="auto" w:before="26"/>
        <w:ind w:left="154" w:right="1118"/>
        <w:jc w:val="left"/>
        <w:rPr>
          <w:b w:val="0"/>
          <w:bCs w:val="0"/>
        </w:rPr>
      </w:pPr>
      <w:bookmarkStart w:name="四、报告期内召开的年度股东大会和临时股东大会的有关情况" w:id="145"/>
      <w:bookmarkEnd w:id="145"/>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本报告期股东大会情况" w:id="146"/>
      <w:bookmarkEnd w:id="14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851"/>
        <w:gridCol w:w="1559"/>
        <w:gridCol w:w="1559"/>
        <w:gridCol w:w="2621"/>
      </w:tblGrid>
      <w:tr>
        <w:trPr>
          <w:trHeight w:val="5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2" w:lineRule="exact"/>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年第一次临时股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59.9318%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30"/>
              <w:jc w:val="left"/>
              <w:rPr>
                <w:rFonts w:ascii="Times New Roman" w:hAnsi="Times New Roman" w:cs="Times New Roman" w:eastAsia="Times New Roman" w:hint="default"/>
                <w:sz w:val="18"/>
                <w:szCs w:val="18"/>
              </w:rPr>
            </w:pPr>
            <w:hyperlink r:id="rId18">
              <w:r>
                <w:rPr>
                  <w:rFonts w:ascii="Times New Roman"/>
                  <w:sz w:val="18"/>
                </w:rPr>
                <w:t>http://www.cninfo.com.cn/cninfo-n</w:t>
              </w:r>
            </w:hyperlink>
            <w:r>
              <w:rPr>
                <w:rFonts w:ascii="Times New Roman"/>
                <w:sz w:val="18"/>
              </w:rPr>
              <w:t> ew/disclosure/szse_sme/bulletin_d etail/true/1203027341?announceTi me=2017-01-19</w:t>
            </w:r>
          </w:p>
        </w:tc>
      </w:tr>
      <w:tr>
        <w:trPr>
          <w:trHeight w:val="10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2" w:lineRule="exact"/>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年第二次临时股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13.9665%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30"/>
              <w:jc w:val="left"/>
              <w:rPr>
                <w:rFonts w:ascii="Times New Roman" w:hAnsi="Times New Roman" w:cs="Times New Roman" w:eastAsia="Times New Roman" w:hint="default"/>
                <w:sz w:val="18"/>
                <w:szCs w:val="18"/>
              </w:rPr>
            </w:pPr>
            <w:hyperlink r:id="rId18">
              <w:r>
                <w:rPr>
                  <w:rFonts w:ascii="Times New Roman"/>
                  <w:sz w:val="18"/>
                </w:rPr>
                <w:t>http://www.cninfo.com.cn/cninfo-n</w:t>
              </w:r>
            </w:hyperlink>
            <w:r>
              <w:rPr>
                <w:rFonts w:ascii="Times New Roman"/>
                <w:sz w:val="18"/>
              </w:rPr>
              <w:t> ew/disclosure/szse_sme/bulletin_d etail/true/1203068359?announceTi me=2017-02-08</w:t>
            </w:r>
          </w:p>
        </w:tc>
      </w:tr>
      <w:tr>
        <w:trPr>
          <w:trHeight w:val="10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59.5612%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30"/>
              <w:jc w:val="left"/>
              <w:rPr>
                <w:rFonts w:ascii="Times New Roman" w:hAnsi="Times New Roman" w:cs="Times New Roman" w:eastAsia="Times New Roman" w:hint="default"/>
                <w:sz w:val="18"/>
                <w:szCs w:val="18"/>
              </w:rPr>
            </w:pPr>
            <w:hyperlink r:id="rId18">
              <w:r>
                <w:rPr>
                  <w:rFonts w:ascii="Times New Roman"/>
                  <w:sz w:val="18"/>
                </w:rPr>
                <w:t>http://www.cninfo.com.cn/cninfo-n</w:t>
              </w:r>
            </w:hyperlink>
            <w:r>
              <w:rPr>
                <w:rFonts w:ascii="Times New Roman"/>
                <w:sz w:val="18"/>
              </w:rPr>
              <w:t> ew/disclosure/szse_sme/bulletin_d etail/true/1203258324?announceTi me=2017-04-07</w:t>
            </w:r>
          </w:p>
        </w:tc>
      </w:tr>
      <w:tr>
        <w:trPr>
          <w:trHeight w:val="10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2" w:lineRule="exact"/>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年第三次临时股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57.7060%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30"/>
              <w:jc w:val="left"/>
              <w:rPr>
                <w:rFonts w:ascii="Times New Roman" w:hAnsi="Times New Roman" w:cs="Times New Roman" w:eastAsia="Times New Roman" w:hint="default"/>
                <w:sz w:val="18"/>
                <w:szCs w:val="18"/>
              </w:rPr>
            </w:pPr>
            <w:hyperlink r:id="rId18">
              <w:r>
                <w:rPr>
                  <w:rFonts w:ascii="Times New Roman"/>
                  <w:sz w:val="18"/>
                </w:rPr>
                <w:t>http://www.cninfo.com.cn/cninfo-n</w:t>
              </w:r>
            </w:hyperlink>
            <w:r>
              <w:rPr>
                <w:rFonts w:ascii="Times New Roman"/>
                <w:sz w:val="18"/>
              </w:rPr>
              <w:t> ew/disclosure/szse_sme/bulletin_d etail/true/1203536706?announceTi me=2017-05-19</w:t>
            </w:r>
          </w:p>
        </w:tc>
      </w:tr>
      <w:tr>
        <w:trPr>
          <w:trHeight w:val="10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42" w:lineRule="exact"/>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年第四次临时股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53.8775%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63"/>
              <w:ind w:left="23" w:right="30"/>
              <w:jc w:val="left"/>
              <w:rPr>
                <w:rFonts w:ascii="Times New Roman" w:hAnsi="Times New Roman" w:cs="Times New Roman" w:eastAsia="Times New Roman" w:hint="default"/>
                <w:sz w:val="18"/>
                <w:szCs w:val="18"/>
              </w:rPr>
            </w:pPr>
            <w:hyperlink r:id="rId18">
              <w:r>
                <w:rPr>
                  <w:rFonts w:ascii="Times New Roman"/>
                  <w:sz w:val="18"/>
                </w:rPr>
                <w:t>http://www.cninfo.com.cn/cninfo-n</w:t>
              </w:r>
            </w:hyperlink>
            <w:r>
              <w:rPr>
                <w:rFonts w:ascii="Times New Roman"/>
                <w:sz w:val="18"/>
              </w:rPr>
              <w:t> ew/disclosure/szse_sme/bulletin_d etail/true/1204030307?announceTi me=2017-10-12</w:t>
            </w:r>
          </w:p>
        </w:tc>
      </w:tr>
    </w:tbl>
    <w:p>
      <w:pPr>
        <w:spacing w:line="240" w:lineRule="auto" w:before="8"/>
        <w:rPr>
          <w:rFonts w:ascii="宋体" w:hAnsi="宋体" w:cs="宋体" w:eastAsia="宋体" w:hint="default"/>
          <w:b/>
          <w:bCs/>
          <w:sz w:val="19"/>
          <w:szCs w:val="19"/>
        </w:rPr>
      </w:pPr>
    </w:p>
    <w:p>
      <w:pPr>
        <w:pStyle w:val="Heading3"/>
        <w:spacing w:line="240" w:lineRule="auto" w:before="38"/>
        <w:ind w:right="1118"/>
        <w:jc w:val="left"/>
        <w:rPr>
          <w:b w:val="0"/>
          <w:bCs w:val="0"/>
        </w:rPr>
      </w:pPr>
      <w:bookmarkStart w:name="2、表决权恢复的优先股股东请求召开临时股东大会" w:id="147"/>
      <w:bookmarkEnd w:id="14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五、报告期内独立董事履行职责的情况" w:id="148"/>
      <w:bookmarkEnd w:id="148"/>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独立董事出席董事会及股东大会的情况" w:id="149"/>
      <w:bookmarkEnd w:id="14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810"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陈丽花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季小琴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夏维剑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周友梅（离任）</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成志明（离任）</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朱东（离任）</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5"/>
        <w:rPr>
          <w:rFonts w:ascii="宋体" w:hAnsi="宋体" w:cs="宋体" w:eastAsia="宋体" w:hint="default"/>
          <w:b/>
          <w:bCs/>
          <w:sz w:val="19"/>
          <w:szCs w:val="19"/>
        </w:rPr>
      </w:pPr>
    </w:p>
    <w:p>
      <w:pPr>
        <w:pStyle w:val="Heading3"/>
        <w:spacing w:line="240" w:lineRule="auto" w:before="38"/>
        <w:ind w:right="1118"/>
        <w:jc w:val="left"/>
        <w:rPr>
          <w:b w:val="0"/>
          <w:bCs w:val="0"/>
        </w:rPr>
      </w:pPr>
      <w:bookmarkStart w:name="2、独立董事对公司有关事项提出异议的情况" w:id="150"/>
      <w:bookmarkEnd w:id="15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t>独立董事对公司有关事项是否提出异议</w:t>
      </w:r>
    </w:p>
    <w:p>
      <w:pPr>
        <w:pStyle w:val="BodyText"/>
        <w:spacing w:line="340" w:lineRule="auto" w:before="116"/>
        <w:ind w:right="6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9"/>
        <w:rPr>
          <w:rFonts w:ascii="宋体" w:hAnsi="宋体" w:cs="宋体" w:eastAsia="宋体" w:hint="default"/>
          <w:sz w:val="21"/>
          <w:szCs w:val="21"/>
        </w:rPr>
      </w:pPr>
    </w:p>
    <w:p>
      <w:pPr>
        <w:pStyle w:val="Heading3"/>
        <w:spacing w:line="240" w:lineRule="auto"/>
        <w:ind w:left="556" w:right="1118"/>
        <w:jc w:val="left"/>
        <w:rPr>
          <w:b w:val="0"/>
          <w:bCs w:val="0"/>
        </w:rPr>
      </w:pPr>
      <w:bookmarkStart w:name="3、独立董事履行职责的其他说明" w:id="151"/>
      <w:bookmarkEnd w:id="15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t>独立董事对公司有关建议是否被采纳</w:t>
      </w:r>
    </w:p>
    <w:p>
      <w:pPr>
        <w:pStyle w:val="BodyText"/>
        <w:spacing w:line="338" w:lineRule="auto" w:before="116"/>
        <w:ind w:right="6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2"/>
        <w:ind w:left="154"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年度，独立董事对公司进行了多次实地现场考察，了解公司的生产经营情况、财务状况以及内部控制情况；独立 </w:t>
      </w:r>
      <w:r>
        <w:rPr>
          <w:spacing w:val="-2"/>
        </w:rPr>
        <w:t>董事通过电话和邮件积极与公司其他董事、高管人员及相关工作人员保持密切联系，时刻关注国际经济形势以及外部市场变</w:t>
      </w:r>
      <w:r>
        <w:rPr>
          <w:spacing w:val="-64"/>
        </w:rPr>
        <w:t> </w:t>
      </w:r>
      <w:r>
        <w:rPr>
          <w:spacing w:val="-64"/>
        </w:rPr>
      </w:r>
      <w:r>
        <w:rPr>
          <w:spacing w:val="-2"/>
        </w:rPr>
        <w:t>化对公司经营状况的影响，关注传媒、网络有关公司的相关报道，及时获悉公司各重大事项的进展情况，定期审阅公司提供</w:t>
      </w:r>
      <w:r>
        <w:rPr>
          <w:spacing w:val="-66"/>
        </w:rPr>
        <w:t> </w:t>
      </w:r>
      <w:r>
        <w:rPr>
          <w:spacing w:val="-66"/>
        </w:rPr>
      </w:r>
      <w:r>
        <w:rPr>
          <w:spacing w:val="-2"/>
        </w:rPr>
        <w:t>的信息报告，及时了解掌握公司经营与发展情况，深入探讨公司经营发展中的机遇与挑战，及时提示风险。本年度重点关注</w:t>
      </w:r>
      <w:r>
        <w:rPr>
          <w:spacing w:val="-66"/>
        </w:rPr>
        <w:t> </w:t>
      </w:r>
      <w:r>
        <w:rPr>
          <w:spacing w:val="-66"/>
        </w:rPr>
      </w:r>
      <w:r>
        <w:rPr>
          <w:spacing w:val="-2"/>
        </w:rPr>
        <w:t>公司的经营状况和非公开发行募投项目进展情况等，掌握公司的运行动态，在充分掌握实际情况的基础上提出相关意见与建</w:t>
      </w:r>
      <w:r>
        <w:rPr>
          <w:spacing w:val="-64"/>
        </w:rPr>
        <w:t> </w:t>
      </w:r>
      <w:r>
        <w:rPr>
          <w:spacing w:val="-64"/>
        </w:rPr>
      </w:r>
      <w:r>
        <w:rPr/>
        <w:t>议，为独立董事对董事会各项议案的审议表决、对重大事项发表独立意见提供了有力的支持。</w:t>
      </w:r>
    </w:p>
    <w:p>
      <w:pPr>
        <w:spacing w:line="240" w:lineRule="auto" w:before="9"/>
        <w:rPr>
          <w:rFonts w:ascii="宋体" w:hAnsi="宋体" w:cs="宋体" w:eastAsia="宋体" w:hint="default"/>
          <w:sz w:val="20"/>
          <w:szCs w:val="20"/>
        </w:rPr>
      </w:pPr>
    </w:p>
    <w:p>
      <w:pPr>
        <w:pStyle w:val="Heading2"/>
        <w:spacing w:line="240" w:lineRule="auto"/>
        <w:ind w:left="154" w:right="1118"/>
        <w:jc w:val="left"/>
        <w:rPr>
          <w:b w:val="0"/>
          <w:bCs w:val="0"/>
        </w:rPr>
      </w:pPr>
      <w:bookmarkStart w:name="六、董事会下设专门委员会在报告期内履行职责情况" w:id="152"/>
      <w:bookmarkEnd w:id="152"/>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1" w:firstLine="360"/>
        <w:jc w:val="both"/>
      </w:pPr>
      <w:r>
        <w:rPr>
          <w:spacing w:val="-2"/>
        </w:rPr>
        <w:t>公司董事会下设四个专门委员会，分别为审计委员会、战略委员会、提名委员会、薪酬委员会。</w:t>
      </w:r>
      <w:r>
        <w:rPr>
          <w:rFonts w:ascii="Times New Roman" w:hAnsi="Times New Roman" w:cs="Times New Roman" w:eastAsia="Times New Roman" w:hint="default"/>
          <w:spacing w:val="-2"/>
        </w:rPr>
        <w:t>2017</w:t>
      </w:r>
      <w:r>
        <w:rPr>
          <w:spacing w:val="-2"/>
        </w:rPr>
        <w:t>年各专门委员会本</w:t>
      </w:r>
      <w:r>
        <w:rPr/>
        <w:t> </w:t>
      </w:r>
      <w:r>
        <w:rPr>
          <w:spacing w:val="-2"/>
        </w:rPr>
        <w:t>着勤勉尽责的原则，按照有关法律法规、规范性文件及公司各专门委员会工作细则的有关规定开展相关工作，报告期内，各</w:t>
      </w:r>
      <w:r>
        <w:rPr>
          <w:spacing w:val="-66"/>
        </w:rPr>
        <w:t> </w:t>
      </w:r>
      <w:r>
        <w:rPr>
          <w:spacing w:val="-66"/>
        </w:rPr>
      </w:r>
      <w:r>
        <w:rPr/>
        <w:t>专门委员会履职情况如下：</w:t>
      </w:r>
    </w:p>
    <w:p>
      <w:pPr>
        <w:pStyle w:val="BodyText"/>
        <w:spacing w:line="338" w:lineRule="auto" w:before="64"/>
        <w:ind w:right="1123" w:firstLine="1"/>
        <w:jc w:val="left"/>
      </w:pPr>
      <w:r>
        <w:rPr>
          <w:rFonts w:ascii="Times New Roman" w:hAnsi="Times New Roman" w:cs="Times New Roman" w:eastAsia="Times New Roman" w:hint="default"/>
          <w:b/>
          <w:bCs/>
        </w:rPr>
        <w:t>1</w:t>
      </w:r>
      <w:r>
        <w:rPr>
          <w:rFonts w:ascii="宋体" w:hAnsi="宋体" w:cs="宋体" w:eastAsia="宋体" w:hint="default"/>
          <w:b/>
          <w:bCs/>
        </w:rPr>
        <w:t>、审计委员会履职情况</w:t>
      </w:r>
      <w:r>
        <w:rPr>
          <w:rFonts w:ascii="宋体" w:hAnsi="宋体" w:cs="宋体" w:eastAsia="宋体" w:hint="default"/>
          <w:b/>
          <w:bCs/>
          <w:w w:val="99"/>
        </w:rPr>
        <w:t> </w:t>
      </w:r>
      <w:r>
        <w:rPr/>
        <w:t>报告期内，审计委员会根据有关规定积极开展相关工作，认真履行职责。报告期内，审计委员会共召开了</w:t>
      </w:r>
      <w:r>
        <w:rPr>
          <w:rFonts w:ascii="Times New Roman" w:hAnsi="Times New Roman" w:cs="Times New Roman" w:eastAsia="Times New Roman" w:hint="default"/>
        </w:rPr>
        <w:t>6</w:t>
      </w:r>
      <w:r>
        <w:rPr/>
        <w:t>次会议，审</w:t>
      </w:r>
    </w:p>
    <w:p>
      <w:pPr>
        <w:pStyle w:val="BodyText"/>
        <w:spacing w:line="217" w:lineRule="exact"/>
        <w:ind w:left="153" w:right="0"/>
        <w:jc w:val="left"/>
      </w:pPr>
      <w:r>
        <w:rPr/>
        <w:t>议了公司内部审计部提交的各项内部审计报告，听取了内部审计部年度工作总结和工作计划安排；对公司年度审计、外部审</w:t>
      </w:r>
    </w:p>
    <w:p>
      <w:pPr>
        <w:pStyle w:val="BodyText"/>
        <w:spacing w:line="348" w:lineRule="auto" w:before="77"/>
        <w:ind w:right="1118" w:hanging="360"/>
        <w:jc w:val="left"/>
      </w:pPr>
      <w:r>
        <w:rPr/>
        <w:t>计机构的聘用等事项给予合理的建议；对财务报告、募集资金使用、内部控制建设等情况进行审核。 </w:t>
      </w:r>
      <w:r>
        <w:rPr>
          <w:rFonts w:ascii="Times New Roman" w:hAnsi="Times New Roman" w:cs="Times New Roman" w:eastAsia="Times New Roman" w:hint="default"/>
          <w:b/>
          <w:bCs/>
        </w:rPr>
        <w:t>2</w:t>
      </w:r>
      <w:r>
        <w:rPr>
          <w:rFonts w:ascii="宋体" w:hAnsi="宋体" w:cs="宋体" w:eastAsia="宋体" w:hint="default"/>
          <w:b/>
          <w:bCs/>
        </w:rPr>
        <w:t>、战略委员会履职情况</w:t>
      </w:r>
      <w:r>
        <w:rPr>
          <w:rFonts w:ascii="宋体" w:hAnsi="宋体" w:cs="宋体" w:eastAsia="宋体" w:hint="default"/>
          <w:b/>
          <w:bCs/>
          <w:w w:val="99"/>
        </w:rPr>
        <w:t> </w:t>
      </w:r>
      <w:r>
        <w:rPr>
          <w:spacing w:val="-2"/>
        </w:rPr>
        <w:t>报告期内，战略委员会召开了</w:t>
      </w:r>
      <w:r>
        <w:rPr>
          <w:rFonts w:ascii="Times New Roman" w:hAnsi="Times New Roman" w:cs="Times New Roman" w:eastAsia="Times New Roman" w:hint="default"/>
          <w:spacing w:val="-2"/>
        </w:rPr>
        <w:t>10</w:t>
      </w:r>
      <w:r>
        <w:rPr>
          <w:spacing w:val="-2"/>
        </w:rPr>
        <w:t>次会议，讨论了公司</w:t>
      </w:r>
      <w:r>
        <w:rPr>
          <w:rFonts w:ascii="Times New Roman" w:hAnsi="Times New Roman" w:cs="Times New Roman" w:eastAsia="Times New Roman" w:hint="default"/>
          <w:spacing w:val="-2"/>
        </w:rPr>
        <w:t>2017</w:t>
      </w:r>
      <w:r>
        <w:rPr>
          <w:spacing w:val="-2"/>
        </w:rPr>
        <w:t>年度发展战略和投资计划，为公司下一步发展指明方向；审议</w:t>
      </w:r>
    </w:p>
    <w:p>
      <w:pPr>
        <w:pStyle w:val="BodyText"/>
        <w:spacing w:line="209" w:lineRule="exact"/>
        <w:ind w:left="153" w:right="0"/>
        <w:jc w:val="left"/>
      </w:pPr>
      <w:r>
        <w:rPr/>
        <w:t>了关于公司拟设立全资子公司，拟参与设立并购基金，拟向全资子公司划转热处理业务相关资产、负债、业务、资质、合同</w:t>
      </w:r>
    </w:p>
    <w:p>
      <w:pPr>
        <w:pStyle w:val="BodyText"/>
        <w:spacing w:line="240" w:lineRule="auto" w:before="77"/>
        <w:ind w:left="153" w:right="1118"/>
        <w:jc w:val="left"/>
      </w:pPr>
      <w:r>
        <w:rPr/>
        <w:t>等以及方欣科技收购资产等议案。</w:t>
      </w:r>
    </w:p>
    <w:p>
      <w:pPr>
        <w:pStyle w:val="BodyText"/>
        <w:spacing w:line="338" w:lineRule="auto" w:before="117"/>
        <w:ind w:right="1123" w:firstLine="1"/>
        <w:jc w:val="left"/>
      </w:pPr>
      <w:r>
        <w:rPr>
          <w:rFonts w:ascii="Times New Roman" w:hAnsi="Times New Roman" w:cs="Times New Roman" w:eastAsia="Times New Roman" w:hint="default"/>
          <w:b/>
          <w:bCs/>
        </w:rPr>
        <w:t>3</w:t>
      </w:r>
      <w:r>
        <w:rPr>
          <w:rFonts w:ascii="宋体" w:hAnsi="宋体" w:cs="宋体" w:eastAsia="宋体" w:hint="default"/>
          <w:b/>
          <w:bCs/>
        </w:rPr>
        <w:t>、提名委员会履职情况</w:t>
      </w:r>
      <w:r>
        <w:rPr>
          <w:rFonts w:ascii="宋体" w:hAnsi="宋体" w:cs="宋体" w:eastAsia="宋体" w:hint="default"/>
          <w:b/>
          <w:bCs/>
          <w:w w:val="99"/>
        </w:rPr>
        <w:t> </w:t>
      </w:r>
      <w:r>
        <w:rPr/>
        <w:t>报告期内，提名委员会召开了</w:t>
      </w:r>
      <w:r>
        <w:rPr>
          <w:rFonts w:ascii="Times New Roman" w:hAnsi="Times New Roman" w:cs="Times New Roman" w:eastAsia="Times New Roman" w:hint="default"/>
        </w:rPr>
        <w:t>2</w:t>
      </w:r>
      <w:r>
        <w:rPr/>
        <w:t>次会议，关于聘任公司总经理、副总经理、财务总监，向公司董事会提出人选的建议。 </w:t>
      </w:r>
      <w:r>
        <w:rPr>
          <w:rFonts w:ascii="Times New Roman" w:hAnsi="Times New Roman" w:cs="Times New Roman" w:eastAsia="Times New Roman" w:hint="default"/>
          <w:b/>
          <w:bCs/>
        </w:rPr>
        <w:t>4</w:t>
      </w:r>
      <w:r>
        <w:rPr>
          <w:rFonts w:ascii="宋体" w:hAnsi="宋体" w:cs="宋体" w:eastAsia="宋体" w:hint="default"/>
          <w:b/>
          <w:bCs/>
        </w:rPr>
        <w:t>、薪酬委员会履职情况</w:t>
      </w:r>
      <w:r>
        <w:rPr>
          <w:rFonts w:ascii="宋体" w:hAnsi="宋体" w:cs="宋体" w:eastAsia="宋体" w:hint="default"/>
          <w:b/>
          <w:bCs/>
          <w:w w:val="99"/>
        </w:rPr>
        <w:t> </w:t>
      </w:r>
      <w:r>
        <w:rPr/>
        <w:t>报告期内，薪酬委员会召开了</w:t>
      </w:r>
      <w:r>
        <w:rPr>
          <w:rFonts w:ascii="Times New Roman" w:hAnsi="Times New Roman" w:cs="Times New Roman" w:eastAsia="Times New Roman" w:hint="default"/>
        </w:rPr>
        <w:t>1</w:t>
      </w:r>
      <w:r>
        <w:rPr/>
        <w:t>次会议，对现任的董事、高级管理人员的</w:t>
      </w:r>
      <w:r>
        <w:rPr>
          <w:rFonts w:ascii="Times New Roman" w:hAnsi="Times New Roman" w:cs="Times New Roman" w:eastAsia="Times New Roman" w:hint="default"/>
        </w:rPr>
        <w:t>2016</w:t>
      </w:r>
      <w:r>
        <w:rPr/>
        <w:t>年度实际发放薪酬进行了审核，认为公司</w:t>
      </w:r>
    </w:p>
    <w:p>
      <w:pPr>
        <w:pStyle w:val="BodyText"/>
        <w:spacing w:line="218" w:lineRule="exact"/>
        <w:ind w:left="153" w:right="1118"/>
        <w:jc w:val="left"/>
      </w:pPr>
      <w:r>
        <w:rPr/>
        <w:t>现任董事、高级管理人员的薪酬相对合理，符合公司发展现状。</w:t>
      </w:r>
    </w:p>
    <w:p>
      <w:pPr>
        <w:spacing w:line="240" w:lineRule="auto" w:before="13"/>
        <w:rPr>
          <w:rFonts w:ascii="宋体" w:hAnsi="宋体" w:cs="宋体" w:eastAsia="宋体" w:hint="default"/>
          <w:sz w:val="24"/>
          <w:szCs w:val="24"/>
        </w:rPr>
      </w:pPr>
    </w:p>
    <w:p>
      <w:pPr>
        <w:pStyle w:val="Heading2"/>
        <w:spacing w:line="240" w:lineRule="auto"/>
        <w:ind w:left="154" w:right="1118"/>
        <w:jc w:val="left"/>
        <w:rPr>
          <w:b w:val="0"/>
          <w:bCs w:val="0"/>
        </w:rPr>
      </w:pPr>
      <w:bookmarkStart w:name="七、监事会工作情况" w:id="153"/>
      <w:bookmarkEnd w:id="153"/>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18"/>
        <w:jc w:val="left"/>
      </w:pPr>
      <w:r>
        <w:rPr/>
        <w:t>监事会在报告期内的监督活动中发现公司是否存在风险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38" w:lineRule="auto"/>
        <w:jc w:val="left"/>
        <w:sectPr>
          <w:pgSz w:w="11910" w:h="16840"/>
          <w:pgMar w:header="687" w:footer="979" w:top="1140" w:bottom="1160" w:left="980" w:right="0"/>
        </w:sectPr>
      </w:pPr>
    </w:p>
    <w:p>
      <w:pPr>
        <w:spacing w:line="240" w:lineRule="auto" w:before="11"/>
        <w:rPr>
          <w:rFonts w:ascii="宋体" w:hAnsi="宋体" w:cs="宋体" w:eastAsia="宋体" w:hint="default"/>
          <w:sz w:val="17"/>
          <w:szCs w:val="17"/>
        </w:rPr>
      </w:pPr>
    </w:p>
    <w:p>
      <w:pPr>
        <w:pStyle w:val="Heading2"/>
        <w:spacing w:line="240" w:lineRule="auto" w:before="26"/>
        <w:ind w:left="154" w:right="1118"/>
        <w:jc w:val="left"/>
        <w:rPr>
          <w:b w:val="0"/>
          <w:bCs w:val="0"/>
        </w:rPr>
      </w:pPr>
      <w:bookmarkStart w:name="八、高级管理人员的考评及激励情况" w:id="154"/>
      <w:bookmarkEnd w:id="15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31" w:firstLine="360"/>
        <w:jc w:val="both"/>
      </w:pPr>
      <w:r>
        <w:rPr>
          <w:spacing w:val="-2"/>
        </w:rPr>
        <w:t>高级管理人员实行年薪制，依据行业及地区薪酬水平、个人岗位职责、公司经营效益等因素确定。结合公司实际经营业</w:t>
      </w:r>
      <w:r>
        <w:rPr/>
        <w:t> </w:t>
      </w:r>
      <w:r>
        <w:rPr>
          <w:spacing w:val="-2"/>
        </w:rPr>
        <w:t>绩和高级管理人员的履职情况进行绩效考核，并根据考核情况核发年度绩效薪酬。</w:t>
      </w:r>
      <w:r>
        <w:rPr>
          <w:rFonts w:ascii="Times New Roman" w:hAnsi="Times New Roman" w:cs="Times New Roman" w:eastAsia="Times New Roman" w:hint="default"/>
          <w:spacing w:val="-2"/>
        </w:rPr>
        <w:t>2017</w:t>
      </w:r>
      <w:r>
        <w:rPr>
          <w:spacing w:val="-2"/>
        </w:rPr>
        <w:t>年度高级管理人员的考核均为良好以</w:t>
      </w:r>
      <w:r>
        <w:rPr>
          <w:spacing w:val="-59"/>
        </w:rPr>
        <w:t> </w:t>
      </w:r>
      <w:r>
        <w:rPr/>
        <w:t>上。</w:t>
      </w:r>
    </w:p>
    <w:p>
      <w:pPr>
        <w:pStyle w:val="BodyText"/>
        <w:spacing w:line="240" w:lineRule="auto" w:before="64"/>
        <w:ind w:left="514" w:right="1118"/>
        <w:jc w:val="left"/>
      </w:pPr>
      <w:r>
        <w:rPr>
          <w:rFonts w:ascii="Times New Roman" w:hAnsi="Times New Roman" w:cs="Times New Roman" w:eastAsia="Times New Roman" w:hint="default"/>
        </w:rPr>
        <w:t>2017</w:t>
      </w:r>
      <w:r>
        <w:rPr/>
        <w:t>年度公司未实行股权激励计划。</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九、内部控制评价报告" w:id="155"/>
      <w:bookmarkEnd w:id="155"/>
      <w:r>
        <w:rPr>
          <w:b w:val="0"/>
          <w:bCs w:val="0"/>
        </w:rPr>
      </w:r>
      <w:r>
        <w:rPr/>
        <w:t>九、内部控制评价报告</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报告期内发现的内部控制重大缺陷的具体情况" w:id="156"/>
      <w:bookmarkEnd w:id="15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2、内控自我评价报告" w:id="157"/>
      <w:bookmarkEnd w:id="15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40" w:lineRule="auto"/>
        <w:ind w:left="0" w:right="1137"/>
        <w:jc w:val="right"/>
      </w:pPr>
      <w:r>
        <w:rPr/>
        <w:pict>
          <v:shape style="position:absolute;margin-left:56.459999pt;margin-top:-399.088287pt;width:479.2pt;height:456.5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3815"/>
                    <w:gridCol w:w="1004"/>
                    <w:gridCol w:w="3330"/>
                  </w:tblGrid>
                  <w:tr>
                    <w:trPr>
                      <w:trHeight w:val="330" w:hRule="exact"/>
                    </w:trPr>
                    <w:tc>
                      <w:tcPr>
                        <w:tcW w:w="52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3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0" w:hRule="exact"/>
                    </w:trPr>
                    <w:tc>
                      <w:tcPr>
                        <w:tcW w:w="52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3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330" w:hRule="exact"/>
                    </w:trPr>
                    <w:tc>
                      <w:tcPr>
                        <w:tcW w:w="52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3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35" w:hRule="exact"/>
                    </w:trPr>
                    <w:tc>
                      <w:tcPr>
                        <w:tcW w:w="52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3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0"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3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48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05"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gridSpan w:val="2"/>
                        <w:vMerge w:val="restart"/>
                        <w:tcBorders>
                          <w:top w:val="single" w:sz="4" w:space="0" w:color="000000"/>
                          <w:left w:val="single" w:sz="9" w:space="0" w:color="D2D2D2"/>
                          <w:right w:val="single" w:sz="4" w:space="0" w:color="000000"/>
                        </w:tcBorders>
                      </w:tcPr>
                      <w:p>
                        <w:pPr>
                          <w:pStyle w:val="TableParagraph"/>
                          <w:spacing w:line="240" w:lineRule="exact" w:before="39"/>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、重大缺陷：单独缺陷或连同其他缺陷导致不能及时防止或 发现并纠正财务报告中的重大错报。出现下列情形的，认定 为重大缺陷：</w:t>
                        </w:r>
                      </w:p>
                      <w:p>
                        <w:pPr>
                          <w:pStyle w:val="TableParagraph"/>
                          <w:spacing w:line="226"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p>
                      <w:p>
                        <w:pPr>
                          <w:pStyle w:val="TableParagraph"/>
                          <w:spacing w:line="240"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）董事、监事和高级管理人员舞弊行为；</w:t>
                        </w:r>
                      </w:p>
                      <w:p>
                        <w:pPr>
                          <w:pStyle w:val="TableParagraph"/>
                          <w:spacing w:line="240" w:lineRule="exact" w:before="13"/>
                          <w:ind w:left="16"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）外部审计发现当期财务报告存在重大错报，公司在运行 过程中未能发现该错报；</w:t>
                        </w:r>
                      </w:p>
                      <w:p>
                        <w:pPr>
                          <w:pStyle w:val="TableParagraph"/>
                          <w:spacing w:line="240" w:lineRule="exact"/>
                          <w:ind w:left="16" w:right="10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）已经发现并报告给管理层的重大缺陷在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天内未加以 改正；</w:t>
                        </w:r>
                      </w:p>
                      <w:p>
                        <w:pPr>
                          <w:pStyle w:val="TableParagraph"/>
                          <w:spacing w:line="226"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）公司审计委员会和内部审计部对内部控制的监督无效；</w:t>
                        </w:r>
                      </w:p>
                      <w:p>
                        <w:pPr>
                          <w:pStyle w:val="TableParagraph"/>
                          <w:spacing w:line="240" w:lineRule="exact" w:before="13"/>
                          <w:ind w:left="16"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）其他可能影响报表使用者正确判断的缺陷。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、重要缺陷：单独缺陷或连同其他缺陷导致不能及时防止或 发现并纠正财务报告中虽然未达到和超过重要性水平，仍应 引起管理层重视的错报。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、一般缺陷：不构成重大缺陷或重要缺陷的其他内部控制缺 陷。</w:t>
                        </w:r>
                      </w:p>
                    </w:tc>
                    <w:tc>
                      <w:tcPr>
                        <w:tcW w:w="3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2" w:right="57"/>
                          <w:jc w:val="both"/>
                          <w:rPr>
                            <w:rFonts w:ascii="宋体" w:hAnsi="宋体" w:cs="宋体" w:eastAsia="宋体" w:hint="default"/>
                            <w:sz w:val="18"/>
                            <w:szCs w:val="18"/>
                          </w:rPr>
                        </w:pPr>
                        <w:r>
                          <w:rPr>
                            <w:rFonts w:ascii="宋体" w:hAnsi="宋体" w:cs="宋体" w:eastAsia="宋体" w:hint="default"/>
                            <w:sz w:val="18"/>
                            <w:szCs w:val="18"/>
                          </w:rPr>
                          <w:t>出现以下情形的，认定为重大缺陷，其他 情形按影响程度分别确定为重要缺陷或一 般缺陷。</w:t>
                        </w:r>
                      </w:p>
                      <w:p>
                        <w:pPr>
                          <w:pStyle w:val="TableParagraph"/>
                          <w:spacing w:line="240" w:lineRule="exact" w:before="19"/>
                          <w:ind w:left="22" w:right="-3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）违犯国家法律、法规或规范性文件， 被相关部门处罚，造成较大社会影响；</w:t>
                        </w:r>
                      </w:p>
                      <w:p>
                        <w:pPr>
                          <w:pStyle w:val="TableParagraph"/>
                          <w:spacing w:line="240" w:lineRule="exact"/>
                          <w:ind w:left="22" w:right="2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）涉及公司生产经营的重要业务制度控</w:t>
                        </w:r>
                        <w:r>
                          <w:rPr>
                            <w:rFonts w:ascii="宋体" w:hAnsi="宋体" w:cs="宋体" w:eastAsia="宋体" w:hint="default"/>
                            <w:sz w:val="18"/>
                            <w:szCs w:val="18"/>
                          </w:rPr>
                          <w:t> 制缺失或失效，影响重大决策；</w:t>
                        </w:r>
                      </w:p>
                      <w:p>
                        <w:pPr>
                          <w:pStyle w:val="TableParagraph"/>
                          <w:spacing w:line="226"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）媒体负面报道频现；</w:t>
                        </w:r>
                      </w:p>
                      <w:p>
                        <w:pPr>
                          <w:pStyle w:val="TableParagraph"/>
                          <w:spacing w:line="240" w:lineRule="exact" w:before="13"/>
                          <w:ind w:left="22" w:right="2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）信息披露内部控制失效，导致公司被</w:t>
                        </w:r>
                        <w:r>
                          <w:rPr>
                            <w:rFonts w:ascii="宋体" w:hAnsi="宋体" w:cs="宋体" w:eastAsia="宋体" w:hint="default"/>
                            <w:sz w:val="18"/>
                            <w:szCs w:val="18"/>
                          </w:rPr>
                          <w:t> 监管部门公开谴责；</w:t>
                        </w:r>
                      </w:p>
                      <w:p>
                        <w:pPr>
                          <w:pStyle w:val="TableParagraph"/>
                          <w:spacing w:line="226"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）重大或重要缺陷不能得到整改；</w:t>
                        </w:r>
                      </w:p>
                      <w:p>
                        <w:pPr>
                          <w:pStyle w:val="TableParagraph"/>
                          <w:spacing w:line="245"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）其他对公司影响重大的情形。</w:t>
                        </w:r>
                      </w:p>
                    </w:tc>
                  </w:tr>
                  <w:tr>
                    <w:trPr>
                      <w:trHeight w:val="320"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820" w:type="dxa"/>
                        <w:gridSpan w:val="2"/>
                        <w:vMerge/>
                        <w:tcBorders>
                          <w:left w:val="single" w:sz="9" w:space="0" w:color="D2D2D2"/>
                          <w:right w:val="single" w:sz="4" w:space="0" w:color="000000"/>
                        </w:tcBorders>
                      </w:tcPr>
                      <w:p>
                        <w:pPr/>
                      </w:p>
                    </w:tc>
                    <w:tc>
                      <w:tcPr>
                        <w:tcW w:w="3330" w:type="dxa"/>
                        <w:vMerge/>
                        <w:tcBorders>
                          <w:left w:val="single" w:sz="4" w:space="0" w:color="000000"/>
                          <w:right w:val="single" w:sz="4" w:space="0" w:color="000000"/>
                        </w:tcBorders>
                      </w:tcPr>
                      <w:p>
                        <w:pPr/>
                      </w:p>
                    </w:tc>
                  </w:tr>
                  <w:tr>
                    <w:trPr>
                      <w:trHeight w:val="1805"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gridSpan w:val="2"/>
                        <w:vMerge/>
                        <w:tcBorders>
                          <w:left w:val="single" w:sz="9" w:space="0" w:color="D2D2D2"/>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r>
                    <w:trPr>
                      <w:trHeight w:val="1445"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4820" w:type="dxa"/>
                        <w:gridSpan w:val="2"/>
                        <w:vMerge w:val="restart"/>
                        <w:tcBorders>
                          <w:top w:val="single" w:sz="4" w:space="0" w:color="000000"/>
                          <w:left w:val="single" w:sz="9" w:space="0" w:color="D2D2D2"/>
                          <w:right w:val="single" w:sz="4" w:space="0" w:color="000000"/>
                        </w:tcBorders>
                      </w:tcPr>
                      <w:p>
                        <w:pPr>
                          <w:pStyle w:val="TableParagraph"/>
                          <w:spacing w:line="245" w:lineRule="exact" w:before="2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、营业收入潜在错报</w:t>
                        </w:r>
                      </w:p>
                      <w:p>
                        <w:pPr>
                          <w:pStyle w:val="TableParagraph"/>
                          <w:spacing w:line="240"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错报；</w:t>
                        </w:r>
                      </w:p>
                      <w:p>
                        <w:pPr>
                          <w:pStyle w:val="TableParagraph"/>
                          <w:spacing w:line="240" w:lineRule="exact" w:before="13"/>
                          <w:ind w:left="16"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错报＜营业收入总额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p>
                        <w:pPr>
                          <w:pStyle w:val="TableParagraph"/>
                          <w:spacing w:line="226"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）一般缺陷：错报＜营业收入总额的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24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、利润总额潜在错报</w:t>
                        </w:r>
                      </w:p>
                      <w:p>
                        <w:pPr>
                          <w:pStyle w:val="TableParagraph"/>
                          <w:spacing w:line="240"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p>
                      <w:p>
                        <w:pPr>
                          <w:pStyle w:val="TableParagraph"/>
                          <w:spacing w:line="240"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exact" w:before="14"/>
                          <w:ind w:left="16" w:right="15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、总资产潜在错报</w:t>
                        </w:r>
                      </w:p>
                      <w:p>
                        <w:pPr>
                          <w:pStyle w:val="TableParagraph"/>
                          <w:spacing w:line="226"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240"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p>
                        <w:pPr>
                          <w:pStyle w:val="TableParagraph"/>
                          <w:spacing w:line="245" w:lineRule="exact"/>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c>
                      <w:tcPr>
                        <w:tcW w:w="3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8"/>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、重大缺陷：直接财产损失金额在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元以上，对公司造成较大负面影响并以公 告形式对外披露；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、重要缺陷：直接财产损失金额在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万元（含</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万元），受国家政府 部门处罚，但未对公司造成负面影响；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、一般缺陷：直接财产损失金额在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exact" w:before="9"/>
                          <w:ind w:left="22" w:right="57"/>
                          <w:jc w:val="both"/>
                          <w:rPr>
                            <w:rFonts w:ascii="宋体" w:hAnsi="宋体" w:cs="宋体" w:eastAsia="宋体" w:hint="default"/>
                            <w:sz w:val="18"/>
                            <w:szCs w:val="18"/>
                          </w:rPr>
                        </w:pPr>
                        <w:r>
                          <w:rPr>
                            <w:rFonts w:ascii="宋体" w:hAnsi="宋体" w:cs="宋体" w:eastAsia="宋体" w:hint="default"/>
                            <w:spacing w:val="-3"/>
                            <w:sz w:val="18"/>
                            <w:szCs w:val="18"/>
                          </w:rPr>
                          <w:t>元以下（含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万元），受省级（含省级</w:t>
                        </w:r>
                        <w:r>
                          <w:rPr>
                            <w:rFonts w:ascii="宋体" w:hAnsi="宋体" w:cs="宋体" w:eastAsia="宋体" w:hint="default"/>
                            <w:sz w:val="18"/>
                            <w:szCs w:val="18"/>
                          </w:rPr>
                          <w:t> 以下政府部门处罚，未对公司造成负面影 响。</w:t>
                        </w:r>
                      </w:p>
                    </w:tc>
                  </w:tr>
                  <w:tr>
                    <w:trPr>
                      <w:trHeight w:val="320"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820" w:type="dxa"/>
                        <w:gridSpan w:val="2"/>
                        <w:vMerge/>
                        <w:tcBorders>
                          <w:left w:val="single" w:sz="9" w:space="0" w:color="D2D2D2"/>
                          <w:right w:val="single" w:sz="4" w:space="0" w:color="000000"/>
                        </w:tcBorders>
                      </w:tcPr>
                      <w:p>
                        <w:pPr/>
                      </w:p>
                    </w:tc>
                    <w:tc>
                      <w:tcPr>
                        <w:tcW w:w="3330" w:type="dxa"/>
                        <w:vMerge/>
                        <w:tcBorders>
                          <w:left w:val="single" w:sz="4" w:space="0" w:color="000000"/>
                          <w:right w:val="single" w:sz="4" w:space="0" w:color="000000"/>
                        </w:tcBorders>
                      </w:tcPr>
                      <w:p>
                        <w:pPr/>
                      </w:p>
                    </w:tc>
                  </w:tr>
                  <w:tr>
                    <w:trPr>
                      <w:trHeight w:val="1445"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4820" w:type="dxa"/>
                        <w:gridSpan w:val="2"/>
                        <w:vMerge/>
                        <w:tcBorders>
                          <w:left w:val="single" w:sz="9" w:space="0" w:color="D2D2D2"/>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407"/>
        <w:gridCol w:w="8162"/>
      </w:tblGrid>
      <w:tr>
        <w:trPr>
          <w:trHeight w:val="570"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12"/>
              <w:jc w:val="left"/>
              <w:rPr>
                <w:rFonts w:ascii="宋体" w:hAnsi="宋体" w:cs="宋体" w:eastAsia="宋体" w:hint="default"/>
                <w:sz w:val="18"/>
                <w:szCs w:val="18"/>
              </w:rPr>
            </w:pPr>
            <w:r>
              <w:rPr>
                <w:rFonts w:ascii="宋体" w:hAnsi="宋体" w:cs="宋体" w:eastAsia="宋体" w:hint="default"/>
                <w:sz w:val="18"/>
                <w:szCs w:val="18"/>
              </w:rPr>
              <w:t>财务报告重大缺 陷数量（个）</w:t>
            </w:r>
          </w:p>
        </w:tc>
        <w:tc>
          <w:tcPr>
            <w:tcW w:w="81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12"/>
              <w:jc w:val="left"/>
              <w:rPr>
                <w:rFonts w:ascii="宋体" w:hAnsi="宋体" w:cs="宋体" w:eastAsia="宋体" w:hint="default"/>
                <w:sz w:val="18"/>
                <w:szCs w:val="18"/>
              </w:rPr>
            </w:pPr>
            <w:r>
              <w:rPr>
                <w:rFonts w:ascii="宋体" w:hAnsi="宋体" w:cs="宋体" w:eastAsia="宋体" w:hint="default"/>
                <w:sz w:val="18"/>
                <w:szCs w:val="18"/>
              </w:rPr>
              <w:t>非财务报告重大 缺陷数量（个）</w:t>
            </w:r>
          </w:p>
        </w:tc>
        <w:tc>
          <w:tcPr>
            <w:tcW w:w="81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12"/>
              <w:jc w:val="left"/>
              <w:rPr>
                <w:rFonts w:ascii="宋体" w:hAnsi="宋体" w:cs="宋体" w:eastAsia="宋体" w:hint="default"/>
                <w:sz w:val="18"/>
                <w:szCs w:val="18"/>
              </w:rPr>
            </w:pPr>
            <w:r>
              <w:rPr>
                <w:rFonts w:ascii="宋体" w:hAnsi="宋体" w:cs="宋体" w:eastAsia="宋体" w:hint="default"/>
                <w:sz w:val="18"/>
                <w:szCs w:val="18"/>
              </w:rPr>
              <w:t>财务报告重要缺 陷数量（个）</w:t>
            </w:r>
          </w:p>
        </w:tc>
        <w:tc>
          <w:tcPr>
            <w:tcW w:w="81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70"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12"/>
              <w:jc w:val="left"/>
              <w:rPr>
                <w:rFonts w:ascii="宋体" w:hAnsi="宋体" w:cs="宋体" w:eastAsia="宋体" w:hint="default"/>
                <w:sz w:val="18"/>
                <w:szCs w:val="18"/>
              </w:rPr>
            </w:pPr>
            <w:r>
              <w:rPr>
                <w:rFonts w:ascii="宋体" w:hAnsi="宋体" w:cs="宋体" w:eastAsia="宋体" w:hint="default"/>
                <w:sz w:val="18"/>
                <w:szCs w:val="18"/>
              </w:rPr>
              <w:t>非财务报告重要 缺陷数量（个）</w:t>
            </w:r>
          </w:p>
        </w:tc>
        <w:tc>
          <w:tcPr>
            <w:tcW w:w="81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十、内部控制审计报告或鉴证报告" w:id="158"/>
      <w:bookmarkEnd w:id="158"/>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8"/>
        <w:jc w:val="left"/>
      </w:pPr>
      <w:r>
        <w:rPr/>
        <w:t>内部控制审计报告</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57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2" w:right="84" w:firstLine="360"/>
              <w:jc w:val="left"/>
              <w:rPr>
                <w:rFonts w:ascii="宋体" w:hAnsi="宋体" w:cs="宋体" w:eastAsia="宋体" w:hint="default"/>
                <w:sz w:val="18"/>
                <w:szCs w:val="18"/>
              </w:rPr>
            </w:pPr>
            <w:r>
              <w:rPr>
                <w:rFonts w:ascii="宋体" w:hAnsi="宋体" w:cs="宋体" w:eastAsia="宋体" w:hint="default"/>
                <w:sz w:val="18"/>
                <w:szCs w:val="18"/>
              </w:rPr>
              <w:t>我们认为，金财互联于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会计师事务所是否出具非标准意见的内部控制审计报告</w:t>
      </w:r>
    </w:p>
    <w:p>
      <w:pPr>
        <w:pStyle w:val="BodyText"/>
        <w:spacing w:line="415" w:lineRule="auto" w:before="116"/>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35" w:lineRule="exact"/>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35" w:lineRule="exact"/>
        <w:jc w:val="left"/>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3126" w:right="1118"/>
        <w:jc w:val="left"/>
        <w:rPr>
          <w:b w:val="0"/>
          <w:bCs w:val="0"/>
        </w:rPr>
      </w:pPr>
      <w:bookmarkStart w:name="第十节 公司债券相关情况" w:id="159"/>
      <w:bookmarkEnd w:id="159"/>
      <w:r>
        <w:rPr>
          <w:b w:val="0"/>
          <w:bCs w:val="0"/>
        </w:rPr>
      </w:r>
      <w:bookmarkStart w:name="_bookmark9" w:id="160"/>
      <w:bookmarkEnd w:id="16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175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ind w:left="3608" w:right="1118"/>
        <w:jc w:val="left"/>
        <w:rPr>
          <w:b w:val="0"/>
          <w:bCs w:val="0"/>
        </w:rPr>
      </w:pPr>
      <w:bookmarkStart w:name="第十一节 财务报告" w:id="161"/>
      <w:bookmarkEnd w:id="161"/>
      <w:r>
        <w:rPr>
          <w:b w:val="0"/>
          <w:bCs w:val="0"/>
        </w:rPr>
      </w:r>
      <w:bookmarkStart w:name="_bookmark10" w:id="162"/>
      <w:bookmarkEnd w:id="162"/>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审计报告" w:id="163"/>
      <w:bookmarkEnd w:id="16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冯家俊、钟美玲</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8"/>
          <w:szCs w:val="18"/>
        </w:rPr>
      </w:pPr>
    </w:p>
    <w:p>
      <w:pPr>
        <w:pStyle w:val="Heading4"/>
        <w:spacing w:line="439" w:lineRule="auto"/>
        <w:ind w:right="0" w:hanging="362"/>
        <w:jc w:val="left"/>
        <w:rPr>
          <w:b w:val="0"/>
          <w:bCs w:val="0"/>
        </w:rPr>
      </w:pPr>
      <w:r>
        <w:rPr>
          <w:w w:val="95"/>
        </w:rPr>
        <w:t>金财互联控股股份有限公司全体股东：</w:t>
      </w:r>
      <w:r>
        <w:rPr>
          <w:spacing w:val="64"/>
          <w:w w:val="95"/>
        </w:rPr>
        <w:t> </w:t>
      </w:r>
      <w:r>
        <w:rPr>
          <w:spacing w:val="64"/>
          <w:w w:val="95"/>
        </w:rPr>
      </w:r>
      <w:r>
        <w:rPr/>
        <w:t>一、审计意见</w:t>
      </w:r>
      <w:r>
        <w:rPr>
          <w:b w:val="0"/>
          <w:bCs w:val="0"/>
        </w:rPr>
      </w:r>
    </w:p>
    <w:p>
      <w:pPr>
        <w:pStyle w:val="BodyText"/>
        <w:spacing w:line="240" w:lineRule="auto" w:before="51"/>
        <w:ind w:left="153" w:right="-19"/>
        <w:jc w:val="left"/>
      </w:pPr>
      <w:r>
        <w:rPr/>
        <w:br w:type="column"/>
      </w:r>
      <w:r>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众会字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2566</w:t>
      </w:r>
      <w:r>
        <w:rPr/>
        <w:t>号</w:t>
      </w:r>
    </w:p>
    <w:p>
      <w:pPr>
        <w:spacing w:after="0" w:line="240" w:lineRule="auto"/>
        <w:jc w:val="left"/>
        <w:sectPr>
          <w:type w:val="continuous"/>
          <w:pgSz w:w="11910" w:h="16840"/>
          <w:pgMar w:top="1060" w:bottom="1160" w:left="980" w:right="0"/>
          <w:cols w:num="3" w:equalWidth="0">
            <w:col w:w="3224" w:space="1056"/>
            <w:col w:w="1235" w:space="2385"/>
            <w:col w:w="3030"/>
          </w:cols>
        </w:sectPr>
      </w:pPr>
    </w:p>
    <w:p>
      <w:pPr>
        <w:pStyle w:val="BodyText"/>
        <w:spacing w:line="302" w:lineRule="auto" w:before="47"/>
        <w:ind w:left="153" w:right="1118" w:firstLine="360"/>
        <w:jc w:val="left"/>
      </w:pPr>
      <w:r>
        <w:rPr>
          <w:spacing w:val="-2"/>
        </w:rPr>
        <w:t>我们审计了金财互联控股股份有限公司（以下简称</w:t>
      </w:r>
      <w:r>
        <w:rPr>
          <w:rFonts w:ascii="Times New Roman" w:hAnsi="Times New Roman" w:cs="Times New Roman" w:eastAsia="Times New Roman" w:hint="default"/>
          <w:spacing w:val="-2"/>
        </w:rPr>
        <w:t>“</w:t>
      </w:r>
      <w:r>
        <w:rPr>
          <w:spacing w:val="-2"/>
        </w:rPr>
        <w:t>金财互联</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w:t>
      </w:r>
      <w:r>
        <w:rPr/>
        <w:t> 表，</w:t>
      </w:r>
      <w:r>
        <w:rPr>
          <w:rFonts w:ascii="Times New Roman" w:hAnsi="Times New Roman" w:cs="Times New Roman" w:eastAsia="Times New Roman" w:hint="default"/>
        </w:rPr>
        <w:t>2017</w:t>
      </w:r>
      <w:r>
        <w:rPr/>
        <w:t>年度的合并及公司利润表、合并及公司现金流量表、合并及公司所有者权益变动表以及相关财务报表附注。</w:t>
      </w:r>
    </w:p>
    <w:p>
      <w:pPr>
        <w:pStyle w:val="BodyText"/>
        <w:spacing w:line="302" w:lineRule="auto" w:before="50"/>
        <w:ind w:left="153" w:right="1118" w:firstLine="360"/>
        <w:jc w:val="left"/>
      </w:pPr>
      <w:r>
        <w:rPr>
          <w:spacing w:val="-2"/>
        </w:rPr>
        <w:t>我们认为，后附的财务报表在所有重大方面按照企业会计准则的规定编制，公允反映了金财互联</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及公司财务状况以及</w:t>
      </w:r>
      <w:r>
        <w:rPr>
          <w:rFonts w:ascii="Times New Roman" w:hAnsi="Times New Roman" w:cs="Times New Roman" w:eastAsia="Times New Roman" w:hint="default"/>
        </w:rPr>
        <w:t>2017</w:t>
      </w:r>
      <w:r>
        <w:rPr/>
        <w:t>年度的合并及公司经营成果和现金流量。</w:t>
      </w:r>
    </w:p>
    <w:p>
      <w:pPr>
        <w:pStyle w:val="Heading4"/>
        <w:spacing w:line="240" w:lineRule="auto" w:before="130"/>
        <w:ind w:right="1118"/>
        <w:jc w:val="left"/>
        <w:rPr>
          <w:b w:val="0"/>
          <w:bCs w:val="0"/>
        </w:rPr>
      </w:pPr>
      <w:r>
        <w:rPr/>
        <w:t>二、形成审计意见的基础</w:t>
      </w:r>
      <w:r>
        <w:rPr>
          <w:b w:val="0"/>
          <w:bCs w:val="0"/>
        </w:rPr>
      </w:r>
    </w:p>
    <w:p>
      <w:pPr>
        <w:spacing w:line="240" w:lineRule="auto" w:before="0"/>
        <w:rPr>
          <w:rFonts w:ascii="宋体" w:hAnsi="宋体" w:cs="宋体" w:eastAsia="宋体" w:hint="default"/>
          <w:b/>
          <w:bCs/>
          <w:sz w:val="15"/>
          <w:szCs w:val="15"/>
        </w:rPr>
      </w:pPr>
    </w:p>
    <w:p>
      <w:pPr>
        <w:pStyle w:val="BodyText"/>
        <w:spacing w:line="309" w:lineRule="auto"/>
        <w:ind w:left="153"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阐述了我们在这些准则下的责任。按照中国注册会计师职业道德守则，我们独立于金财互联，并履行了职业道德方面的其他</w:t>
      </w:r>
      <w:r>
        <w:rPr>
          <w:spacing w:val="-66"/>
        </w:rPr>
        <w:t> </w:t>
      </w:r>
      <w:r>
        <w:rPr>
          <w:spacing w:val="-66"/>
        </w:rPr>
      </w:r>
      <w:r>
        <w:rPr/>
        <w:t>责任。我们相信，我们获取的审计证据是充分、适当的，为发表审计意见提供了基础。</w:t>
      </w:r>
    </w:p>
    <w:p>
      <w:pPr>
        <w:pStyle w:val="BodyText"/>
        <w:spacing w:line="432" w:lineRule="exact" w:before="7"/>
        <w:ind w:right="1118"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6"/>
        <w:ind w:left="153" w:right="0"/>
        <w:jc w:val="both"/>
      </w:pPr>
      <w:r>
        <w:rPr/>
        <w:t>审计并形成审计意见为背景，我们不对这些事项单独发表意见。</w:t>
      </w:r>
    </w:p>
    <w:p>
      <w:pPr>
        <w:pStyle w:val="BodyText"/>
        <w:spacing w:line="240" w:lineRule="auto" w:before="116"/>
        <w:ind w:right="1118"/>
        <w:jc w:val="left"/>
      </w:pPr>
      <w:r>
        <w:rPr/>
        <w:t>（一）商誉的减值</w:t>
      </w:r>
    </w:p>
    <w:p>
      <w:pPr>
        <w:pStyle w:val="BodyText"/>
        <w:spacing w:line="338" w:lineRule="auto" w:before="116"/>
        <w:ind w:right="1118"/>
        <w:jc w:val="left"/>
      </w:pPr>
      <w:r>
        <w:rPr>
          <w:rFonts w:ascii="Times New Roman" w:hAnsi="Times New Roman" w:cs="Times New Roman" w:eastAsia="Times New Roman" w:hint="default"/>
        </w:rPr>
        <w:t>1</w:t>
      </w:r>
      <w:r>
        <w:rPr/>
        <w:t>、事项描述：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日，金财互联合并资产负债表中商誉账面净值为人民币</w:t>
      </w:r>
      <w:r>
        <w:rPr>
          <w:rFonts w:ascii="Times New Roman" w:hAnsi="Times New Roman" w:cs="Times New Roman" w:eastAsia="Times New Roman" w:hint="default"/>
          <w:spacing w:val="-2"/>
        </w:rPr>
        <w:t>1,687,085,722.27</w:t>
      </w:r>
      <w:r>
        <w:rPr>
          <w:spacing w:val="-2"/>
        </w:rPr>
        <w:t>元，主要为</w:t>
      </w:r>
      <w:r>
        <w:rPr>
          <w:rFonts w:ascii="Times New Roman" w:hAnsi="Times New Roman" w:cs="Times New Roman" w:eastAsia="Times New Roman" w:hint="default"/>
          <w:spacing w:val="-2"/>
        </w:rPr>
        <w:t>2016</w:t>
      </w:r>
      <w:r>
        <w:rPr>
          <w:spacing w:val="-2"/>
        </w:rPr>
        <w:t>年收购方欣科</w:t>
      </w:r>
    </w:p>
    <w:p>
      <w:pPr>
        <w:pStyle w:val="BodyText"/>
        <w:spacing w:line="230" w:lineRule="exact"/>
        <w:ind w:left="154" w:right="0"/>
        <w:jc w:val="both"/>
      </w:pPr>
      <w:r>
        <w:rPr/>
        <w:t>技有限公司（以下简称</w:t>
      </w:r>
      <w:r>
        <w:rPr>
          <w:rFonts w:ascii="Times New Roman" w:hAnsi="Times New Roman" w:cs="Times New Roman" w:eastAsia="Times New Roman" w:hint="default"/>
        </w:rPr>
        <w:t>“</w:t>
      </w:r>
      <w:r>
        <w:rPr/>
        <w:t>方欣科技</w:t>
      </w:r>
      <w:r>
        <w:rPr>
          <w:rFonts w:ascii="Times New Roman" w:hAnsi="Times New Roman" w:cs="Times New Roman" w:eastAsia="Times New Roman" w:hint="default"/>
        </w:rPr>
        <w:t>”</w:t>
      </w:r>
      <w:r>
        <w:rPr/>
        <w:t>）形成的商誉。管理层将方欣科技判断为独立的资产组，聘请独立评估师对方欣科技资产</w:t>
      </w:r>
    </w:p>
    <w:p>
      <w:pPr>
        <w:pStyle w:val="BodyText"/>
        <w:spacing w:line="319" w:lineRule="auto" w:before="63"/>
        <w:ind w:left="154" w:right="1131"/>
        <w:jc w:val="both"/>
      </w:pPr>
      <w:r>
        <w:rPr>
          <w:spacing w:val="-2"/>
        </w:rPr>
        <w:t>组的公允价值进行评估，以协助管理层对方欣科技商誉及其他长期资产进行减值测试。减值评估涉及确定折现率等评估参数</w:t>
      </w:r>
      <w:r>
        <w:rPr>
          <w:spacing w:val="-64"/>
        </w:rPr>
        <w:t> </w:t>
      </w:r>
      <w:r>
        <w:rPr>
          <w:spacing w:val="-64"/>
        </w:rPr>
      </w:r>
      <w:r>
        <w:rPr>
          <w:spacing w:val="-2"/>
        </w:rPr>
        <w:t>及对未来若干年的经营和财务情况的假设，包括未来若干年的销售增长率和毛利率等。由于方欣科技商誉及其他长期资产的</w:t>
      </w:r>
      <w:r>
        <w:rPr>
          <w:spacing w:val="-64"/>
        </w:rPr>
        <w:t> </w:t>
      </w:r>
      <w:r>
        <w:rPr>
          <w:spacing w:val="-64"/>
        </w:rPr>
      </w:r>
      <w:r>
        <w:rPr>
          <w:spacing w:val="-2"/>
        </w:rPr>
        <w:t>账面价值对财务报表影响重大，且上述判断和假设的合理性对商誉及其他长期资产减值测试的结果具有重大影响，因此我们</w:t>
      </w:r>
      <w:r>
        <w:rPr>
          <w:spacing w:val="-64"/>
        </w:rPr>
        <w:t> </w:t>
      </w:r>
      <w:r>
        <w:rPr>
          <w:spacing w:val="-64"/>
        </w:rPr>
      </w:r>
      <w:r>
        <w:rPr/>
        <w:t>将方欣科技的商誉减值测试作为关键审计事项。</w:t>
      </w:r>
    </w:p>
    <w:p>
      <w:pPr>
        <w:pStyle w:val="BodyText"/>
        <w:spacing w:line="338" w:lineRule="auto" w:before="56"/>
        <w:ind w:right="6613"/>
        <w:jc w:val="left"/>
      </w:pPr>
      <w:r>
        <w:rPr>
          <w:rFonts w:ascii="Times New Roman" w:hAnsi="Times New Roman" w:cs="Times New Roman" w:eastAsia="Times New Roman" w:hint="default"/>
        </w:rPr>
        <w:t>2</w:t>
      </w:r>
      <w:r>
        <w:rPr/>
        <w:t>、审计应对： 我们针对商誉的减值执行的主要审计程序包括：</w:t>
      </w:r>
    </w:p>
    <w:p>
      <w:pPr>
        <w:pStyle w:val="BodyText"/>
        <w:spacing w:line="240" w:lineRule="auto" w:before="42"/>
        <w:ind w:left="514" w:right="1118"/>
        <w:jc w:val="left"/>
      </w:pPr>
      <w:r>
        <w:rPr/>
        <w:t>（</w:t>
      </w:r>
      <w:r>
        <w:rPr>
          <w:rFonts w:ascii="Times New Roman" w:hAnsi="Times New Roman" w:cs="Times New Roman" w:eastAsia="Times New Roman" w:hint="default"/>
        </w:rPr>
        <w:t>1</w:t>
      </w:r>
      <w:r>
        <w:rPr/>
        <w:t>）了解并测试了公司对商誉及其他长期资产减值评估的内部控制；</w:t>
      </w:r>
    </w:p>
    <w:p>
      <w:pPr>
        <w:pStyle w:val="BodyText"/>
        <w:spacing w:line="240" w:lineRule="auto" w:before="103"/>
        <w:ind w:right="1118"/>
        <w:jc w:val="left"/>
      </w:pPr>
      <w:r>
        <w:rPr/>
        <w:t>（</w:t>
      </w:r>
      <w:r>
        <w:rPr>
          <w:rFonts w:ascii="Times New Roman" w:hAnsi="Times New Roman" w:cs="Times New Roman" w:eastAsia="Times New Roman" w:hint="default"/>
        </w:rPr>
        <w:t>2</w:t>
      </w:r>
      <w:r>
        <w:rPr/>
        <w:t>）评价独立评估师的胜任能力、专业素质和客观性；</w:t>
      </w:r>
    </w:p>
    <w:p>
      <w:pPr>
        <w:pStyle w:val="BodyText"/>
        <w:spacing w:line="240" w:lineRule="auto" w:before="101"/>
        <w:ind w:left="514" w:right="0"/>
        <w:jc w:val="left"/>
      </w:pPr>
      <w:r>
        <w:rPr/>
        <w:t>（</w:t>
      </w:r>
      <w:r>
        <w:rPr>
          <w:rFonts w:ascii="Times New Roman" w:hAnsi="Times New Roman" w:cs="Times New Roman" w:eastAsia="Times New Roman" w:hint="default"/>
        </w:rPr>
        <w:t>3</w:t>
      </w:r>
      <w:r>
        <w:rPr/>
        <w:t>）我们利用内部评估专家的工作，以协助判断评估价值类型、评估方法的合理性；我们的内部评估专家参考了若干</w:t>
      </w:r>
    </w:p>
    <w:p>
      <w:pPr>
        <w:spacing w:after="0" w:line="240" w:lineRule="auto"/>
        <w:jc w:val="left"/>
        <w:sectPr>
          <w:type w:val="continuous"/>
          <w:pgSz w:w="11910" w:h="16840"/>
          <w:pgMar w:top="106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18"/>
        <w:jc w:val="left"/>
      </w:pPr>
      <w:r>
        <w:rPr>
          <w:spacing w:val="-2"/>
        </w:rPr>
        <w:t>家可比公司的公开财务信息以评价公司采用的折现率是否在行业内其他公司所采用的折现率范围内；我们对比了公司历史财</w:t>
      </w:r>
      <w:r>
        <w:rPr>
          <w:spacing w:val="-64"/>
        </w:rPr>
        <w:t> </w:t>
      </w:r>
      <w:r>
        <w:rPr>
          <w:spacing w:val="-64"/>
        </w:rPr>
      </w:r>
      <w:r>
        <w:rPr/>
        <w:t>务数据及行业发展趋势，以判断公司对未来若干年的销售增长率和毛利率等经营和财务假设是否合理。</w:t>
      </w:r>
    </w:p>
    <w:p>
      <w:pPr>
        <w:pStyle w:val="BodyText"/>
        <w:spacing w:line="302" w:lineRule="auto" w:before="55"/>
        <w:ind w:left="154" w:right="1122" w:firstLine="360"/>
        <w:jc w:val="left"/>
      </w:pPr>
      <w:r>
        <w:rPr/>
        <w:t>（</w:t>
      </w:r>
      <w:r>
        <w:rPr>
          <w:rFonts w:ascii="Times New Roman" w:hAnsi="Times New Roman" w:cs="Times New Roman" w:eastAsia="Times New Roman" w:hint="default"/>
        </w:rPr>
        <w:t>4</w:t>
      </w:r>
      <w:r>
        <w:rPr/>
        <w:t>）获取管理层对折现的现金流量预测中采用的折现率和销售增长率的敏感性分析，考虑这些参数和假设在合理变动 时对减值测试结果的潜在影响。</w:t>
      </w:r>
    </w:p>
    <w:p>
      <w:pPr>
        <w:pStyle w:val="BodyText"/>
        <w:spacing w:line="240" w:lineRule="auto" w:before="71"/>
        <w:ind w:left="514" w:right="1118"/>
        <w:jc w:val="left"/>
      </w:pPr>
      <w:r>
        <w:rPr/>
        <w:t>（二）收入的确认</w:t>
      </w:r>
    </w:p>
    <w:p>
      <w:pPr>
        <w:pStyle w:val="BodyText"/>
        <w:spacing w:line="240" w:lineRule="auto" w:before="116"/>
        <w:ind w:left="514" w:right="1118"/>
        <w:jc w:val="left"/>
      </w:pPr>
      <w:r>
        <w:rPr>
          <w:rFonts w:ascii="Times New Roman" w:hAnsi="Times New Roman" w:cs="Times New Roman" w:eastAsia="Times New Roman" w:hint="default"/>
        </w:rPr>
        <w:t>1</w:t>
      </w:r>
      <w:r>
        <w:rPr/>
        <w:t>、事项描述：</w:t>
      </w:r>
    </w:p>
    <w:p>
      <w:pPr>
        <w:pStyle w:val="BodyText"/>
        <w:spacing w:line="300" w:lineRule="auto" w:before="101"/>
        <w:ind w:left="153" w:right="1131" w:firstLine="360"/>
        <w:jc w:val="both"/>
      </w:pPr>
      <w:r>
        <w:rPr>
          <w:rFonts w:ascii="Times New Roman" w:hAnsi="Times New Roman" w:cs="Times New Roman" w:eastAsia="Times New Roman" w:hint="default"/>
        </w:rPr>
        <w:t>2017</w:t>
      </w:r>
      <w:r>
        <w:rPr/>
        <w:t>年度，金财互联合并营业收入为人民币</w:t>
      </w:r>
      <w:r>
        <w:rPr>
          <w:rFonts w:ascii="Times New Roman" w:hAnsi="Times New Roman" w:cs="Times New Roman" w:eastAsia="Times New Roman" w:hint="default"/>
        </w:rPr>
        <w:t>997,742,267.47</w:t>
      </w:r>
      <w:r>
        <w:rPr/>
        <w:t>元，归属于母公司所有者的净利润为</w:t>
      </w:r>
      <w:r>
        <w:rPr>
          <w:rFonts w:ascii="Times New Roman" w:hAnsi="Times New Roman" w:cs="Times New Roman" w:eastAsia="Times New Roman" w:hint="default"/>
        </w:rPr>
        <w:t>230,474,158.71</w:t>
      </w:r>
      <w:r>
        <w:rPr/>
        <w:t>元。其中 来源于互联网业务的营业收入为人民币</w:t>
      </w:r>
      <w:r>
        <w:rPr>
          <w:rFonts w:ascii="Times New Roman" w:hAnsi="Times New Roman" w:cs="Times New Roman" w:eastAsia="Times New Roman" w:hint="default"/>
        </w:rPr>
        <w:t>505,662,615.09</w:t>
      </w:r>
      <w:r>
        <w:rPr/>
        <w:t>元，占全部营业收入的比例为</w:t>
      </w:r>
      <w:r>
        <w:rPr>
          <w:rFonts w:ascii="Times New Roman" w:hAnsi="Times New Roman" w:cs="Times New Roman" w:eastAsia="Times New Roman" w:hint="default"/>
        </w:rPr>
        <w:t>50.68%</w:t>
      </w:r>
      <w:r>
        <w:rPr/>
        <w:t>，归属于母公司所有者的净利润 </w:t>
      </w:r>
      <w:r>
        <w:rPr>
          <w:spacing w:val="-1"/>
        </w:rPr>
        <w:t>为</w:t>
      </w:r>
      <w:r>
        <w:rPr>
          <w:rFonts w:ascii="Times New Roman" w:hAnsi="Times New Roman" w:cs="Times New Roman" w:eastAsia="Times New Roman" w:hint="default"/>
          <w:spacing w:val="-1"/>
        </w:rPr>
        <w:t>172,931,662.78</w:t>
      </w:r>
      <w:r>
        <w:rPr>
          <w:spacing w:val="-1"/>
        </w:rPr>
        <w:t>元，占全部净利润的比例为</w:t>
      </w:r>
      <w:r>
        <w:rPr>
          <w:rFonts w:ascii="Times New Roman" w:hAnsi="Times New Roman" w:cs="Times New Roman" w:eastAsia="Times New Roman" w:hint="default"/>
          <w:spacing w:val="-1"/>
        </w:rPr>
        <w:t>75.03%</w:t>
      </w:r>
      <w:r>
        <w:rPr>
          <w:spacing w:val="-1"/>
        </w:rPr>
        <w:t>；来源于热处理业务的营业收入为人民币</w:t>
      </w:r>
      <w:r>
        <w:rPr>
          <w:rFonts w:ascii="Times New Roman" w:hAnsi="Times New Roman" w:cs="Times New Roman" w:eastAsia="Times New Roman" w:hint="default"/>
          <w:spacing w:val="-1"/>
        </w:rPr>
        <w:t>492,079,652.38</w:t>
      </w:r>
      <w:r>
        <w:rPr>
          <w:spacing w:val="-1"/>
        </w:rPr>
        <w:t>元，占全部营业</w:t>
      </w:r>
      <w:r>
        <w:rPr>
          <w:spacing w:val="-34"/>
        </w:rPr>
        <w:t> </w:t>
      </w:r>
      <w:r>
        <w:rPr>
          <w:spacing w:val="-34"/>
        </w:rPr>
      </w:r>
      <w:r>
        <w:rPr>
          <w:spacing w:val="-2"/>
        </w:rPr>
        <w:t>收入的比例为</w:t>
      </w:r>
      <w:r>
        <w:rPr>
          <w:rFonts w:ascii="Times New Roman" w:hAnsi="Times New Roman" w:cs="Times New Roman" w:eastAsia="Times New Roman" w:hint="default"/>
          <w:spacing w:val="-2"/>
        </w:rPr>
        <w:t>49.32%</w:t>
      </w:r>
      <w:r>
        <w:rPr>
          <w:spacing w:val="-2"/>
        </w:rPr>
        <w:t>，归属于母公司所有者的净利润为</w:t>
      </w:r>
      <w:r>
        <w:rPr>
          <w:rFonts w:ascii="Times New Roman" w:hAnsi="Times New Roman" w:cs="Times New Roman" w:eastAsia="Times New Roman" w:hint="default"/>
          <w:spacing w:val="-2"/>
        </w:rPr>
        <w:t>57,542,495.93</w:t>
      </w:r>
      <w:r>
        <w:rPr>
          <w:spacing w:val="-2"/>
        </w:rPr>
        <w:t>元，占全部净利润的比例为</w:t>
      </w:r>
      <w:r>
        <w:rPr>
          <w:rFonts w:ascii="Times New Roman" w:hAnsi="Times New Roman" w:cs="Times New Roman" w:eastAsia="Times New Roman" w:hint="default"/>
          <w:spacing w:val="-2"/>
        </w:rPr>
        <w:t>24.97%</w:t>
      </w:r>
      <w:r>
        <w:rPr>
          <w:spacing w:val="-2"/>
        </w:rPr>
        <w:t>。公司收入确认政策</w:t>
      </w:r>
      <w:r>
        <w:rPr>
          <w:spacing w:val="-29"/>
        </w:rPr>
        <w:t> </w:t>
      </w:r>
      <w:r>
        <w:rPr>
          <w:spacing w:val="-29"/>
        </w:rPr>
      </w:r>
      <w:r>
        <w:rPr/>
        <w:t>如财务报表附注</w:t>
      </w:r>
      <w:r>
        <w:rPr>
          <w:rFonts w:ascii="Times New Roman" w:hAnsi="Times New Roman" w:cs="Times New Roman" w:eastAsia="Times New Roman" w:hint="default"/>
        </w:rPr>
        <w:t>3.23.4</w:t>
      </w:r>
      <w:r>
        <w:rPr/>
        <w:t>所描述，可能存在收入确认的相关风险，因此我们将收入确认作为关键审计事项。</w:t>
      </w:r>
    </w:p>
    <w:p>
      <w:pPr>
        <w:pStyle w:val="BodyText"/>
        <w:spacing w:line="338" w:lineRule="auto" w:before="53"/>
        <w:ind w:right="5893"/>
        <w:jc w:val="left"/>
      </w:pPr>
      <w:r>
        <w:rPr>
          <w:rFonts w:ascii="Times New Roman" w:hAnsi="Times New Roman" w:cs="Times New Roman" w:eastAsia="Times New Roman" w:hint="default"/>
        </w:rPr>
        <w:t>2</w:t>
      </w:r>
      <w:r>
        <w:rPr/>
        <w:t>、审计应对： 我们针对收入确认和计量执行的审计程序包括但不限于：</w:t>
      </w:r>
    </w:p>
    <w:p>
      <w:pPr>
        <w:pStyle w:val="BodyText"/>
        <w:spacing w:line="240" w:lineRule="auto" w:before="42"/>
        <w:ind w:left="514" w:right="1118"/>
        <w:jc w:val="left"/>
      </w:pPr>
      <w:r>
        <w:rPr/>
        <w:t>（</w:t>
      </w:r>
      <w:r>
        <w:rPr>
          <w:rFonts w:ascii="Times New Roman" w:hAnsi="Times New Roman" w:cs="Times New Roman" w:eastAsia="Times New Roman" w:hint="default"/>
        </w:rPr>
        <w:t>1</w:t>
      </w:r>
      <w:r>
        <w:rPr/>
        <w:t>）通过审阅销售合同与管理层的访谈，了解和评估公司的收入确认政策。</w:t>
      </w:r>
    </w:p>
    <w:p>
      <w:pPr>
        <w:pStyle w:val="BodyText"/>
        <w:spacing w:line="240" w:lineRule="auto" w:before="103"/>
        <w:ind w:right="1118"/>
        <w:jc w:val="left"/>
      </w:pPr>
      <w:r>
        <w:rPr/>
        <w:t>（</w:t>
      </w:r>
      <w:r>
        <w:rPr>
          <w:rFonts w:ascii="Times New Roman" w:hAnsi="Times New Roman" w:cs="Times New Roman" w:eastAsia="Times New Roman" w:hint="default"/>
        </w:rPr>
        <w:t>2</w:t>
      </w:r>
      <w:r>
        <w:rPr/>
        <w:t>）向管理层、治理层进行询问，评价管理层诚信及舞弊风险。</w:t>
      </w:r>
    </w:p>
    <w:p>
      <w:pPr>
        <w:pStyle w:val="BodyText"/>
        <w:spacing w:line="240" w:lineRule="auto" w:before="102"/>
        <w:ind w:right="1118"/>
        <w:jc w:val="left"/>
      </w:pPr>
      <w:r>
        <w:rPr/>
        <w:t>（</w:t>
      </w:r>
      <w:r>
        <w:rPr>
          <w:rFonts w:ascii="Times New Roman" w:hAnsi="Times New Roman" w:cs="Times New Roman" w:eastAsia="Times New Roman" w:hint="default"/>
        </w:rPr>
        <w:t>3</w:t>
      </w:r>
      <w:r>
        <w:rPr/>
        <w:t>）了解并测试了与收入相关的内部控制，确定其可依赖。</w:t>
      </w:r>
    </w:p>
    <w:p>
      <w:pPr>
        <w:pStyle w:val="BodyText"/>
        <w:spacing w:line="338" w:lineRule="auto" w:before="102"/>
        <w:ind w:left="514" w:right="1118"/>
        <w:jc w:val="left"/>
      </w:pPr>
      <w:r>
        <w:rPr/>
        <w:t>（</w:t>
      </w:r>
      <w:r>
        <w:rPr>
          <w:rFonts w:ascii="Times New Roman" w:hAnsi="Times New Roman" w:cs="Times New Roman" w:eastAsia="Times New Roman" w:hint="default"/>
        </w:rPr>
        <w:t>4</w:t>
      </w:r>
      <w:r>
        <w:rPr/>
        <w:t>）对收入按类别执行包含但不限于以下审计程序： </w:t>
      </w:r>
      <w:r>
        <w:rPr>
          <w:spacing w:val="-2"/>
        </w:rPr>
        <w:t>财税云服务：抽取主要服务客户，检查财税云产品及服务运营合作协议；关注方欣科技系统平台生成销售数据与客户确</w:t>
      </w:r>
    </w:p>
    <w:p>
      <w:pPr>
        <w:pStyle w:val="BodyText"/>
        <w:spacing w:line="357" w:lineRule="auto" w:before="4"/>
        <w:ind w:right="1118" w:hanging="360"/>
        <w:jc w:val="left"/>
      </w:pPr>
      <w:r>
        <w:rPr/>
        <w:t>认结算单数据是否一致；关注销售金额与客户支付能力是否匹配；核查结算单、发票金额与销售记录是否一致。 </w:t>
      </w:r>
      <w:r>
        <w:rPr>
          <w:spacing w:val="-5"/>
        </w:rPr>
        <w:t>技术服务及产品开发服务：抽查服务合同，查阅技术服务期限和软件开发验收进度报告，核查与收入确认金额是否匹配。</w:t>
      </w:r>
      <w:r>
        <w:rPr/>
        <w:t> </w:t>
      </w:r>
      <w:r>
        <w:rPr>
          <w:spacing w:val="-2"/>
        </w:rPr>
        <w:t>系统集成服务：抽取主要服务客户，检查销售合同；关注销售货物与客户经营范围是否一致；销售金额与客户支付能力</w:t>
      </w:r>
    </w:p>
    <w:p>
      <w:pPr>
        <w:pStyle w:val="BodyText"/>
        <w:spacing w:line="357" w:lineRule="auto"/>
        <w:ind w:left="514" w:right="1118" w:hanging="360"/>
        <w:jc w:val="left"/>
      </w:pPr>
      <w:r>
        <w:rPr/>
        <w:t>是否匹配；是否取得客户盖章确认的验收单；核查出库单、验收单、发运时间与销售记录是否一致。 </w:t>
      </w:r>
      <w:r>
        <w:rPr>
          <w:spacing w:val="-2"/>
        </w:rPr>
        <w:t>热处理设备及加工：抽取主要客户，检查销售合同；是否取得客户盖章确认的终验收单；核查出库单、验收单、发运时</w:t>
      </w:r>
    </w:p>
    <w:p>
      <w:pPr>
        <w:pStyle w:val="BodyText"/>
        <w:spacing w:line="225" w:lineRule="exact"/>
        <w:ind w:left="154" w:right="1118"/>
        <w:jc w:val="left"/>
      </w:pPr>
      <w:r>
        <w:rPr/>
        <w:t>间与销售记录是否一致。</w:t>
      </w:r>
    </w:p>
    <w:p>
      <w:pPr>
        <w:pStyle w:val="BodyText"/>
        <w:spacing w:line="240" w:lineRule="auto" w:before="116"/>
        <w:ind w:left="514" w:right="1118"/>
        <w:jc w:val="left"/>
      </w:pPr>
      <w:r>
        <w:rPr/>
        <w:t>（</w:t>
      </w:r>
      <w:r>
        <w:rPr>
          <w:rFonts w:ascii="Times New Roman" w:hAnsi="Times New Roman" w:cs="Times New Roman" w:eastAsia="Times New Roman" w:hint="default"/>
        </w:rPr>
        <w:t>5</w:t>
      </w:r>
      <w:r>
        <w:rPr/>
        <w:t>）针对资产负债表日前后确认的销售收入执行截止性测试。</w:t>
      </w:r>
    </w:p>
    <w:p>
      <w:pPr>
        <w:pStyle w:val="BodyText"/>
        <w:spacing w:line="302" w:lineRule="auto" w:before="101"/>
        <w:ind w:left="154" w:right="1122" w:firstLine="360"/>
        <w:jc w:val="left"/>
      </w:pPr>
      <w:r>
        <w:rPr/>
        <w:t>（</w:t>
      </w:r>
      <w:r>
        <w:rPr>
          <w:rFonts w:ascii="Times New Roman" w:hAnsi="Times New Roman" w:cs="Times New Roman" w:eastAsia="Times New Roman" w:hint="default"/>
        </w:rPr>
        <w:t>6</w:t>
      </w:r>
      <w:r>
        <w:rPr/>
        <w:t>）实地走访及函证主要客户，甄别报告期内主要客户是否真实存在、销售业务是否真实发生，关注销售收入是否与 客户规模匹配、是否存在销售异常，核实期末应收款项的真实性。</w:t>
      </w:r>
    </w:p>
    <w:p>
      <w:pPr>
        <w:pStyle w:val="BodyText"/>
        <w:spacing w:line="302" w:lineRule="auto" w:before="69"/>
        <w:ind w:left="154" w:right="1122" w:firstLine="360"/>
        <w:jc w:val="left"/>
      </w:pPr>
      <w:r>
        <w:rPr/>
        <w:t>（</w:t>
      </w:r>
      <w:r>
        <w:rPr>
          <w:rFonts w:ascii="Times New Roman" w:hAnsi="Times New Roman" w:cs="Times New Roman" w:eastAsia="Times New Roman" w:hint="default"/>
        </w:rPr>
        <w:t>7</w:t>
      </w:r>
      <w:r>
        <w:rPr/>
        <w:t>）结合应收账款函证程序，对主要客户的款项收取情况及期后回款情况进行检查，核对收款单据上填写的付款人是 否与确认销售收入的客户相匹配，核查公司是否存在通过第三方账户周转从而达到货款回收的情况。</w:t>
      </w:r>
    </w:p>
    <w:p>
      <w:pPr>
        <w:pStyle w:val="BodyText"/>
        <w:spacing w:line="302" w:lineRule="auto" w:before="68"/>
        <w:ind w:left="153" w:right="1133" w:firstLine="360"/>
        <w:jc w:val="left"/>
      </w:pPr>
      <w:r>
        <w:rPr/>
        <w:t>（</w:t>
      </w:r>
      <w:r>
        <w:rPr>
          <w:rFonts w:ascii="Times New Roman" w:hAnsi="Times New Roman" w:cs="Times New Roman" w:eastAsia="Times New Roman" w:hint="default"/>
        </w:rPr>
        <w:t>8</w:t>
      </w:r>
      <w:r>
        <w:rPr/>
        <w:t>）进行</w:t>
      </w:r>
      <w:r>
        <w:rPr>
          <w:rFonts w:ascii="Times New Roman" w:hAnsi="Times New Roman" w:cs="Times New Roman" w:eastAsia="Times New Roman" w:hint="default"/>
        </w:rPr>
        <w:t>IT</w:t>
      </w:r>
      <w:r>
        <w:rPr/>
        <w:t>审计，通过与公司研发人员、维护人员、操作人员的访谈，对财税云平台系统的安全性、使用权限、数据 的真实完整性等方面进行了测试，检查财税云平台系统数据的真实性。</w:t>
      </w:r>
    </w:p>
    <w:p>
      <w:pPr>
        <w:pStyle w:val="BodyText"/>
        <w:spacing w:line="432" w:lineRule="exact" w:before="13"/>
        <w:ind w:right="1118" w:firstLine="1"/>
        <w:jc w:val="left"/>
      </w:pPr>
      <w:r>
        <w:rPr>
          <w:rFonts w:ascii="宋体" w:hAnsi="宋体" w:cs="宋体" w:eastAsia="宋体" w:hint="default"/>
          <w:b/>
          <w:bCs/>
        </w:rPr>
        <w:t>四、其他信息</w:t>
      </w:r>
      <w:r>
        <w:rPr>
          <w:rFonts w:ascii="宋体" w:hAnsi="宋体" w:cs="宋体" w:eastAsia="宋体" w:hint="default"/>
          <w:b/>
          <w:bCs/>
          <w:w w:val="99"/>
        </w:rPr>
        <w:t> </w:t>
      </w:r>
      <w:r>
        <w:rPr>
          <w:spacing w:val="-2"/>
        </w:rPr>
        <w:t>金财互联管理层（以下简称管理层）对其他信息负责。其他信息包括金财互联</w:t>
      </w:r>
      <w:r>
        <w:rPr>
          <w:rFonts w:ascii="Times New Roman" w:hAnsi="Times New Roman" w:cs="Times New Roman" w:eastAsia="Times New Roman" w:hint="default"/>
          <w:spacing w:val="-2"/>
        </w:rPr>
        <w:t>2017</w:t>
      </w:r>
      <w:r>
        <w:rPr>
          <w:spacing w:val="-2"/>
        </w:rPr>
        <w:t>年年度报告中涵盖的信息，但不包括</w:t>
      </w:r>
    </w:p>
    <w:p>
      <w:pPr>
        <w:pStyle w:val="BodyText"/>
        <w:spacing w:line="357" w:lineRule="auto" w:before="16"/>
        <w:ind w:right="1118" w:hanging="360"/>
        <w:jc w:val="left"/>
      </w:pP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4" w:right="1118"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left="154" w:right="1118"/>
        <w:jc w:val="left"/>
      </w:pPr>
      <w:r>
        <w:rPr/>
        <w:t>报告。</w:t>
      </w:r>
    </w:p>
    <w:p>
      <w:pPr>
        <w:spacing w:line="240" w:lineRule="auto" w:before="12"/>
        <w:rPr>
          <w:rFonts w:ascii="宋体" w:hAnsi="宋体" w:cs="宋体" w:eastAsia="宋体" w:hint="default"/>
          <w:sz w:val="14"/>
          <w:szCs w:val="14"/>
        </w:rPr>
      </w:pPr>
    </w:p>
    <w:p>
      <w:pPr>
        <w:pStyle w:val="Heading4"/>
        <w:spacing w:line="240" w:lineRule="auto"/>
        <w:ind w:right="1118"/>
        <w:jc w:val="left"/>
        <w:rPr>
          <w:b w:val="0"/>
          <w:bCs w:val="0"/>
        </w:rPr>
      </w:pPr>
      <w:r>
        <w:rPr/>
        <w:t>五、管理层和治理层对财务报表的责任</w:t>
      </w:r>
      <w:r>
        <w:rPr>
          <w:b w:val="0"/>
          <w:bCs w:val="0"/>
        </w:rPr>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b/>
          <w:bCs/>
          <w:sz w:val="20"/>
          <w:szCs w:val="20"/>
        </w:rPr>
      </w:pPr>
    </w:p>
    <w:p>
      <w:pPr>
        <w:pStyle w:val="BodyText"/>
        <w:spacing w:line="319" w:lineRule="auto" w:before="44"/>
        <w:ind w:left="154" w:right="1133" w:firstLine="360"/>
        <w:jc w:val="both"/>
      </w:pPr>
      <w:r>
        <w:rPr>
          <w:spacing w:val="-2"/>
        </w:rPr>
        <w:t>金财互联管理层（以下简称管理层）负责按照企业会计准则的规定编制财务报表，使其实现公允反映，并设计、执行和</w:t>
      </w:r>
      <w:r>
        <w:rPr/>
        <w:t> 维护必要的内部控制，以使财务报表不存在由于舞弊或错误导致的重大错报。</w:t>
      </w:r>
    </w:p>
    <w:p>
      <w:pPr>
        <w:pStyle w:val="BodyText"/>
        <w:spacing w:line="319" w:lineRule="auto" w:before="55"/>
        <w:ind w:left="153" w:right="1131" w:firstLine="360"/>
        <w:jc w:val="both"/>
      </w:pPr>
      <w:r>
        <w:rPr>
          <w:spacing w:val="-2"/>
        </w:rPr>
        <w:t>在编制财务报表时，管理层负责评估金财互联的持续经营能力，披露与持续经营相关的事项，并运用持续经营假设，除</w:t>
      </w:r>
      <w:r>
        <w:rPr/>
        <w:t> 非管理层计划清算金财互联、终止运营或别无其他现实的选择。</w:t>
      </w:r>
    </w:p>
    <w:p>
      <w:pPr>
        <w:spacing w:line="439" w:lineRule="auto" w:before="58"/>
        <w:ind w:left="515" w:right="6973" w:hanging="2"/>
        <w:jc w:val="left"/>
        <w:rPr>
          <w:rFonts w:ascii="宋体" w:hAnsi="宋体" w:cs="宋体" w:eastAsia="宋体" w:hint="default"/>
          <w:sz w:val="18"/>
          <w:szCs w:val="18"/>
        </w:rPr>
      </w:pPr>
      <w:r>
        <w:rPr>
          <w:rFonts w:ascii="宋体" w:hAnsi="宋体" w:cs="宋体" w:eastAsia="宋体" w:hint="default"/>
          <w:sz w:val="18"/>
          <w:szCs w:val="18"/>
        </w:rPr>
        <w:t>治理层负责监督金财互联的财务报告过程。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47"/>
        <w:ind w:left="154"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514" w:right="1118"/>
        <w:jc w:val="left"/>
      </w:pPr>
      <w:r>
        <w:rPr/>
        <w:t>在按照审计准则执行审计工作的过程中，我们运用职业判断，并保持职业怀疑。同时，我们也执行以下工作：</w:t>
      </w:r>
    </w:p>
    <w:p>
      <w:pPr>
        <w:pStyle w:val="BodyText"/>
        <w:spacing w:line="309" w:lineRule="auto" w:before="115"/>
        <w:ind w:left="154" w:right="1032"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65"/>
        <w:ind w:right="1118"/>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102"/>
        <w:ind w:left="514" w:right="1118"/>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101"/>
        <w:ind w:left="154" w:right="1132"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）对管理层使用持续经营假设的恰当性得出结论。同时，根据获取的审计证据，就可能导致对金财互联持续经营能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于截至审计报告日可获得的信息。然而，未来的事项或情况可能导致金财互联不能持续经营。</w:t>
      </w:r>
    </w:p>
    <w:p>
      <w:pPr>
        <w:pStyle w:val="BodyText"/>
        <w:spacing w:line="240" w:lineRule="auto" w:before="63"/>
        <w:ind w:right="1118"/>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2" w:lineRule="auto" w:before="101"/>
        <w:ind w:left="154" w:right="1141" w:firstLine="360"/>
        <w:jc w:val="both"/>
      </w:pPr>
      <w:r>
        <w:rPr/>
        <w:t>（</w:t>
      </w:r>
      <w:r>
        <w:rPr>
          <w:rFonts w:ascii="Times New Roman" w:hAnsi="Times New Roman" w:cs="Times New Roman" w:eastAsia="Times New Roman" w:hint="default"/>
        </w:rPr>
        <w:t>6</w:t>
      </w:r>
      <w:r>
        <w:rPr/>
        <w:t>）就金财互联中实体或业务活动的财务信息获取充分、适当的审计证据，以对财务报表发表审计意见。我们负责指 导、监督和执行集团审计，并对审计意见承担全部责任。</w:t>
      </w:r>
    </w:p>
    <w:p>
      <w:pPr>
        <w:pStyle w:val="BodyText"/>
        <w:spacing w:line="319" w:lineRule="auto" w:before="68"/>
        <w:ind w:left="154"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6"/>
        <w:ind w:left="154"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9" w:lineRule="auto" w:before="55"/>
        <w:ind w:left="154"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2"/>
        <w:rPr>
          <w:rFonts w:ascii="宋体" w:hAnsi="宋体" w:cs="宋体" w:eastAsia="宋体" w:hint="default"/>
          <w:sz w:val="18"/>
          <w:szCs w:val="18"/>
        </w:rPr>
      </w:pPr>
    </w:p>
    <w:p>
      <w:pPr>
        <w:pStyle w:val="BodyText"/>
        <w:tabs>
          <w:tab w:pos="5126" w:val="left" w:leader="none"/>
          <w:tab w:pos="6747" w:val="left" w:leader="none"/>
        </w:tabs>
        <w:spacing w:line="240" w:lineRule="auto"/>
        <w:ind w:left="659" w:right="1118"/>
        <w:jc w:val="left"/>
      </w:pPr>
      <w:r>
        <w:rPr>
          <w:spacing w:val="-1"/>
        </w:rPr>
        <w:t>众华会计师事务所（特殊普通合伙）</w:t>
        <w:tab/>
        <w:t>中国注册会计师</w:t>
        <w:tab/>
        <w:t>冯家俊</w:t>
      </w:r>
    </w:p>
    <w:p>
      <w:pPr>
        <w:pStyle w:val="BodyText"/>
        <w:tabs>
          <w:tab w:pos="6790" w:val="left" w:leader="none"/>
        </w:tabs>
        <w:spacing w:line="525" w:lineRule="auto" w:before="125"/>
        <w:ind w:left="5170" w:right="3593"/>
        <w:jc w:val="left"/>
      </w:pPr>
      <w:r>
        <w:rPr/>
        <w:t>（项目合伙人） </w:t>
      </w:r>
      <w:r>
        <w:rPr>
          <w:spacing w:val="-1"/>
        </w:rPr>
        <w:t>中国注册会计师</w:t>
        <w:tab/>
      </w:r>
      <w:r>
        <w:rPr/>
        <w:t>钟美玲</w:t>
      </w:r>
    </w:p>
    <w:p>
      <w:pPr>
        <w:pStyle w:val="BodyText"/>
        <w:tabs>
          <w:tab w:pos="5421" w:val="left" w:leader="none"/>
        </w:tabs>
        <w:spacing w:line="240" w:lineRule="auto" w:before="62"/>
        <w:ind w:left="1093" w:right="1118"/>
        <w:jc w:val="left"/>
      </w:pPr>
      <w:r>
        <w:rPr/>
        <w:t>中国</w:t>
      </w:r>
      <w:r>
        <w:rPr>
          <w:spacing w:val="-19"/>
        </w:rPr>
        <w:t> </w:t>
      </w:r>
      <w:r>
        <w:rPr/>
        <w:t>上海</w:t>
        <w:tab/>
        <w:t>二○一八年四月十九日</w:t>
      </w:r>
    </w:p>
    <w:p>
      <w:pPr>
        <w:spacing w:line="240" w:lineRule="auto" w:before="3"/>
        <w:rPr>
          <w:rFonts w:ascii="宋体" w:hAnsi="宋体" w:cs="宋体" w:eastAsia="宋体" w:hint="default"/>
          <w:sz w:val="24"/>
          <w:szCs w:val="24"/>
        </w:rPr>
      </w:pPr>
    </w:p>
    <w:p>
      <w:pPr>
        <w:pStyle w:val="Heading2"/>
        <w:spacing w:line="240" w:lineRule="auto"/>
        <w:ind w:right="1118"/>
        <w:jc w:val="left"/>
        <w:rPr>
          <w:b w:val="0"/>
          <w:bCs w:val="0"/>
        </w:rPr>
      </w:pPr>
      <w:bookmarkStart w:name="二、财务报表" w:id="164"/>
      <w:bookmarkEnd w:id="164"/>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财务附注中报表的单位为：人民币元</w:t>
      </w:r>
    </w:p>
    <w:p>
      <w:pPr>
        <w:spacing w:after="0" w:line="24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1、合并资产负债表" w:id="165"/>
      <w:bookmarkEnd w:id="16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687" w:footer="979" w:top="1140" w:bottom="1160" w:left="980" w:right="0"/>
        </w:sectPr>
      </w:pPr>
    </w:p>
    <w:p>
      <w:pPr>
        <w:pStyle w:val="BodyText"/>
        <w:spacing w:line="240" w:lineRule="auto" w:before="44"/>
        <w:ind w:right="-19"/>
        <w:jc w:val="left"/>
      </w:pPr>
      <w:r>
        <w:rPr/>
        <w:t>编制单位：金财互联控股股份有限公司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575" w:space="143"/>
            <w:col w:w="1999" w:space="2843"/>
            <w:col w:w="237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723,201,091.00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1,767,266,832.14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52,204,084.17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33,887,952.40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370,991,271.13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217,567,470.11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147,708,273.12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20,861,470.48</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23,867,614.05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22,673,275.91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199,436,303.37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151,298,479.73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937,701,747.31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7,120,997.21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2,455,110,384.15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2,220,676,477.98</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88,044,374.50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23,004,374.50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100,042,003.17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93,137,125.01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266,404,604.73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242,659,628.87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22,248,087.03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29,315,553.95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120,410,505.72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123,220,471.37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27,277,139.71</w:t>
            </w: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1,687,085,722.27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1,524,979,610.65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6,806,870.91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10,814,245.54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13,860,163.90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9,303,103.43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2,338,308,788.18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2,056,434,113.32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4,793,419,172.33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4,277,110,591.30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223,100,000.00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187,000,000.00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300,000.00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181,385,033.83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115,684,030.26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181,185,328.83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122,191,561.85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14,596,403.96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11,368,276.84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31,462,640.76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15,568,734.50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225,958.33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84,583.33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87,861,832.99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20,592,467.97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720,117,198.70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472,489,654.75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2,149,950.44</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22,242,934.97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23,493,935.40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7,656,644.17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8,509,094.66</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32,049,529.58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32,003,030.06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752,166,728.28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504,492,684.81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490,741,853.00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490,741,853.00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2,953,847,327.45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2,954,442,231.32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30,259,050.34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28,528,732.05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456,904,107.97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228,160,267.55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3,931,752,338.76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3,701,873,083.92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109,500,105.29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70,744,822.57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4,041,252,444.05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3,772,617,906.49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4,793,419,172.33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4,277,110,591.30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法定代表人：朱文明</w:t>
        <w:tab/>
        <w:t>主管会计工作负责人：褚文兰</w:t>
        <w:tab/>
        <w:t>会计机构负责人：褚文兰</w:t>
      </w:r>
    </w:p>
    <w:p>
      <w:pPr>
        <w:spacing w:line="240" w:lineRule="auto" w:before="0"/>
        <w:rPr>
          <w:rFonts w:ascii="宋体" w:hAnsi="宋体" w:cs="宋体" w:eastAsia="宋体" w:hint="default"/>
          <w:sz w:val="18"/>
          <w:szCs w:val="18"/>
        </w:rPr>
      </w:pPr>
    </w:p>
    <w:p>
      <w:pPr>
        <w:pStyle w:val="Heading3"/>
        <w:spacing w:line="240" w:lineRule="auto" w:before="125"/>
        <w:ind w:left="153" w:right="1118"/>
        <w:jc w:val="left"/>
        <w:rPr>
          <w:b w:val="0"/>
          <w:bCs w:val="0"/>
        </w:rPr>
      </w:pPr>
      <w:bookmarkStart w:name="2、母公司资产负债表" w:id="166"/>
      <w:bookmarkEnd w:id="16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116,769,382.18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669,749,820.62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20,203,233.70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184,520.73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93,573,991.75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3,929,234.77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12,182,778.42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50,582.07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216,318,018.89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102,026,445.55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274,152,385.97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4,743,207.52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395,086,105.72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1,119,797,496.45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19,060,243.50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17,060,243.50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2,702,489,794.15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1,892,065.25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78,900,308.69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6,031,326.82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20,160,436.64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4,726.96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3,906,728.40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3,528,164,935.13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2,828,548,838.20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3,923,251,040.85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3,948,346,334.65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161,824.80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35,190,263.58</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3,907,237.76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78,789,266.10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868,344.47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4,602,014.40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1,539,146.70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1,884,011.24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225,958.33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84,583.33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103,450,860.17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860,251.31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280,153,372.23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301,410,389.96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21,141,458.97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21,141,458.97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280,153,372.23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322,551,848.93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490,741,853.00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490,741,853.00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2,954,851,937.93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2,954,851,937.93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30,259,050.34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28,528,732.05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167,244,827.35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151,671,962.74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3,643,097,668.62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3,625,794,485.72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3,923,251,040.85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3,948,346,334.65</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8"/>
        <w:ind w:left="154" w:right="1118"/>
        <w:jc w:val="left"/>
        <w:rPr>
          <w:b w:val="0"/>
          <w:bCs w:val="0"/>
        </w:rPr>
      </w:pPr>
      <w:bookmarkStart w:name="3、合并利润表" w:id="167"/>
      <w:bookmarkEnd w:id="16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2496"/>
              <w:jc w:val="right"/>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6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997,742,267.47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483,838,717.65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997,742,267.47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483,838,717.65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757,475,739.20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441,400,730.84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542,497,560.48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321,258,357.10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246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9,477,273.84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8,340,674.15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39,487,154.23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23,800,136.97</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159,550,374.67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79,225,211.38</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-9,836,034.52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1,220,803.80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16,299,410.50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7,555,547.44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18,660,881.23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2,302,706.85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9,181,119.27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2,431,457.04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-1,959,650.01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2,927,656.82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10,317,209.41</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267,284,968.90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47,668,350.48</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5,856,256.89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10,480,768.55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800,332.54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1,224,208.92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272,340,893.25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56,924,910.11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31,613,729.46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11,995,901.06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240,727,163.79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44,929,009.05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240,727,163.79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44,929,009.05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230,474,158.71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46,556,799.86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10,253,005.08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-1,627,790.81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240,727,163.79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44,929,009.05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230,474,158.71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46,556,799.86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10,253,005.08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-1,627,790.81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0.16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0.16</w:t>
            </w:r>
          </w:p>
        </w:tc>
      </w:tr>
    </w:tbl>
    <w:p>
      <w:pPr>
        <w:pStyle w:val="BodyText"/>
        <w:tabs>
          <w:tab w:pos="3574" w:val="left" w:leader="none"/>
          <w:tab w:pos="7715" w:val="left" w:leader="none"/>
        </w:tabs>
        <w:spacing w:line="590" w:lineRule="auto" w:before="51"/>
        <w:ind w:left="153"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法定代表人：朱文明</w:t>
        <w:tab/>
        <w:t>主管会计工作负责人：褚文兰</w:t>
        <w:tab/>
        <w:t>会计机构负责人：褚文兰</w:t>
      </w:r>
    </w:p>
    <w:p>
      <w:pPr>
        <w:spacing w:after="0" w:line="59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left="154" w:right="1118"/>
        <w:jc w:val="left"/>
        <w:rPr>
          <w:b w:val="0"/>
          <w:bCs w:val="0"/>
        </w:rPr>
      </w:pPr>
      <w:bookmarkStart w:name="4、母公司利润表" w:id="168"/>
      <w:bookmarkEnd w:id="16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2138"/>
        <w:gridCol w:w="2054"/>
      </w:tblGrid>
      <w:tr>
        <w:trPr>
          <w:trHeight w:val="33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6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60,271,785.57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197,561,848.54</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40,724,976.78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154,504,409.79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979,091.13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3,976,586.71</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6,740,675.19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12,857,494.43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15,136,661.60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30,980,317.58</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-1,124,754.81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1,570,804.09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18,907.84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3,096,948.62</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17,069,162.99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10,640,850.20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449,525.05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2,582,197.45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6,125.03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1,823,793.06</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16,689,183.89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1,222,262.55</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1,537,596.59</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5,745,431.80</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89,274.80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563,828.36</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18,137,505.68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6,403,865.99</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834,322.78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w w:val="95"/>
                <w:sz w:val="18"/>
              </w:rPr>
              <w:t>-214,608.54</w:t>
            </w:r>
            <w:r>
              <w:rPr>
                <w:rFonts w:ascii="Times New Roman"/>
                <w:sz w:val="18"/>
              </w:rPr>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17,303,182.90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6,618,474.53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17,303,182.90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6,618,474.53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17,303,182.90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6,618,474.53</w:t>
            </w: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38" w:type="dxa"/>
            <w:tcBorders>
              <w:top w:val="single" w:sz="4" w:space="0" w:color="000000"/>
              <w:left w:val="single" w:sz="13" w:space="0" w:color="D2D2D2"/>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5"/>
        <w:rPr>
          <w:rFonts w:ascii="宋体" w:hAnsi="宋体" w:cs="宋体" w:eastAsia="宋体" w:hint="default"/>
          <w:sz w:val="19"/>
          <w:szCs w:val="19"/>
        </w:rPr>
      </w:pPr>
    </w:p>
    <w:p>
      <w:pPr>
        <w:pStyle w:val="Heading3"/>
        <w:spacing w:line="240" w:lineRule="auto" w:before="38"/>
        <w:ind w:left="154" w:right="1118"/>
        <w:jc w:val="left"/>
        <w:rPr>
          <w:b w:val="0"/>
          <w:bCs w:val="0"/>
        </w:rPr>
      </w:pPr>
      <w:bookmarkStart w:name="5、合并现金流量表" w:id="169"/>
      <w:bookmarkEnd w:id="16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1,002,258,278.62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676,564,980.75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4,374,188.23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2,702,382.02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26,338,726.49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9,966,004.51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1,032,971,193.34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689,233,367.28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452,502,239.26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269,714,683.06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242,226,146.38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107,942,589.98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77,076,842.18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44,600,566.10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73,561,390.42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44,991,484.66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845,366,618.24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467,249,323.80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187,604,575.10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221,984,043.48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8,880,000.00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9,625,925.61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2,866,262.60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493,372.55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18,128,371.14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w w:val="95"/>
                <w:sz w:val="18"/>
              </w:rPr>
              <w:t>-33,099.87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3,776,258.29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1,115,500,000.00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1,134,466,198.29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24,770,892.03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118,674,437.25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30,250,689.91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133,220,000.00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880,000.00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99,031,157.64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-57,523,335.46</w:t>
            </w:r>
          </w:p>
        </w:tc>
      </w:tr>
      <w:tr>
        <w:trPr>
          <w:trHeight w:val="331"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2,048,500,000.00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2,399,425,594.89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-26,392,645.55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-1,264,959,396.60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51,163,537.58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1,166,327,563.63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846"/>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226,100,000.00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211,500,000.00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227,780,000.00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1,383,827,563.63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70,500,000.00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5,117,030.44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12,179,765.41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846"/>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1,242,000.00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1,240,000.00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195,117,030.44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82,679,765.41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32,662,969.56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1,301,147,798.22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-266,130.24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-368,545.52</w:t>
            </w:r>
            <w:r>
              <w:rPr>
                <w:rFonts w:ascii="Times New Roman"/>
                <w:sz w:val="18"/>
              </w:rPr>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-1,044,957,982.18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1,573,926,833.76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1,765,522,890.82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191,596,057.06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720,564,908.64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1,765,522,890.82</w:t>
            </w:r>
          </w:p>
        </w:tc>
      </w:tr>
    </w:tbl>
    <w:p>
      <w:pPr>
        <w:spacing w:line="240" w:lineRule="auto" w:before="8"/>
        <w:rPr>
          <w:rFonts w:ascii="宋体" w:hAnsi="宋体" w:cs="宋体" w:eastAsia="宋体" w:hint="default"/>
          <w:sz w:val="19"/>
          <w:szCs w:val="19"/>
        </w:rPr>
      </w:pPr>
    </w:p>
    <w:p>
      <w:pPr>
        <w:pStyle w:val="Heading3"/>
        <w:spacing w:line="240" w:lineRule="auto" w:before="38"/>
        <w:ind w:left="154" w:right="1118"/>
        <w:jc w:val="left"/>
        <w:rPr>
          <w:b w:val="0"/>
          <w:bCs w:val="0"/>
        </w:rPr>
      </w:pPr>
      <w:bookmarkStart w:name="6、母公司现金流量表" w:id="170"/>
      <w:bookmarkEnd w:id="17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4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66,099,023.39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222,256,330.14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734,941.42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305,744,781.00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5,233,711.63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371,843,804.39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228,224,983.19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35,081,531.64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142,985,954.39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14,202,617.27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29,031,663.03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3,873,435.30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12,531,169.69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8,585,667.62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24,440,542.45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61,743,251.83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208,989,329.56</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310,100,552.56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19,235,653.63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16,478,923.31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12,284,680.00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75,395.03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4,450,000.00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903,000,000.00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927,478,923.31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16,810,075.03</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5648"/>
        <w:gridCol w:w="1997"/>
        <w:gridCol w:w="1913"/>
      </w:tblGrid>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1,424,815.55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4,927,906.32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462,000,000.00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136,540,561.45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z w:val="18"/>
              </w:rPr>
              <w:t>1.00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pacing w:val="-1"/>
                <w:sz w:val="18"/>
              </w:rPr>
              <w:t>1,177,000,000.00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spacing w:val="-1"/>
                <w:sz w:val="18"/>
              </w:rPr>
              <w:t>1,776,965,377.00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804,927,907.32</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-849,486,453.69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-788,117,832.29</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1,166,327,563.63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170,400,000.00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1,372,327,563.63</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59,000,000.00</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2,703,058.55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10,195,586.15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7"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182,703,058.55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69,195,586.15</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-12,303,058.55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1,303,131,977.48</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-227,206.29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w w:val="95"/>
                <w:sz w:val="18"/>
              </w:rPr>
              <w:t>-366,010.11</w:t>
            </w:r>
            <w:r>
              <w:rPr>
                <w:rFonts w:ascii="Times New Roman"/>
                <w:sz w:val="18"/>
              </w:rPr>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-551,916,165.97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533,883,788.71</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668,685,548.15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134,801,759.44</w:t>
            </w:r>
          </w:p>
        </w:tc>
      </w:tr>
      <w:tr>
        <w:trPr>
          <w:trHeight w:val="330" w:hRule="exact"/>
        </w:trPr>
        <w:tc>
          <w:tcPr>
            <w:tcW w:w="5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116,769,382.18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668,685,548.15</w:t>
            </w:r>
          </w:p>
        </w:tc>
      </w:tr>
    </w:tbl>
    <w:p>
      <w:pPr>
        <w:spacing w:line="240" w:lineRule="auto" w:before="9"/>
        <w:rPr>
          <w:rFonts w:ascii="宋体" w:hAnsi="宋体" w:cs="宋体" w:eastAsia="宋体" w:hint="default"/>
          <w:sz w:val="19"/>
          <w:szCs w:val="19"/>
        </w:rPr>
      </w:pPr>
    </w:p>
    <w:p>
      <w:pPr>
        <w:pStyle w:val="Heading3"/>
        <w:spacing w:line="240" w:lineRule="auto" w:before="38"/>
        <w:ind w:left="154" w:right="1118"/>
        <w:jc w:val="left"/>
        <w:rPr>
          <w:b w:val="0"/>
          <w:bCs w:val="0"/>
        </w:rPr>
      </w:pPr>
      <w:bookmarkStart w:name="7、合并所有者权益变动表" w:id="171"/>
      <w:bookmarkEnd w:id="17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154" w:right="1118"/>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19"/>
        <w:gridCol w:w="709"/>
        <w:gridCol w:w="425"/>
        <w:gridCol w:w="425"/>
        <w:gridCol w:w="425"/>
        <w:gridCol w:w="710"/>
        <w:gridCol w:w="566"/>
        <w:gridCol w:w="709"/>
        <w:gridCol w:w="568"/>
        <w:gridCol w:w="709"/>
        <w:gridCol w:w="708"/>
        <w:gridCol w:w="708"/>
        <w:gridCol w:w="709"/>
        <w:gridCol w:w="781"/>
      </w:tblGrid>
      <w:tr>
        <w:trPr>
          <w:trHeight w:val="330"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815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666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9" w:type="dxa"/>
            <w:vMerge w:val="restart"/>
            <w:tcBorders>
              <w:top w:val="single" w:sz="4" w:space="0" w:color="000000"/>
              <w:left w:val="single" w:sz="4" w:space="0" w:color="000000"/>
              <w:right w:val="single" w:sz="4" w:space="0" w:color="000000"/>
            </w:tcBorders>
            <w:shd w:val="clear" w:color="auto" w:fill="D2D2D2"/>
          </w:tcPr>
          <w:p>
            <w:pPr/>
          </w:p>
        </w:tc>
        <w:tc>
          <w:tcPr>
            <w:tcW w:w="781" w:type="dxa"/>
            <w:vMerge w:val="restart"/>
            <w:tcBorders>
              <w:top w:val="single" w:sz="4" w:space="0" w:color="000000"/>
              <w:left w:val="single" w:sz="4" w:space="0" w:color="000000"/>
              <w:right w:val="single" w:sz="4" w:space="0" w:color="000000"/>
            </w:tcBorders>
            <w:shd w:val="clear" w:color="auto" w:fill="D2D2D2"/>
          </w:tcPr>
          <w:p>
            <w:pPr/>
          </w:p>
        </w:tc>
      </w:tr>
      <w:tr>
        <w:trPr>
          <w:trHeight w:val="14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8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662" w:type="dxa"/>
            <w:gridSpan w:val="11"/>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81"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54" w:lineRule="exact"/>
              <w:ind w:left="9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259" w:right="7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80"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259" w:right="7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77"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4"/>
              <w:ind w:left="169" w:right="7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120" w:lineRule="exact"/>
              <w:ind w:left="80" w:right="0"/>
              <w:jc w:val="left"/>
              <w:rPr>
                <w:rFonts w:ascii="宋体" w:hAnsi="宋体" w:cs="宋体" w:eastAsia="宋体" w:hint="default"/>
                <w:sz w:val="18"/>
                <w:szCs w:val="18"/>
              </w:rPr>
            </w:pPr>
            <w:r>
              <w:rPr>
                <w:rFonts w:ascii="宋体" w:hAnsi="宋体" w:cs="宋体" w:eastAsia="宋体" w:hint="default"/>
                <w:sz w:val="18"/>
                <w:szCs w:val="18"/>
              </w:rPr>
              <w:t>少数股</w:t>
            </w:r>
          </w:p>
          <w:p>
            <w:pPr>
              <w:pStyle w:val="TableParagraph"/>
              <w:spacing w:line="240" w:lineRule="auto" w:before="4"/>
              <w:ind w:left="80"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781" w:type="dxa"/>
            <w:vMerge w:val="restart"/>
            <w:tcBorders>
              <w:top w:val="nil" w:sz="6" w:space="0" w:color="auto"/>
              <w:left w:val="single" w:sz="4" w:space="0" w:color="000000"/>
              <w:right w:val="single" w:sz="4" w:space="0" w:color="000000"/>
            </w:tcBorders>
            <w:shd w:val="clear" w:color="auto" w:fill="D2D2D2"/>
          </w:tcPr>
          <w:p>
            <w:pPr>
              <w:pStyle w:val="TableParagraph"/>
              <w:spacing w:line="120" w:lineRule="exact"/>
              <w:ind w:left="115" w:right="0" w:hanging="90"/>
              <w:jc w:val="left"/>
              <w:rPr>
                <w:rFonts w:ascii="宋体" w:hAnsi="宋体" w:cs="宋体" w:eastAsia="宋体" w:hint="default"/>
                <w:sz w:val="18"/>
                <w:szCs w:val="18"/>
              </w:rPr>
            </w:pPr>
            <w:r>
              <w:rPr>
                <w:rFonts w:ascii="宋体" w:hAnsi="宋体" w:cs="宋体" w:eastAsia="宋体" w:hint="default"/>
                <w:sz w:val="18"/>
                <w:szCs w:val="18"/>
              </w:rPr>
              <w:t>所有者权</w:t>
            </w:r>
          </w:p>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73" w:hRule="exact"/>
        </w:trPr>
        <w:tc>
          <w:tcPr>
            <w:tcW w:w="1419"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0" w:lineRule="exact"/>
              <w:ind w:left="1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before="3"/>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before="3"/>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single" w:sz="16" w:space="0" w:color="FFFFFF"/>
              <w:right w:val="single" w:sz="4" w:space="0" w:color="000000"/>
            </w:tcBorders>
            <w:shd w:val="clear" w:color="auto" w:fill="D2D2D2"/>
          </w:tcPr>
          <w:p>
            <w:pPr/>
          </w:p>
        </w:tc>
        <w:tc>
          <w:tcPr>
            <w:tcW w:w="781" w:type="dxa"/>
            <w:vMerge/>
            <w:tcBorders>
              <w:left w:val="single" w:sz="4" w:space="0" w:color="000000"/>
              <w:bottom w:val="single" w:sz="16" w:space="0" w:color="FFFFFF"/>
              <w:right w:val="single" w:sz="4" w:space="0" w:color="000000"/>
            </w:tcBorders>
            <w:shd w:val="clear" w:color="auto" w:fill="D2D2D2"/>
          </w:tcPr>
          <w:p>
            <w:pPr/>
          </w:p>
        </w:tc>
      </w:tr>
      <w:tr>
        <w:trPr>
          <w:trHeight w:val="285"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3"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16" w:space="0" w:color="FFFFFF"/>
              <w:left w:val="single" w:sz="4" w:space="0" w:color="000000"/>
              <w:bottom w:val="single" w:sz="4" w:space="0" w:color="000000"/>
              <w:right w:val="single" w:sz="4" w:space="0" w:color="000000"/>
            </w:tcBorders>
            <w:shd w:val="clear" w:color="auto" w:fill="D2D2D2"/>
          </w:tcPr>
          <w:p>
            <w:pPr/>
          </w:p>
        </w:tc>
        <w:tc>
          <w:tcPr>
            <w:tcW w:w="781" w:type="dxa"/>
            <w:tcBorders>
              <w:top w:val="single" w:sz="16" w:space="0" w:color="FFFFFF"/>
              <w:left w:val="single" w:sz="4" w:space="0" w:color="000000"/>
              <w:bottom w:val="single" w:sz="4" w:space="0" w:color="000000"/>
              <w:right w:val="single" w:sz="4" w:space="0" w:color="000000"/>
            </w:tcBorders>
            <w:shd w:val="clear" w:color="auto" w:fill="D2D2D2"/>
          </w:tcPr>
          <w:p>
            <w:pPr/>
          </w:p>
        </w:tc>
      </w:tr>
      <w:tr>
        <w:trPr>
          <w:trHeight w:val="490" w:hRule="exact"/>
        </w:trPr>
        <w:tc>
          <w:tcPr>
            <w:tcW w:w="1419"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41"/>
              <w:ind w:right="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一</w:t>
            </w:r>
            <w:r>
              <w:rPr>
                <w:rFonts w:ascii="宋体" w:hAnsi="宋体" w:cs="宋体" w:eastAsia="宋体" w:hint="default"/>
                <w:spacing w:val="-78"/>
                <w:sz w:val="18"/>
                <w:szCs w:val="18"/>
                <w:shd w:fill="D2D2D2" w:color="auto" w:val="clear"/>
              </w:rPr>
              <w:t>、</w:t>
            </w:r>
            <w:r>
              <w:rPr>
                <w:rFonts w:ascii="宋体" w:hAnsi="宋体" w:cs="宋体" w:eastAsia="宋体" w:hint="default"/>
                <w:sz w:val="18"/>
                <w:szCs w:val="18"/>
                <w:shd w:fill="D2D2D2" w:color="auto" w:val="clear"/>
              </w:rPr>
              <w:t>上年期末余额</w:t>
            </w:r>
            <w:r>
              <w:rPr>
                <w:rFonts w:ascii="宋体" w:hAnsi="宋体" w:cs="宋体" w:eastAsia="宋体" w:hint="default"/>
                <w:sz w:val="18"/>
                <w:szCs w:val="18"/>
              </w:rPr>
            </w:r>
          </w:p>
        </w:tc>
        <w:tc>
          <w:tcPr>
            <w:tcW w:w="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4"/>
              <w:ind w:left="9"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3"/>
              <w:ind w:left="146" w:right="0"/>
              <w:jc w:val="center"/>
              <w:rPr>
                <w:rFonts w:ascii="Times New Roman" w:hAnsi="Times New Roman" w:cs="Times New Roman" w:eastAsia="Times New Roman" w:hint="default"/>
                <w:sz w:val="18"/>
                <w:szCs w:val="18"/>
              </w:rPr>
            </w:pPr>
            <w:r>
              <w:rPr>
                <w:rFonts w:ascii="Times New Roman"/>
                <w:sz w:val="18"/>
              </w:rPr>
              <w:t>853.00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52" w:space="0" w:color="D2D2D2"/>
              <w:left w:val="single" w:sz="4" w:space="0" w:color="000000"/>
              <w:bottom w:val="single" w:sz="4" w:space="0" w:color="000000"/>
              <w:right w:val="single" w:sz="4" w:space="0" w:color="000000"/>
            </w:tcBorders>
          </w:tcPr>
          <w:p>
            <w:pPr/>
          </w:p>
        </w:tc>
        <w:tc>
          <w:tcPr>
            <w:tcW w:w="710" w:type="dxa"/>
            <w:tcBorders>
              <w:top w:val="single" w:sz="54" w:space="0" w:color="D2D2D2"/>
              <w:left w:val="single" w:sz="4" w:space="0" w:color="000000"/>
              <w:bottom w:val="single" w:sz="4" w:space="0" w:color="000000"/>
              <w:right w:val="single" w:sz="4" w:space="0" w:color="000000"/>
            </w:tcBorders>
          </w:tcPr>
          <w:p>
            <w:pPr>
              <w:pStyle w:val="TableParagraph"/>
              <w:spacing w:line="169" w:lineRule="exact"/>
              <w:ind w:left="45" w:right="0"/>
              <w:jc w:val="left"/>
              <w:rPr>
                <w:rFonts w:ascii="Times New Roman" w:hAnsi="Times New Roman" w:cs="Times New Roman" w:eastAsia="Times New Roman" w:hint="default"/>
                <w:sz w:val="18"/>
                <w:szCs w:val="18"/>
              </w:rPr>
            </w:pPr>
            <w:r>
              <w:rPr>
                <w:rFonts w:ascii="Times New Roman"/>
                <w:sz w:val="18"/>
              </w:rPr>
              <w:t>2,954,44</w:t>
            </w:r>
          </w:p>
          <w:p>
            <w:pPr>
              <w:pStyle w:val="TableParagraph"/>
              <w:spacing w:line="240" w:lineRule="auto" w:before="33"/>
              <w:ind w:left="45" w:right="0"/>
              <w:jc w:val="left"/>
              <w:rPr>
                <w:rFonts w:ascii="Times New Roman" w:hAnsi="Times New Roman" w:cs="Times New Roman" w:eastAsia="Times New Roman" w:hint="default"/>
                <w:sz w:val="18"/>
                <w:szCs w:val="18"/>
              </w:rPr>
            </w:pPr>
            <w:r>
              <w:rPr>
                <w:rFonts w:ascii="Times New Roman"/>
                <w:sz w:val="18"/>
              </w:rPr>
              <w:t>2,231.32</w:t>
            </w:r>
          </w:p>
        </w:tc>
        <w:tc>
          <w:tcPr>
            <w:tcW w:w="566" w:type="dxa"/>
            <w:tcBorders>
              <w:top w:val="single" w:sz="54" w:space="0" w:color="D2D2D2"/>
              <w:left w:val="single" w:sz="4" w:space="0" w:color="000000"/>
              <w:bottom w:val="single" w:sz="4" w:space="0" w:color="000000"/>
              <w:right w:val="single" w:sz="4" w:space="0" w:color="000000"/>
            </w:tcBorders>
          </w:tcPr>
          <w:p>
            <w:pPr/>
          </w:p>
        </w:tc>
        <w:tc>
          <w:tcPr>
            <w:tcW w:w="709" w:type="dxa"/>
            <w:tcBorders>
              <w:top w:val="single" w:sz="54" w:space="0" w:color="D2D2D2"/>
              <w:left w:val="single" w:sz="4" w:space="0" w:color="000000"/>
              <w:bottom w:val="single" w:sz="4" w:space="0" w:color="000000"/>
              <w:right w:val="single" w:sz="4" w:space="0" w:color="000000"/>
            </w:tcBorders>
          </w:tcPr>
          <w:p>
            <w:pPr/>
          </w:p>
        </w:tc>
        <w:tc>
          <w:tcPr>
            <w:tcW w:w="568" w:type="dxa"/>
            <w:tcBorders>
              <w:top w:val="single" w:sz="54" w:space="0" w:color="D2D2D2"/>
              <w:left w:val="single" w:sz="4" w:space="0" w:color="000000"/>
              <w:bottom w:val="single" w:sz="4" w:space="0" w:color="000000"/>
              <w:right w:val="single" w:sz="4" w:space="0" w:color="000000"/>
            </w:tcBorders>
          </w:tcPr>
          <w:p>
            <w:pPr/>
          </w:p>
        </w:tc>
        <w:tc>
          <w:tcPr>
            <w:tcW w:w="709" w:type="dxa"/>
            <w:tcBorders>
              <w:top w:val="single" w:sz="54" w:space="0" w:color="D2D2D2"/>
              <w:left w:val="single" w:sz="4" w:space="0" w:color="000000"/>
              <w:bottom w:val="single" w:sz="4" w:space="0" w:color="000000"/>
              <w:right w:val="single" w:sz="4" w:space="0" w:color="000000"/>
            </w:tcBorders>
          </w:tcPr>
          <w:p>
            <w:pPr>
              <w:pStyle w:val="TableParagraph"/>
              <w:spacing w:line="169" w:lineRule="exact"/>
              <w:ind w:left="45" w:right="0"/>
              <w:jc w:val="left"/>
              <w:rPr>
                <w:rFonts w:ascii="Times New Roman" w:hAnsi="Times New Roman" w:cs="Times New Roman" w:eastAsia="Times New Roman" w:hint="default"/>
                <w:sz w:val="18"/>
                <w:szCs w:val="18"/>
              </w:rPr>
            </w:pPr>
            <w:r>
              <w:rPr>
                <w:rFonts w:ascii="Times New Roman"/>
                <w:sz w:val="18"/>
              </w:rPr>
              <w:t>28,528,7</w:t>
            </w:r>
          </w:p>
          <w:p>
            <w:pPr>
              <w:pStyle w:val="TableParagraph"/>
              <w:spacing w:line="240" w:lineRule="auto" w:before="33"/>
              <w:ind w:left="271" w:right="0"/>
              <w:jc w:val="left"/>
              <w:rPr>
                <w:rFonts w:ascii="Times New Roman" w:hAnsi="Times New Roman" w:cs="Times New Roman" w:eastAsia="Times New Roman" w:hint="default"/>
                <w:sz w:val="18"/>
                <w:szCs w:val="18"/>
              </w:rPr>
            </w:pPr>
            <w:r>
              <w:rPr>
                <w:rFonts w:ascii="Times New Roman"/>
                <w:sz w:val="18"/>
              </w:rPr>
              <w:t>32.05</w:t>
            </w:r>
          </w:p>
        </w:tc>
        <w:tc>
          <w:tcPr>
            <w:tcW w:w="708" w:type="dxa"/>
            <w:tcBorders>
              <w:top w:val="single" w:sz="54" w:space="0" w:color="D2D2D2"/>
              <w:left w:val="single" w:sz="4" w:space="0" w:color="000000"/>
              <w:bottom w:val="single" w:sz="4" w:space="0" w:color="000000"/>
              <w:right w:val="single" w:sz="4" w:space="0" w:color="000000"/>
            </w:tcBorders>
          </w:tcPr>
          <w:p>
            <w:pPr/>
          </w:p>
        </w:tc>
        <w:tc>
          <w:tcPr>
            <w:tcW w:w="708" w:type="dxa"/>
            <w:tcBorders>
              <w:top w:val="single" w:sz="54" w:space="0" w:color="D2D2D2"/>
              <w:left w:val="single" w:sz="4" w:space="0" w:color="000000"/>
              <w:bottom w:val="single" w:sz="4" w:space="0" w:color="000000"/>
              <w:right w:val="single" w:sz="4" w:space="0" w:color="000000"/>
            </w:tcBorders>
          </w:tcPr>
          <w:p>
            <w:pPr>
              <w:pStyle w:val="TableParagraph"/>
              <w:spacing w:line="169" w:lineRule="exact"/>
              <w:ind w:left="23" w:right="0"/>
              <w:jc w:val="center"/>
              <w:rPr>
                <w:rFonts w:ascii="Times New Roman" w:hAnsi="Times New Roman" w:cs="Times New Roman" w:eastAsia="Times New Roman" w:hint="default"/>
                <w:sz w:val="18"/>
                <w:szCs w:val="18"/>
              </w:rPr>
            </w:pPr>
            <w:r>
              <w:rPr>
                <w:rFonts w:ascii="Times New Roman"/>
                <w:sz w:val="18"/>
              </w:rPr>
              <w:t>228,160,</w:t>
            </w:r>
          </w:p>
          <w:p>
            <w:pPr>
              <w:pStyle w:val="TableParagraph"/>
              <w:spacing w:line="240" w:lineRule="auto" w:before="33"/>
              <w:ind w:left="159" w:right="0"/>
              <w:jc w:val="center"/>
              <w:rPr>
                <w:rFonts w:ascii="Times New Roman" w:hAnsi="Times New Roman" w:cs="Times New Roman" w:eastAsia="Times New Roman" w:hint="default"/>
                <w:sz w:val="18"/>
                <w:szCs w:val="18"/>
              </w:rPr>
            </w:pPr>
            <w:r>
              <w:rPr>
                <w:rFonts w:ascii="Times New Roman"/>
                <w:sz w:val="18"/>
              </w:rPr>
              <w:t>267.55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6" w:right="0"/>
              <w:jc w:val="left"/>
              <w:rPr>
                <w:rFonts w:ascii="Times New Roman" w:hAnsi="Times New Roman" w:cs="Times New Roman" w:eastAsia="Times New Roman" w:hint="default"/>
                <w:sz w:val="18"/>
                <w:szCs w:val="18"/>
              </w:rPr>
            </w:pPr>
            <w:r>
              <w:rPr>
                <w:rFonts w:ascii="Times New Roman"/>
                <w:sz w:val="18"/>
              </w:rPr>
              <w:t>70,744,8</w:t>
            </w:r>
          </w:p>
          <w:p>
            <w:pPr>
              <w:pStyle w:val="TableParagraph"/>
              <w:spacing w:line="240" w:lineRule="auto" w:before="33"/>
              <w:ind w:left="272" w:right="0"/>
              <w:jc w:val="left"/>
              <w:rPr>
                <w:rFonts w:ascii="Times New Roman" w:hAnsi="Times New Roman" w:cs="Times New Roman" w:eastAsia="Times New Roman" w:hint="default"/>
                <w:sz w:val="18"/>
                <w:szCs w:val="18"/>
              </w:rPr>
            </w:pPr>
            <w:r>
              <w:rPr>
                <w:rFonts w:ascii="Times New Roman"/>
                <w:sz w:val="18"/>
              </w:rPr>
              <w:t>22.57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 w:right="0"/>
              <w:jc w:val="center"/>
              <w:rPr>
                <w:rFonts w:ascii="Times New Roman" w:hAnsi="Times New Roman" w:cs="Times New Roman" w:eastAsia="Times New Roman" w:hint="default"/>
                <w:sz w:val="18"/>
                <w:szCs w:val="18"/>
              </w:rPr>
            </w:pPr>
            <w:r>
              <w:rPr>
                <w:rFonts w:ascii="Times New Roman"/>
                <w:sz w:val="18"/>
              </w:rPr>
              <w:t>3,772,617</w:t>
            </w:r>
          </w:p>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,906.49</w:t>
            </w: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加：会计政策</w:t>
            </w:r>
            <w:r>
              <w:rPr>
                <w:rFonts w:ascii="宋体" w:hAnsi="宋体" w:cs="宋体" w:eastAsia="宋体" w:hint="default"/>
                <w:sz w:val="18"/>
                <w:szCs w:val="18"/>
              </w:rPr>
              <w:t> 变更</w:t>
            </w:r>
          </w:p>
        </w:tc>
        <w:tc>
          <w:tcPr>
            <w:tcW w:w="70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25"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70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9" w:type="dxa"/>
            <w:tcBorders>
              <w:top w:val="single" w:sz="52" w:space="0" w:color="D2D2D2"/>
              <w:left w:val="single" w:sz="13" w:space="0" w:color="D2D2D2"/>
              <w:bottom w:val="single" w:sz="52" w:space="0" w:color="D2D2D2"/>
              <w:right w:val="single" w:sz="13" w:space="0" w:color="D2D2D2"/>
            </w:tcBorders>
          </w:tcPr>
          <w:p>
            <w:pPr>
              <w:pStyle w:val="TableParagraph"/>
              <w:spacing w:line="240" w:lineRule="auto" w:before="81"/>
              <w:ind w:right="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二</w:t>
            </w:r>
            <w:r>
              <w:rPr>
                <w:rFonts w:ascii="宋体" w:hAnsi="宋体" w:cs="宋体" w:eastAsia="宋体" w:hint="default"/>
                <w:spacing w:val="-78"/>
                <w:sz w:val="18"/>
                <w:szCs w:val="18"/>
                <w:shd w:fill="D2D2D2" w:color="auto" w:val="clear"/>
              </w:rPr>
              <w:t>、</w:t>
            </w:r>
            <w:r>
              <w:rPr>
                <w:rFonts w:ascii="宋体" w:hAnsi="宋体" w:cs="宋体" w:eastAsia="宋体" w:hint="default"/>
                <w:sz w:val="18"/>
                <w:szCs w:val="18"/>
                <w:shd w:fill="D2D2D2" w:color="auto" w:val="clear"/>
              </w:rPr>
              <w:t>本年期初余额</w:t>
            </w:r>
            <w:r>
              <w:rPr>
                <w:rFonts w:ascii="宋体" w:hAnsi="宋体" w:cs="宋体" w:eastAsia="宋体" w:hint="default"/>
                <w:sz w:val="18"/>
                <w:szCs w:val="18"/>
              </w:rPr>
            </w:r>
          </w:p>
        </w:tc>
        <w:tc>
          <w:tcPr>
            <w:tcW w:w="7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left="9"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46" w:right="0"/>
              <w:jc w:val="center"/>
              <w:rPr>
                <w:rFonts w:ascii="Times New Roman" w:hAnsi="Times New Roman" w:cs="Times New Roman" w:eastAsia="Times New Roman" w:hint="default"/>
                <w:sz w:val="18"/>
                <w:szCs w:val="18"/>
              </w:rPr>
            </w:pPr>
            <w:r>
              <w:rPr>
                <w:rFonts w:ascii="Times New Roman"/>
                <w:sz w:val="18"/>
              </w:rPr>
              <w:t>853.00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 w:right="0"/>
              <w:jc w:val="left"/>
              <w:rPr>
                <w:rFonts w:ascii="Times New Roman" w:hAnsi="Times New Roman" w:cs="Times New Roman" w:eastAsia="Times New Roman" w:hint="default"/>
                <w:sz w:val="18"/>
                <w:szCs w:val="18"/>
              </w:rPr>
            </w:pPr>
            <w:r>
              <w:rPr>
                <w:rFonts w:ascii="Times New Roman"/>
                <w:sz w:val="18"/>
              </w:rPr>
              <w:t>2,954,44</w:t>
            </w:r>
          </w:p>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2,231.32</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 w:right="0"/>
              <w:jc w:val="left"/>
              <w:rPr>
                <w:rFonts w:ascii="Times New Roman" w:hAnsi="Times New Roman" w:cs="Times New Roman" w:eastAsia="Times New Roman" w:hint="default"/>
                <w:sz w:val="18"/>
                <w:szCs w:val="18"/>
              </w:rPr>
            </w:pPr>
            <w:r>
              <w:rPr>
                <w:rFonts w:ascii="Times New Roman"/>
                <w:sz w:val="18"/>
              </w:rPr>
              <w:t>28,528,7</w:t>
            </w:r>
          </w:p>
          <w:p>
            <w:pPr>
              <w:pStyle w:val="TableParagraph"/>
              <w:spacing w:line="240" w:lineRule="auto" w:before="34"/>
              <w:ind w:left="271" w:right="0"/>
              <w:jc w:val="left"/>
              <w:rPr>
                <w:rFonts w:ascii="Times New Roman" w:hAnsi="Times New Roman" w:cs="Times New Roman" w:eastAsia="Times New Roman" w:hint="default"/>
                <w:sz w:val="18"/>
                <w:szCs w:val="18"/>
              </w:rPr>
            </w:pPr>
            <w:r>
              <w:rPr>
                <w:rFonts w:ascii="Times New Roman"/>
                <w:sz w:val="18"/>
              </w:rPr>
              <w:t>32.05</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center"/>
              <w:rPr>
                <w:rFonts w:ascii="Times New Roman" w:hAnsi="Times New Roman" w:cs="Times New Roman" w:eastAsia="Times New Roman" w:hint="default"/>
                <w:sz w:val="18"/>
                <w:szCs w:val="18"/>
              </w:rPr>
            </w:pPr>
            <w:r>
              <w:rPr>
                <w:rFonts w:ascii="Times New Roman"/>
                <w:sz w:val="18"/>
              </w:rPr>
              <w:t>228,160,</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267.55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 w:right="0"/>
              <w:jc w:val="left"/>
              <w:rPr>
                <w:rFonts w:ascii="Times New Roman" w:hAnsi="Times New Roman" w:cs="Times New Roman" w:eastAsia="Times New Roman" w:hint="default"/>
                <w:sz w:val="18"/>
                <w:szCs w:val="18"/>
              </w:rPr>
            </w:pPr>
            <w:r>
              <w:rPr>
                <w:rFonts w:ascii="Times New Roman"/>
                <w:sz w:val="18"/>
              </w:rPr>
              <w:t>70,744,8</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22.57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3,772,617</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,906.49</w:t>
            </w:r>
          </w:p>
        </w:tc>
      </w:tr>
      <w:tr>
        <w:trPr>
          <w:trHeight w:val="81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2"/>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709" w:type="dxa"/>
            <w:tcBorders>
              <w:top w:val="single" w:sz="4" w:space="0" w:color="000000"/>
              <w:left w:val="single" w:sz="13" w:space="0" w:color="D2D2D2"/>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-594,903</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.87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1,730,31</w:t>
            </w:r>
          </w:p>
          <w:p>
            <w:pPr>
              <w:pStyle w:val="TableParagraph"/>
              <w:spacing w:line="240" w:lineRule="auto" w:before="34"/>
              <w:ind w:left="361" w:right="0"/>
              <w:jc w:val="left"/>
              <w:rPr>
                <w:rFonts w:ascii="Times New Roman" w:hAnsi="Times New Roman" w:cs="Times New Roman" w:eastAsia="Times New Roman" w:hint="default"/>
                <w:sz w:val="18"/>
                <w:szCs w:val="18"/>
              </w:rPr>
            </w:pPr>
            <w:r>
              <w:rPr>
                <w:rFonts w:ascii="Times New Roman"/>
                <w:sz w:val="18"/>
              </w:rPr>
              <w:t>8.29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228,743,</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840.42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38,755,2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82.72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268,634,5</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37.56</w:t>
            </w:r>
          </w:p>
        </w:tc>
      </w:tr>
    </w:tbl>
    <w:p>
      <w:pPr>
        <w:spacing w:after="0" w:line="240" w:lineRule="auto"/>
        <w:jc w:val="lef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418"/>
        <w:gridCol w:w="710"/>
        <w:gridCol w:w="425"/>
        <w:gridCol w:w="425"/>
        <w:gridCol w:w="425"/>
        <w:gridCol w:w="710"/>
        <w:gridCol w:w="566"/>
        <w:gridCol w:w="709"/>
        <w:gridCol w:w="568"/>
        <w:gridCol w:w="709"/>
        <w:gridCol w:w="708"/>
        <w:gridCol w:w="708"/>
        <w:gridCol w:w="709"/>
        <w:gridCol w:w="781"/>
      </w:tblGrid>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230,474,</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158.71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10,253,0</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05.08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240,727,1</w:t>
            </w:r>
          </w:p>
          <w:p>
            <w:pPr>
              <w:pStyle w:val="TableParagraph"/>
              <w:spacing w:line="240" w:lineRule="auto" w:before="34"/>
              <w:ind w:left="343" w:right="0"/>
              <w:jc w:val="left"/>
              <w:rPr>
                <w:rFonts w:ascii="Times New Roman" w:hAnsi="Times New Roman" w:cs="Times New Roman" w:eastAsia="Times New Roman" w:hint="default"/>
                <w:sz w:val="18"/>
                <w:szCs w:val="18"/>
              </w:rPr>
            </w:pPr>
            <w:r>
              <w:rPr>
                <w:rFonts w:ascii="Times New Roman"/>
                <w:sz w:val="18"/>
              </w:rPr>
              <w:t>63.79</w:t>
            </w: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和减少资本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28,502,2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77.64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28,502,27</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7.64</w:t>
            </w: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28,502,2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77.64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28,502,27</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7.64</w:t>
            </w: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1,730,31</w:t>
            </w:r>
          </w:p>
          <w:p>
            <w:pPr>
              <w:pStyle w:val="TableParagraph"/>
              <w:spacing w:line="240" w:lineRule="auto" w:before="34"/>
              <w:ind w:left="361" w:right="0"/>
              <w:jc w:val="left"/>
              <w:rPr>
                <w:rFonts w:ascii="Times New Roman" w:hAnsi="Times New Roman" w:cs="Times New Roman" w:eastAsia="Times New Roman" w:hint="default"/>
                <w:sz w:val="18"/>
                <w:szCs w:val="18"/>
              </w:rPr>
            </w:pPr>
            <w:r>
              <w:rPr>
                <w:rFonts w:ascii="Times New Roman"/>
                <w:sz w:val="18"/>
              </w:rPr>
              <w:t>8.29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4"/>
              <w:ind w:left="249" w:right="0"/>
              <w:jc w:val="center"/>
              <w:rPr>
                <w:rFonts w:ascii="Times New Roman" w:hAnsi="Times New Roman" w:cs="Times New Roman" w:eastAsia="Times New Roman" w:hint="default"/>
                <w:sz w:val="18"/>
                <w:szCs w:val="18"/>
              </w:rPr>
            </w:pPr>
            <w:r>
              <w:rPr>
                <w:rFonts w:ascii="Times New Roman"/>
                <w:sz w:val="18"/>
              </w:rPr>
              <w:t>18.29</w:t>
            </w: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1,730,31</w:t>
            </w:r>
          </w:p>
          <w:p>
            <w:pPr>
              <w:pStyle w:val="TableParagraph"/>
              <w:spacing w:line="240" w:lineRule="auto" w:before="34"/>
              <w:ind w:left="361" w:right="0"/>
              <w:jc w:val="left"/>
              <w:rPr>
                <w:rFonts w:ascii="Times New Roman" w:hAnsi="Times New Roman" w:cs="Times New Roman" w:eastAsia="Times New Roman" w:hint="default"/>
                <w:sz w:val="18"/>
                <w:szCs w:val="18"/>
              </w:rPr>
            </w:pPr>
            <w:r>
              <w:rPr>
                <w:rFonts w:ascii="Times New Roman"/>
                <w:sz w:val="18"/>
              </w:rPr>
              <w:t>8.29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4"/>
              <w:ind w:left="249" w:right="0"/>
              <w:jc w:val="center"/>
              <w:rPr>
                <w:rFonts w:ascii="Times New Roman" w:hAnsi="Times New Roman" w:cs="Times New Roman" w:eastAsia="Times New Roman" w:hint="default"/>
                <w:sz w:val="18"/>
                <w:szCs w:val="18"/>
              </w:rPr>
            </w:pPr>
            <w:r>
              <w:rPr>
                <w:rFonts w:ascii="Times New Roman"/>
                <w:sz w:val="18"/>
              </w:rPr>
              <w:t>18.29</w:t>
            </w: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内部结转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Times New Roman"/>
                <w:sz w:val="18"/>
              </w:rPr>
              <w:t>-594,903</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.87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-594,903.</w:t>
            </w:r>
            <w:r>
              <w:rPr>
                <w:rFonts w:ascii="Times New Roman"/>
                <w:sz w:val="18"/>
              </w:rPr>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87</w:t>
            </w: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Times New Roman"/>
                <w:sz w:val="18"/>
              </w:rPr>
              <w:t>-594,903</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.87</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w w:val="95"/>
                <w:sz w:val="18"/>
              </w:rPr>
              <w:t>-594,903.</w:t>
            </w:r>
            <w:r>
              <w:rPr>
                <w:rFonts w:ascii="Times New Roman"/>
                <w:sz w:val="18"/>
              </w:rPr>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87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8"/>
                <w:sz w:val="18"/>
                <w:szCs w:val="18"/>
              </w:rPr>
              <w:t>、</w:t>
            </w:r>
            <w:r>
              <w:rPr>
                <w:rFonts w:ascii="宋体" w:hAnsi="宋体" w:cs="宋体" w:eastAsia="宋体" w:hint="default"/>
                <w:sz w:val="18"/>
                <w:szCs w:val="18"/>
              </w:rPr>
              <w:t>本期期末余额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58" w:right="0"/>
              <w:jc w:val="center"/>
              <w:rPr>
                <w:rFonts w:ascii="Times New Roman" w:hAnsi="Times New Roman" w:cs="Times New Roman" w:eastAsia="Times New Roman" w:hint="default"/>
                <w:sz w:val="18"/>
                <w:szCs w:val="18"/>
              </w:rPr>
            </w:pPr>
            <w:r>
              <w:rPr>
                <w:rFonts w:ascii="Times New Roman"/>
                <w:sz w:val="18"/>
              </w:rPr>
              <w:t>853.00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34"/>
              <w:ind w:left="45" w:right="0"/>
              <w:jc w:val="left"/>
              <w:rPr>
                <w:rFonts w:ascii="Times New Roman" w:hAnsi="Times New Roman" w:cs="Times New Roman" w:eastAsia="Times New Roman" w:hint="default"/>
                <w:sz w:val="18"/>
                <w:szCs w:val="18"/>
              </w:rPr>
            </w:pPr>
            <w:r>
              <w:rPr>
                <w:rFonts w:ascii="Times New Roman"/>
                <w:sz w:val="18"/>
              </w:rPr>
              <w:t>7,327.45</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30,259,0</w:t>
            </w:r>
          </w:p>
          <w:p>
            <w:pPr>
              <w:pStyle w:val="TableParagraph"/>
              <w:spacing w:line="240" w:lineRule="auto" w:before="34"/>
              <w:ind w:left="271" w:right="0"/>
              <w:jc w:val="left"/>
              <w:rPr>
                <w:rFonts w:ascii="Times New Roman" w:hAnsi="Times New Roman" w:cs="Times New Roman" w:eastAsia="Times New Roman" w:hint="default"/>
                <w:sz w:val="18"/>
                <w:szCs w:val="18"/>
              </w:rPr>
            </w:pPr>
            <w:r>
              <w:rPr>
                <w:rFonts w:ascii="Times New Roman"/>
                <w:sz w:val="18"/>
              </w:rPr>
              <w:t>50.34</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456,904,</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107.97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center"/>
              <w:rPr>
                <w:rFonts w:ascii="Times New Roman" w:hAnsi="Times New Roman" w:cs="Times New Roman" w:eastAsia="Times New Roman" w:hint="default"/>
                <w:sz w:val="18"/>
                <w:szCs w:val="18"/>
              </w:rPr>
            </w:pPr>
            <w:r>
              <w:rPr>
                <w:rFonts w:ascii="Times New Roman"/>
                <w:sz w:val="18"/>
              </w:rPr>
              <w:t>109,500,</w:t>
            </w:r>
          </w:p>
          <w:p>
            <w:pPr>
              <w:pStyle w:val="TableParagraph"/>
              <w:spacing w:line="240" w:lineRule="auto" w:before="34"/>
              <w:ind w:left="160" w:right="0"/>
              <w:jc w:val="center"/>
              <w:rPr>
                <w:rFonts w:ascii="Times New Roman" w:hAnsi="Times New Roman" w:cs="Times New Roman" w:eastAsia="Times New Roman" w:hint="default"/>
                <w:sz w:val="18"/>
                <w:szCs w:val="18"/>
              </w:rPr>
            </w:pPr>
            <w:r>
              <w:rPr>
                <w:rFonts w:ascii="Times New Roman"/>
                <w:sz w:val="18"/>
              </w:rPr>
              <w:t>105.29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4,041,252</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,444.05</w:t>
            </w:r>
          </w:p>
        </w:tc>
      </w:tr>
    </w:tbl>
    <w:p>
      <w:pPr>
        <w:pStyle w:val="BodyText"/>
        <w:spacing w:line="240" w:lineRule="auto" w:before="51"/>
        <w:ind w:left="154" w:right="1118"/>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690"/>
        <w:gridCol w:w="425"/>
        <w:gridCol w:w="509"/>
        <w:gridCol w:w="482"/>
        <w:gridCol w:w="710"/>
        <w:gridCol w:w="568"/>
        <w:gridCol w:w="709"/>
        <w:gridCol w:w="566"/>
        <w:gridCol w:w="708"/>
        <w:gridCol w:w="568"/>
        <w:gridCol w:w="708"/>
        <w:gridCol w:w="709"/>
        <w:gridCol w:w="780"/>
      </w:tblGrid>
      <w:tr>
        <w:trPr>
          <w:trHeight w:val="330"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30" w:hRule="exact"/>
        </w:trPr>
        <w:tc>
          <w:tcPr>
            <w:tcW w:w="1438" w:type="dxa"/>
            <w:vMerge/>
            <w:tcBorders>
              <w:left w:val="single" w:sz="4" w:space="0" w:color="000000"/>
              <w:right w:val="single" w:sz="4" w:space="0" w:color="000000"/>
            </w:tcBorders>
            <w:shd w:val="clear" w:color="auto" w:fill="D2D2D2"/>
          </w:tcPr>
          <w:p>
            <w:pPr/>
          </w:p>
        </w:tc>
        <w:tc>
          <w:tcPr>
            <w:tcW w:w="66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244" w:lineRule="auto"/>
              <w:ind w:left="80"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6"/>
                <w:szCs w:val="26"/>
              </w:rPr>
            </w:pPr>
          </w:p>
          <w:p>
            <w:pPr>
              <w:pStyle w:val="TableParagraph"/>
              <w:spacing w:line="244" w:lineRule="auto"/>
              <w:ind w:left="113"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30" w:hRule="exact"/>
        </w:trPr>
        <w:tc>
          <w:tcPr>
            <w:tcW w:w="1438" w:type="dxa"/>
            <w:vMerge/>
            <w:tcBorders>
              <w:left w:val="single" w:sz="4" w:space="0" w:color="000000"/>
              <w:right w:val="single" w:sz="4" w:space="0" w:color="000000"/>
            </w:tcBorders>
            <w:shd w:val="clear" w:color="auto" w:fill="D2D2D2"/>
          </w:tcPr>
          <w:p>
            <w:pPr/>
          </w:p>
        </w:tc>
        <w:tc>
          <w:tcPr>
            <w:tcW w:w="6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4" w:lineRule="auto"/>
              <w:ind w:left="260" w:right="7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4" w:lineRule="auto"/>
              <w:ind w:left="98" w:right="23"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4" w:lineRule="auto"/>
              <w:ind w:left="79"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4" w:lineRule="auto"/>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4"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66"/>
              <w:ind w:left="98" w:right="99"/>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4" w:lineRule="auto"/>
              <w:ind w:left="169" w:right="7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9"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570"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90"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16"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58" w:right="6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37"/>
        <w:gridCol w:w="691"/>
        <w:gridCol w:w="425"/>
        <w:gridCol w:w="509"/>
        <w:gridCol w:w="482"/>
        <w:gridCol w:w="710"/>
        <w:gridCol w:w="568"/>
        <w:gridCol w:w="709"/>
        <w:gridCol w:w="566"/>
        <w:gridCol w:w="708"/>
        <w:gridCol w:w="568"/>
        <w:gridCol w:w="708"/>
        <w:gridCol w:w="709"/>
        <w:gridCol w:w="780"/>
      </w:tblGrid>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210,201,</w:t>
            </w:r>
          </w:p>
          <w:p>
            <w:pPr>
              <w:pStyle w:val="TableParagraph"/>
              <w:spacing w:line="240" w:lineRule="auto" w:before="34"/>
              <w:ind w:left="160" w:right="0"/>
              <w:jc w:val="center"/>
              <w:rPr>
                <w:rFonts w:ascii="Times New Roman" w:hAnsi="Times New Roman" w:cs="Times New Roman" w:eastAsia="Times New Roman" w:hint="default"/>
                <w:sz w:val="18"/>
                <w:szCs w:val="18"/>
              </w:rPr>
            </w:pPr>
            <w:r>
              <w:rPr>
                <w:rFonts w:ascii="Times New Roman"/>
                <w:sz w:val="18"/>
              </w:rPr>
              <w:t>931.90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27,866,8</w:t>
            </w:r>
          </w:p>
          <w:p>
            <w:pPr>
              <w:pStyle w:val="TableParagraph"/>
              <w:spacing w:line="240" w:lineRule="auto" w:before="34"/>
              <w:ind w:left="269" w:right="0"/>
              <w:jc w:val="left"/>
              <w:rPr>
                <w:rFonts w:ascii="Times New Roman" w:hAnsi="Times New Roman" w:cs="Times New Roman" w:eastAsia="Times New Roman" w:hint="default"/>
                <w:sz w:val="18"/>
                <w:szCs w:val="18"/>
              </w:rPr>
            </w:pPr>
            <w:r>
              <w:rPr>
                <w:rFonts w:ascii="Times New Roman"/>
                <w:sz w:val="18"/>
              </w:rPr>
              <w:t>84.60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190,305,</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315.14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68,172,2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63.76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764,546,3</w:t>
            </w:r>
          </w:p>
          <w:p>
            <w:pPr>
              <w:pStyle w:val="TableParagraph"/>
              <w:spacing w:line="240" w:lineRule="auto" w:before="34"/>
              <w:ind w:left="341" w:right="0"/>
              <w:jc w:val="left"/>
              <w:rPr>
                <w:rFonts w:ascii="Times New Roman" w:hAnsi="Times New Roman" w:cs="Times New Roman" w:eastAsia="Times New Roman" w:hint="default"/>
                <w:sz w:val="18"/>
                <w:szCs w:val="18"/>
              </w:rPr>
            </w:pPr>
            <w:r>
              <w:rPr>
                <w:rFonts w:ascii="Times New Roman"/>
                <w:sz w:val="18"/>
              </w:rPr>
              <w:t>95.40</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210,201,</w:t>
            </w:r>
          </w:p>
          <w:p>
            <w:pPr>
              <w:pStyle w:val="TableParagraph"/>
              <w:spacing w:line="240" w:lineRule="auto" w:before="34"/>
              <w:ind w:left="160" w:right="0"/>
              <w:jc w:val="center"/>
              <w:rPr>
                <w:rFonts w:ascii="Times New Roman" w:hAnsi="Times New Roman" w:cs="Times New Roman" w:eastAsia="Times New Roman" w:hint="default"/>
                <w:sz w:val="18"/>
                <w:szCs w:val="18"/>
              </w:rPr>
            </w:pPr>
            <w:r>
              <w:rPr>
                <w:rFonts w:ascii="Times New Roman"/>
                <w:sz w:val="18"/>
              </w:rPr>
              <w:t>931.90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27,866,8</w:t>
            </w:r>
          </w:p>
          <w:p>
            <w:pPr>
              <w:pStyle w:val="TableParagraph"/>
              <w:spacing w:line="240" w:lineRule="auto" w:before="34"/>
              <w:ind w:left="269" w:right="0"/>
              <w:jc w:val="left"/>
              <w:rPr>
                <w:rFonts w:ascii="Times New Roman" w:hAnsi="Times New Roman" w:cs="Times New Roman" w:eastAsia="Times New Roman" w:hint="default"/>
                <w:sz w:val="18"/>
                <w:szCs w:val="18"/>
              </w:rPr>
            </w:pPr>
            <w:r>
              <w:rPr>
                <w:rFonts w:ascii="Times New Roman"/>
                <w:sz w:val="18"/>
              </w:rPr>
              <w:t>84.60</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190,305,</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315.14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68,172,2</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63.76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764,546,3</w:t>
            </w:r>
          </w:p>
          <w:p>
            <w:pPr>
              <w:pStyle w:val="TableParagraph"/>
              <w:spacing w:line="240" w:lineRule="auto" w:before="34"/>
              <w:ind w:left="341" w:right="0"/>
              <w:jc w:val="left"/>
              <w:rPr>
                <w:rFonts w:ascii="Times New Roman" w:hAnsi="Times New Roman" w:cs="Times New Roman" w:eastAsia="Times New Roman" w:hint="default"/>
                <w:sz w:val="18"/>
                <w:szCs w:val="18"/>
              </w:rPr>
            </w:pPr>
            <w:r>
              <w:rPr>
                <w:rFonts w:ascii="Times New Roman"/>
                <w:sz w:val="18"/>
              </w:rPr>
              <w:t>95.40</w:t>
            </w:r>
          </w:p>
        </w:tc>
      </w:tr>
      <w:tr>
        <w:trPr>
          <w:trHeight w:val="81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222,741,</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853.00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2,744,24</w:t>
            </w:r>
          </w:p>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0,299.42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661,847.</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45</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37,854,9</w:t>
            </w:r>
          </w:p>
          <w:p>
            <w:pPr>
              <w:pStyle w:val="TableParagraph"/>
              <w:spacing w:line="240" w:lineRule="auto" w:before="34"/>
              <w:ind w:left="271" w:right="0"/>
              <w:jc w:val="left"/>
              <w:rPr>
                <w:rFonts w:ascii="Times New Roman" w:hAnsi="Times New Roman" w:cs="Times New Roman" w:eastAsia="Times New Roman" w:hint="default"/>
                <w:sz w:val="18"/>
                <w:szCs w:val="18"/>
              </w:rPr>
            </w:pPr>
            <w:r>
              <w:rPr>
                <w:rFonts w:ascii="Times New Roman"/>
                <w:sz w:val="18"/>
              </w:rPr>
              <w:t>52.41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2,572,55</w:t>
            </w:r>
          </w:p>
          <w:p>
            <w:pPr>
              <w:pStyle w:val="TableParagraph"/>
              <w:spacing w:line="240" w:lineRule="auto" w:before="34"/>
              <w:ind w:left="362" w:right="0"/>
              <w:jc w:val="left"/>
              <w:rPr>
                <w:rFonts w:ascii="Times New Roman" w:hAnsi="Times New Roman" w:cs="Times New Roman" w:eastAsia="Times New Roman" w:hint="default"/>
                <w:sz w:val="18"/>
                <w:szCs w:val="18"/>
              </w:rPr>
            </w:pPr>
            <w:r>
              <w:rPr>
                <w:rFonts w:ascii="Times New Roman"/>
                <w:sz w:val="18"/>
              </w:rPr>
              <w:t>8.81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3,008,071</w:t>
            </w:r>
          </w:p>
          <w:p>
            <w:pPr>
              <w:pStyle w:val="TableParagraph"/>
              <w:spacing w:line="240" w:lineRule="auto" w:before="34"/>
              <w:ind w:left="183" w:right="0"/>
              <w:jc w:val="center"/>
              <w:rPr>
                <w:rFonts w:ascii="Times New Roman" w:hAnsi="Times New Roman" w:cs="Times New Roman" w:eastAsia="Times New Roman" w:hint="default"/>
                <w:sz w:val="18"/>
                <w:szCs w:val="18"/>
              </w:rPr>
            </w:pPr>
            <w:r>
              <w:rPr>
                <w:rFonts w:ascii="Times New Roman"/>
                <w:sz w:val="18"/>
              </w:rPr>
              <w:t>,511.09</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46,556,7</w:t>
            </w:r>
          </w:p>
          <w:p>
            <w:pPr>
              <w:pStyle w:val="TableParagraph"/>
              <w:spacing w:line="240" w:lineRule="auto" w:before="34"/>
              <w:ind w:left="271" w:right="0"/>
              <w:jc w:val="left"/>
              <w:rPr>
                <w:rFonts w:ascii="Times New Roman" w:hAnsi="Times New Roman" w:cs="Times New Roman" w:eastAsia="Times New Roman" w:hint="default"/>
                <w:sz w:val="18"/>
                <w:szCs w:val="18"/>
              </w:rPr>
            </w:pPr>
            <w:r>
              <w:rPr>
                <w:rFonts w:ascii="Times New Roman"/>
                <w:sz w:val="18"/>
              </w:rPr>
              <w:t>99.86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 w:right="0"/>
              <w:jc w:val="center"/>
              <w:rPr>
                <w:rFonts w:ascii="Times New Roman" w:hAnsi="Times New Roman" w:cs="Times New Roman" w:eastAsia="Times New Roman" w:hint="default"/>
                <w:sz w:val="18"/>
                <w:szCs w:val="18"/>
              </w:rPr>
            </w:pPr>
            <w:r>
              <w:rPr>
                <w:rFonts w:ascii="Times New Roman"/>
                <w:sz w:val="18"/>
              </w:rPr>
              <w:t>-1,627,7</w:t>
            </w:r>
          </w:p>
          <w:p>
            <w:pPr>
              <w:pStyle w:val="TableParagraph"/>
              <w:spacing w:line="240" w:lineRule="auto" w:before="34"/>
              <w:ind w:left="250" w:right="0"/>
              <w:jc w:val="center"/>
              <w:rPr>
                <w:rFonts w:ascii="Times New Roman" w:hAnsi="Times New Roman" w:cs="Times New Roman" w:eastAsia="Times New Roman" w:hint="default"/>
                <w:sz w:val="18"/>
                <w:szCs w:val="18"/>
              </w:rPr>
            </w:pPr>
            <w:r>
              <w:rPr>
                <w:rFonts w:ascii="Times New Roman"/>
                <w:sz w:val="18"/>
              </w:rPr>
              <w:t>90.81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sz w:val="18"/>
              </w:rPr>
              <w:t>44,929,00</w:t>
            </w:r>
          </w:p>
          <w:p>
            <w:pPr>
              <w:pStyle w:val="TableParagraph"/>
              <w:spacing w:line="240" w:lineRule="auto" w:before="34"/>
              <w:ind w:left="431" w:right="0"/>
              <w:jc w:val="left"/>
              <w:rPr>
                <w:rFonts w:ascii="Times New Roman" w:hAnsi="Times New Roman" w:cs="Times New Roman" w:eastAsia="Times New Roman" w:hint="default"/>
                <w:sz w:val="18"/>
                <w:szCs w:val="18"/>
              </w:rPr>
            </w:pPr>
            <w:r>
              <w:rPr>
                <w:rFonts w:ascii="Times New Roman"/>
                <w:sz w:val="18"/>
              </w:rPr>
              <w:t>9.05</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222,741,</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853.00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2,744,24</w:t>
            </w:r>
          </w:p>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0,299.42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5,240,34</w:t>
            </w:r>
          </w:p>
          <w:p>
            <w:pPr>
              <w:pStyle w:val="TableParagraph"/>
              <w:spacing w:line="240" w:lineRule="auto" w:before="34"/>
              <w:ind w:left="362" w:right="0"/>
              <w:jc w:val="left"/>
              <w:rPr>
                <w:rFonts w:ascii="Times New Roman" w:hAnsi="Times New Roman" w:cs="Times New Roman" w:eastAsia="Times New Roman" w:hint="default"/>
                <w:sz w:val="18"/>
                <w:szCs w:val="18"/>
              </w:rPr>
            </w:pPr>
            <w:r>
              <w:rPr>
                <w:rFonts w:ascii="Times New Roman"/>
                <w:sz w:val="18"/>
              </w:rPr>
              <w:t>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2,972,222</w:t>
            </w:r>
          </w:p>
          <w:p>
            <w:pPr>
              <w:pStyle w:val="TableParagraph"/>
              <w:spacing w:line="240" w:lineRule="auto" w:before="34"/>
              <w:ind w:left="183" w:right="0"/>
              <w:jc w:val="center"/>
              <w:rPr>
                <w:rFonts w:ascii="Times New Roman" w:hAnsi="Times New Roman" w:cs="Times New Roman" w:eastAsia="Times New Roman" w:hint="default"/>
                <w:sz w:val="18"/>
                <w:szCs w:val="18"/>
              </w:rPr>
            </w:pPr>
            <w:r>
              <w:rPr>
                <w:rFonts w:ascii="Times New Roman"/>
                <w:sz w:val="18"/>
              </w:rPr>
              <w:t>,502.04</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222,741,</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853.00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2,743,58</w:t>
            </w:r>
          </w:p>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5,710.63</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2,966,327</w:t>
            </w:r>
          </w:p>
          <w:p>
            <w:pPr>
              <w:pStyle w:val="TableParagraph"/>
              <w:spacing w:line="240" w:lineRule="auto" w:before="34"/>
              <w:ind w:left="183" w:right="0"/>
              <w:jc w:val="center"/>
              <w:rPr>
                <w:rFonts w:ascii="Times New Roman" w:hAnsi="Times New Roman" w:cs="Times New Roman" w:eastAsia="Times New Roman" w:hint="default"/>
                <w:sz w:val="18"/>
                <w:szCs w:val="18"/>
              </w:rPr>
            </w:pPr>
            <w:r>
              <w:rPr>
                <w:rFonts w:ascii="Times New Roman"/>
                <w:sz w:val="18"/>
              </w:rPr>
              <w:t>,563.63</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654,588.</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79</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5,240,34</w:t>
            </w:r>
          </w:p>
          <w:p>
            <w:pPr>
              <w:pStyle w:val="TableParagraph"/>
              <w:spacing w:line="240" w:lineRule="auto" w:before="34"/>
              <w:ind w:left="362" w:right="0"/>
              <w:jc w:val="left"/>
              <w:rPr>
                <w:rFonts w:ascii="Times New Roman" w:hAnsi="Times New Roman" w:cs="Times New Roman" w:eastAsia="Times New Roman" w:hint="default"/>
                <w:sz w:val="18"/>
                <w:szCs w:val="18"/>
              </w:rPr>
            </w:pPr>
            <w:r>
              <w:rPr>
                <w:rFonts w:ascii="Times New Roman"/>
                <w:sz w:val="18"/>
              </w:rPr>
              <w:t>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5,894,938</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.41</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661,847.</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45</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-8,701,8</w:t>
            </w:r>
          </w:p>
          <w:p>
            <w:pPr>
              <w:pStyle w:val="TableParagraph"/>
              <w:spacing w:line="240" w:lineRule="auto" w:before="34"/>
              <w:ind w:left="249" w:right="0"/>
              <w:jc w:val="center"/>
              <w:rPr>
                <w:rFonts w:ascii="Times New Roman" w:hAnsi="Times New Roman" w:cs="Times New Roman" w:eastAsia="Times New Roman" w:hint="default"/>
                <w:sz w:val="18"/>
                <w:szCs w:val="18"/>
              </w:rPr>
            </w:pPr>
            <w:r>
              <w:rPr>
                <w:rFonts w:ascii="Times New Roman"/>
                <w:sz w:val="18"/>
              </w:rPr>
              <w:t>47.45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34"/>
              <w:ind w:left="250"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 w:right="0"/>
              <w:jc w:val="left"/>
              <w:rPr>
                <w:rFonts w:ascii="Times New Roman" w:hAnsi="Times New Roman" w:cs="Times New Roman" w:eastAsia="Times New Roman" w:hint="default"/>
                <w:sz w:val="18"/>
                <w:szCs w:val="18"/>
              </w:rPr>
            </w:pPr>
            <w:r>
              <w:rPr>
                <w:rFonts w:ascii="Times New Roman"/>
                <w:sz w:val="18"/>
              </w:rPr>
              <w:t>-9,080,00</w:t>
            </w:r>
          </w:p>
          <w:p>
            <w:pPr>
              <w:pStyle w:val="TableParagraph"/>
              <w:spacing w:line="240" w:lineRule="auto" w:before="34"/>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661,847.</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45</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 w:right="0"/>
              <w:jc w:val="left"/>
              <w:rPr>
                <w:rFonts w:ascii="Times New Roman" w:hAnsi="Times New Roman" w:cs="Times New Roman" w:eastAsia="Times New Roman" w:hint="default"/>
                <w:sz w:val="18"/>
                <w:szCs w:val="18"/>
              </w:rPr>
            </w:pPr>
            <w:r>
              <w:rPr>
                <w:rFonts w:ascii="Times New Roman"/>
                <w:sz w:val="18"/>
              </w:rPr>
              <w:t>-661,847</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.45</w:t>
            </w: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 w:right="0"/>
              <w:jc w:val="center"/>
              <w:rPr>
                <w:rFonts w:ascii="Times New Roman" w:hAnsi="Times New Roman" w:cs="Times New Roman" w:eastAsia="Times New Roman" w:hint="default"/>
                <w:sz w:val="18"/>
                <w:szCs w:val="18"/>
              </w:rPr>
            </w:pPr>
            <w:r>
              <w:rPr>
                <w:rFonts w:ascii="Times New Roman"/>
                <w:sz w:val="18"/>
              </w:rPr>
              <w:t>-8,040,0</w:t>
            </w:r>
          </w:p>
          <w:p>
            <w:pPr>
              <w:pStyle w:val="TableParagraph"/>
              <w:spacing w:line="240" w:lineRule="auto" w:before="34"/>
              <w:ind w:left="249" w:right="0"/>
              <w:jc w:val="center"/>
              <w:rPr>
                <w:rFonts w:ascii="Times New Roman" w:hAnsi="Times New Roman" w:cs="Times New Roman" w:eastAsia="Times New Roman" w:hint="default"/>
                <w:sz w:val="18"/>
                <w:szCs w:val="18"/>
              </w:rPr>
            </w:pPr>
            <w:r>
              <w:rPr>
                <w:rFonts w:ascii="Times New Roman"/>
                <w:sz w:val="18"/>
              </w:rPr>
              <w:t>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34"/>
              <w:ind w:left="250"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 w:right="0"/>
              <w:jc w:val="left"/>
              <w:rPr>
                <w:rFonts w:ascii="Times New Roman" w:hAnsi="Times New Roman" w:cs="Times New Roman" w:eastAsia="Times New Roman" w:hint="default"/>
                <w:sz w:val="18"/>
                <w:szCs w:val="18"/>
              </w:rPr>
            </w:pPr>
            <w:r>
              <w:rPr>
                <w:rFonts w:ascii="Times New Roman"/>
                <w:sz w:val="18"/>
              </w:rPr>
              <w:t>-9,080,00</w:t>
            </w:r>
          </w:p>
          <w:p>
            <w:pPr>
              <w:pStyle w:val="TableParagraph"/>
              <w:spacing w:line="240" w:lineRule="auto" w:before="34"/>
              <w:ind w:left="4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10"/>
        <w:rPr>
          <w:rFonts w:ascii="Times New Roman" w:hAnsi="Times New Roman" w:cs="Times New Roman" w:eastAsia="Times New Roman"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37"/>
        <w:gridCol w:w="691"/>
        <w:gridCol w:w="425"/>
        <w:gridCol w:w="509"/>
        <w:gridCol w:w="482"/>
        <w:gridCol w:w="710"/>
        <w:gridCol w:w="568"/>
        <w:gridCol w:w="709"/>
        <w:gridCol w:w="566"/>
        <w:gridCol w:w="708"/>
        <w:gridCol w:w="568"/>
        <w:gridCol w:w="708"/>
        <w:gridCol w:w="709"/>
        <w:gridCol w:w="780"/>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39" w:right="0"/>
              <w:jc w:val="center"/>
              <w:rPr>
                <w:rFonts w:ascii="Times New Roman" w:hAnsi="Times New Roman" w:cs="Times New Roman" w:eastAsia="Times New Roman" w:hint="default"/>
                <w:sz w:val="18"/>
                <w:szCs w:val="18"/>
              </w:rPr>
            </w:pPr>
            <w:r>
              <w:rPr>
                <w:rFonts w:ascii="Times New Roman"/>
                <w:sz w:val="18"/>
              </w:rPr>
              <w:t>853.00</w:t>
            </w:r>
          </w:p>
        </w:tc>
        <w:tc>
          <w:tcPr>
            <w:tcW w:w="425"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2,954,44</w:t>
            </w:r>
          </w:p>
          <w:p>
            <w:pPr>
              <w:pStyle w:val="TableParagraph"/>
              <w:spacing w:line="240" w:lineRule="auto" w:before="34"/>
              <w:ind w:left="46" w:right="0"/>
              <w:jc w:val="left"/>
              <w:rPr>
                <w:rFonts w:ascii="Times New Roman" w:hAnsi="Times New Roman" w:cs="Times New Roman" w:eastAsia="Times New Roman" w:hint="default"/>
                <w:sz w:val="18"/>
                <w:szCs w:val="18"/>
              </w:rPr>
            </w:pPr>
            <w:r>
              <w:rPr>
                <w:rFonts w:ascii="Times New Roman"/>
                <w:sz w:val="18"/>
              </w:rPr>
              <w:t>2,231.32</w:t>
            </w: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28,528,7</w:t>
            </w:r>
          </w:p>
          <w:p>
            <w:pPr>
              <w:pStyle w:val="TableParagraph"/>
              <w:spacing w:line="240" w:lineRule="auto" w:before="34"/>
              <w:ind w:left="269" w:right="0"/>
              <w:jc w:val="left"/>
              <w:rPr>
                <w:rFonts w:ascii="Times New Roman" w:hAnsi="Times New Roman" w:cs="Times New Roman" w:eastAsia="Times New Roman" w:hint="default"/>
                <w:sz w:val="18"/>
                <w:szCs w:val="18"/>
              </w:rPr>
            </w:pPr>
            <w:r>
              <w:rPr>
                <w:rFonts w:ascii="Times New Roman"/>
                <w:sz w:val="18"/>
              </w:rPr>
              <w:t>32.05</w:t>
            </w: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center"/>
              <w:rPr>
                <w:rFonts w:ascii="Times New Roman" w:hAnsi="Times New Roman" w:cs="Times New Roman" w:eastAsia="Times New Roman" w:hint="default"/>
                <w:sz w:val="18"/>
                <w:szCs w:val="18"/>
              </w:rPr>
            </w:pPr>
            <w:r>
              <w:rPr>
                <w:rFonts w:ascii="Times New Roman"/>
                <w:sz w:val="18"/>
              </w:rPr>
              <w:t>228,160,</w:t>
            </w:r>
          </w:p>
          <w:p>
            <w:pPr>
              <w:pStyle w:val="TableParagraph"/>
              <w:spacing w:line="240" w:lineRule="auto" w:before="34"/>
              <w:ind w:left="159" w:right="0"/>
              <w:jc w:val="center"/>
              <w:rPr>
                <w:rFonts w:ascii="Times New Roman" w:hAnsi="Times New Roman" w:cs="Times New Roman" w:eastAsia="Times New Roman" w:hint="default"/>
                <w:sz w:val="18"/>
                <w:szCs w:val="18"/>
              </w:rPr>
            </w:pPr>
            <w:r>
              <w:rPr>
                <w:rFonts w:ascii="Times New Roman"/>
                <w:sz w:val="18"/>
              </w:rPr>
              <w:t>267.55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6" w:right="0"/>
              <w:jc w:val="left"/>
              <w:rPr>
                <w:rFonts w:ascii="Times New Roman" w:hAnsi="Times New Roman" w:cs="Times New Roman" w:eastAsia="Times New Roman" w:hint="default"/>
                <w:sz w:val="18"/>
                <w:szCs w:val="18"/>
              </w:rPr>
            </w:pPr>
            <w:r>
              <w:rPr>
                <w:rFonts w:ascii="Times New Roman"/>
                <w:sz w:val="18"/>
              </w:rPr>
              <w:t>70,744,8</w:t>
            </w:r>
          </w:p>
          <w:p>
            <w:pPr>
              <w:pStyle w:val="TableParagraph"/>
              <w:spacing w:line="240" w:lineRule="auto" w:before="34"/>
              <w:ind w:left="272" w:right="0"/>
              <w:jc w:val="left"/>
              <w:rPr>
                <w:rFonts w:ascii="Times New Roman" w:hAnsi="Times New Roman" w:cs="Times New Roman" w:eastAsia="Times New Roman" w:hint="default"/>
                <w:sz w:val="18"/>
                <w:szCs w:val="18"/>
              </w:rPr>
            </w:pPr>
            <w:r>
              <w:rPr>
                <w:rFonts w:ascii="Times New Roman"/>
                <w:sz w:val="18"/>
              </w:rPr>
              <w:t>22.57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3,772,617</w:t>
            </w:r>
          </w:p>
          <w:p>
            <w:pPr>
              <w:pStyle w:val="TableParagraph"/>
              <w:spacing w:line="240" w:lineRule="auto" w:before="34"/>
              <w:ind w:left="183" w:right="0"/>
              <w:jc w:val="center"/>
              <w:rPr>
                <w:rFonts w:ascii="Times New Roman" w:hAnsi="Times New Roman" w:cs="Times New Roman" w:eastAsia="Times New Roman" w:hint="default"/>
                <w:sz w:val="18"/>
                <w:szCs w:val="18"/>
              </w:rPr>
            </w:pPr>
            <w:r>
              <w:rPr>
                <w:rFonts w:ascii="Times New Roman"/>
                <w:sz w:val="18"/>
              </w:rPr>
              <w:t>,906.49</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8"/>
        <w:ind w:left="154" w:right="1118"/>
        <w:jc w:val="left"/>
        <w:rPr>
          <w:b w:val="0"/>
          <w:bCs w:val="0"/>
        </w:rPr>
      </w:pPr>
      <w:bookmarkStart w:name="8、母公司所有者权益变动表" w:id="172"/>
      <w:bookmarkEnd w:id="17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154" w:right="1118"/>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2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5"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5"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9" w:space="0" w:color="D2D2D2"/>
              <w:right w:val="single" w:sz="23" w:space="0" w:color="D2D2D2"/>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9"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9" w:space="0" w:color="D2D2D2"/>
              <w:right w:val="single" w:sz="9" w:space="0" w:color="D2D2D2"/>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6"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9"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9" w:space="0" w:color="D2D2D2"/>
            </w:tcBorders>
          </w:tcPr>
          <w:p>
            <w:pPr/>
          </w:p>
        </w:tc>
        <w:tc>
          <w:tcPr>
            <w:tcW w:w="797" w:type="dxa"/>
            <w:vMerge/>
            <w:tcBorders>
              <w:left w:val="single" w:sz="9" w:space="0" w:color="D2D2D2"/>
              <w:bottom w:val="nil" w:sz="6" w:space="0" w:color="auto"/>
              <w:right w:val="single" w:sz="9"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9"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32"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28,528,73</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1"/>
              <w:ind w:left="58" w:right="0"/>
              <w:jc w:val="left"/>
              <w:rPr>
                <w:rFonts w:ascii="Times New Roman" w:hAnsi="Times New Roman" w:cs="Times New Roman" w:eastAsia="Times New Roman" w:hint="default"/>
                <w:sz w:val="18"/>
                <w:szCs w:val="18"/>
              </w:rPr>
            </w:pPr>
            <w:r>
              <w:rPr>
                <w:rFonts w:ascii="Times New Roman"/>
                <w:sz w:val="18"/>
              </w:rPr>
              <w:t>151,671</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,962.74</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Times New Roman" w:hAnsi="Times New Roman" w:cs="Times New Roman" w:eastAsia="Times New Roman" w:hint="default"/>
                <w:sz w:val="18"/>
                <w:szCs w:val="18"/>
              </w:rPr>
            </w:pPr>
            <w:r>
              <w:rPr>
                <w:rFonts w:ascii="Times New Roman"/>
                <w:sz w:val="18"/>
              </w:rPr>
              <w:t>3,625,794</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,485.72</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32"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28,528,73</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151,671</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,962.74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3,625,794</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,485.72</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15,572,</w:t>
            </w:r>
          </w:p>
          <w:p>
            <w:pPr>
              <w:pStyle w:val="TableParagraph"/>
              <w:spacing w:line="240" w:lineRule="auto" w:before="34"/>
              <w:ind w:left="148" w:right="0"/>
              <w:jc w:val="left"/>
              <w:rPr>
                <w:rFonts w:ascii="Times New Roman" w:hAnsi="Times New Roman" w:cs="Times New Roman" w:eastAsia="Times New Roman" w:hint="default"/>
                <w:sz w:val="18"/>
                <w:szCs w:val="18"/>
              </w:rPr>
            </w:pPr>
            <w:r>
              <w:rPr>
                <w:rFonts w:ascii="Times New Roman"/>
                <w:sz w:val="18"/>
              </w:rPr>
              <w:t>864.61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2.90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4"/>
              <w:ind w:left="148" w:right="0"/>
              <w:jc w:val="left"/>
              <w:rPr>
                <w:rFonts w:ascii="Times New Roman" w:hAnsi="Times New Roman" w:cs="Times New Roman" w:eastAsia="Times New Roman" w:hint="default"/>
                <w:sz w:val="18"/>
                <w:szCs w:val="18"/>
              </w:rPr>
            </w:pPr>
            <w:r>
              <w:rPr>
                <w:rFonts w:ascii="Times New Roman"/>
                <w:sz w:val="18"/>
              </w:rPr>
              <w:t>182.90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 w:right="0"/>
              <w:jc w:val="lef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2.90</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18.29</w:t>
            </w:r>
          </w:p>
        </w:tc>
        <w:tc>
          <w:tcPr>
            <w:tcW w:w="781" w:type="dxa"/>
            <w:vMerge w:val="restart"/>
            <w:tcBorders>
              <w:top w:val="single" w:sz="4" w:space="0" w:color="000000"/>
              <w:left w:val="single" w:sz="4" w:space="0" w:color="000000"/>
              <w:right w:val="single" w:sz="4" w:space="0" w:color="000000"/>
            </w:tcBorders>
          </w:tcPr>
          <w:p>
            <w:pPr/>
          </w:p>
        </w:tc>
      </w:tr>
      <w:tr>
        <w:trPr>
          <w:trHeight w:val="445"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70" w:hRule="exact"/>
        </w:trPr>
        <w:tc>
          <w:tcPr>
            <w:tcW w:w="1442" w:type="dxa"/>
            <w:tcBorders>
              <w:top w:val="single" w:sz="48" w:space="0" w:color="D2D2D2"/>
              <w:left w:val="single" w:sz="13" w:space="0" w:color="D2D2D2"/>
              <w:bottom w:val="single" w:sz="52" w:space="0" w:color="D2D2D2"/>
              <w:right w:val="single" w:sz="10" w:space="0" w:color="D2D2D2"/>
            </w:tcBorders>
          </w:tcPr>
          <w:p>
            <w:pPr>
              <w:pStyle w:val="TableParagraph"/>
              <w:spacing w:line="240" w:lineRule="auto" w:before="8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1,730,318</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-1,730,3</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18.29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30,259,05</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0.34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167,244</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,827.35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3,643,097</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,668.62</w:t>
            </w:r>
          </w:p>
        </w:tc>
      </w:tr>
    </w:tbl>
    <w:p>
      <w:pPr>
        <w:pStyle w:val="BodyText"/>
        <w:spacing w:line="240" w:lineRule="auto" w:before="51"/>
        <w:ind w:left="154" w:right="1118"/>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2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5"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7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7"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9" w:space="0" w:color="D2D2D2"/>
              <w:right w:val="single" w:sz="23" w:space="0" w:color="D2D2D2"/>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3" w:space="0" w:color="D2D2D2"/>
              <w:right w:val="single" w:sz="9" w:space="0" w:color="D2D2D2"/>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9" w:space="0" w:color="D2D2D2"/>
              <w:right w:val="single" w:sz="9" w:space="0" w:color="D2D2D2"/>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3"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9" w:space="0" w:color="D2D2D2"/>
              <w:bottom w:val="nil" w:sz="6" w:space="0" w:color="auto"/>
              <w:right w:val="single" w:sz="23"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3" w:space="0" w:color="D2D2D2"/>
              <w:bottom w:val="nil" w:sz="6" w:space="0" w:color="auto"/>
              <w:right w:val="single" w:sz="9" w:space="0" w:color="D2D2D2"/>
            </w:tcBorders>
          </w:tcPr>
          <w:p>
            <w:pPr/>
          </w:p>
        </w:tc>
        <w:tc>
          <w:tcPr>
            <w:tcW w:w="797" w:type="dxa"/>
            <w:vMerge/>
            <w:tcBorders>
              <w:left w:val="single" w:sz="9" w:space="0" w:color="D2D2D2"/>
              <w:bottom w:val="nil" w:sz="6" w:space="0" w:color="auto"/>
              <w:right w:val="single" w:sz="9"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9"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3"/>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27,866,88</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4.60</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2"/>
              <w:ind w:left="58" w:right="0"/>
              <w:jc w:val="left"/>
              <w:rPr>
                <w:rFonts w:ascii="Times New Roman" w:hAnsi="Times New Roman" w:cs="Times New Roman" w:eastAsia="Times New Roman" w:hint="default"/>
                <w:sz w:val="18"/>
                <w:szCs w:val="18"/>
              </w:rPr>
            </w:pPr>
            <w:r>
              <w:rPr>
                <w:rFonts w:ascii="Times New Roman"/>
                <w:sz w:val="18"/>
              </w:rPr>
              <w:t>153,755</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,335.66</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2"/>
              <w:ind w:left="27" w:right="0"/>
              <w:jc w:val="left"/>
              <w:rPr>
                <w:rFonts w:ascii="Times New Roman" w:hAnsi="Times New Roman" w:cs="Times New Roman" w:eastAsia="Times New Roman" w:hint="default"/>
                <w:sz w:val="18"/>
                <w:szCs w:val="18"/>
              </w:rPr>
            </w:pPr>
            <w:r>
              <w:rPr>
                <w:rFonts w:ascii="Times New Roman"/>
                <w:sz w:val="18"/>
              </w:rPr>
              <w:t>660,888,4</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47.56</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52" w:space="0" w:color="D2D2D2"/>
              <w:left w:val="single" w:sz="13" w:space="0" w:color="D2D2D2"/>
              <w:bottom w:val="single" w:sz="52" w:space="0" w:color="D2D2D2"/>
              <w:right w:val="single" w:sz="10" w:space="0" w:color="D2D2D2"/>
            </w:tcBorders>
          </w:tcPr>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268,000,</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211,266,2</w:t>
            </w:r>
          </w:p>
          <w:p>
            <w:pPr>
              <w:pStyle w:val="TableParagraph"/>
              <w:spacing w:line="240" w:lineRule="auto" w:before="33"/>
              <w:ind w:left="360" w:right="0"/>
              <w:jc w:val="left"/>
              <w:rPr>
                <w:rFonts w:ascii="Times New Roman" w:hAnsi="Times New Roman" w:cs="Times New Roman" w:eastAsia="Times New Roman" w:hint="default"/>
                <w:sz w:val="18"/>
                <w:szCs w:val="18"/>
              </w:rPr>
            </w:pPr>
            <w:r>
              <w:rPr>
                <w:rFonts w:ascii="Times New Roman"/>
                <w:sz w:val="18"/>
              </w:rPr>
              <w:t>27.30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 w:right="0"/>
              <w:jc w:val="left"/>
              <w:rPr>
                <w:rFonts w:ascii="Times New Roman" w:hAnsi="Times New Roman" w:cs="Times New Roman" w:eastAsia="Times New Roman" w:hint="default"/>
                <w:sz w:val="18"/>
                <w:szCs w:val="18"/>
              </w:rPr>
            </w:pPr>
            <w:r>
              <w:rPr>
                <w:rFonts w:ascii="Times New Roman"/>
                <w:sz w:val="18"/>
              </w:rPr>
              <w:t>27,866,88</w:t>
            </w:r>
          </w:p>
          <w:p>
            <w:pPr>
              <w:pStyle w:val="TableParagraph"/>
              <w:spacing w:line="240" w:lineRule="auto" w:before="33"/>
              <w:ind w:left="450" w:right="0"/>
              <w:jc w:val="left"/>
              <w:rPr>
                <w:rFonts w:ascii="Times New Roman" w:hAnsi="Times New Roman" w:cs="Times New Roman" w:eastAsia="Times New Roman" w:hint="default"/>
                <w:sz w:val="18"/>
                <w:szCs w:val="18"/>
              </w:rPr>
            </w:pPr>
            <w:r>
              <w:rPr>
                <w:rFonts w:ascii="Times New Roman"/>
                <w:sz w:val="18"/>
              </w:rPr>
              <w:t>4.60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 w:right="0"/>
              <w:jc w:val="left"/>
              <w:rPr>
                <w:rFonts w:ascii="Times New Roman" w:hAnsi="Times New Roman" w:cs="Times New Roman" w:eastAsia="Times New Roman" w:hint="default"/>
                <w:sz w:val="18"/>
                <w:szCs w:val="18"/>
              </w:rPr>
            </w:pPr>
            <w:r>
              <w:rPr>
                <w:rFonts w:ascii="Times New Roman"/>
                <w:sz w:val="18"/>
              </w:rPr>
              <w:t>153,755</w:t>
            </w:r>
          </w:p>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,335.66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7" w:right="0"/>
              <w:jc w:val="left"/>
              <w:rPr>
                <w:rFonts w:ascii="Times New Roman" w:hAnsi="Times New Roman" w:cs="Times New Roman" w:eastAsia="Times New Roman" w:hint="default"/>
                <w:sz w:val="18"/>
                <w:szCs w:val="18"/>
              </w:rPr>
            </w:pPr>
            <w:r>
              <w:rPr>
                <w:rFonts w:ascii="Times New Roman"/>
                <w:sz w:val="18"/>
              </w:rPr>
              <w:t>660,888,4</w:t>
            </w:r>
          </w:p>
          <w:p>
            <w:pPr>
              <w:pStyle w:val="TableParagraph"/>
              <w:spacing w:line="240" w:lineRule="auto" w:before="33"/>
              <w:ind w:left="343" w:right="0"/>
              <w:jc w:val="left"/>
              <w:rPr>
                <w:rFonts w:ascii="Times New Roman" w:hAnsi="Times New Roman" w:cs="Times New Roman" w:eastAsia="Times New Roman" w:hint="default"/>
                <w:sz w:val="18"/>
                <w:szCs w:val="18"/>
              </w:rPr>
            </w:pPr>
            <w:r>
              <w:rPr>
                <w:rFonts w:ascii="Times New Roman"/>
                <w:sz w:val="18"/>
              </w:rPr>
              <w:t>47.56</w:t>
            </w: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222,741,</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2,743,585</w:t>
            </w:r>
          </w:p>
          <w:p>
            <w:pPr>
              <w:pStyle w:val="TableParagraph"/>
              <w:spacing w:line="240" w:lineRule="auto" w:before="33"/>
              <w:ind w:left="202" w:right="0"/>
              <w:jc w:val="center"/>
              <w:rPr>
                <w:rFonts w:ascii="Times New Roman" w:hAnsi="Times New Roman" w:cs="Times New Roman" w:eastAsia="Times New Roman" w:hint="default"/>
                <w:sz w:val="18"/>
                <w:szCs w:val="18"/>
              </w:rPr>
            </w:pPr>
            <w:r>
              <w:rPr>
                <w:rFonts w:ascii="Times New Roman"/>
                <w:sz w:val="18"/>
              </w:rPr>
              <w:t>,710.63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661,847.4</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-2,083,3</w:t>
            </w:r>
          </w:p>
          <w:p>
            <w:pPr>
              <w:pStyle w:val="TableParagraph"/>
              <w:spacing w:line="240" w:lineRule="auto" w:before="33"/>
              <w:ind w:left="216" w:right="0"/>
              <w:jc w:val="center"/>
              <w:rPr>
                <w:rFonts w:ascii="Times New Roman" w:hAnsi="Times New Roman" w:cs="Times New Roman" w:eastAsia="Times New Roman" w:hint="default"/>
                <w:sz w:val="18"/>
                <w:szCs w:val="18"/>
              </w:rPr>
            </w:pPr>
            <w:r>
              <w:rPr>
                <w:rFonts w:ascii="Times New Roman"/>
                <w:sz w:val="18"/>
              </w:rPr>
              <w:t>72.92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2,964,906</w:t>
            </w:r>
          </w:p>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,038.16</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1" w:right="0"/>
              <w:jc w:val="center"/>
              <w:rPr>
                <w:rFonts w:ascii="Times New Roman" w:hAnsi="Times New Roman" w:cs="Times New Roman" w:eastAsia="Times New Roman" w:hint="default"/>
                <w:sz w:val="18"/>
                <w:szCs w:val="18"/>
              </w:rPr>
            </w:pPr>
            <w:r>
              <w:rPr>
                <w:rFonts w:ascii="Times New Roman"/>
                <w:sz w:val="18"/>
              </w:rPr>
              <w:t>6,618,4</w:t>
            </w:r>
          </w:p>
          <w:p>
            <w:pPr>
              <w:pStyle w:val="TableParagraph"/>
              <w:spacing w:line="240" w:lineRule="auto" w:before="33"/>
              <w:ind w:left="216" w:right="0"/>
              <w:jc w:val="center"/>
              <w:rPr>
                <w:rFonts w:ascii="Times New Roman" w:hAnsi="Times New Roman" w:cs="Times New Roman" w:eastAsia="Times New Roman" w:hint="default"/>
                <w:sz w:val="18"/>
                <w:szCs w:val="18"/>
              </w:rPr>
            </w:pPr>
            <w:r>
              <w:rPr>
                <w:rFonts w:ascii="Times New Roman"/>
                <w:sz w:val="18"/>
              </w:rPr>
              <w:t>74.53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6,618,474</w:t>
            </w:r>
          </w:p>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z w:val="18"/>
              </w:rPr>
              <w:t>.53</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222,741,</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Times New Roman" w:hAnsi="Times New Roman" w:cs="Times New Roman" w:eastAsia="Times New Roman" w:hint="default"/>
                <w:sz w:val="18"/>
                <w:szCs w:val="18"/>
              </w:rPr>
            </w:pPr>
            <w:r>
              <w:rPr>
                <w:rFonts w:ascii="Times New Roman"/>
                <w:sz w:val="18"/>
              </w:rPr>
              <w:t>2,743,585</w:t>
            </w:r>
          </w:p>
          <w:p>
            <w:pPr>
              <w:pStyle w:val="TableParagraph"/>
              <w:spacing w:line="240" w:lineRule="auto" w:before="33"/>
              <w:ind w:left="202" w:right="0"/>
              <w:jc w:val="center"/>
              <w:rPr>
                <w:rFonts w:ascii="Times New Roman" w:hAnsi="Times New Roman" w:cs="Times New Roman" w:eastAsia="Times New Roman" w:hint="default"/>
                <w:sz w:val="18"/>
                <w:szCs w:val="18"/>
              </w:rPr>
            </w:pPr>
            <w:r>
              <w:rPr>
                <w:rFonts w:ascii="Times New Roman"/>
                <w:sz w:val="18"/>
              </w:rPr>
              <w:t>,710.63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2,966,327</w:t>
            </w:r>
          </w:p>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,563.63</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222,741,</w:t>
            </w:r>
          </w:p>
          <w:p>
            <w:pPr>
              <w:pStyle w:val="TableParagraph"/>
              <w:spacing w:line="240" w:lineRule="auto" w:before="33"/>
              <w:ind w:left="132"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center"/>
              <w:rPr>
                <w:rFonts w:ascii="Times New Roman" w:hAnsi="Times New Roman" w:cs="Times New Roman" w:eastAsia="Times New Roman" w:hint="default"/>
                <w:sz w:val="18"/>
                <w:szCs w:val="18"/>
              </w:rPr>
            </w:pPr>
            <w:r>
              <w:rPr>
                <w:rFonts w:ascii="Times New Roman"/>
                <w:sz w:val="18"/>
              </w:rPr>
              <w:t>2,743,585</w:t>
            </w:r>
          </w:p>
          <w:p>
            <w:pPr>
              <w:pStyle w:val="TableParagraph"/>
              <w:spacing w:line="240" w:lineRule="auto" w:before="33"/>
              <w:ind w:left="202" w:right="0"/>
              <w:jc w:val="center"/>
              <w:rPr>
                <w:rFonts w:ascii="Times New Roman" w:hAnsi="Times New Roman" w:cs="Times New Roman" w:eastAsia="Times New Roman" w:hint="default"/>
                <w:sz w:val="18"/>
                <w:szCs w:val="18"/>
              </w:rPr>
            </w:pPr>
            <w:r>
              <w:rPr>
                <w:rFonts w:ascii="Times New Roman"/>
                <w:sz w:val="18"/>
              </w:rPr>
              <w:t>,710.63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Times New Roman" w:hAnsi="Times New Roman" w:cs="Times New Roman" w:eastAsia="Times New Roman" w:hint="default"/>
                <w:sz w:val="18"/>
                <w:szCs w:val="18"/>
              </w:rPr>
            </w:pPr>
            <w:r>
              <w:rPr>
                <w:rFonts w:ascii="Times New Roman"/>
                <w:sz w:val="18"/>
              </w:rPr>
              <w:t>2,966,327</w:t>
            </w:r>
          </w:p>
          <w:p>
            <w:pPr>
              <w:pStyle w:val="TableParagraph"/>
              <w:spacing w:line="240" w:lineRule="auto" w:before="33"/>
              <w:ind w:left="184" w:right="0"/>
              <w:jc w:val="center"/>
              <w:rPr>
                <w:rFonts w:ascii="Times New Roman" w:hAnsi="Times New Roman" w:cs="Times New Roman" w:eastAsia="Times New Roman" w:hint="default"/>
                <w:sz w:val="18"/>
                <w:szCs w:val="18"/>
              </w:rPr>
            </w:pPr>
            <w:r>
              <w:rPr>
                <w:rFonts w:ascii="Times New Roman"/>
                <w:sz w:val="18"/>
              </w:rPr>
              <w:t>,563.63</w:t>
            </w: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4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661,847.4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-8,701,8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47.45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-8,040,00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661,847.4</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8" w:right="0"/>
              <w:jc w:val="left"/>
              <w:rPr>
                <w:rFonts w:ascii="Times New Roman" w:hAnsi="Times New Roman" w:cs="Times New Roman" w:eastAsia="Times New Roman" w:hint="default"/>
                <w:sz w:val="18"/>
                <w:szCs w:val="18"/>
              </w:rPr>
            </w:pPr>
            <w:r>
              <w:rPr>
                <w:rFonts w:ascii="Times New Roman"/>
                <w:sz w:val="18"/>
              </w:rPr>
              <w:t>-661,84</w:t>
            </w:r>
          </w:p>
          <w:p>
            <w:pPr>
              <w:pStyle w:val="TableParagraph"/>
              <w:spacing w:line="240" w:lineRule="auto" w:before="34"/>
              <w:ind w:left="328" w:right="0"/>
              <w:jc w:val="left"/>
              <w:rPr>
                <w:rFonts w:ascii="Times New Roman" w:hAnsi="Times New Roman" w:cs="Times New Roman" w:eastAsia="Times New Roman" w:hint="default"/>
                <w:sz w:val="18"/>
                <w:szCs w:val="18"/>
              </w:rPr>
            </w:pPr>
            <w:r>
              <w:rPr>
                <w:rFonts w:ascii="Times New Roman"/>
                <w:sz w:val="18"/>
              </w:rPr>
              <w:t>7.45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 w:right="0"/>
              <w:jc w:val="center"/>
              <w:rPr>
                <w:rFonts w:ascii="Times New Roman" w:hAnsi="Times New Roman" w:cs="Times New Roman" w:eastAsia="Times New Roman" w:hint="default"/>
                <w:sz w:val="18"/>
                <w:szCs w:val="18"/>
              </w:rPr>
            </w:pPr>
            <w:r>
              <w:rPr>
                <w:rFonts w:ascii="Times New Roman"/>
                <w:sz w:val="18"/>
              </w:rPr>
              <w:t>-8,040,0</w:t>
            </w:r>
          </w:p>
          <w:p>
            <w:pPr>
              <w:pStyle w:val="TableParagraph"/>
              <w:spacing w:line="240" w:lineRule="auto" w:before="34"/>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7" w:right="0"/>
              <w:jc w:val="left"/>
              <w:rPr>
                <w:rFonts w:ascii="Times New Roman" w:hAnsi="Times New Roman" w:cs="Times New Roman" w:eastAsia="Times New Roman" w:hint="default"/>
                <w:sz w:val="18"/>
                <w:szCs w:val="18"/>
              </w:rPr>
            </w:pPr>
            <w:r>
              <w:rPr>
                <w:rFonts w:ascii="Times New Roman"/>
                <w:sz w:val="18"/>
              </w:rPr>
              <w:t>-8,040,00</w:t>
            </w:r>
          </w:p>
          <w:p>
            <w:pPr>
              <w:pStyle w:val="TableParagraph"/>
              <w:spacing w:line="240" w:lineRule="auto" w:before="34"/>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38"/>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8"/>
                <w:szCs w:val="18"/>
              </w:rPr>
            </w:pPr>
            <w:r>
              <w:rPr>
                <w:rFonts w:ascii="Times New Roman"/>
                <w:sz w:val="18"/>
              </w:rPr>
              <w:t>490,741,</w:t>
            </w:r>
          </w:p>
          <w:p>
            <w:pPr>
              <w:pStyle w:val="TableParagraph"/>
              <w:spacing w:line="240" w:lineRule="auto" w:before="34"/>
              <w:ind w:left="140" w:right="0"/>
              <w:jc w:val="center"/>
              <w:rPr>
                <w:rFonts w:ascii="Times New Roman" w:hAnsi="Times New Roman" w:cs="Times New Roman" w:eastAsia="Times New Roman" w:hint="default"/>
                <w:sz w:val="18"/>
                <w:szCs w:val="18"/>
              </w:rPr>
            </w:pPr>
            <w:r>
              <w:rPr>
                <w:rFonts w:ascii="Times New Roman"/>
                <w:sz w:val="18"/>
              </w:rPr>
              <w:t>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center"/>
              <w:rPr>
                <w:rFonts w:ascii="Times New Roman" w:hAnsi="Times New Roman" w:cs="Times New Roman" w:eastAsia="Times New Roman" w:hint="default"/>
                <w:sz w:val="18"/>
                <w:szCs w:val="18"/>
              </w:rPr>
            </w:pPr>
            <w:r>
              <w:rPr>
                <w:rFonts w:ascii="Times New Roman"/>
                <w:sz w:val="18"/>
              </w:rPr>
              <w:t>2,954,851</w:t>
            </w:r>
          </w:p>
          <w:p>
            <w:pPr>
              <w:pStyle w:val="TableParagraph"/>
              <w:spacing w:line="240" w:lineRule="auto" w:before="34"/>
              <w:ind w:left="202" w:right="0"/>
              <w:jc w:val="center"/>
              <w:rPr>
                <w:rFonts w:ascii="Times New Roman" w:hAnsi="Times New Roman" w:cs="Times New Roman" w:eastAsia="Times New Roman" w:hint="default"/>
                <w:sz w:val="18"/>
                <w:szCs w:val="18"/>
              </w:rPr>
            </w:pPr>
            <w:r>
              <w:rPr>
                <w:rFonts w:ascii="Times New Roman"/>
                <w:sz w:val="18"/>
              </w:rPr>
              <w:t>,937.93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28,528,73</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2.05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 w:right="0"/>
              <w:jc w:val="left"/>
              <w:rPr>
                <w:rFonts w:ascii="Times New Roman" w:hAnsi="Times New Roman" w:cs="Times New Roman" w:eastAsia="Times New Roman" w:hint="default"/>
                <w:sz w:val="18"/>
                <w:szCs w:val="18"/>
              </w:rPr>
            </w:pPr>
            <w:r>
              <w:rPr>
                <w:rFonts w:ascii="Times New Roman"/>
                <w:sz w:val="18"/>
              </w:rPr>
              <w:t>151,671</w:t>
            </w:r>
          </w:p>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,962.74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sz w:val="18"/>
              </w:rPr>
              <w:t>3,625,794</w:t>
            </w:r>
          </w:p>
          <w:p>
            <w:pPr>
              <w:pStyle w:val="TableParagraph"/>
              <w:spacing w:line="240" w:lineRule="auto" w:before="34"/>
              <w:ind w:left="184" w:right="0"/>
              <w:jc w:val="center"/>
              <w:rPr>
                <w:rFonts w:ascii="Times New Roman" w:hAnsi="Times New Roman" w:cs="Times New Roman" w:eastAsia="Times New Roman" w:hint="default"/>
                <w:sz w:val="18"/>
                <w:szCs w:val="18"/>
              </w:rPr>
            </w:pPr>
            <w:r>
              <w:rPr>
                <w:rFonts w:ascii="Times New Roman"/>
                <w:sz w:val="18"/>
              </w:rPr>
              <w:t>,485.72</w:t>
            </w:r>
          </w:p>
        </w:tc>
      </w:tr>
    </w:tbl>
    <w:p>
      <w:pPr>
        <w:spacing w:line="240" w:lineRule="auto" w:before="2"/>
        <w:rPr>
          <w:rFonts w:ascii="宋体" w:hAnsi="宋体" w:cs="宋体" w:eastAsia="宋体" w:hint="default"/>
          <w:sz w:val="18"/>
          <w:szCs w:val="18"/>
        </w:rPr>
      </w:pPr>
    </w:p>
    <w:p>
      <w:pPr>
        <w:pStyle w:val="Heading2"/>
        <w:spacing w:line="240" w:lineRule="auto" w:before="26"/>
        <w:ind w:left="154" w:right="1118"/>
        <w:jc w:val="left"/>
        <w:rPr>
          <w:b w:val="0"/>
          <w:bCs w:val="0"/>
        </w:rPr>
      </w:pPr>
      <w:bookmarkStart w:name="三、公司基本情况" w:id="173"/>
      <w:bookmarkEnd w:id="173"/>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159" w:firstLine="360"/>
        <w:jc w:val="both"/>
      </w:pPr>
      <w:r>
        <w:rPr/>
        <w:t>金财互联控股股份有限公司</w:t>
      </w:r>
      <w:r>
        <w:rPr>
          <w:rFonts w:ascii="Times New Roman" w:hAnsi="Times New Roman" w:cs="Times New Roman" w:eastAsia="Times New Roman" w:hint="default"/>
        </w:rPr>
        <w:t>(</w:t>
      </w:r>
      <w:r>
        <w:rPr/>
        <w:t>以下简称“本公司”，原名“江苏丰东热技术股份有限公司”</w:t>
      </w:r>
      <w:r>
        <w:rPr>
          <w:rFonts w:ascii="Times New Roman" w:hAnsi="Times New Roman" w:cs="Times New Roman" w:eastAsia="Times New Roman" w:hint="default"/>
        </w:rPr>
        <w:t>)</w:t>
      </w:r>
      <w:r>
        <w:rPr/>
        <w:t>为境内公开发行</w:t>
      </w:r>
      <w:r>
        <w:rPr>
          <w:rFonts w:ascii="Times New Roman" w:hAnsi="Times New Roman" w:cs="Times New Roman" w:eastAsia="Times New Roman" w:hint="default"/>
        </w:rPr>
        <w:t>A</w:t>
      </w:r>
      <w:r>
        <w:rPr/>
        <w:t>股股票并 在深圳证券交易所上市的股份有限公司。</w:t>
      </w:r>
    </w:p>
    <w:p>
      <w:pPr>
        <w:pStyle w:val="BodyText"/>
        <w:spacing w:line="300" w:lineRule="auto" w:before="69"/>
        <w:ind w:left="153" w:right="1043" w:firstLine="360"/>
        <w:jc w:val="both"/>
      </w:pPr>
      <w:r>
        <w:rPr>
          <w:spacing w:val="-5"/>
        </w:rPr>
        <w:t>经中国证券监督管理委员会《关于核准江苏丰东热技术股份有限公司首次公开发行股票的批复》（证监许可［</w:t>
      </w:r>
      <w:r>
        <w:rPr>
          <w:rFonts w:ascii="Times New Roman" w:hAnsi="Times New Roman" w:cs="Times New Roman" w:eastAsia="Times New Roman" w:hint="default"/>
          <w:spacing w:val="-5"/>
        </w:rPr>
        <w:t>2010</w:t>
      </w:r>
      <w:r>
        <w:rPr>
          <w:spacing w:val="-5"/>
        </w:rPr>
        <w:t>］</w:t>
      </w:r>
      <w:r>
        <w:rPr>
          <w:rFonts w:ascii="Times New Roman" w:hAnsi="Times New Roman" w:cs="Times New Roman" w:eastAsia="Times New Roman" w:hint="default"/>
          <w:spacing w:val="-5"/>
        </w:rPr>
        <w:t>1757</w:t>
      </w:r>
      <w:r>
        <w:rPr>
          <w:rFonts w:ascii="Times New Roman" w:hAnsi="Times New Roman" w:cs="Times New Roman" w:eastAsia="Times New Roman" w:hint="default"/>
        </w:rPr>
        <w:t> </w:t>
      </w:r>
      <w:r>
        <w:rPr/>
        <w:t>号</w:t>
      </w:r>
      <w:r>
        <w:rPr>
          <w:rFonts w:ascii="Times New Roman" w:hAnsi="Times New Roman" w:cs="Times New Roman" w:eastAsia="Times New Roman" w:hint="default"/>
        </w:rPr>
        <w:t>)</w:t>
      </w:r>
      <w:r>
        <w:rPr/>
        <w:t>的核准，公司向社会公开发行人民币普通股股票</w:t>
      </w:r>
      <w:r>
        <w:rPr>
          <w:rFonts w:ascii="Times New Roman" w:hAnsi="Times New Roman" w:cs="Times New Roman" w:eastAsia="Times New Roman" w:hint="default"/>
        </w:rPr>
        <w:t>3,400</w:t>
      </w:r>
      <w:r>
        <w:rPr/>
        <w:t>万股，每股面值壹元，每股发行价为人民币壹拾贰元，募集资金总 额为人民币肆亿零捌佰万元整。经深圳证券交易所《关于江苏丰东热技术股份有限公司人民币普通股股票上市交易的通知》</w:t>
      </w:r>
    </w:p>
    <w:p>
      <w:pPr>
        <w:pStyle w:val="BodyText"/>
        <w:spacing w:line="302" w:lineRule="auto" w:before="31"/>
        <w:ind w:left="153" w:right="1123"/>
        <w:jc w:val="left"/>
      </w:pPr>
      <w:r>
        <w:rPr/>
        <w:t>（深证上［</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429</w:t>
      </w:r>
      <w:r>
        <w:rPr/>
        <w:t>号）同意，本公司发行的人民币普通股股票在深圳证券交易所上市，证券简称“丰东股份”，股票代 码“</w:t>
      </w:r>
      <w:r>
        <w:rPr>
          <w:rFonts w:ascii="Times New Roman" w:hAnsi="Times New Roman" w:cs="Times New Roman" w:eastAsia="Times New Roman" w:hint="default"/>
        </w:rPr>
        <w:t>002530</w:t>
      </w:r>
      <w:r>
        <w:rPr/>
        <w:t>”。</w:t>
      </w:r>
    </w:p>
    <w:p>
      <w:pPr>
        <w:pStyle w:val="BodyText"/>
        <w:spacing w:line="307" w:lineRule="auto" w:before="49"/>
        <w:ind w:left="153" w:right="1132" w:firstLine="360"/>
        <w:jc w:val="both"/>
      </w:pPr>
      <w:r>
        <w:rPr>
          <w:spacing w:val="-2"/>
        </w:rPr>
        <w:t>根据财政部、国资委、证监会和全国社保基金理事会联合印发的《境内证券市场转持部分国有股充实全国社会保障基金</w:t>
      </w:r>
      <w:r>
        <w:rPr/>
        <w:t> </w:t>
      </w:r>
      <w:r>
        <w:rPr>
          <w:spacing w:val="-4"/>
        </w:rPr>
        <w:t>实施办法》文件规定及江苏省国资委《关于同意江苏丰东热技术股份有限公司国有股转持的批复》（苏国资复</w:t>
      </w:r>
      <w:r>
        <w:rPr>
          <w:rFonts w:ascii="Times New Roman" w:hAnsi="Times New Roman" w:cs="Times New Roman" w:eastAsia="Times New Roman" w:hint="default"/>
          <w:spacing w:val="-4"/>
        </w:rPr>
        <w:t>[2010]51</w:t>
      </w:r>
      <w:r>
        <w:rPr>
          <w:spacing w:val="-4"/>
        </w:rPr>
        <w:t>号），</w:t>
      </w:r>
      <w:r>
        <w:rPr>
          <w:spacing w:val="-58"/>
        </w:rPr>
        <w:t> </w:t>
      </w:r>
      <w:r>
        <w:rPr>
          <w:spacing w:val="-58"/>
        </w:rPr>
      </w:r>
      <w:r>
        <w:rPr>
          <w:spacing w:val="-1"/>
        </w:rPr>
        <w:t>江苏高科技投资集团有限公司将持有的本公司</w:t>
      </w:r>
      <w:r>
        <w:rPr>
          <w:rFonts w:ascii="Times New Roman" w:hAnsi="Times New Roman" w:cs="Times New Roman" w:eastAsia="Times New Roman" w:hint="default"/>
          <w:spacing w:val="-1"/>
        </w:rPr>
        <w:t>340</w:t>
      </w:r>
      <w:r>
        <w:rPr>
          <w:spacing w:val="-1"/>
        </w:rPr>
        <w:t>万股股份（按本次发行</w:t>
      </w:r>
      <w:r>
        <w:rPr>
          <w:rFonts w:ascii="Times New Roman" w:hAnsi="Times New Roman" w:cs="Times New Roman" w:eastAsia="Times New Roman" w:hint="default"/>
          <w:spacing w:val="-1"/>
        </w:rPr>
        <w:t>3,400</w:t>
      </w:r>
      <w:r>
        <w:rPr>
          <w:spacing w:val="-1"/>
        </w:rPr>
        <w:t>万股的</w:t>
      </w:r>
      <w:r>
        <w:rPr>
          <w:rFonts w:ascii="Times New Roman" w:hAnsi="Times New Roman" w:cs="Times New Roman" w:eastAsia="Times New Roman" w:hint="default"/>
          <w:spacing w:val="-1"/>
        </w:rPr>
        <w:t>10%</w:t>
      </w:r>
      <w:r>
        <w:rPr>
          <w:spacing w:val="-1"/>
        </w:rPr>
        <w:t>计算）划转给全国社会保障基金理</w:t>
      </w:r>
      <w:r>
        <w:rPr>
          <w:spacing w:val="-41"/>
        </w:rPr>
        <w:t> </w:t>
      </w:r>
      <w:r>
        <w:rPr>
          <w:spacing w:val="-41"/>
        </w:rPr>
      </w:r>
      <w:r>
        <w:rPr/>
        <w:t>事会。</w:t>
      </w:r>
    </w:p>
    <w:p>
      <w:pPr>
        <w:pStyle w:val="BodyText"/>
        <w:spacing w:line="300" w:lineRule="auto" w:before="64"/>
        <w:ind w:left="153" w:right="0" w:firstLine="360"/>
        <w:jc w:val="left"/>
      </w:pPr>
      <w:r>
        <w:rPr/>
        <w:t>根据中华人民共和国财政部《关于回拨江苏丰东热技术股份有限公司部分国有股有关问题的通知》（财企</w:t>
      </w:r>
      <w:r>
        <w:rPr>
          <w:rFonts w:ascii="Times New Roman" w:hAnsi="Times New Roman" w:cs="Times New Roman" w:eastAsia="Times New Roman" w:hint="default"/>
        </w:rPr>
        <w:t>[2011]43</w:t>
      </w:r>
      <w:r>
        <w:rPr/>
        <w:t>号）</w:t>
      </w:r>
      <w:r>
        <w:rPr>
          <w:spacing w:val="1"/>
        </w:rPr>
        <w:t> </w:t>
      </w:r>
      <w:r>
        <w:rPr>
          <w:spacing w:val="-2"/>
        </w:rPr>
        <w:t>文件规定，江苏高科技投资集团有限公司原划转给全国社会保障基金理事会持有的本公司</w:t>
      </w:r>
      <w:r>
        <w:rPr>
          <w:rFonts w:ascii="Times New Roman" w:hAnsi="Times New Roman" w:cs="Times New Roman" w:eastAsia="Times New Roman" w:hint="default"/>
          <w:spacing w:val="-2"/>
        </w:rPr>
        <w:t>340</w:t>
      </w:r>
      <w:r>
        <w:rPr>
          <w:spacing w:val="-2"/>
        </w:rPr>
        <w:t>万股限售流通股于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rFonts w:ascii="Times New Roman" w:hAnsi="Times New Roman" w:cs="Times New Roman" w:eastAsia="Times New Roman" w:hint="default"/>
          <w:spacing w:val="-9"/>
        </w:rPr>
        <w:t> </w:t>
      </w:r>
      <w:r>
        <w:rPr/>
        <w:t>日回拨到江苏高科技投资集团有限公司的证券账户中。</w:t>
      </w:r>
    </w:p>
    <w:p>
      <w:pPr>
        <w:pStyle w:val="BodyText"/>
        <w:spacing w:line="302" w:lineRule="auto" w:before="71"/>
        <w:ind w:left="153" w:right="1139" w:firstLine="360"/>
        <w:jc w:val="both"/>
      </w:pPr>
      <w:r>
        <w:rPr/>
        <w:t>根据公司</w:t>
      </w:r>
      <w:r>
        <w:rPr>
          <w:rFonts w:ascii="Times New Roman" w:hAnsi="Times New Roman" w:cs="Times New Roman" w:eastAsia="Times New Roman" w:hint="default"/>
        </w:rPr>
        <w:t>2011</w:t>
      </w:r>
      <w:r>
        <w:rPr/>
        <w:t>年年度股东大会决议，本公司实施资本公积转增注册资本</w:t>
      </w:r>
      <w:r>
        <w:rPr>
          <w:rFonts w:ascii="Times New Roman" w:hAnsi="Times New Roman" w:cs="Times New Roman" w:eastAsia="Times New Roman" w:hint="default"/>
        </w:rPr>
        <w:t>134,000,000</w:t>
      </w:r>
      <w:r>
        <w:rPr/>
        <w:t>元，转增基准日为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 转增后本公司注册资本为人民币</w:t>
      </w:r>
      <w:r>
        <w:rPr>
          <w:rFonts w:ascii="Times New Roman" w:hAnsi="Times New Roman" w:cs="Times New Roman" w:eastAsia="Times New Roman" w:hint="default"/>
        </w:rPr>
        <w:t>268,000,000</w:t>
      </w:r>
      <w:r>
        <w:rPr/>
        <w:t>元。</w:t>
      </w:r>
    </w:p>
    <w:p>
      <w:pPr>
        <w:pStyle w:val="BodyText"/>
        <w:spacing w:line="300" w:lineRule="auto" w:before="50"/>
        <w:ind w:left="153" w:right="1130" w:firstLine="360"/>
        <w:jc w:val="both"/>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日第三届董事会第十七次会议决议及中国证券监督管理委员会《关于核准江苏丰东热技术股份有 </w:t>
      </w:r>
      <w:r>
        <w:rPr>
          <w:spacing w:val="-1"/>
        </w:rPr>
        <w:t>限公司向徐正军等发行股份购买资产并募集配套资金的批复》（证监许可</w:t>
      </w:r>
      <w:r>
        <w:rPr>
          <w:rFonts w:ascii="Times New Roman" w:hAnsi="Times New Roman" w:cs="Times New Roman" w:eastAsia="Times New Roman" w:hint="default"/>
          <w:spacing w:val="-1"/>
        </w:rPr>
        <w:t>[2016]2334</w:t>
      </w:r>
      <w:r>
        <w:rPr>
          <w:spacing w:val="-1"/>
        </w:rPr>
        <w:t>号）文核准，同意本公司向方欣科技有</w:t>
      </w:r>
      <w:r>
        <w:rPr>
          <w:spacing w:val="-55"/>
        </w:rPr>
        <w:t> </w:t>
      </w:r>
      <w:r>
        <w:rPr>
          <w:spacing w:val="-55"/>
        </w:rPr>
      </w:r>
      <w:r>
        <w:rPr>
          <w:spacing w:val="-2"/>
        </w:rPr>
        <w:t>限公司（以下简称方欣科技）股东徐正军发行</w:t>
      </w:r>
      <w:r>
        <w:rPr>
          <w:rFonts w:ascii="Times New Roman" w:hAnsi="Times New Roman" w:cs="Times New Roman" w:eastAsia="Times New Roman" w:hint="default"/>
          <w:spacing w:val="-2"/>
        </w:rPr>
        <w:t>80,126,857</w:t>
      </w:r>
      <w:r>
        <w:rPr>
          <w:spacing w:val="-2"/>
        </w:rPr>
        <w:t>股、向股东王金根发行</w:t>
      </w:r>
      <w:r>
        <w:rPr>
          <w:rFonts w:ascii="Times New Roman" w:hAnsi="Times New Roman" w:cs="Times New Roman" w:eastAsia="Times New Roman" w:hint="default"/>
          <w:spacing w:val="-2"/>
        </w:rPr>
        <w:t>34,069,687</w:t>
      </w:r>
      <w:r>
        <w:rPr>
          <w:spacing w:val="-2"/>
        </w:rPr>
        <w:t>股、向股东北京众诚方圆投资中心</w:t>
      </w:r>
    </w:p>
    <w:p>
      <w:pPr>
        <w:pStyle w:val="BodyText"/>
        <w:spacing w:line="240" w:lineRule="auto" w:before="13"/>
        <w:ind w:left="153" w:right="0"/>
        <w:jc w:val="left"/>
      </w:pPr>
      <w:r>
        <w:rPr/>
        <w:t>（有限合伙）发行</w:t>
      </w:r>
      <w:r>
        <w:rPr>
          <w:rFonts w:ascii="Times New Roman" w:hAnsi="Times New Roman" w:cs="Times New Roman" w:eastAsia="Times New Roman" w:hint="default"/>
        </w:rPr>
        <w:t>10,331,948</w:t>
      </w:r>
      <w:r>
        <w:rPr/>
        <w:t>股、向股东深圳市金蝶软件配套用品有限公司发行</w:t>
      </w:r>
      <w:r>
        <w:rPr>
          <w:rFonts w:ascii="Times New Roman" w:hAnsi="Times New Roman" w:cs="Times New Roman" w:eastAsia="Times New Roman" w:hint="default"/>
        </w:rPr>
        <w:t>6,309,201</w:t>
      </w:r>
      <w:r>
        <w:rPr/>
        <w:t>股、向股东苏州松禾成长二号创业</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00" w:lineRule="auto" w:before="44"/>
        <w:ind w:left="153" w:right="1129"/>
        <w:jc w:val="both"/>
      </w:pPr>
      <w:r>
        <w:rPr>
          <w:spacing w:val="-2"/>
        </w:rPr>
        <w:t>投资中心（有限合伙）发行</w:t>
      </w:r>
      <w:r>
        <w:rPr>
          <w:rFonts w:ascii="Times New Roman" w:hAnsi="Times New Roman" w:cs="Times New Roman" w:eastAsia="Times New Roman" w:hint="default"/>
          <w:spacing w:val="-2"/>
        </w:rPr>
        <w:t>5,938,220</w:t>
      </w:r>
      <w:r>
        <w:rPr>
          <w:spacing w:val="-2"/>
        </w:rPr>
        <w:t>股、向股东广州西域洪昌互联网创业投资合伙企业（有限合伙）发行</w:t>
      </w:r>
      <w:r>
        <w:rPr>
          <w:rFonts w:ascii="Times New Roman" w:hAnsi="Times New Roman" w:cs="Times New Roman" w:eastAsia="Times New Roman" w:hint="default"/>
          <w:spacing w:val="-2"/>
        </w:rPr>
        <w:t>5,938,220</w:t>
      </w:r>
      <w:r>
        <w:rPr>
          <w:spacing w:val="-2"/>
        </w:rPr>
        <w:t>股、向股</w:t>
      </w:r>
      <w:r>
        <w:rPr>
          <w:spacing w:val="-51"/>
        </w:rPr>
        <w:t> </w:t>
      </w:r>
      <w:r>
        <w:rPr>
          <w:spacing w:val="-51"/>
        </w:rPr>
      </w:r>
      <w:r>
        <w:rPr/>
        <w:t>东曹锋发行</w:t>
      </w:r>
      <w:r>
        <w:rPr>
          <w:rFonts w:ascii="Times New Roman" w:hAnsi="Times New Roman" w:cs="Times New Roman" w:eastAsia="Times New Roman" w:hint="default"/>
        </w:rPr>
        <w:t>3,785,520</w:t>
      </w:r>
      <w:r>
        <w:rPr/>
        <w:t>股、向股东邓国庭发行</w:t>
      </w:r>
      <w:r>
        <w:rPr>
          <w:rFonts w:ascii="Times New Roman" w:hAnsi="Times New Roman" w:cs="Times New Roman" w:eastAsia="Times New Roman" w:hint="default"/>
        </w:rPr>
        <w:t>1,892,760</w:t>
      </w:r>
      <w:r>
        <w:rPr/>
        <w:t>股；同意本公司非公开发行股份募集配套资金不超过</w:t>
      </w:r>
      <w:r>
        <w:rPr>
          <w:rFonts w:ascii="Times New Roman" w:hAnsi="Times New Roman" w:cs="Times New Roman" w:eastAsia="Times New Roman" w:hint="default"/>
        </w:rPr>
        <w:t>74,349,440</w:t>
      </w:r>
      <w:r>
        <w:rPr/>
        <w:t>股。此 次定向增发及配套募集资金完成后，本公司注册资本为人民币</w:t>
      </w:r>
      <w:r>
        <w:rPr>
          <w:rFonts w:ascii="Times New Roman" w:hAnsi="Times New Roman" w:cs="Times New Roman" w:eastAsia="Times New Roman" w:hint="default"/>
        </w:rPr>
        <w:t>490,741,853.00</w:t>
      </w:r>
      <w:r>
        <w:rPr/>
        <w:t>元。</w:t>
      </w:r>
    </w:p>
    <w:p>
      <w:pPr>
        <w:pStyle w:val="BodyText"/>
        <w:spacing w:line="302" w:lineRule="auto" w:before="51"/>
        <w:ind w:left="153" w:right="1129" w:firstLine="360"/>
        <w:jc w:val="both"/>
      </w:pP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2016</w:t>
      </w:r>
      <w:r>
        <w:rPr/>
        <w:t>年年度股东大会决议，同意公司变更名称、证券简称及经营范围。公司于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spacing w:val="-2"/>
        </w:rPr>
        <w:t>26</w:t>
      </w:r>
      <w:r>
        <w:rPr>
          <w:spacing w:val="-2"/>
        </w:rPr>
        <w:t>日完成上述工商变更登记，公司名称变更为“金财互联控股股份有限公司”；经公司申请，深圳证券交易所批准，自</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7"/>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日起，公司中文证券简称由“丰东股份”变更为“金财互联”。</w:t>
      </w:r>
    </w:p>
    <w:p>
      <w:pPr>
        <w:pStyle w:val="BodyText"/>
        <w:spacing w:line="240" w:lineRule="auto" w:before="50"/>
        <w:ind w:right="1118"/>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日止的公司股权结构如下：</w:t>
      </w:r>
    </w:p>
    <w:p>
      <w:pPr>
        <w:spacing w:line="240" w:lineRule="auto" w:before="2"/>
        <w:rPr>
          <w:rFonts w:ascii="宋体" w:hAnsi="宋体" w:cs="宋体" w:eastAsia="宋体" w:hint="default"/>
          <w:sz w:val="12"/>
          <w:szCs w:val="12"/>
        </w:rPr>
      </w:pPr>
    </w:p>
    <w:tbl>
      <w:tblPr>
        <w:tblW w:w="0" w:type="auto"/>
        <w:jc w:val="left"/>
        <w:tblInd w:w="843" w:type="dxa"/>
        <w:tblLayout w:type="fixed"/>
        <w:tblCellMar>
          <w:top w:w="0" w:type="dxa"/>
          <w:left w:w="0" w:type="dxa"/>
          <w:bottom w:w="0" w:type="dxa"/>
          <w:right w:w="0" w:type="dxa"/>
        </w:tblCellMar>
        <w:tblLook w:val="01E0"/>
      </w:tblPr>
      <w:tblGrid>
        <w:gridCol w:w="1598"/>
        <w:gridCol w:w="253"/>
        <w:gridCol w:w="1508"/>
        <w:gridCol w:w="272"/>
        <w:gridCol w:w="1547"/>
        <w:gridCol w:w="215"/>
        <w:gridCol w:w="1548"/>
        <w:gridCol w:w="233"/>
        <w:gridCol w:w="1087"/>
      </w:tblGrid>
      <w:tr>
        <w:trPr>
          <w:trHeight w:val="289"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180" w:lineRule="exact"/>
              <w:ind w:left="215" w:right="0"/>
              <w:jc w:val="left"/>
              <w:rPr>
                <w:rFonts w:ascii="宋体" w:hAnsi="宋体" w:cs="宋体" w:eastAsia="宋体" w:hint="default"/>
                <w:sz w:val="18"/>
                <w:szCs w:val="18"/>
              </w:rPr>
            </w:pPr>
            <w:r>
              <w:rPr>
                <w:rFonts w:ascii="宋体" w:hAnsi="宋体" w:cs="宋体" w:eastAsia="宋体" w:hint="default"/>
                <w:sz w:val="18"/>
                <w:szCs w:val="18"/>
              </w:rPr>
              <w:t>无限售流通股</w:t>
            </w:r>
          </w:p>
        </w:tc>
        <w:tc>
          <w:tcPr>
            <w:tcW w:w="272"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single" w:sz="4" w:space="0" w:color="000000"/>
              <w:right w:val="nil" w:sz="6" w:space="0" w:color="auto"/>
            </w:tcBorders>
          </w:tcPr>
          <w:p>
            <w:pPr>
              <w:pStyle w:val="TableParagraph"/>
              <w:spacing w:line="180" w:lineRule="exact"/>
              <w:ind w:left="326" w:right="0"/>
              <w:jc w:val="left"/>
              <w:rPr>
                <w:rFonts w:ascii="宋体" w:hAnsi="宋体" w:cs="宋体" w:eastAsia="宋体" w:hint="default"/>
                <w:sz w:val="18"/>
                <w:szCs w:val="18"/>
              </w:rPr>
            </w:pPr>
            <w:r>
              <w:rPr>
                <w:rFonts w:ascii="宋体" w:hAnsi="宋体" w:cs="宋体" w:eastAsia="宋体" w:hint="default"/>
                <w:sz w:val="18"/>
                <w:szCs w:val="18"/>
              </w:rPr>
              <w:t>限售流通股</w:t>
            </w:r>
          </w:p>
        </w:tc>
        <w:tc>
          <w:tcPr>
            <w:tcW w:w="21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180" w:lineRule="exact"/>
              <w:ind w:left="36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253"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25,932,618.00</w:t>
            </w:r>
          </w:p>
        </w:tc>
        <w:tc>
          <w:tcPr>
            <w:tcW w:w="272" w:type="dxa"/>
            <w:tcBorders>
              <w:top w:val="nil" w:sz="6" w:space="0" w:color="auto"/>
              <w:left w:val="nil" w:sz="6" w:space="0" w:color="auto"/>
              <w:bottom w:val="nil" w:sz="6" w:space="0" w:color="auto"/>
              <w:right w:val="nil" w:sz="6" w:space="0" w:color="auto"/>
            </w:tcBorders>
          </w:tcPr>
          <w:p>
            <w:pP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96,900,000.00</w:t>
            </w:r>
          </w:p>
        </w:tc>
        <w:tc>
          <w:tcPr>
            <w:tcW w:w="21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7"/>
              <w:jc w:val="right"/>
              <w:rPr>
                <w:rFonts w:ascii="Times New Roman" w:hAnsi="Times New Roman" w:cs="Times New Roman" w:eastAsia="Times New Roman" w:hint="default"/>
                <w:sz w:val="18"/>
                <w:szCs w:val="18"/>
              </w:rPr>
            </w:pPr>
            <w:r>
              <w:rPr>
                <w:rFonts w:ascii="Times New Roman"/>
                <w:spacing w:val="-1"/>
                <w:sz w:val="18"/>
              </w:rPr>
              <w:t>122,832,618.00</w:t>
            </w:r>
          </w:p>
        </w:tc>
        <w:tc>
          <w:tcPr>
            <w:tcW w:w="233"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z w:val="18"/>
              </w:rPr>
              <w:t>25.03%</w:t>
            </w:r>
          </w:p>
        </w:tc>
      </w:tr>
      <w:tr>
        <w:trPr>
          <w:trHeight w:val="392"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25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85,959,278.00</w:t>
            </w:r>
          </w:p>
        </w:tc>
        <w:tc>
          <w:tcPr>
            <w:tcW w:w="272"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177,807,237.00</w:t>
            </w:r>
          </w:p>
        </w:tc>
        <w:tc>
          <w:tcPr>
            <w:tcW w:w="21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263,766,515.00</w:t>
            </w:r>
          </w:p>
        </w:tc>
        <w:tc>
          <w:tcPr>
            <w:tcW w:w="23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53.75%</w:t>
            </w:r>
          </w:p>
        </w:tc>
      </w:tr>
      <w:tr>
        <w:trPr>
          <w:trHeight w:val="392"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25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55,791,090.00</w:t>
            </w:r>
          </w:p>
        </w:tc>
        <w:tc>
          <w:tcPr>
            <w:tcW w:w="272"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55,791,090.00</w:t>
            </w:r>
          </w:p>
        </w:tc>
        <w:tc>
          <w:tcPr>
            <w:tcW w:w="23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11.37%</w:t>
            </w:r>
          </w:p>
        </w:tc>
      </w:tr>
      <w:tr>
        <w:trPr>
          <w:trHeight w:val="392"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25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359,600.00</w:t>
            </w:r>
          </w:p>
        </w:tc>
        <w:tc>
          <w:tcPr>
            <w:tcW w:w="272"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359,600.00</w:t>
            </w:r>
          </w:p>
        </w:tc>
        <w:tc>
          <w:tcPr>
            <w:tcW w:w="23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0.07%</w:t>
            </w:r>
          </w:p>
        </w:tc>
      </w:tr>
      <w:tr>
        <w:trPr>
          <w:trHeight w:val="392"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基金、理财产品</w:t>
            </w:r>
          </w:p>
        </w:tc>
        <w:tc>
          <w:tcPr>
            <w:tcW w:w="253"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43,557,086.00</w:t>
            </w:r>
          </w:p>
        </w:tc>
        <w:tc>
          <w:tcPr>
            <w:tcW w:w="272"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5"/>
              <w:jc w:val="right"/>
              <w:rPr>
                <w:rFonts w:ascii="Times New Roman" w:hAnsi="Times New Roman" w:cs="Times New Roman" w:eastAsia="Times New Roman" w:hint="default"/>
                <w:sz w:val="18"/>
                <w:szCs w:val="18"/>
              </w:rPr>
            </w:pPr>
            <w:r>
              <w:rPr>
                <w:rFonts w:ascii="Times New Roman"/>
                <w:spacing w:val="-1"/>
                <w:sz w:val="18"/>
              </w:rPr>
              <w:t>4,434,944.00</w:t>
            </w:r>
          </w:p>
        </w:tc>
        <w:tc>
          <w:tcPr>
            <w:tcW w:w="21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7"/>
              <w:jc w:val="right"/>
              <w:rPr>
                <w:rFonts w:ascii="Times New Roman" w:hAnsi="Times New Roman" w:cs="Times New Roman" w:eastAsia="Times New Roman" w:hint="default"/>
                <w:sz w:val="18"/>
                <w:szCs w:val="18"/>
              </w:rPr>
            </w:pPr>
            <w:r>
              <w:rPr>
                <w:rFonts w:ascii="Times New Roman"/>
                <w:spacing w:val="-1"/>
                <w:sz w:val="18"/>
              </w:rPr>
              <w:t>47,992,030.00</w:t>
            </w:r>
          </w:p>
        </w:tc>
        <w:tc>
          <w:tcPr>
            <w:tcW w:w="23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z w:val="18"/>
              </w:rPr>
              <w:t>9.78%</w:t>
            </w:r>
          </w:p>
        </w:tc>
      </w:tr>
      <w:tr>
        <w:trPr>
          <w:trHeight w:val="420"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 w:type="dxa"/>
            <w:tcBorders>
              <w:top w:val="nil" w:sz="6" w:space="0" w:color="auto"/>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211,599,672.00</w:t>
            </w:r>
          </w:p>
        </w:tc>
        <w:tc>
          <w:tcPr>
            <w:tcW w:w="272" w:type="dxa"/>
            <w:tcBorders>
              <w:top w:val="nil" w:sz="6" w:space="0" w:color="auto"/>
              <w:left w:val="nil" w:sz="6" w:space="0" w:color="auto"/>
              <w:bottom w:val="nil" w:sz="6" w:space="0" w:color="auto"/>
              <w:right w:val="nil" w:sz="6" w:space="0" w:color="auto"/>
            </w:tcBorders>
          </w:tcPr>
          <w:p>
            <w:pPr/>
          </w:p>
        </w:tc>
        <w:tc>
          <w:tcPr>
            <w:tcW w:w="1547"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279,142,181.00</w:t>
            </w:r>
          </w:p>
        </w:tc>
        <w:tc>
          <w:tcPr>
            <w:tcW w:w="21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490,741,853.00</w:t>
            </w:r>
          </w:p>
        </w:tc>
        <w:tc>
          <w:tcPr>
            <w:tcW w:w="233"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single" w:sz="17"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19" w:lineRule="auto" w:before="51"/>
        <w:ind w:left="154" w:right="1032" w:firstLine="360"/>
        <w:jc w:val="left"/>
      </w:pPr>
      <w:r>
        <w:rPr/>
        <w:t>经营范围：实业投资；股权投资；投资咨询；资产管理；税务服务；财务、税务咨询服务；互联网软、硬件产品研发、 </w:t>
      </w:r>
      <w:r>
        <w:rPr>
          <w:spacing w:val="-2"/>
        </w:rPr>
        <w:t>销售、技术服务、系统集成服务；数据服务；金属材料热处理及表面改性设备的技术开发、技术咨询、制造、销售及维修服</w:t>
      </w:r>
      <w:r>
        <w:rPr>
          <w:spacing w:val="-72"/>
        </w:rPr>
        <w:t> </w:t>
      </w:r>
      <w:r>
        <w:rPr>
          <w:spacing w:val="-72"/>
        </w:rPr>
      </w:r>
      <w:r>
        <w:rPr/>
        <w:t>务；房屋、设备租赁。</w:t>
      </w:r>
      <w:r>
        <w:rPr>
          <w:rFonts w:ascii="Times New Roman" w:hAnsi="Times New Roman" w:cs="Times New Roman" w:eastAsia="Times New Roman" w:hint="default"/>
        </w:rPr>
        <w:t>(</w:t>
      </w:r>
      <w:r>
        <w:rPr/>
        <w:t>依法须经批准的项目</w:t>
      </w:r>
      <w:r>
        <w:rPr>
          <w:rFonts w:ascii="Times New Roman" w:hAnsi="Times New Roman" w:cs="Times New Roman" w:eastAsia="Times New Roman" w:hint="default"/>
        </w:rPr>
        <w:t>,</w:t>
      </w:r>
      <w:r>
        <w:rPr/>
        <w:t>经相关部门批准后方可开展经营活动</w:t>
      </w:r>
      <w:r>
        <w:rPr>
          <w:rFonts w:ascii="Times New Roman" w:hAnsi="Times New Roman" w:cs="Times New Roman" w:eastAsia="Times New Roman" w:hint="default"/>
        </w:rPr>
        <w:t>)</w:t>
      </w:r>
      <w:r>
        <w:rPr/>
        <w:t>。</w:t>
      </w:r>
    </w:p>
    <w:p>
      <w:pPr>
        <w:pStyle w:val="BodyText"/>
        <w:spacing w:line="357" w:lineRule="auto" w:before="36"/>
        <w:ind w:right="1119"/>
        <w:jc w:val="left"/>
      </w:pPr>
      <w:r>
        <w:rPr/>
        <w:t>本年度合并财务报表范围 </w:t>
      </w:r>
      <w:r>
        <w:rPr>
          <w:spacing w:val="-1"/>
        </w:rPr>
        <w:t>为优化公司现有的经营结构，提高管理效率，金财互联于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月新设</w:t>
      </w:r>
      <w:r>
        <w:rPr>
          <w:rFonts w:ascii="Times New Roman" w:hAnsi="Times New Roman" w:cs="Times New Roman" w:eastAsia="Times New Roman" w:hint="default"/>
          <w:spacing w:val="-1"/>
        </w:rPr>
        <w:t>100%</w:t>
      </w:r>
      <w:r>
        <w:rPr>
          <w:spacing w:val="-1"/>
        </w:rPr>
        <w:t>控股子公司江苏丰东热技术有限公司，并</w:t>
      </w:r>
    </w:p>
    <w:p>
      <w:pPr>
        <w:pStyle w:val="BodyText"/>
        <w:spacing w:line="202" w:lineRule="exact"/>
        <w:ind w:left="153" w:right="1118"/>
        <w:jc w:val="left"/>
      </w:pPr>
      <w:r>
        <w:rPr/>
        <w:t>将公司与热处理业务相关的资产、负债下划至江苏丰东热技术有限公司。</w:t>
      </w:r>
    </w:p>
    <w:p>
      <w:pPr>
        <w:pStyle w:val="BodyText"/>
        <w:spacing w:line="302" w:lineRule="auto" w:before="116"/>
        <w:ind w:left="153" w:right="1129" w:firstLine="360"/>
        <w:jc w:val="both"/>
      </w:pPr>
      <w:r>
        <w:rPr>
          <w:spacing w:val="-5"/>
        </w:rPr>
        <w:t>本年度纳入合并范围的公司为：（</w:t>
      </w:r>
      <w:r>
        <w:rPr>
          <w:rFonts w:ascii="Times New Roman" w:hAnsi="Times New Roman" w:cs="Times New Roman" w:eastAsia="Times New Roman" w:hint="default"/>
          <w:spacing w:val="-5"/>
        </w:rPr>
        <w:t>1</w:t>
      </w:r>
      <w:r>
        <w:rPr>
          <w:spacing w:val="-5"/>
        </w:rPr>
        <w:t>）江苏丰东热技术有限公司（以下简称</w:t>
      </w:r>
      <w:r>
        <w:rPr>
          <w:rFonts w:ascii="Times New Roman" w:hAnsi="Times New Roman" w:cs="Times New Roman" w:eastAsia="Times New Roman" w:hint="default"/>
          <w:spacing w:val="-5"/>
        </w:rPr>
        <w:t>“</w:t>
      </w:r>
      <w:r>
        <w:rPr>
          <w:spacing w:val="-5"/>
        </w:rPr>
        <w:t>丰东热技术</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2</w:t>
      </w:r>
      <w:r>
        <w:rPr>
          <w:spacing w:val="-5"/>
        </w:rPr>
        <w:t>）方欣科技有限公司（以</w:t>
      </w:r>
      <w:r>
        <w:rPr/>
        <w:t> 下简称</w:t>
      </w:r>
      <w:r>
        <w:rPr>
          <w:rFonts w:ascii="Times New Roman" w:hAnsi="Times New Roman" w:cs="Times New Roman" w:eastAsia="Times New Roman" w:hint="default"/>
        </w:rPr>
        <w:t>“</w:t>
      </w:r>
      <w:r>
        <w:rPr/>
        <w:t>方欣科技</w:t>
      </w:r>
      <w:r>
        <w:rPr>
          <w:rFonts w:ascii="Times New Roman" w:hAnsi="Times New Roman" w:cs="Times New Roman" w:eastAsia="Times New Roman" w:hint="default"/>
        </w:rPr>
        <w:t>”</w:t>
      </w:r>
      <w:r>
        <w:rPr/>
        <w:t>）。</w:t>
      </w:r>
    </w:p>
    <w:p>
      <w:pPr>
        <w:pStyle w:val="BodyText"/>
        <w:spacing w:line="300" w:lineRule="auto" w:before="49"/>
        <w:ind w:left="153" w:right="1130" w:firstLine="360"/>
        <w:jc w:val="both"/>
      </w:pPr>
      <w:r>
        <w:rPr>
          <w:spacing w:val="-2"/>
        </w:rPr>
        <w:t>纳入丰东热技术合并财务报表范围的子公司及下属公司共</w:t>
      </w:r>
      <w:r>
        <w:rPr>
          <w:rFonts w:ascii="Times New Roman" w:hAnsi="Times New Roman" w:cs="Times New Roman" w:eastAsia="Times New Roman" w:hint="default"/>
          <w:spacing w:val="-2"/>
        </w:rPr>
        <w:t>13</w:t>
      </w:r>
      <w:r>
        <w:rPr>
          <w:spacing w:val="-2"/>
        </w:rPr>
        <w:t>户为：（</w:t>
      </w:r>
      <w:r>
        <w:rPr>
          <w:rFonts w:ascii="Times New Roman" w:hAnsi="Times New Roman" w:cs="Times New Roman" w:eastAsia="Times New Roman" w:hint="default"/>
          <w:spacing w:val="-2"/>
        </w:rPr>
        <w:t>1</w:t>
      </w:r>
      <w:r>
        <w:rPr>
          <w:spacing w:val="-2"/>
        </w:rPr>
        <w:t>）上海丰东热处理工程有限公司、（</w:t>
      </w:r>
      <w:r>
        <w:rPr>
          <w:rFonts w:ascii="Times New Roman" w:hAnsi="Times New Roman" w:cs="Times New Roman" w:eastAsia="Times New Roman" w:hint="default"/>
          <w:spacing w:val="-2"/>
        </w:rPr>
        <w:t>2</w:t>
      </w:r>
      <w:r>
        <w:rPr>
          <w:spacing w:val="-2"/>
        </w:rPr>
        <w:t>）青岛丰东</w:t>
      </w:r>
      <w:r>
        <w:rPr/>
        <w:t> 热处理有限公司、（</w:t>
      </w:r>
      <w:r>
        <w:rPr>
          <w:rFonts w:ascii="Times New Roman" w:hAnsi="Times New Roman" w:cs="Times New Roman" w:eastAsia="Times New Roman" w:hint="default"/>
        </w:rPr>
        <w:t>3</w:t>
      </w:r>
      <w:r>
        <w:rPr/>
        <w:t>）江苏丰东热处理及表面改性工程技术研究有限公司、（</w:t>
      </w:r>
      <w:r>
        <w:rPr>
          <w:rFonts w:ascii="Times New Roman" w:hAnsi="Times New Roman" w:cs="Times New Roman" w:eastAsia="Times New Roman" w:hint="default"/>
        </w:rPr>
        <w:t>4</w:t>
      </w:r>
      <w:r>
        <w:rPr/>
        <w:t>）盐城丰东特种炉业有限公司、（</w:t>
      </w:r>
      <w:r>
        <w:rPr>
          <w:rFonts w:ascii="Times New Roman" w:hAnsi="Times New Roman" w:cs="Times New Roman" w:eastAsia="Times New Roman" w:hint="default"/>
        </w:rPr>
        <w:t>5</w:t>
      </w:r>
      <w:r>
        <w:rPr/>
        <w:t>）重庆 丰东热处理工程有限公司、（</w:t>
      </w:r>
      <w:r>
        <w:rPr>
          <w:rFonts w:ascii="Times New Roman" w:hAnsi="Times New Roman" w:cs="Times New Roman" w:eastAsia="Times New Roman" w:hint="default"/>
        </w:rPr>
        <w:t>6</w:t>
      </w:r>
      <w:r>
        <w:rPr/>
        <w:t>）南京丰东热处理工程有限公司、（</w:t>
      </w:r>
      <w:r>
        <w:rPr>
          <w:rFonts w:ascii="Times New Roman" w:hAnsi="Times New Roman" w:cs="Times New Roman" w:eastAsia="Times New Roman" w:hint="default"/>
        </w:rPr>
        <w:t>7</w:t>
      </w:r>
      <w:r>
        <w:rPr/>
        <w:t>）天津丰东热处理有限公司、（</w:t>
      </w:r>
      <w:r>
        <w:rPr>
          <w:rFonts w:ascii="Times New Roman" w:hAnsi="Times New Roman" w:cs="Times New Roman" w:eastAsia="Times New Roman" w:hint="default"/>
        </w:rPr>
        <w:t>8</w:t>
      </w:r>
      <w:r>
        <w:rPr/>
        <w:t>）潍坊丰东热处理有 限公司、（</w:t>
      </w:r>
      <w:r>
        <w:rPr>
          <w:rFonts w:ascii="Times New Roman" w:hAnsi="Times New Roman" w:cs="Times New Roman" w:eastAsia="Times New Roman" w:hint="default"/>
        </w:rPr>
        <w:t>9</w:t>
      </w:r>
      <w:r>
        <w:rPr/>
        <w:t>）盐城丰东祺耀工业炉有限公司、（</w:t>
      </w:r>
      <w:r>
        <w:rPr>
          <w:rFonts w:ascii="Times New Roman" w:hAnsi="Times New Roman" w:cs="Times New Roman" w:eastAsia="Times New Roman" w:hint="default"/>
        </w:rPr>
        <w:t>10</w:t>
      </w:r>
      <w:r>
        <w:rPr/>
        <w:t>）广州鑫润丰东热处理有限公司、（</w:t>
      </w:r>
      <w:r>
        <w:rPr>
          <w:rFonts w:ascii="Times New Roman" w:hAnsi="Times New Roman" w:cs="Times New Roman" w:eastAsia="Times New Roman" w:hint="default"/>
        </w:rPr>
        <w:t>11</w:t>
      </w:r>
      <w:r>
        <w:rPr/>
        <w:t>）常州鑫润丰东热处理工程有限 公司、（</w:t>
      </w:r>
      <w:r>
        <w:rPr>
          <w:rFonts w:ascii="Times New Roman" w:hAnsi="Times New Roman" w:cs="Times New Roman" w:eastAsia="Times New Roman" w:hint="default"/>
        </w:rPr>
        <w:t>12</w:t>
      </w:r>
      <w:r>
        <w:rPr/>
        <w:t>）上海宝华威热处理设备有限公司、（</w:t>
      </w:r>
      <w:r>
        <w:rPr>
          <w:rFonts w:ascii="Times New Roman" w:hAnsi="Times New Roman" w:cs="Times New Roman" w:eastAsia="Times New Roman" w:hint="default"/>
        </w:rPr>
        <w:t>13</w:t>
      </w:r>
      <w:r>
        <w:rPr/>
        <w:t>）艾普零件制造（苏州）有限公司。其中（</w:t>
      </w:r>
      <w:r>
        <w:rPr>
          <w:rFonts w:ascii="Times New Roman" w:hAnsi="Times New Roman" w:cs="Times New Roman" w:eastAsia="Times New Roman" w:hint="default"/>
        </w:rPr>
        <w:t>12-13</w:t>
      </w:r>
      <w:r>
        <w:rPr/>
        <w:t>）为</w:t>
      </w:r>
      <w:r>
        <w:rPr>
          <w:rFonts w:ascii="Times New Roman" w:hAnsi="Times New Roman" w:cs="Times New Roman" w:eastAsia="Times New Roman" w:hint="default"/>
        </w:rPr>
        <w:t>2017</w:t>
      </w:r>
      <w:r>
        <w:rPr/>
        <w:t>年度新纳入 合并报表范围。</w:t>
      </w:r>
    </w:p>
    <w:p>
      <w:pPr>
        <w:pStyle w:val="BodyText"/>
        <w:spacing w:line="300" w:lineRule="auto" w:before="70"/>
        <w:ind w:left="153" w:right="1130" w:firstLine="360"/>
        <w:jc w:val="both"/>
      </w:pPr>
      <w:r>
        <w:rPr>
          <w:spacing w:val="-2"/>
        </w:rPr>
        <w:t>纳入方欣科技合并财务报表范围的子公司及下属公司共</w:t>
      </w:r>
      <w:r>
        <w:rPr>
          <w:rFonts w:ascii="Times New Roman" w:hAnsi="Times New Roman" w:cs="Times New Roman" w:eastAsia="Times New Roman" w:hint="default"/>
          <w:spacing w:val="-2"/>
        </w:rPr>
        <w:t>16</w:t>
      </w:r>
      <w:r>
        <w:rPr>
          <w:spacing w:val="-2"/>
        </w:rPr>
        <w:t>户为：（</w:t>
      </w:r>
      <w:r>
        <w:rPr>
          <w:rFonts w:ascii="Times New Roman" w:hAnsi="Times New Roman" w:cs="Times New Roman" w:eastAsia="Times New Roman" w:hint="default"/>
          <w:spacing w:val="-2"/>
        </w:rPr>
        <w:t>1</w:t>
      </w:r>
      <w:r>
        <w:rPr>
          <w:spacing w:val="-2"/>
        </w:rPr>
        <w:t>）广州金财互联税务顾问有限公司、（</w:t>
      </w:r>
      <w:r>
        <w:rPr>
          <w:rFonts w:ascii="Times New Roman" w:hAnsi="Times New Roman" w:cs="Times New Roman" w:eastAsia="Times New Roman" w:hint="default"/>
          <w:spacing w:val="-2"/>
        </w:rPr>
        <w:t>2</w:t>
      </w:r>
      <w:r>
        <w:rPr>
          <w:spacing w:val="-2"/>
        </w:rPr>
        <w:t>）山东神创</w:t>
      </w:r>
      <w:r>
        <w:rPr/>
        <w:t> 信息科技有限公司、（</w:t>
      </w:r>
      <w:r>
        <w:rPr>
          <w:rFonts w:ascii="Times New Roman" w:hAnsi="Times New Roman" w:cs="Times New Roman" w:eastAsia="Times New Roman" w:hint="default"/>
        </w:rPr>
        <w:t>3</w:t>
      </w:r>
      <w:r>
        <w:rPr/>
        <w:t>）广州方欣现代信息产业园有限公司、（</w:t>
      </w:r>
      <w:r>
        <w:rPr>
          <w:rFonts w:ascii="Times New Roman" w:hAnsi="Times New Roman" w:cs="Times New Roman" w:eastAsia="Times New Roman" w:hint="default"/>
        </w:rPr>
        <w:t>4</w:t>
      </w:r>
      <w:r>
        <w:rPr/>
        <w:t>）广东浪潮创新计算机科技服务有限公司、（</w:t>
      </w:r>
      <w:r>
        <w:rPr>
          <w:rFonts w:ascii="Times New Roman" w:hAnsi="Times New Roman" w:cs="Times New Roman" w:eastAsia="Times New Roman" w:hint="default"/>
        </w:rPr>
        <w:t>5</w:t>
      </w:r>
      <w:r>
        <w:rPr/>
        <w:t>）广州翼 税数据服务有限公司、（</w:t>
      </w:r>
      <w:r>
        <w:rPr>
          <w:rFonts w:ascii="Times New Roman" w:hAnsi="Times New Roman" w:cs="Times New Roman" w:eastAsia="Times New Roman" w:hint="default"/>
        </w:rPr>
        <w:t>6</w:t>
      </w:r>
      <w:r>
        <w:rPr/>
        <w:t>）金财互联数据服务有限公司、（</w:t>
      </w:r>
      <w:r>
        <w:rPr>
          <w:rFonts w:ascii="Times New Roman" w:hAnsi="Times New Roman" w:cs="Times New Roman" w:eastAsia="Times New Roman" w:hint="default"/>
        </w:rPr>
        <w:t>7</w:t>
      </w:r>
      <w:r>
        <w:rPr/>
        <w:t>）方欣智慧财税服务有限公司、（</w:t>
      </w:r>
      <w:r>
        <w:rPr>
          <w:rFonts w:ascii="Times New Roman" w:hAnsi="Times New Roman" w:cs="Times New Roman" w:eastAsia="Times New Roman" w:hint="default"/>
        </w:rPr>
        <w:t>8</w:t>
      </w:r>
      <w:r>
        <w:rPr/>
        <w:t>）浙江金财立信财务管理 有限公司、（</w:t>
      </w:r>
      <w:r>
        <w:rPr>
          <w:rFonts w:ascii="Times New Roman" w:hAnsi="Times New Roman" w:cs="Times New Roman" w:eastAsia="Times New Roman" w:hint="default"/>
        </w:rPr>
        <w:t>9</w:t>
      </w:r>
      <w:r>
        <w:rPr/>
        <w:t>）北京方欣恒利科技有限公司、（</w:t>
      </w:r>
      <w:r>
        <w:rPr>
          <w:rFonts w:ascii="Times New Roman" w:hAnsi="Times New Roman" w:cs="Times New Roman" w:eastAsia="Times New Roman" w:hint="default"/>
        </w:rPr>
        <w:t>10</w:t>
      </w:r>
      <w:r>
        <w:rPr/>
        <w:t>）上海金财企盈企业服务有限公司、（</w:t>
      </w:r>
      <w:r>
        <w:rPr>
          <w:rFonts w:ascii="Times New Roman" w:hAnsi="Times New Roman" w:cs="Times New Roman" w:eastAsia="Times New Roman" w:hint="default"/>
        </w:rPr>
        <w:t>11</w:t>
      </w:r>
      <w:r>
        <w:rPr/>
        <w:t>）东莞市金财互联信息科技有 </w:t>
      </w:r>
      <w:r>
        <w:rPr>
          <w:spacing w:val="-2"/>
        </w:rPr>
        <w:t>限公司、（</w:t>
      </w:r>
      <w:r>
        <w:rPr>
          <w:rFonts w:ascii="Times New Roman" w:hAnsi="Times New Roman" w:cs="Times New Roman" w:eastAsia="Times New Roman" w:hint="default"/>
          <w:spacing w:val="-2"/>
        </w:rPr>
        <w:t>12</w:t>
      </w:r>
      <w:r>
        <w:rPr>
          <w:spacing w:val="-2"/>
        </w:rPr>
        <w:t>）江门市金财互联数据服务有限公司、（</w:t>
      </w:r>
      <w:r>
        <w:rPr>
          <w:rFonts w:ascii="Times New Roman" w:hAnsi="Times New Roman" w:cs="Times New Roman" w:eastAsia="Times New Roman" w:hint="default"/>
          <w:spacing w:val="-2"/>
        </w:rPr>
        <w:t>13</w:t>
      </w:r>
      <w:r>
        <w:rPr>
          <w:spacing w:val="-2"/>
        </w:rPr>
        <w:t>）浙江立信之友软件有限公司、（</w:t>
      </w:r>
      <w:r>
        <w:rPr>
          <w:rFonts w:ascii="Times New Roman" w:hAnsi="Times New Roman" w:cs="Times New Roman" w:eastAsia="Times New Roman" w:hint="default"/>
          <w:spacing w:val="-2"/>
        </w:rPr>
        <w:t>14</w:t>
      </w:r>
      <w:r>
        <w:rPr>
          <w:spacing w:val="-2"/>
        </w:rPr>
        <w:t>）黄山怀信商务信息咨询有限</w:t>
      </w:r>
      <w:r>
        <w:rPr>
          <w:spacing w:val="-63"/>
        </w:rPr>
        <w:t> </w:t>
      </w:r>
      <w:r>
        <w:rPr>
          <w:spacing w:val="-63"/>
        </w:rPr>
      </w:r>
      <w:r>
        <w:rPr>
          <w:spacing w:val="-1"/>
        </w:rPr>
        <w:t>公司、（</w:t>
      </w:r>
      <w:r>
        <w:rPr>
          <w:rFonts w:ascii="Times New Roman" w:hAnsi="Times New Roman" w:cs="Times New Roman" w:eastAsia="Times New Roman" w:hint="default"/>
          <w:spacing w:val="-1"/>
        </w:rPr>
        <w:t>15</w:t>
      </w:r>
      <w:r>
        <w:rPr>
          <w:spacing w:val="-1"/>
        </w:rPr>
        <w:t>）新疆金财立信财务管理有限公司、（</w:t>
      </w:r>
      <w:r>
        <w:rPr>
          <w:rFonts w:ascii="Times New Roman" w:hAnsi="Times New Roman" w:cs="Times New Roman" w:eastAsia="Times New Roman" w:hint="default"/>
          <w:spacing w:val="-1"/>
        </w:rPr>
        <w:t>16</w:t>
      </w:r>
      <w:r>
        <w:rPr>
          <w:spacing w:val="-1"/>
        </w:rPr>
        <w:t>）上海灏友企业服务有限公司。其中（</w:t>
      </w:r>
      <w:r>
        <w:rPr>
          <w:rFonts w:ascii="Times New Roman" w:hAnsi="Times New Roman" w:cs="Times New Roman" w:eastAsia="Times New Roman" w:hint="default"/>
          <w:spacing w:val="-1"/>
        </w:rPr>
        <w:t>6-16</w:t>
      </w:r>
      <w:r>
        <w:rPr>
          <w:spacing w:val="-1"/>
        </w:rPr>
        <w:t>）为</w:t>
      </w:r>
      <w:r>
        <w:rPr>
          <w:rFonts w:ascii="Times New Roman" w:hAnsi="Times New Roman" w:cs="Times New Roman" w:eastAsia="Times New Roman" w:hint="default"/>
          <w:spacing w:val="-1"/>
        </w:rPr>
        <w:t>2017</w:t>
      </w:r>
      <w:r>
        <w:rPr>
          <w:spacing w:val="-1"/>
        </w:rPr>
        <w:t>年度新纳入合并报</w:t>
      </w:r>
      <w:r>
        <w:rPr>
          <w:spacing w:val="-84"/>
        </w:rPr>
        <w:t> </w:t>
      </w:r>
      <w:r>
        <w:rPr/>
        <w:t>表范围。</w:t>
      </w:r>
    </w:p>
    <w:p>
      <w:pPr>
        <w:pStyle w:val="BodyText"/>
        <w:spacing w:line="240" w:lineRule="auto" w:before="72"/>
        <w:ind w:left="514" w:right="1118"/>
        <w:jc w:val="left"/>
      </w:pPr>
      <w:r>
        <w:rPr/>
        <w:t>本年度减少</w:t>
      </w:r>
      <w:r>
        <w:rPr>
          <w:rFonts w:ascii="Times New Roman" w:hAnsi="Times New Roman" w:cs="Times New Roman" w:eastAsia="Times New Roman" w:hint="default"/>
        </w:rPr>
        <w:t>1</w:t>
      </w:r>
      <w:r>
        <w:rPr/>
        <w:t>户合并单位：北京丰东建通工业炉科技有限公司自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月起不再纳入合并报表范围。</w:t>
      </w:r>
    </w:p>
    <w:p>
      <w:pPr>
        <w:spacing w:after="0" w:line="240" w:lineRule="auto"/>
        <w:jc w:val="left"/>
        <w:sectPr>
          <w:pgSz w:w="11910" w:h="16840"/>
          <w:pgMar w:header="687" w:footer="979" w:top="1140" w:bottom="1160" w:left="980" w:right="0"/>
        </w:sectPr>
      </w:pPr>
    </w:p>
    <w:p>
      <w:pPr>
        <w:spacing w:line="240" w:lineRule="auto" w:before="11"/>
        <w:rPr>
          <w:rFonts w:ascii="宋体" w:hAnsi="宋体" w:cs="宋体" w:eastAsia="宋体" w:hint="default"/>
          <w:sz w:val="17"/>
          <w:szCs w:val="17"/>
        </w:rPr>
      </w:pPr>
    </w:p>
    <w:p>
      <w:pPr>
        <w:pStyle w:val="Heading2"/>
        <w:spacing w:line="240" w:lineRule="auto" w:before="26"/>
        <w:ind w:left="154" w:right="0"/>
        <w:jc w:val="both"/>
        <w:rPr>
          <w:b w:val="0"/>
          <w:bCs w:val="0"/>
        </w:rPr>
      </w:pPr>
      <w:bookmarkStart w:name="四、财务报表的编制基础" w:id="174"/>
      <w:bookmarkEnd w:id="174"/>
      <w:r>
        <w:rPr>
          <w:b w:val="0"/>
          <w:bCs w:val="0"/>
        </w:rPr>
      </w:r>
      <w:r>
        <w:rPr/>
        <w:t>四、财务报表的编制基础</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18"/>
        <w:jc w:val="left"/>
        <w:rPr>
          <w:b w:val="0"/>
          <w:bCs w:val="0"/>
        </w:rPr>
      </w:pPr>
      <w:bookmarkStart w:name="1、编制基础" w:id="175"/>
      <w:bookmarkEnd w:id="17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1"/>
        <w:rPr>
          <w:rFonts w:ascii="宋体" w:hAnsi="宋体" w:cs="宋体" w:eastAsia="宋体" w:hint="default"/>
          <w:b/>
          <w:bCs/>
          <w:sz w:val="26"/>
          <w:szCs w:val="26"/>
        </w:rPr>
      </w:pPr>
    </w:p>
    <w:p>
      <w:pPr>
        <w:pStyle w:val="BodyText"/>
        <w:spacing w:line="302" w:lineRule="auto"/>
        <w:ind w:left="153" w:right="1118" w:firstLine="36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基本准则》和其他各项会计准则的规定</w:t>
      </w:r>
      <w:r>
        <w:rPr/>
        <w:t> 进行确认和计量，在此基础上编制财务报表。</w:t>
      </w:r>
    </w:p>
    <w:p>
      <w:pPr>
        <w:pStyle w:val="BodyText"/>
        <w:spacing w:line="300" w:lineRule="auto" w:before="68"/>
        <w:ind w:left="153" w:right="1123" w:firstLine="360"/>
        <w:jc w:val="left"/>
      </w:pPr>
      <w:r>
        <w:rPr/>
        <w:t>根据财政部《关于印发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w:t>
      </w:r>
      <w:r>
        <w:rPr/>
        <w:t>〕 </w:t>
      </w:r>
      <w:r>
        <w:rPr>
          <w:rFonts w:ascii="Times New Roman" w:hAnsi="Times New Roman" w:cs="Times New Roman" w:eastAsia="Times New Roman" w:hint="default"/>
          <w:spacing w:val="-1"/>
        </w:rPr>
        <w:t>13</w:t>
      </w:r>
      <w:r>
        <w:rPr>
          <w:spacing w:val="-1"/>
        </w:rPr>
        <w:t>号）的规定，本公司自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日起执行前述准则。根据财政部《关于印发修订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&gt;</w:t>
      </w:r>
      <w:r>
        <w:rPr>
          <w:spacing w:val="-1"/>
        </w:rPr>
        <w:t>的</w:t>
      </w:r>
      <w:r>
        <w:rPr>
          <w:spacing w:val="-46"/>
        </w:rPr>
        <w:t> </w:t>
      </w:r>
      <w:r>
        <w:rPr/>
        <w:t>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号）的规定，本公司自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日起执行前述准则。根据财政部《关于修订印发一般企业财务 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号），本公司对财务报表格式进行了相应调整。</w:t>
      </w:r>
    </w:p>
    <w:p>
      <w:pPr>
        <w:pStyle w:val="BodyText"/>
        <w:spacing w:line="240" w:lineRule="auto" w:before="52"/>
        <w:ind w:right="0"/>
        <w:jc w:val="left"/>
      </w:pPr>
      <w:r>
        <w:rPr/>
        <w:t>根据财政部《关于印发〈企业会计准则第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存货〉等</w:t>
      </w:r>
      <w:r>
        <w:rPr>
          <w:rFonts w:ascii="Times New Roman" w:hAnsi="Times New Roman" w:cs="Times New Roman" w:eastAsia="Times New Roman" w:hint="default"/>
        </w:rPr>
        <w:t>38</w:t>
      </w:r>
      <w:r>
        <w:rPr/>
        <w:t>项具体准则的通知》（财会</w:t>
      </w:r>
      <w:r>
        <w:rPr>
          <w:rFonts w:ascii="Times New Roman" w:hAnsi="Times New Roman" w:cs="Times New Roman" w:eastAsia="Times New Roman" w:hint="default"/>
        </w:rPr>
        <w:t>[2006]3</w:t>
      </w:r>
      <w:r>
        <w:rPr/>
        <w:t>号）、《关于印发修订</w:t>
      </w:r>
    </w:p>
    <w:p>
      <w:pPr>
        <w:pStyle w:val="BodyText"/>
        <w:spacing w:line="300" w:lineRule="auto" w:before="63"/>
        <w:ind w:left="153" w:right="1129"/>
        <w:jc w:val="both"/>
      </w:pP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&gt;</w:t>
      </w:r>
      <w:r>
        <w:rPr>
          <w:spacing w:val="-2"/>
        </w:rPr>
        <w:t>的通知》等</w:t>
      </w:r>
      <w:r>
        <w:rPr>
          <w:rFonts w:ascii="Times New Roman" w:hAnsi="Times New Roman" w:cs="Times New Roman" w:eastAsia="Times New Roman" w:hint="default"/>
          <w:spacing w:val="-2"/>
        </w:rPr>
        <w:t>7</w:t>
      </w:r>
      <w:r>
        <w:rPr>
          <w:spacing w:val="-2"/>
        </w:rPr>
        <w:t>项通知（财会</w:t>
      </w:r>
      <w:r>
        <w:rPr>
          <w:rFonts w:ascii="Times New Roman" w:hAnsi="Times New Roman" w:cs="Times New Roman" w:eastAsia="Times New Roman" w:hint="default"/>
          <w:spacing w:val="-2"/>
        </w:rPr>
        <w:t>[2014]6~8</w:t>
      </w:r>
      <w:r>
        <w:rPr>
          <w:spacing w:val="-2"/>
        </w:rPr>
        <w:t>号、</w:t>
      </w:r>
      <w:r>
        <w:rPr>
          <w:rFonts w:ascii="Times New Roman" w:hAnsi="Times New Roman" w:cs="Times New Roman" w:eastAsia="Times New Roman" w:hint="default"/>
          <w:spacing w:val="-2"/>
        </w:rPr>
        <w:t>10~11</w:t>
      </w:r>
      <w:r>
        <w:rPr>
          <w:spacing w:val="-2"/>
        </w:rPr>
        <w:t>号、</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16</w:t>
      </w:r>
      <w:r>
        <w:rPr>
          <w:spacing w:val="-2"/>
        </w:rPr>
        <w:t>号）、《中华人民共和</w:t>
      </w:r>
      <w:r>
        <w:rPr>
          <w:spacing w:val="-27"/>
        </w:rPr>
        <w:t> </w:t>
      </w:r>
      <w:r>
        <w:rPr>
          <w:spacing w:val="-27"/>
        </w:rPr>
      </w:r>
      <w:r>
        <w:rPr>
          <w:spacing w:val="-1"/>
        </w:rPr>
        <w:t>国财政部令第</w:t>
      </w:r>
      <w:r>
        <w:rPr>
          <w:rFonts w:ascii="Times New Roman" w:hAnsi="Times New Roman" w:cs="Times New Roman" w:eastAsia="Times New Roman" w:hint="default"/>
          <w:spacing w:val="-1"/>
        </w:rPr>
        <w:t>76</w:t>
      </w:r>
      <w:r>
        <w:rPr>
          <w:spacing w:val="-1"/>
        </w:rPr>
        <w:t>号</w:t>
      </w:r>
      <w:r>
        <w:rPr>
          <w:rFonts w:ascii="Times New Roman" w:hAnsi="Times New Roman" w:cs="Times New Roman" w:eastAsia="Times New Roman" w:hint="default"/>
          <w:spacing w:val="-1"/>
        </w:rPr>
        <w:t>——</w:t>
      </w:r>
      <w:r>
        <w:rPr>
          <w:spacing w:val="-1"/>
        </w:rPr>
        <w:t>财政部关于修改</w:t>
      </w:r>
      <w:r>
        <w:rPr>
          <w:rFonts w:ascii="Times New Roman" w:hAnsi="Times New Roman" w:cs="Times New Roman" w:eastAsia="Times New Roman" w:hint="default"/>
          <w:spacing w:val="-1"/>
        </w:rPr>
        <w:t>&lt;</w:t>
      </w:r>
      <w:r>
        <w:rPr>
          <w:spacing w:val="-1"/>
        </w:rPr>
        <w:t>企业会计准则</w:t>
      </w:r>
      <w:r>
        <w:rPr>
          <w:rFonts w:ascii="Times New Roman" w:hAnsi="Times New Roman" w:cs="Times New Roman" w:eastAsia="Times New Roman" w:hint="default"/>
          <w:spacing w:val="-1"/>
        </w:rPr>
        <w:t>——</w:t>
      </w:r>
      <w:r>
        <w:rPr>
          <w:spacing w:val="-1"/>
        </w:rPr>
        <w:t>基本准则</w:t>
      </w:r>
      <w:r>
        <w:rPr>
          <w:rFonts w:ascii="Times New Roman" w:hAnsi="Times New Roman" w:cs="Times New Roman" w:eastAsia="Times New Roman" w:hint="default"/>
          <w:spacing w:val="-1"/>
        </w:rPr>
        <w:t>&gt;</w:t>
      </w:r>
      <w:r>
        <w:rPr>
          <w:spacing w:val="-1"/>
        </w:rPr>
        <w:t>的决定》，以及《关于印发修订</w:t>
      </w:r>
      <w:r>
        <w:rPr>
          <w:rFonts w:ascii="Times New Roman" w:hAnsi="Times New Roman" w:cs="Times New Roman" w:eastAsia="Times New Roman" w:hint="default"/>
          <w:spacing w:val="-1"/>
        </w:rPr>
        <w:t>&lt;</w:t>
      </w:r>
      <w:r>
        <w:rPr>
          <w:spacing w:val="-1"/>
        </w:rPr>
        <w:t>企业会计准则第</w:t>
      </w:r>
      <w:r>
        <w:rPr>
          <w:rFonts w:ascii="Times New Roman" w:hAnsi="Times New Roman" w:cs="Times New Roman" w:eastAsia="Times New Roman" w:hint="default"/>
          <w:spacing w:val="-1"/>
        </w:rPr>
        <w:t>37</w:t>
      </w:r>
      <w:r>
        <w:rPr>
          <w:spacing w:val="-1"/>
        </w:rPr>
        <w:t>号</w:t>
      </w:r>
    </w:p>
    <w:p>
      <w:pPr>
        <w:pStyle w:val="BodyText"/>
        <w:spacing w:line="300" w:lineRule="auto" w:before="13"/>
        <w:ind w:left="153" w:right="1130"/>
        <w:jc w:val="both"/>
      </w:pPr>
      <w:r>
        <w:rPr>
          <w:rFonts w:ascii="Times New Roman" w:hAnsi="Times New Roman" w:cs="Times New Roman" w:eastAsia="Times New Roman" w:hint="default"/>
          <w:spacing w:val="-4"/>
        </w:rPr>
        <w:t>--</w:t>
      </w:r>
      <w:r>
        <w:rPr>
          <w:spacing w:val="-4"/>
        </w:rPr>
        <w:t>金融工具列报</w:t>
      </w:r>
      <w:r>
        <w:rPr>
          <w:rFonts w:ascii="Times New Roman" w:hAnsi="Times New Roman" w:cs="Times New Roman" w:eastAsia="Times New Roman" w:hint="default"/>
          <w:spacing w:val="-4"/>
        </w:rPr>
        <w:t>&gt;</w:t>
      </w:r>
      <w:r>
        <w:rPr>
          <w:spacing w:val="-4"/>
        </w:rPr>
        <w:t>的通知》（财会</w:t>
      </w:r>
      <w:r>
        <w:rPr>
          <w:rFonts w:ascii="Times New Roman" w:hAnsi="Times New Roman" w:cs="Times New Roman" w:eastAsia="Times New Roman" w:hint="default"/>
          <w:spacing w:val="-4"/>
        </w:rPr>
        <w:t>[2014]23</w:t>
      </w:r>
      <w:r>
        <w:rPr>
          <w:spacing w:val="-4"/>
        </w:rPr>
        <w:t>号）等规定，本公司自</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日起执行财政部发布的前述《企业会计准则》（以</w:t>
      </w:r>
      <w:r>
        <w:rPr>
          <w:spacing w:val="-81"/>
        </w:rPr>
        <w:t> </w:t>
      </w:r>
      <w:r>
        <w:rPr>
          <w:spacing w:val="-81"/>
        </w:rPr>
      </w:r>
      <w:r>
        <w:rPr>
          <w:spacing w:val="-2"/>
        </w:rPr>
        <w:t>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）。本财务报表按照《企业会计准则第</w:t>
      </w:r>
      <w:r>
        <w:rPr>
          <w:rFonts w:ascii="Times New Roman" w:hAnsi="Times New Roman" w:cs="Times New Roman" w:eastAsia="Times New Roman" w:hint="default"/>
          <w:spacing w:val="-2"/>
        </w:rPr>
        <w:t>38</w:t>
      </w:r>
      <w:r>
        <w:rPr>
          <w:spacing w:val="-2"/>
        </w:rPr>
        <w:t>号</w:t>
      </w:r>
      <w:r>
        <w:rPr>
          <w:rFonts w:ascii="Times New Roman" w:hAnsi="Times New Roman" w:cs="Times New Roman" w:eastAsia="Times New Roman" w:hint="default"/>
          <w:spacing w:val="-2"/>
        </w:rPr>
        <w:t>——</w:t>
      </w:r>
      <w:r>
        <w:rPr>
          <w:spacing w:val="-2"/>
        </w:rPr>
        <w:t>首次执行企业会计准则》及其他相关准则、企业会计</w:t>
      </w:r>
      <w:r>
        <w:rPr>
          <w:spacing w:val="-45"/>
        </w:rPr>
        <w:t> </w:t>
      </w:r>
      <w:r>
        <w:rPr>
          <w:spacing w:val="-45"/>
        </w:rPr>
      </w:r>
      <w:r>
        <w:rPr/>
        <w:t>准则解释公告等相关规定，对要求追溯调整的项目在相关会计年度进行了追溯调整，并对财务报表进行了重新表述。</w:t>
      </w:r>
    </w:p>
    <w:p>
      <w:pPr>
        <w:spacing w:line="240" w:lineRule="auto" w:before="0"/>
        <w:rPr>
          <w:rFonts w:ascii="宋体" w:hAnsi="宋体" w:cs="宋体" w:eastAsia="宋体" w:hint="default"/>
          <w:sz w:val="24"/>
          <w:szCs w:val="24"/>
        </w:rPr>
      </w:pPr>
    </w:p>
    <w:p>
      <w:pPr>
        <w:pStyle w:val="Heading3"/>
        <w:spacing w:line="240" w:lineRule="auto"/>
        <w:ind w:left="556" w:right="1118"/>
        <w:jc w:val="left"/>
        <w:rPr>
          <w:b w:val="0"/>
          <w:bCs w:val="0"/>
        </w:rPr>
      </w:pPr>
      <w:bookmarkStart w:name="2、持续经营" w:id="176"/>
      <w:bookmarkEnd w:id="17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2"/>
        <w:rPr>
          <w:rFonts w:ascii="宋体" w:hAnsi="宋体" w:cs="宋体" w:eastAsia="宋体" w:hint="default"/>
          <w:b/>
          <w:bCs/>
          <w:sz w:val="26"/>
          <w:szCs w:val="26"/>
        </w:rPr>
      </w:pPr>
    </w:p>
    <w:p>
      <w:pPr>
        <w:pStyle w:val="BodyText"/>
        <w:spacing w:line="300" w:lineRule="auto"/>
        <w:ind w:left="154" w:right="1118" w:firstLine="360"/>
        <w:jc w:val="left"/>
      </w:pPr>
      <w:r>
        <w:rPr>
          <w:spacing w:val="-2"/>
        </w:rPr>
        <w:t>经本公司评估，自本报告期末起的</w:t>
      </w:r>
      <w:r>
        <w:rPr>
          <w:rFonts w:ascii="Times New Roman" w:hAnsi="Times New Roman" w:cs="Times New Roman" w:eastAsia="Times New Roman" w:hint="default"/>
          <w:spacing w:val="-2"/>
        </w:rPr>
        <w:t>12</w:t>
      </w:r>
      <w:r>
        <w:rPr>
          <w:spacing w:val="-2"/>
        </w:rPr>
        <w:t>个月内，本公司持续经营能力良好，不存在导致对本公司持续经营能力产生重大怀</w:t>
      </w:r>
      <w:r>
        <w:rPr/>
        <w:t> 疑的因素。</w:t>
      </w:r>
    </w:p>
    <w:p>
      <w:pPr>
        <w:spacing w:line="240" w:lineRule="auto" w:before="10"/>
        <w:rPr>
          <w:rFonts w:ascii="宋体" w:hAnsi="宋体" w:cs="宋体" w:eastAsia="宋体" w:hint="default"/>
          <w:sz w:val="21"/>
          <w:szCs w:val="21"/>
        </w:rPr>
      </w:pPr>
    </w:p>
    <w:p>
      <w:pPr>
        <w:pStyle w:val="Heading2"/>
        <w:spacing w:line="240" w:lineRule="auto"/>
        <w:ind w:left="154" w:right="0"/>
        <w:jc w:val="both"/>
        <w:rPr>
          <w:b w:val="0"/>
          <w:bCs w:val="0"/>
        </w:rPr>
      </w:pPr>
      <w:bookmarkStart w:name="五、重要会计政策及会计估计" w:id="177"/>
      <w:bookmarkEnd w:id="17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7332"/>
        <w:jc w:val="left"/>
      </w:pPr>
      <w:r>
        <w:rPr/>
        <w:t>公司是否需要遵守特殊行业的披露要求 否</w:t>
      </w:r>
    </w:p>
    <w:p>
      <w:pPr>
        <w:pStyle w:val="BodyText"/>
        <w:spacing w:line="357" w:lineRule="auto" w:before="29"/>
        <w:ind w:left="514" w:right="7732"/>
        <w:jc w:val="left"/>
      </w:pPr>
      <w:r>
        <w:rPr/>
        <w:t>具体会计政策和会计估计提示： 无</w:t>
      </w:r>
    </w:p>
    <w:p>
      <w:pPr>
        <w:spacing w:line="240" w:lineRule="auto" w:before="12"/>
        <w:rPr>
          <w:rFonts w:ascii="宋体" w:hAnsi="宋体" w:cs="宋体" w:eastAsia="宋体" w:hint="default"/>
          <w:sz w:val="20"/>
          <w:szCs w:val="20"/>
        </w:rPr>
      </w:pPr>
    </w:p>
    <w:p>
      <w:pPr>
        <w:pStyle w:val="Heading3"/>
        <w:spacing w:line="240" w:lineRule="auto"/>
        <w:ind w:left="556" w:right="1118"/>
        <w:jc w:val="left"/>
        <w:rPr>
          <w:b w:val="0"/>
          <w:bCs w:val="0"/>
        </w:rPr>
      </w:pPr>
      <w:bookmarkStart w:name="1、遵循企业会计准则的声明" w:id="178"/>
      <w:bookmarkEnd w:id="17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154" w:right="1118" w:firstLine="360"/>
        <w:jc w:val="left"/>
      </w:pPr>
      <w:r>
        <w:rPr>
          <w:spacing w:val="-2"/>
        </w:rPr>
        <w:t>本公司所编制的财务报表符合企业会计准则的要求，真实、完整地反映了本公司的财务状况、经营成果、所有者权益变</w:t>
      </w:r>
      <w:r>
        <w:rPr/>
        <w:t> 动和现金流量等有关信息。</w:t>
      </w:r>
    </w:p>
    <w:p>
      <w:pPr>
        <w:spacing w:line="240" w:lineRule="auto" w:before="3"/>
        <w:rPr>
          <w:rFonts w:ascii="宋体" w:hAnsi="宋体" w:cs="宋体" w:eastAsia="宋体" w:hint="default"/>
          <w:sz w:val="23"/>
          <w:szCs w:val="23"/>
        </w:rPr>
      </w:pPr>
    </w:p>
    <w:p>
      <w:pPr>
        <w:spacing w:line="559" w:lineRule="auto" w:before="0"/>
        <w:ind w:left="514" w:right="7152" w:firstLine="42"/>
        <w:jc w:val="left"/>
        <w:rPr>
          <w:rFonts w:ascii="宋体" w:hAnsi="宋体" w:cs="宋体" w:eastAsia="宋体" w:hint="default"/>
          <w:sz w:val="20"/>
          <w:szCs w:val="20"/>
        </w:rPr>
      </w:pPr>
      <w:bookmarkStart w:name="2、会计期间" w:id="179"/>
      <w:bookmarkEnd w:id="179"/>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、会计期间</w:t>
      </w:r>
      <w:r>
        <w:rPr>
          <w:rFonts w:ascii="宋体" w:hAnsi="宋体" w:cs="宋体" w:eastAsia="宋体" w:hint="default"/>
          <w:b/>
          <w:bCs/>
          <w:w w:val="99"/>
          <w:sz w:val="20"/>
          <w:szCs w:val="20"/>
        </w:rPr>
        <w:t> </w:t>
      </w:r>
      <w:r>
        <w:rPr>
          <w:rFonts w:ascii="宋体" w:hAnsi="宋体" w:cs="宋体" w:eastAsia="宋体" w:hint="default"/>
          <w:sz w:val="18"/>
          <w:szCs w:val="18"/>
        </w:rPr>
        <w:t>会计期间自公历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记账本位币" w:id="180"/>
      <w:bookmarkEnd w:id="180"/>
      <w:r>
        <w:rPr>
          <w:rFonts w:ascii="宋体" w:hAnsi="宋体" w:cs="宋体" w:eastAsia="宋体" w:hint="default"/>
          <w:sz w:val="18"/>
          <w:szCs w:val="18"/>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、记账本位币</w:t>
      </w:r>
      <w:r>
        <w:rPr>
          <w:rFonts w:ascii="宋体" w:hAnsi="宋体" w:cs="宋体" w:eastAsia="宋体" w:hint="default"/>
          <w:sz w:val="20"/>
          <w:szCs w:val="20"/>
        </w:rPr>
      </w:r>
    </w:p>
    <w:p>
      <w:pPr>
        <w:pStyle w:val="BodyText"/>
        <w:spacing w:line="240" w:lineRule="auto" w:before="57"/>
        <w:ind w:left="514" w:right="1118"/>
        <w:jc w:val="left"/>
      </w:pPr>
      <w:r>
        <w:rPr/>
        <w:t>记账本位币为人民币。</w:t>
      </w:r>
    </w:p>
    <w:p>
      <w:pPr>
        <w:spacing w:after="0" w:line="24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4、同一控制下和非同一控制下企业合并的会计处理方法" w:id="181"/>
      <w:bookmarkEnd w:id="181"/>
      <w:r>
        <w:rPr>
          <w:b w:val="0"/>
          <w:bCs w:val="0"/>
        </w:rPr>
      </w:r>
      <w:r>
        <w:rPr>
          <w:rFonts w:ascii="Times New Roman" w:hAnsi="Times New Roman" w:cs="Times New Roman" w:eastAsia="Times New Roman" w:hint="default"/>
        </w:rPr>
        <w:t>4</w:t>
      </w:r>
      <w:r>
        <w:rPr/>
        <w:t>、同一控制下和非同一控制下企业合并的会计处理方法</w:t>
      </w:r>
      <w:r>
        <w:rPr>
          <w:b w:val="0"/>
          <w:bCs w:val="0"/>
        </w:rPr>
      </w:r>
    </w:p>
    <w:p>
      <w:pPr>
        <w:spacing w:line="240" w:lineRule="auto" w:before="12"/>
        <w:rPr>
          <w:rFonts w:ascii="宋体" w:hAnsi="宋体" w:cs="宋体" w:eastAsia="宋体" w:hint="default"/>
          <w:b/>
          <w:bCs/>
          <w:sz w:val="26"/>
          <w:szCs w:val="26"/>
        </w:rPr>
      </w:pPr>
    </w:p>
    <w:p>
      <w:pPr>
        <w:pStyle w:val="BodyText"/>
        <w:spacing w:line="348" w:lineRule="auto"/>
        <w:ind w:left="514" w:right="1032"/>
        <w:jc w:val="left"/>
      </w:pPr>
      <w:r>
        <w:rPr/>
        <w:t>（</w:t>
      </w:r>
      <w:r>
        <w:rPr>
          <w:rFonts w:ascii="Times New Roman" w:hAnsi="Times New Roman" w:cs="Times New Roman" w:eastAsia="Times New Roman" w:hint="default"/>
        </w:rPr>
        <w:t>1</w:t>
      </w:r>
      <w:r>
        <w:rPr/>
        <w:t>）同一控制下的企业合并 参与合并的企业在合并前后均受同一方或相同的多方最终控制且该控制并非暂时性的，认定为同一控制下的企业合并。</w:t>
      </w:r>
      <w:r>
        <w:rPr>
          <w:spacing w:val="-85"/>
        </w:rPr>
        <w:t> </w:t>
      </w:r>
      <w:r>
        <w:rPr>
          <w:spacing w:val="-85"/>
        </w:rPr>
      </w:r>
      <w:r>
        <w:rPr>
          <w:spacing w:val="-2"/>
        </w:rPr>
        <w:t>合并方以支付现金、转让非现金资产或承担债务方式作为合并对价的，在合并日按照被合并方所有者权益在最终控制方</w:t>
      </w:r>
    </w:p>
    <w:p>
      <w:pPr>
        <w:pStyle w:val="BodyText"/>
        <w:spacing w:line="319" w:lineRule="auto"/>
        <w:ind w:left="154" w:right="1132"/>
        <w:jc w:val="both"/>
      </w:pPr>
      <w:r>
        <w:rPr>
          <w:spacing w:val="-2"/>
        </w:rPr>
        <w:t>合并财务报表中的账面价值的份额作为长期股权投资的初始投资成本。长期股权投资初始投资成本与支付的现金、转让的非</w:t>
      </w:r>
      <w:r>
        <w:rPr>
          <w:spacing w:val="-64"/>
        </w:rPr>
        <w:t> </w:t>
      </w:r>
      <w:r>
        <w:rPr>
          <w:spacing w:val="-64"/>
        </w:rPr>
      </w:r>
      <w:r>
        <w:rPr/>
        <w:t>现金资产以及所承担债务账面价值之间的差额，调整资本公积；资本公积不足冲减的，调整留存收益。</w:t>
      </w:r>
    </w:p>
    <w:p>
      <w:pPr>
        <w:pStyle w:val="BodyText"/>
        <w:spacing w:line="319" w:lineRule="auto" w:before="55"/>
        <w:ind w:left="154" w:right="1131" w:firstLine="360"/>
        <w:jc w:val="both"/>
      </w:pPr>
      <w:r>
        <w:rPr>
          <w:spacing w:val="-2"/>
        </w:rPr>
        <w:t>合并方以发行权益性证券作为合并对价的，在合并日按照被合并方所有者权益在最终控制方合并财务报表中的账面价值</w:t>
      </w:r>
      <w:r>
        <w:rPr/>
        <w:t> </w:t>
      </w:r>
      <w:r>
        <w:rPr>
          <w:spacing w:val="-2"/>
        </w:rPr>
        <w:t>的份额作为长期股权投资的初始投资成本。按照发行股份的面值总额作为股本，长期股权投资初始投资成本与所发行股份面</w:t>
      </w:r>
      <w:r>
        <w:rPr>
          <w:spacing w:val="-64"/>
        </w:rPr>
        <w:t> </w:t>
      </w:r>
      <w:r>
        <w:rPr>
          <w:spacing w:val="-64"/>
        </w:rPr>
      </w:r>
      <w:r>
        <w:rPr/>
        <w:t>值总额之间的差额，调整资本公积；资本公积不足冲减的，调整留存收益。</w:t>
      </w:r>
    </w:p>
    <w:p>
      <w:pPr>
        <w:pStyle w:val="BodyText"/>
        <w:spacing w:line="240" w:lineRule="auto" w:before="56"/>
        <w:ind w:left="514" w:right="1118"/>
        <w:jc w:val="left"/>
      </w:pPr>
      <w:r>
        <w:rPr/>
        <w:t>合并方为企业合并发生的审计、法律服务、评估咨询等中介费用以及其他相关管理费用，于发生时计入当期损益。</w:t>
      </w:r>
    </w:p>
    <w:p>
      <w:pPr>
        <w:pStyle w:val="BodyText"/>
        <w:spacing w:line="348" w:lineRule="auto" w:before="117"/>
        <w:ind w:right="1118"/>
        <w:jc w:val="left"/>
      </w:pPr>
      <w:r>
        <w:rPr/>
        <w:t>（</w:t>
      </w:r>
      <w:r>
        <w:rPr>
          <w:rFonts w:ascii="Times New Roman" w:hAnsi="Times New Roman" w:cs="Times New Roman" w:eastAsia="Times New Roman" w:hint="default"/>
        </w:rPr>
        <w:t>2</w:t>
      </w:r>
      <w:r>
        <w:rPr/>
        <w:t>）非同一控制下的企业合并 参与合并的各方在合并前后不受同一方或相同的多方最终控制的，认定为非同一控制下的企业合并。 </w:t>
      </w:r>
      <w:r>
        <w:rPr>
          <w:spacing w:val="-2"/>
        </w:rPr>
        <w:t>购买方通过一次交换交易实现的企业合并，合并成本为购买方在购买日为取得对被购买方的控制权而付出的资产、发生</w:t>
      </w:r>
    </w:p>
    <w:p>
      <w:pPr>
        <w:pStyle w:val="BodyText"/>
        <w:spacing w:line="319" w:lineRule="auto"/>
        <w:ind w:left="153" w:right="1133"/>
        <w:jc w:val="both"/>
      </w:pPr>
      <w:r>
        <w:rPr>
          <w:spacing w:val="-2"/>
        </w:rPr>
        <w:t>或承担的负债以及发行的权益性证券的公允价值。购买方为企业合并发生的审计、法律服务、评估咨询等中介费用以及其他</w:t>
      </w:r>
      <w:r>
        <w:rPr>
          <w:spacing w:val="-66"/>
        </w:rPr>
        <w:t> </w:t>
      </w:r>
      <w:r>
        <w:rPr>
          <w:spacing w:val="-66"/>
        </w:rPr>
      </w:r>
      <w:r>
        <w:rPr>
          <w:spacing w:val="-2"/>
        </w:rPr>
        <w:t>相关管理费用，于发生时计入当期损益；购买方作为合并对价发行的权益性证券或债务性证券的交易费用，计入权益性证券</w:t>
      </w:r>
      <w:r>
        <w:rPr>
          <w:spacing w:val="-66"/>
        </w:rPr>
        <w:t> </w:t>
      </w:r>
      <w:r>
        <w:rPr>
          <w:spacing w:val="-66"/>
        </w:rPr>
      </w:r>
      <w:r>
        <w:rPr/>
        <w:t>或债务性证券的初始确认金额。</w:t>
      </w:r>
    </w:p>
    <w:p>
      <w:pPr>
        <w:pStyle w:val="BodyText"/>
        <w:spacing w:line="319" w:lineRule="auto" w:before="56"/>
        <w:ind w:left="153" w:right="1131" w:firstLine="360"/>
        <w:jc w:val="both"/>
      </w:pPr>
      <w:r>
        <w:rPr>
          <w:spacing w:val="-2"/>
        </w:rPr>
        <w:t>购买方的合并成本和购买方在合并中取得的可辨认净资产按购买日的公允价值计量。合并成本大于合并中取得的被购买</w:t>
      </w:r>
      <w:r>
        <w:rPr/>
        <w:t> </w:t>
      </w:r>
      <w:r>
        <w:rPr>
          <w:spacing w:val="-2"/>
        </w:rPr>
        <w:t>方于购买日可辨认净资产公允价值份额的差额，确认为商誉；合并成本小于合并中取得的被购买方可辨认净资产公允价值份</w:t>
      </w:r>
      <w:r>
        <w:rPr>
          <w:spacing w:val="-64"/>
        </w:rPr>
        <w:t> </w:t>
      </w:r>
      <w:r>
        <w:rPr>
          <w:spacing w:val="-64"/>
        </w:rPr>
      </w:r>
      <w:r>
        <w:rPr/>
        <w:t>额的差额，计入当期损益。</w:t>
      </w:r>
    </w:p>
    <w:p>
      <w:pPr>
        <w:pStyle w:val="BodyText"/>
        <w:spacing w:line="338" w:lineRule="auto" w:before="56"/>
        <w:ind w:right="0"/>
        <w:jc w:val="left"/>
      </w:pPr>
      <w:r>
        <w:rPr/>
        <w:t>（</w:t>
      </w:r>
      <w:r>
        <w:rPr>
          <w:rFonts w:ascii="Times New Roman" w:hAnsi="Times New Roman" w:cs="Times New Roman" w:eastAsia="Times New Roman" w:hint="default"/>
        </w:rPr>
        <w:t>3</w:t>
      </w:r>
      <w:r>
        <w:rPr/>
        <w:t>）因追加投资等原因能够对非同一控制下的被投资单位实施控制的 </w:t>
      </w:r>
      <w:r>
        <w:rPr>
          <w:spacing w:val="-4"/>
        </w:rPr>
        <w:t>在编制个别财务报表时，按照原持有的股权投资账面价值加上新增投资成本之和，作为改按成本法核算的初始投资成本。</w:t>
      </w:r>
    </w:p>
    <w:p>
      <w:pPr>
        <w:pStyle w:val="BodyText"/>
        <w:spacing w:line="309" w:lineRule="auto" w:before="2"/>
        <w:ind w:left="153" w:right="1131"/>
        <w:jc w:val="both"/>
      </w:pPr>
      <w:r>
        <w:rPr>
          <w:spacing w:val="-2"/>
        </w:rPr>
        <w:t>购买日之前持有的股权投资因采用权益法核算而确认的其他综合收益，在处置该项投资时采用与被投资单位直接处置相关资</w:t>
      </w:r>
      <w:r>
        <w:rPr>
          <w:spacing w:val="-64"/>
        </w:rPr>
        <w:t> </w:t>
      </w:r>
      <w:r>
        <w:rPr>
          <w:spacing w:val="-64"/>
        </w:rPr>
      </w:r>
      <w:r>
        <w:rPr>
          <w:spacing w:val="-2"/>
        </w:rPr>
        <w:t>产或负债相同的基础进行会计处理。购买日之前持有的股权投资按照《企业会计准则第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w:t>
      </w:r>
      <w:r>
        <w:rPr>
          <w:spacing w:val="-64"/>
        </w:rPr>
        <w:t> </w:t>
      </w:r>
      <w:r>
        <w:rPr>
          <w:spacing w:val="-64"/>
        </w:rPr>
      </w:r>
      <w:r>
        <w:rPr/>
        <w:t>关规定进行会计处理的，原计入其他综合收益的累计公允价值变动在改按成本法核算时转入当期损益。</w:t>
      </w:r>
    </w:p>
    <w:p>
      <w:pPr>
        <w:pStyle w:val="BodyText"/>
        <w:spacing w:line="319" w:lineRule="auto" w:before="64"/>
        <w:ind w:left="153" w:right="1132"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t>关的其他综合收益等应当转为购买日所属当期收益。</w:t>
      </w:r>
    </w:p>
    <w:p>
      <w:pPr>
        <w:spacing w:line="240" w:lineRule="auto" w:before="12"/>
        <w:rPr>
          <w:rFonts w:ascii="宋体" w:hAnsi="宋体" w:cs="宋体" w:eastAsia="宋体" w:hint="default"/>
          <w:sz w:val="22"/>
          <w:szCs w:val="22"/>
        </w:rPr>
      </w:pPr>
    </w:p>
    <w:p>
      <w:pPr>
        <w:pStyle w:val="Heading3"/>
        <w:spacing w:line="240" w:lineRule="auto"/>
        <w:ind w:left="556" w:right="1118"/>
        <w:jc w:val="left"/>
        <w:rPr>
          <w:b w:val="0"/>
          <w:bCs w:val="0"/>
        </w:rPr>
      </w:pPr>
      <w:bookmarkStart w:name="5、合并财务报表的编制方法" w:id="182"/>
      <w:bookmarkEnd w:id="182"/>
      <w:r>
        <w:rPr>
          <w:b w:val="0"/>
          <w:bCs w:val="0"/>
        </w:rPr>
      </w:r>
      <w:r>
        <w:rPr>
          <w:rFonts w:ascii="Times New Roman" w:hAnsi="Times New Roman" w:cs="Times New Roman" w:eastAsia="Times New Roman" w:hint="default"/>
        </w:rPr>
        <w:t>5</w:t>
      </w:r>
      <w:r>
        <w:rPr/>
        <w:t>、合并财务报表的编制方法</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2653"/>
        <w:jc w:val="left"/>
      </w:pPr>
      <w:r>
        <w:rPr/>
        <w:t>（</w:t>
      </w:r>
      <w:r>
        <w:rPr>
          <w:rFonts w:ascii="Times New Roman" w:hAnsi="Times New Roman" w:cs="Times New Roman" w:eastAsia="Times New Roman" w:hint="default"/>
        </w:rPr>
        <w:t>1</w:t>
      </w:r>
      <w:r>
        <w:rPr/>
        <w:t>）合并范围 合并财务报表的合并范围包括本公司及子公司。合并财务报表的合并范围以控制为基础予以确定。</w:t>
      </w:r>
    </w:p>
    <w:p>
      <w:pPr>
        <w:pStyle w:val="BodyText"/>
        <w:spacing w:line="338" w:lineRule="auto" w:before="42"/>
        <w:ind w:left="514" w:right="1118"/>
        <w:jc w:val="left"/>
      </w:pPr>
      <w:r>
        <w:rPr/>
        <w:t>（</w:t>
      </w:r>
      <w:r>
        <w:rPr>
          <w:rFonts w:ascii="Times New Roman" w:hAnsi="Times New Roman" w:cs="Times New Roman" w:eastAsia="Times New Roman" w:hint="default"/>
        </w:rPr>
        <w:t>2</w:t>
      </w:r>
      <w:r>
        <w:rPr/>
        <w:t>）控制的依据 </w:t>
      </w:r>
      <w:r>
        <w:rPr>
          <w:spacing w:val="-2"/>
        </w:rPr>
        <w:t>投资方拥有对被投资方的权力，通过参与被投资方的相关活动而享有可变回报，并且有能力运用对被投资方的权力影响</w:t>
      </w:r>
    </w:p>
    <w:p>
      <w:pPr>
        <w:pStyle w:val="BodyText"/>
        <w:spacing w:line="240" w:lineRule="auto" w:before="4"/>
        <w:ind w:left="154" w:right="0"/>
        <w:jc w:val="both"/>
      </w:pPr>
      <w:r>
        <w:rPr/>
        <w:t>其回报金额，视为投资方控制被投资方。相关活动，系为对被投资方的回报产生重大影响的活动。</w:t>
      </w:r>
    </w:p>
    <w:p>
      <w:pPr>
        <w:pStyle w:val="BodyText"/>
        <w:spacing w:line="338" w:lineRule="auto" w:before="116"/>
        <w:ind w:left="514" w:right="1118"/>
        <w:jc w:val="left"/>
      </w:pPr>
      <w:r>
        <w:rPr/>
        <w:t>（</w:t>
      </w:r>
      <w:r>
        <w:rPr>
          <w:rFonts w:ascii="Times New Roman" w:hAnsi="Times New Roman" w:cs="Times New Roman" w:eastAsia="Times New Roman" w:hint="default"/>
        </w:rPr>
        <w:t>3</w:t>
      </w:r>
      <w:r>
        <w:rPr/>
        <w:t>）决策者和代理人 </w:t>
      </w:r>
      <w:r>
        <w:rPr>
          <w:spacing w:val="-2"/>
        </w:rPr>
        <w:t>代理人仅代表主要责任人行使决策权，不控制被投资方。投资方将被投资方相关活动的决策权委托给代理人的，将该决</w:t>
      </w:r>
    </w:p>
    <w:p>
      <w:pPr>
        <w:pStyle w:val="BodyText"/>
        <w:spacing w:line="360" w:lineRule="auto" w:before="4"/>
        <w:ind w:right="2833" w:hanging="360"/>
        <w:jc w:val="left"/>
      </w:pPr>
      <w:r>
        <w:rPr/>
        <w:t>策权视为自身直接持有。 在确定决策者是否为代理人时，公司综合考虑该决策者与被投资方以及其他投资方之间的关系。 </w:t>
      </w:r>
      <w:r>
        <w:rPr>
          <w:rFonts w:ascii="Times New Roman" w:hAnsi="Times New Roman" w:cs="Times New Roman" w:eastAsia="Times New Roman" w:hint="default"/>
        </w:rPr>
        <w:t>a.</w:t>
      </w:r>
      <w:r>
        <w:rPr/>
        <w:t>存在单独一方拥有实质性权利可以无条件罢免决策者的，该决策者为代理人。</w:t>
      </w:r>
    </w:p>
    <w:p>
      <w:pPr>
        <w:pStyle w:val="BodyText"/>
        <w:spacing w:line="240" w:lineRule="auto" w:before="1"/>
        <w:ind w:left="514" w:right="1118"/>
        <w:jc w:val="left"/>
      </w:pPr>
      <w:r>
        <w:rPr>
          <w:rFonts w:ascii="Times New Roman" w:hAnsi="Times New Roman" w:cs="Times New Roman" w:eastAsia="Times New Roman" w:hint="default"/>
        </w:rPr>
        <w:t>b.</w:t>
      </w:r>
      <w:r>
        <w:rPr/>
        <w:t>除</w:t>
      </w:r>
      <w:r>
        <w:rPr>
          <w:rFonts w:ascii="Times New Roman" w:hAnsi="Times New Roman" w:cs="Times New Roman" w:eastAsia="Times New Roman" w:hint="default"/>
        </w:rPr>
        <w:t>a</w:t>
      </w:r>
      <w:r>
        <w:rPr/>
        <w:t>以外的情况下，综合考虑决策者对被投资方的决策权范围、其他方享有的实质性权利、决策者的薪酬水平、决策</w:t>
      </w:r>
    </w:p>
    <w:p>
      <w:pPr>
        <w:spacing w:after="0" w:line="240" w:lineRule="auto"/>
        <w:jc w:val="left"/>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240" w:lineRule="auto" w:before="44"/>
        <w:ind w:left="154" w:right="1118"/>
        <w:jc w:val="left"/>
      </w:pPr>
      <w:r>
        <w:rPr/>
        <w:t>者因持有被投资方中的其他权益所承担可变回报的风险等相关因素进行判断。</w:t>
      </w:r>
    </w:p>
    <w:p>
      <w:pPr>
        <w:pStyle w:val="BodyText"/>
        <w:spacing w:line="340" w:lineRule="auto" w:before="116"/>
        <w:ind w:left="514" w:right="6972"/>
        <w:jc w:val="left"/>
      </w:pPr>
      <w:r>
        <w:rPr/>
        <w:t>（</w:t>
      </w:r>
      <w:r>
        <w:rPr>
          <w:rFonts w:ascii="Times New Roman" w:hAnsi="Times New Roman" w:cs="Times New Roman" w:eastAsia="Times New Roman" w:hint="default"/>
        </w:rPr>
        <w:t>4</w:t>
      </w:r>
      <w:r>
        <w:rPr/>
        <w:t>）投资性主体 当同时满足下列条件时，视为投资性主体：</w:t>
      </w:r>
    </w:p>
    <w:p>
      <w:pPr>
        <w:pStyle w:val="BodyText"/>
        <w:spacing w:line="338" w:lineRule="auto" w:before="40"/>
        <w:ind w:left="514" w:right="3417"/>
        <w:jc w:val="left"/>
      </w:pPr>
      <w:r>
        <w:rPr>
          <w:rFonts w:ascii="Times New Roman" w:hAnsi="Times New Roman" w:cs="Times New Roman" w:eastAsia="Times New Roman" w:hint="default"/>
        </w:rPr>
        <w:t>a.</w:t>
      </w:r>
      <w:r>
        <w:rPr/>
        <w:t>该公司是以向投资者提供投资管理服务为目的，从一个或多个投资者处获取资金； </w:t>
      </w:r>
      <w:r>
        <w:rPr>
          <w:rFonts w:ascii="Times New Roman" w:hAnsi="Times New Roman" w:cs="Times New Roman" w:eastAsia="Times New Roman" w:hint="default"/>
        </w:rPr>
        <w:t>b.</w:t>
      </w:r>
      <w:r>
        <w:rPr/>
        <w:t>该公司的唯一经营目的，是通过资本增值、投资收益或两者兼有而让投资者获得回报； </w:t>
      </w:r>
      <w:r>
        <w:rPr>
          <w:rFonts w:ascii="Times New Roman" w:hAnsi="Times New Roman" w:cs="Times New Roman" w:eastAsia="Times New Roman" w:hint="default"/>
        </w:rPr>
        <w:t>c.</w:t>
      </w:r>
      <w:r>
        <w:rPr/>
        <w:t>该公司按照公允价值对几乎所有投资的业绩进行考量和评价。 属于投资性主体的，通常情况下符合下列所有特征：</w:t>
      </w:r>
    </w:p>
    <w:p>
      <w:pPr>
        <w:pStyle w:val="BodyText"/>
        <w:spacing w:line="338" w:lineRule="auto" w:before="42"/>
        <w:ind w:left="514" w:right="6837"/>
        <w:jc w:val="left"/>
      </w:pPr>
      <w:r>
        <w:rPr>
          <w:rFonts w:ascii="Times New Roman" w:hAnsi="Times New Roman" w:cs="Times New Roman" w:eastAsia="Times New Roman" w:hint="default"/>
        </w:rPr>
        <w:t>a.</w:t>
      </w:r>
      <w:r>
        <w:rPr/>
        <w:t>拥有一个以上投资； </w:t>
      </w:r>
      <w:r>
        <w:rPr>
          <w:rFonts w:ascii="Times New Roman" w:hAnsi="Times New Roman" w:cs="Times New Roman" w:eastAsia="Times New Roman" w:hint="default"/>
        </w:rPr>
        <w:t>b.</w:t>
      </w:r>
      <w:r>
        <w:rPr/>
        <w:t>拥有一个以上投资者； </w:t>
      </w:r>
      <w:r>
        <w:rPr>
          <w:rFonts w:ascii="Times New Roman" w:hAnsi="Times New Roman" w:cs="Times New Roman" w:eastAsia="Times New Roman" w:hint="default"/>
        </w:rPr>
        <w:t>c.</w:t>
      </w:r>
      <w:r>
        <w:rPr/>
        <w:t>投资者不是该主体的关联方； </w:t>
      </w:r>
      <w:r>
        <w:rPr>
          <w:rFonts w:ascii="Times New Roman" w:hAnsi="Times New Roman" w:cs="Times New Roman" w:eastAsia="Times New Roman" w:hint="default"/>
        </w:rPr>
        <w:t>d.</w:t>
      </w:r>
      <w:r>
        <w:rPr/>
        <w:t>其所有者权益以股权或类似权益方式存在。</w:t>
      </w:r>
    </w:p>
    <w:p>
      <w:pPr>
        <w:pStyle w:val="BodyText"/>
        <w:spacing w:line="302" w:lineRule="auto" w:before="20"/>
        <w:ind w:left="154" w:right="0" w:firstLine="360"/>
        <w:jc w:val="left"/>
      </w:pPr>
      <w:r>
        <w:rPr>
          <w:spacing w:val="-1"/>
        </w:rPr>
        <w:t>如果母公司是投资性主体，则母公司仅将为其投资活动提供相关服务的子公司</w:t>
      </w:r>
      <w:r>
        <w:rPr>
          <w:rFonts w:ascii="Times New Roman" w:hAnsi="Times New Roman" w:cs="Times New Roman" w:eastAsia="Times New Roman" w:hint="default"/>
          <w:spacing w:val="-1"/>
        </w:rPr>
        <w:t>(</w:t>
      </w:r>
      <w:r>
        <w:rPr>
          <w:spacing w:val="-1"/>
        </w:rPr>
        <w:t>如有</w:t>
      </w:r>
      <w:r>
        <w:rPr>
          <w:rFonts w:ascii="Times New Roman" w:hAnsi="Times New Roman" w:cs="Times New Roman" w:eastAsia="Times New Roman" w:hint="default"/>
          <w:spacing w:val="-1"/>
        </w:rPr>
        <w:t>)</w:t>
      </w:r>
      <w:r>
        <w:rPr>
          <w:spacing w:val="-1"/>
        </w:rPr>
        <w:t>纳入合并范围并编制合并财务报表；</w:t>
      </w:r>
      <w:r>
        <w:rPr/>
        <w:t> 其他子公司不予以合并，母公司对其他子公司的投资按照公允价值计量且其变动计入当期损益。</w:t>
      </w:r>
    </w:p>
    <w:p>
      <w:pPr>
        <w:pStyle w:val="BodyText"/>
        <w:spacing w:line="319" w:lineRule="auto" w:before="68"/>
        <w:ind w:left="154" w:right="1118" w:firstLine="360"/>
        <w:jc w:val="left"/>
      </w:pPr>
      <w:r>
        <w:rPr>
          <w:spacing w:val="-2"/>
        </w:rPr>
        <w:t>投资性主体的母公司本身不是投资性主体，则将其控制的全部主体，包括那些通过投资性主体所间接控制的主体，纳入</w:t>
      </w:r>
      <w:r>
        <w:rPr/>
        <w:t> 合并财务报表范围。</w:t>
      </w:r>
    </w:p>
    <w:p>
      <w:pPr>
        <w:pStyle w:val="BodyText"/>
        <w:spacing w:line="338" w:lineRule="auto" w:before="56"/>
        <w:ind w:right="1118"/>
        <w:jc w:val="left"/>
      </w:pPr>
      <w:r>
        <w:rPr/>
        <w:t>（</w:t>
      </w:r>
      <w:r>
        <w:rPr>
          <w:rFonts w:ascii="Times New Roman" w:hAnsi="Times New Roman" w:cs="Times New Roman" w:eastAsia="Times New Roman" w:hint="default"/>
        </w:rPr>
        <w:t>5</w:t>
      </w:r>
      <w:r>
        <w:rPr/>
        <w:t>）合并程序 </w:t>
      </w:r>
      <w:r>
        <w:rPr>
          <w:spacing w:val="-2"/>
        </w:rPr>
        <w:t>子公司所采用的会计政策或会计期间与本公司不一致的，按照本公司的会计政策或会计期间对子公司财务报表进行必要</w:t>
      </w:r>
    </w:p>
    <w:p>
      <w:pPr>
        <w:pStyle w:val="BodyText"/>
        <w:spacing w:line="357" w:lineRule="auto" w:before="4"/>
        <w:ind w:right="1118" w:hanging="360"/>
        <w:jc w:val="left"/>
      </w:pPr>
      <w:r>
        <w:rPr/>
        <w:t>的调整；或者要求子公司按照本公司的会计政策或会计期间另行编报财务报表。 </w:t>
      </w:r>
      <w:r>
        <w:rPr>
          <w:spacing w:val="-6"/>
        </w:rPr>
        <w:t>合并资产负债表、合并利润表、合并现金流量表及合并所有者（股东）权益变动表分别以本公司和子公司的资产负债表、</w:t>
      </w:r>
    </w:p>
    <w:p>
      <w:pPr>
        <w:pStyle w:val="BodyText"/>
        <w:spacing w:line="224" w:lineRule="exact"/>
        <w:ind w:left="153" w:right="0"/>
        <w:jc w:val="left"/>
      </w:pPr>
      <w:r>
        <w:rPr/>
        <w:t>利润表、现金流量表及所有者（股东）权益变动表为基础，在抵销本公司与子公司、子公司相互之间发生的内部交易对合并</w:t>
      </w:r>
    </w:p>
    <w:p>
      <w:pPr>
        <w:pStyle w:val="BodyText"/>
        <w:spacing w:line="357" w:lineRule="auto" w:before="78"/>
        <w:ind w:right="1118" w:hanging="360"/>
        <w:jc w:val="left"/>
      </w:pPr>
      <w:r>
        <w:rPr/>
        <w:t>资产负债表、合并利润表、合并现金流量表及合并所有者（股东）权益变动表的影响后，由本公司合并编制。 </w:t>
      </w:r>
      <w:r>
        <w:rPr>
          <w:spacing w:val="-2"/>
        </w:rPr>
        <w:t>本公司向子公司出售资产所发生的未实现内部交易损益，全额抵销“归属于母公司所有者的净利润”。子公司向本公司</w:t>
      </w:r>
    </w:p>
    <w:p>
      <w:pPr>
        <w:pStyle w:val="BodyText"/>
        <w:spacing w:line="224" w:lineRule="exact"/>
        <w:ind w:left="153" w:right="0"/>
        <w:jc w:val="left"/>
      </w:pPr>
      <w:r>
        <w:rPr/>
        <w:t>出售资产所发生的未实现内部交易损益</w:t>
      </w:r>
      <w:r>
        <w:rPr>
          <w:spacing w:val="-82"/>
        </w:rPr>
        <w:t>，</w:t>
      </w:r>
      <w:r>
        <w:rPr/>
        <w:t>按照本公司对该子公司的分配比例在“归属于母公司所有者的净利润”和“少数股</w:t>
      </w:r>
    </w:p>
    <w:p>
      <w:pPr>
        <w:pStyle w:val="BodyText"/>
        <w:spacing w:line="319" w:lineRule="auto" w:before="76"/>
        <w:ind w:left="153" w:right="1118"/>
        <w:jc w:val="left"/>
      </w:pPr>
      <w:r>
        <w:rPr>
          <w:spacing w:val="-2"/>
        </w:rPr>
        <w:t>东损益”之间分配抵销。子公司之间出售资产所发生的未实现内部交易损益，应当按照本公司对出售方子公司的分配比例在</w:t>
      </w:r>
      <w:r>
        <w:rPr>
          <w:spacing w:val="-64"/>
        </w:rPr>
        <w:t> </w:t>
      </w:r>
      <w:r>
        <w:rPr>
          <w:spacing w:val="-64"/>
        </w:rPr>
      </w:r>
      <w:r>
        <w:rPr/>
        <w:t>“归属于母公司所有者的净利润”和“少数股东损益”之间分配抵销。</w:t>
      </w:r>
    </w:p>
    <w:p>
      <w:pPr>
        <w:pStyle w:val="BodyText"/>
        <w:spacing w:line="319" w:lineRule="auto" w:before="56"/>
        <w:ind w:left="153" w:right="0" w:firstLine="360"/>
        <w:jc w:val="left"/>
      </w:pPr>
      <w:r>
        <w:rPr/>
        <w:t>子公司所有者权益中不属于本公司的份额，作为少数股东权益，在合并资产负债表中所有者权益项目下以“少数股东权 </w:t>
      </w:r>
      <w:r>
        <w:rPr>
          <w:spacing w:val="-4"/>
        </w:rPr>
        <w:t>益”项目列示。子公司当期净损益中属于少数股东权益的份额，在合并利润表中净利润项目下以“少数股东损益”项目列示。</w:t>
      </w:r>
      <w:r>
        <w:rPr>
          <w:spacing w:val="-44"/>
        </w:rPr>
        <w:t> </w:t>
      </w:r>
      <w:r>
        <w:rPr>
          <w:spacing w:val="-44"/>
        </w:rPr>
      </w:r>
      <w:r>
        <w:rPr>
          <w:spacing w:val="-2"/>
        </w:rPr>
        <w:t>子公司当期综合收益中属于少数股东权益的份额，在合并利润表中综合收益总额项目下以“归属于少数股东的综合收益总额”</w:t>
      </w:r>
      <w:r>
        <w:rPr>
          <w:spacing w:val="-62"/>
        </w:rPr>
        <w:t> </w:t>
      </w:r>
      <w:r>
        <w:rPr>
          <w:spacing w:val="-62"/>
        </w:rPr>
      </w:r>
      <w:r>
        <w:rPr/>
        <w:t>项目列示。有少数股东的，在合并所有者权益变动表中增加“少数股东权益”栏目，反映少数股东权益变动的情况。子公司</w:t>
      </w:r>
      <w:r>
        <w:rPr/>
        <w:t> 少数股东分担的当期亏损超过了少数股东在该子公司期初所有者权益中所享有的份额的，其余额仍应当冲减少数股东权益。</w:t>
      </w:r>
    </w:p>
    <w:p>
      <w:pPr>
        <w:pStyle w:val="BodyText"/>
        <w:spacing w:line="319" w:lineRule="auto" w:before="55"/>
        <w:ind w:left="154" w:right="0" w:firstLine="360"/>
        <w:jc w:val="left"/>
      </w:pPr>
      <w:r>
        <w:rPr>
          <w:spacing w:val="-2"/>
        </w:rPr>
        <w:t>本公司在报告期内因同一控制下企业合并增加的子公司以及业务，编制合并资产负债表时，调整合并资产负债表的期初</w:t>
      </w:r>
      <w:r>
        <w:rPr/>
        <w:t> </w:t>
      </w:r>
      <w:r>
        <w:rPr>
          <w:spacing w:val="-2"/>
        </w:rPr>
        <w:t>数；编制合并利润表时，将该子公司以及业务合并当期期初至报告期末的收入、费用、利润纳入合并利润表；编制现金流量</w:t>
      </w:r>
      <w:r>
        <w:rPr>
          <w:spacing w:val="-66"/>
        </w:rPr>
        <w:t> </w:t>
      </w:r>
      <w:r>
        <w:rPr>
          <w:spacing w:val="-66"/>
        </w:rPr>
      </w:r>
      <w:r>
        <w:rPr>
          <w:spacing w:val="-4"/>
        </w:rPr>
        <w:t>表时，将该子公司以及业务合并当期期初至报告期末的现金流量纳入合并现金流量表；同时对比较报表的相关项目进行调整，</w:t>
      </w:r>
      <w:r>
        <w:rPr>
          <w:spacing w:val="-44"/>
        </w:rPr>
        <w:t> </w:t>
      </w:r>
      <w:r>
        <w:rPr>
          <w:spacing w:val="-44"/>
        </w:rPr>
      </w:r>
      <w:r>
        <w:rPr/>
        <w:t>视同合并后的报告主体自最终控制方开始控制时点起一直存在。</w:t>
      </w:r>
    </w:p>
    <w:p>
      <w:pPr>
        <w:pStyle w:val="BodyText"/>
        <w:spacing w:line="319" w:lineRule="auto" w:before="55"/>
        <w:ind w:left="154" w:right="1043" w:firstLine="360"/>
        <w:jc w:val="both"/>
      </w:pPr>
      <w:r>
        <w:rPr>
          <w:spacing w:val="-4"/>
        </w:rPr>
        <w:t>因非同一控制下企业合并或其他方式增加的子公司以及业务，编制合并资产负债表时，不调整合并资产负债表的期初数；</w:t>
      </w:r>
      <w:r>
        <w:rPr/>
        <w:t> 编制合并利润表时，将该子公司以及业务购买日至报告期末的收入、费用、利润纳入合并利润表；编制合并现金流量表时，</w:t>
      </w:r>
      <w:r>
        <w:rPr>
          <w:spacing w:val="-85"/>
        </w:rPr>
        <w:t> </w:t>
      </w:r>
      <w:r>
        <w:rPr>
          <w:spacing w:val="-85"/>
        </w:rPr>
      </w:r>
      <w:r>
        <w:rPr/>
        <w:t>将该子公司购买日至报告期末的现金流量纳入合并现金流量表。</w:t>
      </w:r>
    </w:p>
    <w:p>
      <w:pPr>
        <w:pStyle w:val="BodyText"/>
        <w:spacing w:line="319" w:lineRule="auto" w:before="56"/>
        <w:ind w:left="154" w:right="1131" w:firstLine="360"/>
        <w:jc w:val="both"/>
      </w:pPr>
      <w:r>
        <w:rPr>
          <w:spacing w:val="-5"/>
        </w:rPr>
        <w:t>本公司在报告期内处置子公司以及业务，编制合并资产负债表时，不调整合并资产负债表的期初数；编制合并利润表时，</w:t>
      </w:r>
      <w:r>
        <w:rPr/>
        <w:t> </w:t>
      </w:r>
      <w:r>
        <w:rPr>
          <w:spacing w:val="-2"/>
        </w:rPr>
        <w:t>将该子公司以及业务期初至处置日的收入、费用、利润纳入合并利润表；编制合并现金流量表时，将该子公司以及业务期初</w:t>
      </w:r>
      <w:r>
        <w:rPr>
          <w:spacing w:val="-66"/>
        </w:rPr>
        <w:t> </w:t>
      </w:r>
      <w:r>
        <w:rPr>
          <w:spacing w:val="-66"/>
        </w:rPr>
      </w:r>
      <w:r>
        <w:rPr/>
        <w:t>至处置日的现金流量纳入合并现金流量表。</w:t>
      </w:r>
    </w:p>
    <w:p>
      <w:pPr>
        <w:pStyle w:val="BodyText"/>
        <w:spacing w:line="240" w:lineRule="auto" w:before="56"/>
        <w:ind w:left="514" w:right="1118"/>
        <w:jc w:val="left"/>
      </w:pPr>
      <w:r>
        <w:rPr/>
        <w:t>（</w:t>
      </w:r>
      <w:r>
        <w:rPr>
          <w:rFonts w:ascii="Times New Roman" w:hAnsi="Times New Roman" w:cs="Times New Roman" w:eastAsia="Times New Roman" w:hint="default"/>
        </w:rPr>
        <w:t>6</w:t>
      </w:r>
      <w:r>
        <w:rPr/>
        <w:t>）特殊交易会计处理</w:t>
      </w:r>
    </w:p>
    <w:p>
      <w:pPr>
        <w:pStyle w:val="BodyText"/>
        <w:spacing w:line="240" w:lineRule="auto" w:before="102"/>
        <w:ind w:left="514" w:right="1118"/>
        <w:jc w:val="left"/>
      </w:pPr>
      <w:r>
        <w:rPr>
          <w:rFonts w:ascii="Times New Roman" w:hAnsi="Times New Roman" w:cs="Times New Roman" w:eastAsia="Times New Roman" w:hint="default"/>
        </w:rPr>
        <w:t>a.</w:t>
      </w:r>
      <w:r>
        <w:rPr/>
        <w:t>购买子公司少数股东拥有的子公司股权</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31" w:firstLine="360"/>
        <w:jc w:val="both"/>
      </w:pPr>
      <w:r>
        <w:rPr>
          <w:spacing w:val="-2"/>
        </w:rPr>
        <w:t>在合并财务报表中，因购买少数股权新取得的长期股权投资与按照新增持股比例计算应享有子公司自购买日或合并日开</w:t>
      </w:r>
      <w:r>
        <w:rPr/>
        <w:t> 始持续计算的净资产份额之间的差额，调整资本公积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w:t>
      </w:r>
    </w:p>
    <w:p>
      <w:pPr>
        <w:pStyle w:val="BodyText"/>
        <w:spacing w:line="338" w:lineRule="auto" w:before="36"/>
        <w:ind w:right="1118"/>
        <w:jc w:val="left"/>
      </w:pPr>
      <w:r>
        <w:rPr>
          <w:rFonts w:ascii="Times New Roman" w:hAnsi="Times New Roman" w:cs="Times New Roman" w:eastAsia="Times New Roman" w:hint="default"/>
        </w:rPr>
        <w:t>b.</w:t>
      </w:r>
      <w:r>
        <w:rPr/>
        <w:t>不丧失控制权的情况下处置对子公司长期股权投资 </w:t>
      </w:r>
      <w:r>
        <w:rPr>
          <w:spacing w:val="-2"/>
        </w:rPr>
        <w:t>在不丧失控制权的情况下部分处置对子公司的长期股权投资，在合并财务报表中，处置价款与处置长期股权投资相对应</w:t>
      </w:r>
    </w:p>
    <w:p>
      <w:pPr>
        <w:pStyle w:val="BodyText"/>
        <w:spacing w:line="302" w:lineRule="auto" w:before="3"/>
        <w:ind w:left="154" w:right="1118"/>
        <w:jc w:val="left"/>
      </w:pPr>
      <w:r>
        <w:rPr>
          <w:spacing w:val="-1"/>
        </w:rPr>
        <w:t>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，资本公积</w:t>
      </w:r>
      <w:r>
        <w:rPr>
          <w:spacing w:val="-56"/>
        </w:rPr>
        <w:t> </w:t>
      </w:r>
      <w:r>
        <w:rPr>
          <w:spacing w:val="-56"/>
        </w:rPr>
      </w:r>
      <w:r>
        <w:rPr/>
        <w:t>不足冲减的，调整留存收益。</w:t>
      </w:r>
    </w:p>
    <w:p>
      <w:pPr>
        <w:pStyle w:val="BodyText"/>
        <w:spacing w:line="338" w:lineRule="auto" w:before="69"/>
        <w:ind w:left="514" w:right="1118"/>
        <w:jc w:val="left"/>
      </w:pPr>
      <w:r>
        <w:rPr>
          <w:rFonts w:ascii="Times New Roman" w:hAnsi="Times New Roman" w:cs="Times New Roman" w:eastAsia="Times New Roman" w:hint="default"/>
        </w:rPr>
        <w:t>c.</w:t>
      </w:r>
      <w:r>
        <w:rPr/>
        <w:t>处置部分股权投资等原因丧失了对被投资方的控制权时，对于剩余股权的处理 </w:t>
      </w:r>
      <w:r>
        <w:rPr>
          <w:spacing w:val="-2"/>
        </w:rPr>
        <w:t>在编制合并财务报表时，对于剩余股权，按照其在丧失控制权日的公允价值进行重新计量。处置股权取得的对价与剩余</w:t>
      </w:r>
    </w:p>
    <w:p>
      <w:pPr>
        <w:pStyle w:val="BodyText"/>
        <w:spacing w:line="319" w:lineRule="auto" w:before="2"/>
        <w:ind w:left="154" w:right="1032"/>
        <w:jc w:val="left"/>
      </w:pPr>
      <w:r>
        <w:rPr/>
        <w:t>股权公允价值之和，减去按原持股比例计算应享有原有子公司自购买日或合并日开始持续计算的净资产的份额之间的差额，</w:t>
      </w:r>
      <w:r>
        <w:rPr>
          <w:spacing w:val="-85"/>
        </w:rPr>
        <w:t> </w:t>
      </w:r>
      <w:r>
        <w:rPr>
          <w:spacing w:val="-85"/>
        </w:rPr>
      </w:r>
      <w:r>
        <w:rPr>
          <w:spacing w:val="-2"/>
        </w:rPr>
        <w:t>计入丧失控制权当期的投资收益，同时冲减商誉。与原有子公司股权投资相关的其他综合收益等，在丧失控制权时转为当期</w:t>
      </w:r>
      <w:r>
        <w:rPr>
          <w:spacing w:val="-66"/>
        </w:rPr>
        <w:t> </w:t>
      </w:r>
      <w:r>
        <w:rPr>
          <w:spacing w:val="-66"/>
        </w:rPr>
      </w:r>
      <w:r>
        <w:rPr/>
        <w:t>投资收益。</w:t>
      </w:r>
    </w:p>
    <w:p>
      <w:pPr>
        <w:pStyle w:val="BodyText"/>
        <w:spacing w:line="338" w:lineRule="auto" w:before="58"/>
        <w:ind w:left="514" w:right="1118"/>
        <w:jc w:val="left"/>
      </w:pPr>
      <w:r>
        <w:rPr>
          <w:rFonts w:ascii="Times New Roman" w:hAnsi="Times New Roman" w:cs="Times New Roman" w:eastAsia="Times New Roman" w:hint="default"/>
        </w:rPr>
        <w:t>d.</w:t>
      </w:r>
      <w:r>
        <w:rPr/>
        <w:t>企业通过多次交易分步处置对子公司股权投资直至丧失控制权，且该多次交易属于一揽子交易的处理 </w:t>
      </w:r>
      <w:r>
        <w:rPr>
          <w:spacing w:val="-2"/>
        </w:rPr>
        <w:t>处置对子公司股权投资直至丧失控制权的各项交易属于一揽子交易的，应当将各项交易作为一项处置子公司并丧失控制</w:t>
      </w:r>
    </w:p>
    <w:p>
      <w:pPr>
        <w:pStyle w:val="BodyText"/>
        <w:spacing w:line="319" w:lineRule="auto" w:before="2"/>
        <w:ind w:left="154" w:right="1118"/>
        <w:jc w:val="left"/>
      </w:pPr>
      <w:r>
        <w:rPr>
          <w:spacing w:val="-2"/>
        </w:rPr>
        <w:t>权的交易进行会计处理；但是，在丧失控制权之前每一次处置价款与处置投资对应的享有该子公司净资产份额的差额，在合</w:t>
      </w:r>
      <w:r>
        <w:rPr>
          <w:spacing w:val="-66"/>
        </w:rPr>
        <w:t> </w:t>
      </w:r>
      <w:r>
        <w:rPr>
          <w:spacing w:val="-66"/>
        </w:rPr>
      </w:r>
      <w:r>
        <w:rPr/>
        <w:t>并财务报表中确认为其他综合收益，在丧失控制权时一并转入丧失控制权当期的损益。</w:t>
      </w:r>
    </w:p>
    <w:p>
      <w:pPr>
        <w:pStyle w:val="BodyText"/>
        <w:spacing w:line="357" w:lineRule="auto" w:before="56"/>
        <w:ind w:left="514" w:right="1118"/>
        <w:jc w:val="left"/>
      </w:pPr>
      <w:r>
        <w:rPr/>
        <w:t>判断分步处置股权至丧失控制权过程的各项交易是否属于一揽子交易的原则如下： </w:t>
      </w:r>
      <w:r>
        <w:rPr>
          <w:spacing w:val="-2"/>
        </w:rPr>
        <w:t>处置对子公司股权投资的各项交易的条款、条件以及经济影响符合以下一种或多种情况，通常表明多次交易事项属于一</w:t>
      </w:r>
    </w:p>
    <w:p>
      <w:pPr>
        <w:pStyle w:val="BodyText"/>
        <w:spacing w:line="225" w:lineRule="exact"/>
        <w:ind w:left="154" w:right="1118"/>
        <w:jc w:val="left"/>
      </w:pPr>
      <w:r>
        <w:rPr/>
        <w:t>揽子交易：</w:t>
      </w:r>
    </w:p>
    <w:p>
      <w:pPr>
        <w:pStyle w:val="BodyText"/>
        <w:spacing w:line="338" w:lineRule="auto" w:before="116"/>
        <w:ind w:left="514" w:right="4857"/>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spacing w:line="240" w:lineRule="auto" w:before="2"/>
        <w:rPr>
          <w:rFonts w:ascii="宋体" w:hAnsi="宋体" w:cs="宋体" w:eastAsia="宋体" w:hint="default"/>
          <w:sz w:val="20"/>
          <w:szCs w:val="20"/>
        </w:rPr>
      </w:pPr>
    </w:p>
    <w:p>
      <w:pPr>
        <w:pStyle w:val="Heading3"/>
        <w:spacing w:line="240" w:lineRule="auto"/>
        <w:ind w:left="556" w:right="1118"/>
        <w:jc w:val="left"/>
        <w:rPr>
          <w:b w:val="0"/>
          <w:bCs w:val="0"/>
        </w:rPr>
      </w:pPr>
      <w:bookmarkStart w:name="6、合营安排分类及共同经营会计处理方法" w:id="183"/>
      <w:bookmarkEnd w:id="183"/>
      <w:r>
        <w:rPr>
          <w:b w:val="0"/>
          <w:bCs w:val="0"/>
        </w:rPr>
      </w:r>
      <w:r>
        <w:rPr>
          <w:rFonts w:ascii="Times New Roman" w:hAnsi="Times New Roman" w:cs="Times New Roman" w:eastAsia="Times New Roman" w:hint="default"/>
        </w:rPr>
        <w:t>6</w:t>
      </w:r>
      <w:r>
        <w:rPr/>
        <w:t>、合营安排分类及共同经营会计处理方法</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left="514" w:right="7512"/>
        <w:jc w:val="left"/>
      </w:pPr>
      <w:r>
        <w:rPr/>
        <w:t>（</w:t>
      </w:r>
      <w:r>
        <w:rPr>
          <w:rFonts w:ascii="Times New Roman" w:hAnsi="Times New Roman" w:cs="Times New Roman" w:eastAsia="Times New Roman" w:hint="default"/>
        </w:rPr>
        <w:t>1</w:t>
      </w:r>
      <w:r>
        <w:rPr/>
        <w:t>）合营安排的分类 合营安排分为共同经营和合营企业。</w:t>
      </w:r>
    </w:p>
    <w:p>
      <w:pPr>
        <w:pStyle w:val="BodyText"/>
        <w:spacing w:line="343" w:lineRule="auto" w:before="43"/>
        <w:ind w:right="2293"/>
        <w:jc w:val="left"/>
      </w:pPr>
      <w:r>
        <w:rPr/>
        <w:t>（</w:t>
      </w:r>
      <w:r>
        <w:rPr>
          <w:rFonts w:ascii="Times New Roman" w:hAnsi="Times New Roman" w:cs="Times New Roman" w:eastAsia="Times New Roman" w:hint="default"/>
        </w:rPr>
        <w:t>2</w:t>
      </w:r>
      <w:r>
        <w:rPr/>
        <w:t>）共同经营参与方的会计处理 合营方确认其与共同经营中利益份额相关的下列项目，并按照相关企业会计准则的规定进行会计处理：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300" w:lineRule="auto" w:before="15"/>
        <w:ind w:left="153" w:right="1131" w:firstLine="360"/>
        <w:jc w:val="both"/>
      </w:pPr>
      <w:r>
        <w:rPr>
          <w:spacing w:val="-1"/>
        </w:rPr>
        <w:t>合营方向共同经营投出或出售资产等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，在该资产等由共同经营出售给第三方之前，仅确认因该</w:t>
      </w:r>
      <w:r>
        <w:rPr/>
        <w:t> 交易产生的损益中归属于共同经营其他参与方的部分。投出或出售的资产发生符合《企业会计准则第</w:t>
      </w:r>
      <w:r>
        <w:rPr>
          <w:rFonts w:ascii="Times New Roman" w:hAnsi="Times New Roman" w:cs="Times New Roman" w:eastAsia="Times New Roman" w:hint="default"/>
        </w:rPr>
        <w:t>8</w:t>
      </w:r>
      <w:r>
        <w:rPr/>
        <w:t>号——资产减值》等 规定的资产减值损失的，合营方全额确认该损失。</w:t>
      </w:r>
    </w:p>
    <w:p>
      <w:pPr>
        <w:pStyle w:val="BodyText"/>
        <w:spacing w:line="300" w:lineRule="auto" w:before="70"/>
        <w:ind w:left="153" w:right="1131" w:firstLine="360"/>
        <w:jc w:val="both"/>
      </w:pPr>
      <w:r>
        <w:rPr>
          <w:spacing w:val="-1"/>
        </w:rPr>
        <w:t>合营方自共同经营购买资产等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，在将该资产等出售给第三方之前，仅确认因该交易产生的损益</w:t>
      </w:r>
      <w:r>
        <w:rPr/>
        <w:t> </w:t>
      </w:r>
      <w:r>
        <w:rPr>
          <w:spacing w:val="-4"/>
        </w:rPr>
        <w:t>中归属于共同经营其他参与方的部分。购入的资产发生符合《企业会计准则第</w:t>
      </w:r>
      <w:r>
        <w:rPr>
          <w:rFonts w:ascii="Times New Roman" w:hAnsi="Times New Roman" w:cs="Times New Roman" w:eastAsia="Times New Roman" w:hint="default"/>
          <w:spacing w:val="-4"/>
        </w:rPr>
        <w:t>8</w:t>
      </w:r>
      <w:r>
        <w:rPr>
          <w:spacing w:val="-4"/>
        </w:rPr>
        <w:t>号——资产减值》等规定的资产减值损失的，</w:t>
      </w:r>
      <w:r>
        <w:rPr>
          <w:spacing w:val="-44"/>
        </w:rPr>
        <w:t> </w:t>
      </w:r>
      <w:r>
        <w:rPr>
          <w:spacing w:val="-44"/>
        </w:rPr>
      </w:r>
      <w:r>
        <w:rPr/>
        <w:t>合营方按其承担的份额确认该部分损失。</w:t>
      </w:r>
    </w:p>
    <w:p>
      <w:pPr>
        <w:pStyle w:val="BodyText"/>
        <w:spacing w:line="240" w:lineRule="auto" w:before="71"/>
        <w:ind w:left="514" w:right="0"/>
        <w:jc w:val="left"/>
      </w:pPr>
      <w:r>
        <w:rPr/>
        <w:t>对共同经营不享有共同控制的参与方，如果享有该共同经营相关资产且承担该共同经营相关负债的，按照上述方法进行</w:t>
      </w:r>
    </w:p>
    <w:p>
      <w:pPr>
        <w:spacing w:after="0" w:line="240" w:lineRule="auto"/>
        <w:jc w:val="left"/>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240" w:lineRule="auto" w:before="44"/>
        <w:ind w:left="154" w:right="1118"/>
        <w:jc w:val="left"/>
      </w:pPr>
      <w:r>
        <w:rPr/>
        <w:t>会计处理；否则，按照相关企业会计准则的规定进行会计处理。</w:t>
      </w:r>
    </w:p>
    <w:p>
      <w:pPr>
        <w:spacing w:line="240" w:lineRule="auto" w:before="0"/>
        <w:rPr>
          <w:rFonts w:ascii="宋体" w:hAnsi="宋体" w:cs="宋体" w:eastAsia="宋体" w:hint="default"/>
          <w:sz w:val="18"/>
          <w:szCs w:val="18"/>
        </w:rPr>
      </w:pPr>
    </w:p>
    <w:p>
      <w:pPr>
        <w:pStyle w:val="Heading3"/>
        <w:spacing w:line="240" w:lineRule="auto" w:before="123"/>
        <w:ind w:left="556" w:right="1118"/>
        <w:jc w:val="left"/>
        <w:rPr>
          <w:b w:val="0"/>
          <w:bCs w:val="0"/>
        </w:rPr>
      </w:pPr>
      <w:bookmarkStart w:name="7、现金及现金等价物的确定标准" w:id="184"/>
      <w:bookmarkEnd w:id="184"/>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13"/>
        <w:rPr>
          <w:rFonts w:ascii="宋体" w:hAnsi="宋体" w:cs="宋体" w:eastAsia="宋体" w:hint="default"/>
          <w:b/>
          <w:bCs/>
          <w:sz w:val="26"/>
          <w:szCs w:val="26"/>
        </w:rPr>
      </w:pPr>
    </w:p>
    <w:p>
      <w:pPr>
        <w:pStyle w:val="BodyText"/>
        <w:spacing w:line="319" w:lineRule="auto"/>
        <w:ind w:left="154" w:right="1118" w:firstLine="360"/>
        <w:jc w:val="left"/>
      </w:pPr>
      <w:r>
        <w:rPr>
          <w:spacing w:val="-2"/>
        </w:rPr>
        <w:t>列示于现金流量表中的现金是指库存现金及可随时用于支付的存款，现金等价物是指持有的期限短（一般指从购买日起</w:t>
      </w:r>
      <w:r>
        <w:rPr/>
        <w:t> 三个月内到期）、流动性强、易于转换为已知金额现金及价值变动风险很小的投资。</w:t>
      </w:r>
    </w:p>
    <w:p>
      <w:pPr>
        <w:spacing w:line="240" w:lineRule="auto" w:before="12"/>
        <w:rPr>
          <w:rFonts w:ascii="宋体" w:hAnsi="宋体" w:cs="宋体" w:eastAsia="宋体" w:hint="default"/>
          <w:sz w:val="22"/>
          <w:szCs w:val="22"/>
        </w:rPr>
      </w:pPr>
    </w:p>
    <w:p>
      <w:pPr>
        <w:pStyle w:val="Heading3"/>
        <w:spacing w:line="240" w:lineRule="auto"/>
        <w:ind w:left="556" w:right="1118"/>
        <w:jc w:val="left"/>
        <w:rPr>
          <w:b w:val="0"/>
          <w:bCs w:val="0"/>
        </w:rPr>
      </w:pPr>
      <w:bookmarkStart w:name="8、外币业务和外币报表折算" w:id="185"/>
      <w:bookmarkEnd w:id="185"/>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0"/>
        <w:rPr>
          <w:rFonts w:ascii="宋体" w:hAnsi="宋体" w:cs="宋体" w:eastAsia="宋体" w:hint="default"/>
          <w:b/>
          <w:bCs/>
          <w:sz w:val="27"/>
          <w:szCs w:val="27"/>
        </w:rPr>
      </w:pPr>
    </w:p>
    <w:p>
      <w:pPr>
        <w:pStyle w:val="BodyText"/>
        <w:spacing w:line="338" w:lineRule="auto"/>
        <w:ind w:right="5173"/>
        <w:jc w:val="left"/>
      </w:pPr>
      <w:r>
        <w:rPr/>
        <w:t>（</w:t>
      </w:r>
      <w:r>
        <w:rPr>
          <w:rFonts w:ascii="Times New Roman" w:hAnsi="Times New Roman" w:cs="Times New Roman" w:eastAsia="Times New Roman" w:hint="default"/>
        </w:rPr>
        <w:t>1</w:t>
      </w:r>
      <w:r>
        <w:rPr/>
        <w:t>） 外币业务 外币业务按业务发生日的即期汇率将外币金额折算为人民币入账。</w:t>
      </w:r>
    </w:p>
    <w:p>
      <w:pPr>
        <w:pStyle w:val="BodyText"/>
        <w:spacing w:line="319" w:lineRule="auto" w:before="42"/>
        <w:ind w:left="153" w:right="1132" w:firstLine="360"/>
        <w:jc w:val="both"/>
      </w:pPr>
      <w:r>
        <w:rPr>
          <w:spacing w:val="-2"/>
        </w:rPr>
        <w:t>于资产负债表日，外币货币性项目采用资产负债表日的即期汇率折算为人民币，所产生的折算差额除了为购建或生产符</w:t>
      </w:r>
      <w:r>
        <w:rPr/>
        <w:t> </w:t>
      </w:r>
      <w:r>
        <w:rPr>
          <w:spacing w:val="-2"/>
        </w:rPr>
        <w:t>合资本化条件的资产而借入的外币借款产生的汇兑差额按资本化的原则处理外，直接计入当期损益。以历史成本计量的外币</w:t>
      </w:r>
      <w:r>
        <w:rPr>
          <w:spacing w:val="-64"/>
        </w:rPr>
        <w:t> </w:t>
      </w:r>
      <w:r>
        <w:rPr>
          <w:spacing w:val="-64"/>
        </w:rPr>
      </w:r>
      <w:r>
        <w:rPr/>
        <w:t>非货币性项目，于资产负债表日采用交易发生日的即期汇率折算。</w:t>
      </w:r>
    </w:p>
    <w:p>
      <w:pPr>
        <w:pStyle w:val="BodyText"/>
        <w:spacing w:line="338" w:lineRule="auto" w:before="56"/>
        <w:ind w:left="514" w:right="1118"/>
        <w:jc w:val="left"/>
      </w:pPr>
      <w:r>
        <w:rPr/>
        <w:t>（</w:t>
      </w:r>
      <w:r>
        <w:rPr>
          <w:rFonts w:ascii="Times New Roman" w:hAnsi="Times New Roman" w:cs="Times New Roman" w:eastAsia="Times New Roman" w:hint="default"/>
        </w:rPr>
        <w:t>2</w:t>
      </w:r>
      <w:r>
        <w:rPr/>
        <w:t>） 外币财务报表的折算 </w:t>
      </w:r>
      <w:r>
        <w:rPr>
          <w:spacing w:val="-2"/>
        </w:rPr>
        <w:t>以非记账本位币编制的资产负债表中的资产和负债项目，采用资产负债表日的即期汇率折算成记账本位币，所有者权益</w:t>
      </w:r>
    </w:p>
    <w:p>
      <w:pPr>
        <w:pStyle w:val="BodyText"/>
        <w:spacing w:line="319" w:lineRule="auto" w:before="2"/>
        <w:ind w:left="154" w:right="1132"/>
        <w:jc w:val="both"/>
      </w:pPr>
      <w:r>
        <w:rPr>
          <w:spacing w:val="-2"/>
        </w:rPr>
        <w:t>中除未分配利润项目外，其他项目采用发生时的即期汇率折算。以非记账本位币编制的利润表中的收入与费用项目，采用交</w:t>
      </w:r>
      <w:r>
        <w:rPr>
          <w:spacing w:val="-66"/>
        </w:rPr>
        <w:t> </w:t>
      </w:r>
      <w:r>
        <w:rPr>
          <w:spacing w:val="-66"/>
        </w:rPr>
      </w:r>
      <w:r>
        <w:rPr>
          <w:spacing w:val="-2"/>
        </w:rPr>
        <w:t>易发生日的即期汇率折算成记账本位币。上述折算产生的外币报表折算差额，在其他综合收益中核算。以非记账本位币编制</w:t>
      </w:r>
      <w:r>
        <w:rPr>
          <w:spacing w:val="-66"/>
        </w:rPr>
        <w:t> </w:t>
      </w:r>
      <w:r>
        <w:rPr>
          <w:spacing w:val="-66"/>
        </w:rPr>
      </w:r>
      <w:r>
        <w:rPr>
          <w:spacing w:val="-2"/>
        </w:rPr>
        <w:t>的现金流量表中各项目的现金流量采用现金流量发生日的即期汇率折算成记账本位币。汇率变动对现金的影响额，在现金流</w:t>
      </w:r>
      <w:r>
        <w:rPr>
          <w:spacing w:val="-64"/>
        </w:rPr>
        <w:t> </w:t>
      </w:r>
      <w:r>
        <w:rPr>
          <w:spacing w:val="-64"/>
        </w:rPr>
      </w:r>
      <w:r>
        <w:rPr/>
        <w:t>量表中单独列示。</w:t>
      </w:r>
    </w:p>
    <w:p>
      <w:pPr>
        <w:spacing w:line="240" w:lineRule="auto" w:before="13"/>
        <w:rPr>
          <w:rFonts w:ascii="宋体" w:hAnsi="宋体" w:cs="宋体" w:eastAsia="宋体" w:hint="default"/>
          <w:sz w:val="22"/>
          <w:szCs w:val="22"/>
        </w:rPr>
      </w:pPr>
    </w:p>
    <w:p>
      <w:pPr>
        <w:pStyle w:val="Heading3"/>
        <w:spacing w:line="240" w:lineRule="auto"/>
        <w:ind w:right="1118"/>
        <w:jc w:val="left"/>
        <w:rPr>
          <w:b w:val="0"/>
          <w:bCs w:val="0"/>
        </w:rPr>
      </w:pPr>
      <w:bookmarkStart w:name="9、金融工具" w:id="186"/>
      <w:bookmarkEnd w:id="186"/>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right="4993"/>
        <w:jc w:val="left"/>
      </w:pPr>
      <w:r>
        <w:rPr/>
        <w:t>（</w:t>
      </w:r>
      <w:r>
        <w:rPr>
          <w:rFonts w:ascii="Times New Roman" w:hAnsi="Times New Roman" w:cs="Times New Roman" w:eastAsia="Times New Roman" w:hint="default"/>
        </w:rPr>
        <w:t>1</w:t>
      </w:r>
      <w:r>
        <w:rPr/>
        <w:t>）金融工具的确认和终止确认 本公司于成为金融工具合同的一方时确认一项金融资产或金融负债。 金融资产满足下列条件之一的，终止确认： </w:t>
      </w:r>
      <w:r>
        <w:rPr>
          <w:rFonts w:ascii="Times New Roman" w:hAnsi="Times New Roman" w:cs="Times New Roman" w:eastAsia="Times New Roman" w:hint="default"/>
        </w:rPr>
        <w:t>a.</w:t>
      </w:r>
      <w:r>
        <w:rPr/>
        <w:t>收取该金融资产现金流量的合同权利终止；</w:t>
      </w:r>
    </w:p>
    <w:p>
      <w:pPr>
        <w:pStyle w:val="BodyText"/>
        <w:spacing w:line="338" w:lineRule="auto" w:before="8"/>
        <w:ind w:left="514" w:right="2337"/>
        <w:jc w:val="left"/>
      </w:pPr>
      <w:r>
        <w:rPr>
          <w:rFonts w:ascii="Times New Roman" w:hAnsi="Times New Roman" w:cs="Times New Roman" w:eastAsia="Times New Roman" w:hint="default"/>
        </w:rPr>
        <w:t>b.</w:t>
      </w:r>
      <w:r>
        <w:rPr/>
        <w:t>该金融资产已转移，且符合《企业会计准则第</w:t>
      </w:r>
      <w:r>
        <w:rPr>
          <w:rFonts w:ascii="Times New Roman" w:hAnsi="Times New Roman" w:cs="Times New Roman" w:eastAsia="Times New Roman" w:hint="default"/>
        </w:rPr>
        <w:t>23</w:t>
      </w:r>
      <w:r>
        <w:rPr/>
        <w:t>号－金融资产转移》规定的金融资产终止确认条件。 金融负债的现时义务全部或部分已经解除的，终止确认该金融负债或其一部分。</w:t>
      </w:r>
    </w:p>
    <w:p>
      <w:pPr>
        <w:pStyle w:val="BodyText"/>
        <w:spacing w:line="338" w:lineRule="auto" w:before="43"/>
        <w:ind w:left="514" w:right="1118"/>
        <w:jc w:val="left"/>
      </w:pPr>
      <w:r>
        <w:rPr/>
        <w:t>（</w:t>
      </w:r>
      <w:r>
        <w:rPr>
          <w:rFonts w:ascii="Times New Roman" w:hAnsi="Times New Roman" w:cs="Times New Roman" w:eastAsia="Times New Roman" w:hint="default"/>
        </w:rPr>
        <w:t>2</w:t>
      </w:r>
      <w:r>
        <w:rPr/>
        <w:t>）金融资产的分类 </w:t>
      </w:r>
      <w:r>
        <w:rPr>
          <w:spacing w:val="-2"/>
        </w:rPr>
        <w:t>金融资产于初始确认时分类为：以公允价值计量且其变动计入当期损益的金融资产、应收款项、可供出售金融资产和持</w:t>
      </w:r>
    </w:p>
    <w:p>
      <w:pPr>
        <w:pStyle w:val="BodyText"/>
        <w:spacing w:line="348" w:lineRule="auto" w:before="4"/>
        <w:ind w:right="1213" w:hanging="360"/>
        <w:jc w:val="left"/>
      </w:pPr>
      <w:r>
        <w:rPr/>
        <w:t>有至到期投资。金融资产的分类取决于本公司对金融资产的持有意图和持有能力。 </w:t>
      </w:r>
      <w:r>
        <w:rPr>
          <w:rFonts w:ascii="Times New Roman" w:hAnsi="Times New Roman" w:cs="Times New Roman" w:eastAsia="Times New Roman" w:hint="default"/>
        </w:rPr>
        <w:t>a.</w:t>
      </w:r>
      <w:r>
        <w:rPr/>
        <w:t>以公允价值计量且其变动计入当期损益的金融资产 以公允价值计量且其变动计入当期损益的金融资产包括持有目的为短期内出售的金融资产，该资产在资产负债表中以</w:t>
      </w:r>
    </w:p>
    <w:p>
      <w:pPr>
        <w:pStyle w:val="BodyText"/>
        <w:spacing w:line="232" w:lineRule="exact"/>
        <w:ind w:left="153" w:right="1118"/>
        <w:jc w:val="left"/>
      </w:pPr>
      <w:r>
        <w:rPr/>
        <w:t>“以公允价值计量且其变动计入当期损益的金融资产”列示。</w:t>
      </w:r>
    </w:p>
    <w:p>
      <w:pPr>
        <w:pStyle w:val="BodyText"/>
        <w:spacing w:line="338" w:lineRule="auto" w:before="116"/>
        <w:ind w:left="514" w:right="1118"/>
        <w:jc w:val="left"/>
      </w:pPr>
      <w:r>
        <w:rPr>
          <w:rFonts w:ascii="Times New Roman" w:hAnsi="Times New Roman" w:cs="Times New Roman" w:eastAsia="Times New Roman" w:hint="default"/>
        </w:rPr>
        <w:t>b.</w:t>
      </w:r>
      <w:r>
        <w:rPr/>
        <w:t>应收款项 </w:t>
      </w:r>
      <w:r>
        <w:rPr>
          <w:spacing w:val="-2"/>
        </w:rPr>
        <w:t>应收款项是指在活跃市场中没有报价、回收金额固定或可确定的非衍生金融资产，包括应收账款、其他应收款和长期应</w:t>
      </w:r>
    </w:p>
    <w:p>
      <w:pPr>
        <w:pStyle w:val="BodyText"/>
        <w:spacing w:line="240" w:lineRule="auto" w:before="4"/>
        <w:ind w:left="154" w:right="1118"/>
        <w:jc w:val="left"/>
      </w:pPr>
      <w:r>
        <w:rPr/>
        <w:t>收款等。</w:t>
      </w:r>
    </w:p>
    <w:p>
      <w:pPr>
        <w:pStyle w:val="BodyText"/>
        <w:spacing w:line="338" w:lineRule="auto" w:before="117"/>
        <w:ind w:left="514" w:right="1118"/>
        <w:jc w:val="left"/>
      </w:pPr>
      <w:r>
        <w:rPr>
          <w:rFonts w:ascii="Times New Roman" w:hAnsi="Times New Roman" w:cs="Times New Roman" w:eastAsia="Times New Roman" w:hint="default"/>
        </w:rPr>
        <w:t>c.</w:t>
      </w:r>
      <w:r>
        <w:rPr/>
        <w:t>可供出售金融资产 </w:t>
      </w:r>
      <w:r>
        <w:rPr>
          <w:spacing w:val="-2"/>
        </w:rPr>
        <w:t>可供出售金融资产包括初始确认时即被指定为可供出售的非衍生金融资产及未被划分为其他类的金融资产。自资产负债</w:t>
      </w:r>
    </w:p>
    <w:p>
      <w:pPr>
        <w:pStyle w:val="BodyText"/>
        <w:spacing w:line="240" w:lineRule="auto" w:before="4"/>
        <w:ind w:left="154" w:right="1118"/>
        <w:jc w:val="left"/>
      </w:pPr>
      <w:r>
        <w:rPr/>
        <w:t>表日起</w:t>
      </w:r>
      <w:r>
        <w:rPr>
          <w:rFonts w:ascii="Times New Roman" w:hAnsi="Times New Roman" w:cs="Times New Roman" w:eastAsia="Times New Roman" w:hint="default"/>
        </w:rPr>
        <w:t>12</w:t>
      </w:r>
      <w:r>
        <w:rPr/>
        <w:t>个月内将出售的可供出售金融资产在资产负债表中列示为一年内到期的非流动资产。</w:t>
      </w:r>
    </w:p>
    <w:p>
      <w:pPr>
        <w:pStyle w:val="BodyText"/>
        <w:spacing w:line="240" w:lineRule="auto" w:before="102"/>
        <w:ind w:right="1118"/>
        <w:jc w:val="left"/>
      </w:pPr>
      <w:r>
        <w:rPr>
          <w:rFonts w:ascii="Times New Roman" w:hAnsi="Times New Roman" w:cs="Times New Roman" w:eastAsia="Times New Roman" w:hint="default"/>
        </w:rPr>
        <w:t>d.</w:t>
      </w:r>
      <w:r>
        <w:rPr/>
        <w:t>持有至到期投资</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043" w:firstLine="360"/>
        <w:jc w:val="both"/>
      </w:pPr>
      <w:r>
        <w:rPr/>
        <w:t>持有至到期投资是指到期日固定、回收金额固定或可确定，且管理层有明确意图和能力持有至到期的非衍生金融资产。 自资产负债表日起</w:t>
      </w:r>
      <w:r>
        <w:rPr>
          <w:rFonts w:ascii="Times New Roman" w:hAnsi="Times New Roman" w:cs="Times New Roman" w:eastAsia="Times New Roman" w:hint="default"/>
        </w:rPr>
        <w:t>12</w:t>
      </w:r>
      <w:r>
        <w:rPr/>
        <w:t>个月内到期的持有至到期投资在资产负债表中列示为一年内到期的非流动资产。</w:t>
      </w:r>
    </w:p>
    <w:p>
      <w:pPr>
        <w:pStyle w:val="BodyText"/>
        <w:spacing w:line="338" w:lineRule="auto" w:before="36"/>
        <w:ind w:left="514" w:right="1118"/>
        <w:jc w:val="left"/>
      </w:pPr>
      <w:r>
        <w:rPr/>
        <w:t>（</w:t>
      </w:r>
      <w:r>
        <w:rPr>
          <w:rFonts w:ascii="Times New Roman" w:hAnsi="Times New Roman" w:cs="Times New Roman" w:eastAsia="Times New Roman" w:hint="default"/>
        </w:rPr>
        <w:t>3</w:t>
      </w:r>
      <w:r>
        <w:rPr/>
        <w:t>）金融资产的计量 </w:t>
      </w:r>
      <w:r>
        <w:rPr>
          <w:spacing w:val="-2"/>
        </w:rPr>
        <w:t>金融资产于本公司成为金融工具合同的一方时，按公允价值在资产负债表内确认。以公允价值计量且其变动计入当期损</w:t>
      </w:r>
    </w:p>
    <w:p>
      <w:pPr>
        <w:pStyle w:val="BodyText"/>
        <w:spacing w:line="357" w:lineRule="auto" w:before="4"/>
        <w:ind w:right="1118" w:hanging="360"/>
        <w:jc w:val="left"/>
      </w:pPr>
      <w:r>
        <w:rPr/>
        <w:t>益的金融资产，取得时发生的相关交易费用直接计入当期损益。其他金融资产的相关交易费用计入初始确认金额。 </w:t>
      </w:r>
      <w:r>
        <w:rPr>
          <w:spacing w:val="-2"/>
        </w:rPr>
        <w:t>以公允价值计量且其变动计入当期损益的金融资产和可供出售金融资产按照公允价值进行后续计量，但在活跃市场中没</w:t>
      </w:r>
    </w:p>
    <w:p>
      <w:pPr>
        <w:pStyle w:val="BodyText"/>
        <w:spacing w:line="224" w:lineRule="exact"/>
        <w:ind w:left="153" w:right="0"/>
        <w:jc w:val="left"/>
      </w:pPr>
      <w:r>
        <w:rPr/>
        <w:t>有报价且其公允价值不能可靠计量的权益工具投资，按照成本计量；应收款项以及持有至到期投资采用实际利率法，以摊余</w:t>
      </w:r>
    </w:p>
    <w:p>
      <w:pPr>
        <w:pStyle w:val="BodyText"/>
        <w:spacing w:line="240" w:lineRule="auto" w:before="77"/>
        <w:ind w:left="153" w:right="1118"/>
        <w:jc w:val="left"/>
      </w:pPr>
      <w:r>
        <w:rPr/>
        <w:t>成本计量。</w:t>
      </w:r>
    </w:p>
    <w:p>
      <w:pPr>
        <w:pStyle w:val="BodyText"/>
        <w:spacing w:line="319" w:lineRule="auto" w:before="115"/>
        <w:ind w:left="154" w:right="1131" w:firstLine="360"/>
        <w:jc w:val="both"/>
      </w:pPr>
      <w:r>
        <w:rPr>
          <w:spacing w:val="-2"/>
        </w:rPr>
        <w:t>以公允价值计量且其变动计入当期损益的金融资产的公允价值变动计入公允价值变动损益；在资产持有期间所取得的利</w:t>
      </w:r>
      <w:r>
        <w:rPr/>
        <w:t> 息或现金股利以及在处置时产生的处置损益，计入当期损益。</w:t>
      </w:r>
    </w:p>
    <w:p>
      <w:pPr>
        <w:pStyle w:val="BodyText"/>
        <w:spacing w:line="319" w:lineRule="auto" w:before="56"/>
        <w:ind w:left="154" w:right="1132" w:firstLine="360"/>
        <w:jc w:val="both"/>
      </w:pPr>
      <w:r>
        <w:rPr>
          <w:spacing w:val="-2"/>
        </w:rPr>
        <w:t>除减值损失及外币货币性金融资产形成的汇兑损益外，可供出售金融资产公允价值变动计入所有者权益，待该金融资产</w:t>
      </w:r>
      <w:r>
        <w:rPr/>
        <w:t> </w:t>
      </w:r>
      <w:r>
        <w:rPr>
          <w:spacing w:val="-2"/>
        </w:rPr>
        <w:t>终止确认时，原直接计入权益的公允价值变动累计额转入当期损益。可供出售债务工具投资在持有期间按实际利率法计算利</w:t>
      </w:r>
      <w:r>
        <w:rPr>
          <w:spacing w:val="-64"/>
        </w:rPr>
        <w:t> </w:t>
      </w:r>
      <w:r>
        <w:rPr>
          <w:spacing w:val="-64"/>
        </w:rPr>
      </w:r>
      <w:r>
        <w:rPr/>
        <w:t>息，计入投资收益；可供出售权益工具投资的现金股利，于被投资单位宣告发放股利时计入投资收益。</w:t>
      </w:r>
    </w:p>
    <w:p>
      <w:pPr>
        <w:pStyle w:val="BodyText"/>
        <w:spacing w:line="338" w:lineRule="auto" w:before="56"/>
        <w:ind w:right="1118"/>
        <w:jc w:val="left"/>
      </w:pPr>
      <w:r>
        <w:rPr/>
        <w:t>（</w:t>
      </w:r>
      <w:r>
        <w:rPr>
          <w:rFonts w:ascii="Times New Roman" w:hAnsi="Times New Roman" w:cs="Times New Roman" w:eastAsia="Times New Roman" w:hint="default"/>
        </w:rPr>
        <w:t>4</w:t>
      </w:r>
      <w:r>
        <w:rPr/>
        <w:t>）金融资产转移的确认依据和计量方法 </w:t>
      </w:r>
      <w:r>
        <w:rPr>
          <w:spacing w:val="-2"/>
        </w:rPr>
        <w:t>公司已将金融资产所有权上几乎所有的风险和报酬转移给转入方的，终止确认该金融资产；保留了金融资产所有权上几</w:t>
      </w:r>
    </w:p>
    <w:p>
      <w:pPr>
        <w:pStyle w:val="BodyText"/>
        <w:spacing w:line="360" w:lineRule="auto" w:before="4"/>
        <w:ind w:right="4093" w:hanging="360"/>
        <w:jc w:val="left"/>
      </w:pPr>
      <w:r>
        <w:rPr/>
        <w:t>乎所有的风险和报酬的，不终止确认该金融资产。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2" w:lineRule="auto" w:before="1"/>
        <w:ind w:left="153" w:right="1131" w:firstLine="360"/>
        <w:jc w:val="both"/>
      </w:pP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因转移而收到的对价，与原直接计入所有者权益的公允价值变动累计额（涉及转移的金融资产为可供出售金融资产的</w:t>
      </w:r>
      <w:r>
        <w:rPr/>
        <w:t> 情形）之和。</w:t>
      </w:r>
    </w:p>
    <w:p>
      <w:pPr>
        <w:pStyle w:val="BodyText"/>
        <w:spacing w:line="319" w:lineRule="auto" w:before="69"/>
        <w:ind w:left="153" w:right="1132" w:firstLine="360"/>
        <w:jc w:val="both"/>
      </w:pPr>
      <w:r>
        <w:rPr>
          <w:spacing w:val="-2"/>
        </w:rPr>
        <w:t>因金融资产转移获得了新金融资产或承担了新金融负债的，在转移日按照公允价值确认该金融资产或金融负债（包括看</w:t>
      </w:r>
      <w:r>
        <w:rPr/>
        <w:t> 涨期权、看跌期权、担保负债、远期合同、互换等），并将该金融资产扣除金融负债后的净额作为上述对价的组成部分。</w:t>
      </w:r>
    </w:p>
    <w:p>
      <w:pPr>
        <w:pStyle w:val="BodyText"/>
        <w:spacing w:line="319" w:lineRule="auto" w:before="55"/>
        <w:ind w:left="153" w:right="1130" w:firstLine="360"/>
        <w:jc w:val="both"/>
      </w:pPr>
      <w:r>
        <w:rPr>
          <w:spacing w:val="-2"/>
        </w:rPr>
        <w:t>公司与金融资产转入方签订服务合同提供相关服务的（包括收取该金融资产的现金流量，并将所收取的现金流量交付给</w:t>
      </w:r>
      <w:r>
        <w:rPr/>
        <w:t> </w:t>
      </w:r>
      <w:r>
        <w:rPr>
          <w:spacing w:val="-2"/>
        </w:rPr>
        <w:t>指定的资金保管机构等），就该服务合同确认一项服务资产或服务负债。服务负债应当按照公允价值进行初始计量，并作为</w:t>
      </w:r>
      <w:r>
        <w:rPr>
          <w:spacing w:val="-66"/>
        </w:rPr>
        <w:t> </w:t>
      </w:r>
      <w:r>
        <w:rPr>
          <w:spacing w:val="-66"/>
        </w:rPr>
      </w:r>
      <w:r>
        <w:rPr/>
        <w:t>上述对价的组成部分。</w:t>
      </w:r>
    </w:p>
    <w:p>
      <w:pPr>
        <w:pStyle w:val="BodyText"/>
        <w:spacing w:line="319" w:lineRule="auto" w:before="55"/>
        <w:ind w:left="153" w:right="1131"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6"/>
        </w:rPr>
        <w:t> </w:t>
      </w:r>
      <w:r>
        <w:rPr>
          <w:spacing w:val="-66"/>
        </w:rPr>
      </w:r>
      <w:r>
        <w:rPr/>
        <w:t>金额的差额计入当期损益：</w:t>
      </w:r>
    </w:p>
    <w:p>
      <w:pPr>
        <w:pStyle w:val="BodyText"/>
        <w:spacing w:line="338" w:lineRule="auto" w:before="58"/>
        <w:ind w:right="1118"/>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终止确认部分的对价，与原直接计入所有者权益的公允价值变动累计额中对应终止确认部分的金额（涉及转移的金融</w:t>
      </w:r>
    </w:p>
    <w:p>
      <w:pPr>
        <w:pStyle w:val="BodyText"/>
        <w:spacing w:line="218" w:lineRule="exact"/>
        <w:ind w:left="153" w:right="1118"/>
        <w:jc w:val="left"/>
      </w:pPr>
      <w:r>
        <w:rPr/>
        <w:t>资产为可供出售金融资产的情形）之和。</w:t>
      </w:r>
    </w:p>
    <w:p>
      <w:pPr>
        <w:pStyle w:val="BodyText"/>
        <w:spacing w:line="319" w:lineRule="auto" w:before="115"/>
        <w:ind w:left="153" w:right="1131" w:firstLine="360"/>
        <w:jc w:val="both"/>
      </w:pPr>
      <w:r>
        <w:rPr>
          <w:spacing w:val="-2"/>
        </w:rPr>
        <w:t>原直接计入所有者权益的公允价值变动累计额中对应终止确认部分的金额，按照金融资产终止确认部分和未终止确认部</w:t>
      </w:r>
      <w:r>
        <w:rPr/>
        <w:t> 分的相对公允价值，对该累计额进行分摊后确定。</w:t>
      </w:r>
    </w:p>
    <w:p>
      <w:pPr>
        <w:pStyle w:val="BodyText"/>
        <w:spacing w:line="338" w:lineRule="auto" w:before="58"/>
        <w:ind w:left="514" w:right="1118"/>
        <w:jc w:val="left"/>
      </w:pPr>
      <w:r>
        <w:rPr/>
        <w:t>（</w:t>
      </w:r>
      <w:r>
        <w:rPr>
          <w:rFonts w:ascii="Times New Roman" w:hAnsi="Times New Roman" w:cs="Times New Roman" w:eastAsia="Times New Roman" w:hint="default"/>
        </w:rPr>
        <w:t>5</w:t>
      </w:r>
      <w:r>
        <w:rPr/>
        <w:t>）金融负债的分类 </w:t>
      </w:r>
      <w:r>
        <w:rPr>
          <w:spacing w:val="-2"/>
        </w:rPr>
        <w:t>金融负债于初始确认时分类为：以公允价值计量且其变动计入当期损益的金融负债和其他金融负债。以公允价值计量且</w:t>
      </w:r>
    </w:p>
    <w:p>
      <w:pPr>
        <w:pStyle w:val="BodyText"/>
        <w:spacing w:line="319" w:lineRule="auto" w:before="2"/>
        <w:ind w:left="154" w:right="1118"/>
        <w:jc w:val="left"/>
      </w:pPr>
      <w:r>
        <w:rPr>
          <w:spacing w:val="-2"/>
        </w:rPr>
        <w:t>其变动计入当期损益的金融负债，包括交易性金融负债和初始确认时指定为以公允价值计量且其变动计入当期损益的金融负</w:t>
      </w:r>
      <w:r>
        <w:rPr>
          <w:spacing w:val="-64"/>
        </w:rPr>
        <w:t> </w:t>
      </w:r>
      <w:r>
        <w:rPr>
          <w:spacing w:val="-64"/>
        </w:rPr>
      </w:r>
      <w:r>
        <w:rPr/>
        <w:t>债。</w:t>
      </w:r>
    </w:p>
    <w:p>
      <w:pPr>
        <w:pStyle w:val="BodyText"/>
        <w:spacing w:line="338" w:lineRule="auto" w:before="56"/>
        <w:ind w:left="514" w:right="1118"/>
        <w:jc w:val="left"/>
      </w:pPr>
      <w:r>
        <w:rPr/>
        <w:t>（</w:t>
      </w:r>
      <w:r>
        <w:rPr>
          <w:rFonts w:ascii="Times New Roman" w:hAnsi="Times New Roman" w:cs="Times New Roman" w:eastAsia="Times New Roman" w:hint="default"/>
        </w:rPr>
        <w:t>6</w:t>
      </w:r>
      <w:r>
        <w:rPr/>
        <w:t>）金融负债的计量 </w:t>
      </w:r>
      <w:r>
        <w:rPr>
          <w:spacing w:val="-2"/>
        </w:rPr>
        <w:t>金融负债于本公司成为金融工具合同的一方时，按公允价值在资产负债表内确认。以公允价值计量且其变动计入当期损</w:t>
      </w:r>
    </w:p>
    <w:p>
      <w:pPr>
        <w:pStyle w:val="BodyText"/>
        <w:spacing w:line="357" w:lineRule="auto" w:before="4"/>
        <w:ind w:right="1118" w:hanging="360"/>
        <w:jc w:val="left"/>
      </w:pPr>
      <w:r>
        <w:rPr/>
        <w:t>益的金融负债，取得时发生的相关交易费用直接计入当期损益；其他金融负债的相关交易费用计入初始确认金额。 </w:t>
      </w:r>
      <w:r>
        <w:rPr>
          <w:spacing w:val="-2"/>
        </w:rPr>
        <w:t>以公允价值计量且其变动计入当期损益的金融负债，按照公允价值后续计量，且不扣除将来结清金融负债时可能发生的</w:t>
      </w:r>
    </w:p>
    <w:p>
      <w:pPr>
        <w:pStyle w:val="BodyText"/>
        <w:spacing w:line="225" w:lineRule="exact"/>
        <w:ind w:left="153" w:right="1118"/>
        <w:jc w:val="left"/>
      </w:pPr>
      <w:r>
        <w:rPr/>
        <w:t>交易费用。其他金融负债，采用实际利率法，按照摊余成本进行后续计量。</w:t>
      </w:r>
    </w:p>
    <w:p>
      <w:pPr>
        <w:spacing w:after="0" w:line="225" w:lineRule="exact"/>
        <w:jc w:val="left"/>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338" w:lineRule="auto" w:before="44"/>
        <w:ind w:left="514" w:right="1118"/>
        <w:jc w:val="left"/>
      </w:pPr>
      <w:r>
        <w:rPr/>
        <w:t>（</w:t>
      </w:r>
      <w:r>
        <w:rPr>
          <w:rFonts w:ascii="Times New Roman" w:hAnsi="Times New Roman" w:cs="Times New Roman" w:eastAsia="Times New Roman" w:hint="default"/>
        </w:rPr>
        <w:t>7</w:t>
      </w:r>
      <w:r>
        <w:rPr/>
        <w:t>）金融资产和金融负债的公允价值的确定方法 </w:t>
      </w:r>
      <w:r>
        <w:rPr>
          <w:spacing w:val="-2"/>
        </w:rPr>
        <w:t>存在活跃市场的金融资产或金融负债，采用活跃市场中的报价确定其公允价值。金融工具不存在活跃市场的，采用估值</w:t>
      </w:r>
    </w:p>
    <w:p>
      <w:pPr>
        <w:pStyle w:val="BodyText"/>
        <w:spacing w:line="319" w:lineRule="auto" w:before="2"/>
        <w:ind w:left="154" w:right="1131"/>
        <w:jc w:val="both"/>
      </w:pPr>
      <w:r>
        <w:rPr>
          <w:spacing w:val="-2"/>
        </w:rPr>
        <w:t>技术确定其公允价值，估值技术包括参考熟悉情况并自愿交易的各方最近进行的市场交易中使用的价格、参照实质上相同的</w:t>
      </w:r>
      <w:r>
        <w:rPr>
          <w:spacing w:val="-64"/>
        </w:rPr>
        <w:t> </w:t>
      </w:r>
      <w:r>
        <w:rPr>
          <w:spacing w:val="-64"/>
        </w:rPr>
      </w:r>
      <w:r>
        <w:rPr/>
        <w:t>其他金融工具的当前公允价值、现金流量折现法和期权定价模型等。</w:t>
      </w:r>
    </w:p>
    <w:p>
      <w:pPr>
        <w:pStyle w:val="BodyText"/>
        <w:spacing w:line="338" w:lineRule="auto" w:before="58"/>
        <w:ind w:left="514" w:right="1118"/>
        <w:jc w:val="left"/>
      </w:pPr>
      <w:r>
        <w:rPr/>
        <w:t>（</w:t>
      </w:r>
      <w:r>
        <w:rPr>
          <w:rFonts w:ascii="Times New Roman" w:hAnsi="Times New Roman" w:cs="Times New Roman" w:eastAsia="Times New Roman" w:hint="default"/>
        </w:rPr>
        <w:t>8</w:t>
      </w:r>
      <w:r>
        <w:rPr/>
        <w:t>）金融资产减值测试方法及会计处理方法 </w:t>
      </w:r>
      <w:r>
        <w:rPr>
          <w:spacing w:val="-2"/>
        </w:rPr>
        <w:t>除以公允价值计量且其变动计入当期损益的金融资产外，本公司于资产负债表日对金融资产的账面价值进行检查，如果</w:t>
      </w:r>
    </w:p>
    <w:p>
      <w:pPr>
        <w:pStyle w:val="BodyText"/>
        <w:spacing w:line="357" w:lineRule="auto" w:before="4"/>
        <w:ind w:left="514" w:right="1118" w:hanging="360"/>
        <w:jc w:val="left"/>
      </w:pPr>
      <w:r>
        <w:rPr/>
        <w:t>有客观证据表明某项金融资产发生减值的，计提减值准备。 </w:t>
      </w: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p>
    <w:p>
      <w:pPr>
        <w:pStyle w:val="BodyText"/>
        <w:spacing w:line="201" w:lineRule="exact"/>
        <w:ind w:left="154" w:right="0"/>
        <w:jc w:val="left"/>
      </w:pPr>
      <w:r>
        <w:rPr/>
        <w:t>额，计提减值准备。如果有客观证据表明该金融资产价值已恢复，且客观上与确认该损失后发生的事项有关，原确认的减值</w:t>
      </w:r>
    </w:p>
    <w:p>
      <w:pPr>
        <w:pStyle w:val="BodyText"/>
        <w:spacing w:line="357" w:lineRule="auto" w:before="77"/>
        <w:ind w:left="514" w:right="1118" w:hanging="360"/>
        <w:jc w:val="left"/>
      </w:pPr>
      <w:r>
        <w:rPr/>
        <w:t>损失予以转回，计入当期损益。 </w:t>
      </w:r>
      <w:r>
        <w:rPr>
          <w:spacing w:val="-2"/>
        </w:rPr>
        <w:t>当可供出售金融资产的公允价值发生较大幅度或非暂时性下降，原直接计入所有者权益的因公允价值下降形成的累计损</w:t>
      </w:r>
    </w:p>
    <w:p>
      <w:pPr>
        <w:pStyle w:val="BodyText"/>
        <w:spacing w:line="224" w:lineRule="exact"/>
        <w:ind w:left="154" w:right="0"/>
        <w:jc w:val="left"/>
      </w:pPr>
      <w:r>
        <w:rPr/>
        <w:t>失计入减值损失。对已确认减值损失的可供出售债务工具投资，在期后公允价值上升且客观上与确认原减值损失确认后发生</w:t>
      </w:r>
    </w:p>
    <w:p>
      <w:pPr>
        <w:pStyle w:val="BodyText"/>
        <w:spacing w:line="319" w:lineRule="auto" w:before="76"/>
        <w:ind w:left="154" w:right="1131"/>
        <w:jc w:val="both"/>
      </w:pPr>
      <w:r>
        <w:rPr>
          <w:spacing w:val="-2"/>
        </w:rPr>
        <w:t>的事项有关的，原确认的减值损失予以转回，计入当期损益。对已确认减值损失的可供出售权益工具投资，在期后公允价值</w:t>
      </w:r>
      <w:r>
        <w:rPr>
          <w:spacing w:val="-66"/>
        </w:rPr>
        <w:t> </w:t>
      </w:r>
      <w:r>
        <w:rPr>
          <w:spacing w:val="-66"/>
        </w:rPr>
      </w:r>
      <w:r>
        <w:rPr>
          <w:spacing w:val="-2"/>
        </w:rPr>
        <w:t>上升且客观上与确认原减值损失后发生的事项有关的，原确认的减值损失予以转回，直接计入所有者权益。在活跃市场中没</w:t>
      </w:r>
      <w:r>
        <w:rPr>
          <w:spacing w:val="-66"/>
        </w:rPr>
        <w:t> </w:t>
      </w:r>
      <w:r>
        <w:rPr>
          <w:spacing w:val="-66"/>
        </w:rPr>
      </w:r>
      <w:r>
        <w:rPr/>
        <w:t>有报价且其公允价值不能可靠计量的权益工具投资发生的减值损失，如果在以后期间价值得以恢复，也不予转回。</w:t>
      </w:r>
    </w:p>
    <w:p>
      <w:pPr>
        <w:pStyle w:val="BodyText"/>
        <w:spacing w:line="240" w:lineRule="auto" w:before="55"/>
        <w:ind w:left="514" w:right="1118"/>
        <w:jc w:val="left"/>
      </w:pPr>
      <w:r>
        <w:rPr/>
        <w:t>可供出售金融资产</w:t>
      </w:r>
      <w:r>
        <w:rPr>
          <w:rFonts w:ascii="Times New Roman" w:hAnsi="Times New Roman" w:cs="Times New Roman" w:eastAsia="Times New Roman" w:hint="default"/>
        </w:rPr>
        <w:t>-</w:t>
      </w:r>
      <w:r>
        <w:rPr/>
        <w:t>权益工具投资减值认定标准：</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544"/>
        <w:gridCol w:w="5955"/>
      </w:tblGrid>
      <w:tr>
        <w:trPr>
          <w:trHeight w:val="654" w:hRule="exact"/>
        </w:trPr>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4"/>
                <w:sz w:val="18"/>
                <w:szCs w:val="18"/>
              </w:rPr>
              <w:t>公允价值发生“严重”或“非暂时性”下跌的</w:t>
            </w:r>
            <w:r>
              <w:rPr>
                <w:rFonts w:ascii="宋体" w:hAnsi="宋体" w:cs="宋体" w:eastAsia="宋体" w:hint="default"/>
                <w:sz w:val="18"/>
                <w:szCs w:val="18"/>
              </w:rPr>
              <w:t> 具体量化标准</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4"/>
              <w:jc w:val="left"/>
              <w:rPr>
                <w:rFonts w:ascii="宋体" w:hAnsi="宋体" w:cs="宋体" w:eastAsia="宋体" w:hint="default"/>
                <w:sz w:val="18"/>
                <w:szCs w:val="18"/>
              </w:rPr>
            </w:pPr>
            <w:r>
              <w:rPr>
                <w:rFonts w:ascii="宋体" w:hAnsi="宋体" w:cs="宋体" w:eastAsia="宋体" w:hint="default"/>
                <w:sz w:val="18"/>
                <w:szCs w:val="18"/>
              </w:rPr>
              <w:t>当公允价值低于其初始投资成本超过</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（含</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低于其初始投资成本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持续时间超过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个月（含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个月）的</w:t>
            </w:r>
          </w:p>
        </w:tc>
      </w:tr>
      <w:tr>
        <w:trPr>
          <w:trHeight w:val="654" w:hRule="exact"/>
        </w:trPr>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 w:right="9"/>
              <w:jc w:val="left"/>
              <w:rPr>
                <w:rFonts w:ascii="宋体" w:hAnsi="宋体" w:cs="宋体" w:eastAsia="宋体" w:hint="default"/>
                <w:sz w:val="18"/>
                <w:szCs w:val="18"/>
              </w:rPr>
            </w:pPr>
            <w:r>
              <w:rPr>
                <w:rFonts w:ascii="宋体" w:hAnsi="宋体" w:cs="宋体" w:eastAsia="宋体" w:hint="default"/>
                <w:spacing w:val="4"/>
                <w:sz w:val="18"/>
                <w:szCs w:val="18"/>
              </w:rPr>
              <w:t>成本指权益工具投资依据准则规定确定的账面初始投资成本扣除已收回或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摊销金额</w:t>
            </w:r>
          </w:p>
        </w:tc>
      </w:tr>
      <w:tr>
        <w:trPr>
          <w:trHeight w:val="654" w:hRule="exact"/>
        </w:trPr>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6" w:right="3"/>
              <w:jc w:val="left"/>
              <w:rPr>
                <w:rFonts w:ascii="宋体" w:hAnsi="宋体" w:cs="宋体" w:eastAsia="宋体" w:hint="default"/>
                <w:sz w:val="18"/>
                <w:szCs w:val="18"/>
              </w:rPr>
            </w:pPr>
            <w:r>
              <w:rPr>
                <w:rFonts w:ascii="宋体" w:hAnsi="宋体" w:cs="宋体" w:eastAsia="宋体" w:hint="default"/>
                <w:sz w:val="18"/>
                <w:szCs w:val="18"/>
              </w:rPr>
              <w:t>存在活跃市场的按期末市场公开价格确定；不存在活跃市场的按照类似金融 资产当时的市场收益率对未来现金流量进行折现确定为公允价值</w:t>
            </w:r>
          </w:p>
        </w:tc>
      </w:tr>
      <w:tr>
        <w:trPr>
          <w:trHeight w:val="654" w:hRule="exact"/>
        </w:trPr>
        <w:tc>
          <w:tcPr>
            <w:tcW w:w="3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 w:right="2"/>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宋体" w:hAnsi="宋体" w:cs="宋体" w:eastAsia="宋体" w:hint="default"/>
                <w:spacing w:val="-9"/>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，反弹持续时间未超</w:t>
            </w:r>
            <w:r>
              <w:rPr>
                <w:rFonts w:ascii="宋体" w:hAnsi="宋体" w:cs="宋体" w:eastAsia="宋体" w:hint="default"/>
                <w:sz w:val="18"/>
                <w:szCs w:val="18"/>
              </w:rPr>
              <w:t> 过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个月的均作为持续下跌期间</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0、应收款项" w:id="187"/>
      <w:bookmarkEnd w:id="187"/>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单项金额重大并单独计提坏账准备的应收款项" w:id="188"/>
      <w:bookmarkEnd w:id="18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811"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2"/>
              <w:ind w:left="22"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对于单项金额重大的应收款项（应收账款金额在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万元以上、其他应收</w:t>
            </w:r>
          </w:p>
          <w:p>
            <w:pPr>
              <w:pStyle w:val="TableParagraph"/>
              <w:spacing w:line="240" w:lineRule="exact" w:before="13"/>
              <w:ind w:left="22" w:right="21"/>
              <w:jc w:val="left"/>
              <w:rPr>
                <w:rFonts w:ascii="宋体" w:hAnsi="宋体" w:cs="宋体" w:eastAsia="宋体" w:hint="default"/>
                <w:sz w:val="18"/>
                <w:szCs w:val="18"/>
              </w:rPr>
            </w:pPr>
            <w:r>
              <w:rPr>
                <w:rFonts w:ascii="宋体" w:hAnsi="宋体" w:cs="宋体" w:eastAsia="宋体" w:hint="default"/>
                <w:sz w:val="18"/>
                <w:szCs w:val="18"/>
              </w:rPr>
              <w:t>款金额在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万元以上），当存在客观证据表明本公司将无法按应收款项的 原有条款收回所有款项时，确认相应的坏账准备。</w:t>
            </w:r>
          </w:p>
        </w:tc>
      </w:tr>
      <w:tr>
        <w:trPr>
          <w:trHeight w:val="715"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根据该款项预计未来现金流量现值低于其账面价值的差额，单独进行减值 测试，计提坏账准备。</w:t>
            </w:r>
          </w:p>
        </w:tc>
      </w:tr>
    </w:tbl>
    <w:p>
      <w:pPr>
        <w:spacing w:line="240" w:lineRule="auto" w:before="7"/>
        <w:rPr>
          <w:rFonts w:ascii="宋体" w:hAnsi="宋体" w:cs="宋体" w:eastAsia="宋体" w:hint="default"/>
          <w:b/>
          <w:bCs/>
          <w:sz w:val="19"/>
          <w:szCs w:val="19"/>
        </w:rPr>
      </w:pPr>
    </w:p>
    <w:p>
      <w:pPr>
        <w:pStyle w:val="Heading3"/>
        <w:spacing w:line="240" w:lineRule="auto" w:before="38"/>
        <w:ind w:right="1118"/>
        <w:jc w:val="left"/>
        <w:rPr>
          <w:b w:val="0"/>
          <w:bCs w:val="0"/>
        </w:rPr>
      </w:pPr>
      <w:bookmarkStart w:name="（2）按信用风险特征组合计提坏账准备的应收款项" w:id="189"/>
      <w:bookmarkEnd w:id="18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按账龄进行组合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关联方、押金备用金的组合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不计提坏账</w:t>
            </w:r>
          </w:p>
        </w:tc>
      </w:tr>
    </w:tbl>
    <w:p>
      <w:pPr>
        <w:pStyle w:val="BodyText"/>
        <w:spacing w:line="240" w:lineRule="auto" w:before="51"/>
        <w:ind w:left="514" w:right="1118"/>
        <w:jc w:val="left"/>
      </w:pPr>
      <w:r>
        <w:rPr/>
        <w:t>组合中，采用账龄分析法计提坏账准备的：</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415" w:lineRule="auto" w:before="44"/>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本公司及下属制造业板块子公司：</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6"/>
          <w:szCs w:val="6"/>
        </w:rPr>
      </w:pPr>
    </w:p>
    <w:p>
      <w:pPr>
        <w:pStyle w:val="BodyText"/>
        <w:spacing w:line="240" w:lineRule="auto" w:before="44"/>
        <w:ind w:left="514" w:right="1118"/>
        <w:jc w:val="left"/>
      </w:pPr>
      <w:r>
        <w:rPr/>
        <w:t>本公司下属软件和信息技术服务板块子公司：</w:t>
      </w:r>
    </w:p>
    <w:p>
      <w:pPr>
        <w:spacing w:line="240" w:lineRule="auto" w:before="3"/>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6"/>
          <w:szCs w:val="6"/>
        </w:rPr>
      </w:pPr>
    </w:p>
    <w:p>
      <w:pPr>
        <w:pStyle w:val="BodyText"/>
        <w:spacing w:line="240" w:lineRule="auto" w:before="44"/>
        <w:ind w:left="514" w:right="1118"/>
        <w:jc w:val="left"/>
      </w:pPr>
      <w:r>
        <w:rPr/>
        <w:t>组合中，采用余额百分比法计提坏账准备的：</w:t>
      </w:r>
    </w:p>
    <w:p>
      <w:pPr>
        <w:spacing w:line="240" w:lineRule="auto" w:before="0"/>
        <w:rPr>
          <w:rFonts w:ascii="宋体" w:hAnsi="宋体" w:cs="宋体" w:eastAsia="宋体" w:hint="default"/>
          <w:sz w:val="15"/>
          <w:szCs w:val="15"/>
        </w:rPr>
      </w:pPr>
    </w:p>
    <w:p>
      <w:pPr>
        <w:pStyle w:val="BodyText"/>
        <w:spacing w:line="415"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65"/>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单项金额不重大但单独计提坏账准备的应收款项" w:id="190"/>
      <w:bookmarkEnd w:id="19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410"/>
        <w:gridCol w:w="7159"/>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3"/>
              <w:jc w:val="left"/>
              <w:rPr>
                <w:rFonts w:ascii="宋体" w:hAnsi="宋体" w:cs="宋体" w:eastAsia="宋体" w:hint="default"/>
                <w:sz w:val="18"/>
                <w:szCs w:val="18"/>
              </w:rPr>
            </w:pPr>
            <w:r>
              <w:rPr>
                <w:rFonts w:ascii="宋体" w:hAnsi="宋体" w:cs="宋体" w:eastAsia="宋体" w:hint="default"/>
                <w:sz w:val="18"/>
                <w:szCs w:val="18"/>
              </w:rPr>
              <w:t>对于单项金额虽不重大的应收款项，当存在客观证据表明本公司将无法按应收款项的原有 条款收回所有款项时，确认相应的坏账准备。</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3"/>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根据该款项预计未来现金流量现值低于其账面价值的差额，单独进行减值测试，计提坏账 准备。</w:t>
            </w:r>
          </w:p>
        </w:tc>
      </w:tr>
    </w:tbl>
    <w:p>
      <w:pPr>
        <w:spacing w:line="240" w:lineRule="auto" w:before="8"/>
        <w:rPr>
          <w:rFonts w:ascii="宋体" w:hAnsi="宋体" w:cs="宋体" w:eastAsia="宋体" w:hint="default"/>
          <w:b/>
          <w:bCs/>
          <w:sz w:val="19"/>
          <w:szCs w:val="19"/>
        </w:rPr>
      </w:pPr>
    </w:p>
    <w:p>
      <w:pPr>
        <w:pStyle w:val="Heading3"/>
        <w:spacing w:line="240" w:lineRule="auto" w:before="38"/>
        <w:ind w:right="1118"/>
        <w:jc w:val="left"/>
        <w:rPr>
          <w:b w:val="0"/>
          <w:bCs w:val="0"/>
        </w:rPr>
      </w:pPr>
      <w:bookmarkStart w:name="11、存货" w:id="191"/>
      <w:bookmarkEnd w:id="191"/>
      <w:r>
        <w:rPr>
          <w:b w:val="0"/>
          <w:bCs w:val="0"/>
        </w:rPr>
      </w:r>
      <w:r>
        <w:rPr>
          <w:rFonts w:ascii="Times New Roman" w:hAnsi="Times New Roman" w:cs="Times New Roman" w:eastAsia="Times New Roman" w:hint="default"/>
        </w:rPr>
        <w:t>11</w:t>
      </w:r>
      <w:r>
        <w:rPr/>
        <w:t>、存货</w:t>
      </w:r>
      <w:r>
        <w:rPr>
          <w:b w:val="0"/>
          <w:bCs w:val="0"/>
        </w:rPr>
      </w:r>
    </w:p>
    <w:p>
      <w:pPr>
        <w:spacing w:line="240" w:lineRule="auto" w:before="12"/>
        <w:rPr>
          <w:rFonts w:ascii="宋体" w:hAnsi="宋体" w:cs="宋体" w:eastAsia="宋体" w:hint="default"/>
          <w:b/>
          <w:bCs/>
          <w:sz w:val="26"/>
          <w:szCs w:val="26"/>
        </w:rPr>
      </w:pPr>
    </w:p>
    <w:p>
      <w:pPr>
        <w:pStyle w:val="BodyText"/>
        <w:spacing w:line="357" w:lineRule="auto"/>
        <w:ind w:left="514" w:right="7332"/>
        <w:jc w:val="left"/>
      </w:pPr>
      <w:r>
        <w:rPr/>
        <w:t>公司是否需要遵守特殊行业的披露要求 否</w:t>
      </w:r>
    </w:p>
    <w:p>
      <w:pPr>
        <w:pStyle w:val="BodyText"/>
        <w:spacing w:line="338" w:lineRule="auto" w:before="29"/>
        <w:ind w:left="514" w:right="3912"/>
        <w:jc w:val="left"/>
      </w:pPr>
      <w:r>
        <w:rPr/>
        <w:t>（</w:t>
      </w:r>
      <w:r>
        <w:rPr>
          <w:rFonts w:ascii="Times New Roman" w:hAnsi="Times New Roman" w:cs="Times New Roman" w:eastAsia="Times New Roman" w:hint="default"/>
        </w:rPr>
        <w:t>1</w:t>
      </w:r>
      <w:r>
        <w:rPr/>
        <w:t>） 存货的类别 存货包括原材料、在产品、产成品和周转材料等，按成本与可变现净值孰低列示。</w:t>
      </w:r>
    </w:p>
    <w:p>
      <w:pPr>
        <w:pStyle w:val="BodyText"/>
        <w:spacing w:line="240" w:lineRule="auto" w:before="42"/>
        <w:ind w:right="1118"/>
        <w:jc w:val="left"/>
      </w:pPr>
      <w:r>
        <w:rPr/>
        <w:t>（</w:t>
      </w:r>
      <w:r>
        <w:rPr>
          <w:rFonts w:ascii="Times New Roman" w:hAnsi="Times New Roman" w:cs="Times New Roman" w:eastAsia="Times New Roman" w:hint="default"/>
        </w:rPr>
        <w:t>2</w:t>
      </w:r>
      <w:r>
        <w:rPr/>
        <w:t>） 发出存货的计价方法</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32" w:firstLine="360"/>
        <w:jc w:val="both"/>
      </w:pPr>
      <w:r>
        <w:rPr>
          <w:spacing w:val="-2"/>
        </w:rPr>
        <w:t>存货发出时的成本按加权平均法核算，产成品和在产品成本包括原材料、直接人工以及在正常生产能力下按照一定方法</w:t>
      </w:r>
      <w:r>
        <w:rPr/>
        <w:t> 分配的制造费用。周转材料包括低值易耗品和包装物等。</w:t>
      </w:r>
    </w:p>
    <w:p>
      <w:pPr>
        <w:pStyle w:val="BodyText"/>
        <w:spacing w:line="338" w:lineRule="auto" w:before="56"/>
        <w:ind w:left="514" w:right="1118"/>
        <w:jc w:val="left"/>
      </w:pPr>
      <w:r>
        <w:rPr/>
        <w:t>（</w:t>
      </w:r>
      <w:r>
        <w:rPr>
          <w:rFonts w:ascii="Times New Roman" w:hAnsi="Times New Roman" w:cs="Times New Roman" w:eastAsia="Times New Roman" w:hint="default"/>
        </w:rPr>
        <w:t>3</w:t>
      </w:r>
      <w:r>
        <w:rPr/>
        <w:t>） 确定不同类别存货可变现净值的依据 </w:t>
      </w:r>
      <w:r>
        <w:rPr>
          <w:spacing w:val="-2"/>
        </w:rPr>
        <w:t>存货成本高于其可变现净值的，计提存货跌价准备，计入当期损益。可变现净值，是指在日常活动中，存货的估计售价</w:t>
      </w:r>
    </w:p>
    <w:p>
      <w:pPr>
        <w:pStyle w:val="BodyText"/>
        <w:spacing w:line="319" w:lineRule="auto" w:before="3"/>
        <w:ind w:left="154" w:right="1118"/>
        <w:jc w:val="left"/>
      </w:pPr>
      <w:r>
        <w:rPr>
          <w:spacing w:val="-2"/>
        </w:rPr>
        <w:t>减去至完工时估计将要发生的成本、估计的销售费用以及相关税费后的金额。公司确定存货的可变现净值，以取得的确凿证</w:t>
      </w:r>
      <w:r>
        <w:rPr>
          <w:spacing w:val="-66"/>
        </w:rPr>
        <w:t> </w:t>
      </w:r>
      <w:r>
        <w:rPr>
          <w:spacing w:val="-66"/>
        </w:rPr>
      </w:r>
      <w:r>
        <w:rPr/>
        <w:t>据为基础，并且考虑持有存货的目的、资产负债表日后事项的影响等因素。</w:t>
      </w:r>
    </w:p>
    <w:p>
      <w:pPr>
        <w:pStyle w:val="BodyText"/>
        <w:spacing w:line="319" w:lineRule="auto" w:before="55"/>
        <w:ind w:left="153" w:right="1133" w:firstLine="360"/>
        <w:jc w:val="both"/>
      </w:pPr>
      <w:r>
        <w:rPr>
          <w:spacing w:val="-2"/>
        </w:rPr>
        <w:t>为生产而持有的材料等，用其生产的产成品的可变现净值高于成本的，该材料仍然按照成本计量；材料价格的下降表明</w:t>
      </w:r>
      <w:r>
        <w:rPr/>
        <w:t> 产成品的可变现净值低于成本的，该材料按照可变现净值计量。</w:t>
      </w:r>
    </w:p>
    <w:p>
      <w:pPr>
        <w:pStyle w:val="BodyText"/>
        <w:spacing w:line="319" w:lineRule="auto" w:before="55"/>
        <w:ind w:left="154" w:right="1132" w:firstLine="360"/>
        <w:jc w:val="both"/>
      </w:pPr>
      <w:r>
        <w:rPr>
          <w:spacing w:val="-2"/>
        </w:rPr>
        <w:t>为执行销售合同或者劳务合同而持有的存货，其可变现净值以合同价格为基础计算。持有存货的数量多于销售合同订购</w:t>
      </w:r>
      <w:r>
        <w:rPr/>
        <w:t> 数量的，超出部分的存货的可变现净值以一般销售价格为基础计算。</w:t>
      </w:r>
    </w:p>
    <w:p>
      <w:pPr>
        <w:pStyle w:val="BodyText"/>
        <w:spacing w:line="338" w:lineRule="auto" w:before="58"/>
        <w:ind w:left="514" w:right="7872"/>
        <w:jc w:val="left"/>
      </w:pPr>
      <w:r>
        <w:rPr/>
        <w:t>（</w:t>
      </w:r>
      <w:r>
        <w:rPr>
          <w:rFonts w:ascii="Times New Roman" w:hAnsi="Times New Roman" w:cs="Times New Roman" w:eastAsia="Times New Roman" w:hint="default"/>
        </w:rPr>
        <w:t>4</w:t>
      </w:r>
      <w:r>
        <w:rPr/>
        <w:t>） 存货的盘存制度 存货盘存制度采用永续盘存制。</w:t>
      </w:r>
    </w:p>
    <w:p>
      <w:pPr>
        <w:pStyle w:val="BodyText"/>
        <w:spacing w:line="352" w:lineRule="auto" w:before="42"/>
        <w:ind w:right="6613"/>
        <w:jc w:val="left"/>
      </w:pPr>
      <w:r>
        <w:rPr/>
        <w:t>（</w:t>
      </w:r>
      <w:r>
        <w:rPr>
          <w:rFonts w:ascii="Times New Roman" w:hAnsi="Times New Roman" w:cs="Times New Roman" w:eastAsia="Times New Roman" w:hint="default"/>
        </w:rPr>
        <w:t>5</w:t>
      </w:r>
      <w:r>
        <w:rPr/>
        <w:t>） 低值易耗品和包装物的摊销方法 低值易耗品在领用时采用一次转销法核算成本。 包装物在领用时采用一次转销法核算成本。 </w:t>
      </w:r>
      <w:r>
        <w:rPr>
          <w:rFonts w:ascii="Times New Roman" w:hAnsi="Times New Roman" w:cs="Times New Roman" w:eastAsia="Times New Roman" w:hint="default"/>
        </w:rPr>
        <w:t>12</w:t>
      </w:r>
      <w:r>
        <w:rPr/>
        <w:t>、持有待售资产</w:t>
      </w:r>
    </w:p>
    <w:p>
      <w:pPr>
        <w:pStyle w:val="BodyText"/>
        <w:spacing w:line="348" w:lineRule="auto" w:before="10"/>
        <w:ind w:right="4148"/>
        <w:jc w:val="left"/>
      </w:pPr>
      <w:r>
        <w:rPr/>
        <w:t>（</w:t>
      </w:r>
      <w:r>
        <w:rPr>
          <w:rFonts w:ascii="Times New Roman" w:hAnsi="Times New Roman" w:cs="Times New Roman" w:eastAsia="Times New Roman" w:hint="default"/>
        </w:rPr>
        <w:t>1</w:t>
      </w:r>
      <w:r>
        <w:rPr/>
        <w:t>）划分为持有待售类别的条件 同时满足下列条件的非流动资产或处置组，确认为持有待售类别： </w:t>
      </w:r>
      <w:r>
        <w:rPr>
          <w:rFonts w:ascii="Times New Roman" w:hAnsi="Times New Roman" w:cs="Times New Roman" w:eastAsia="Times New Roman" w:hint="default"/>
        </w:rPr>
        <w:t>a.</w:t>
      </w:r>
      <w:r>
        <w:rPr/>
        <w:t>根据类似交易中出售此类资产或处置组的惯例，在当前状况下即可立即出售；</w:t>
      </w:r>
    </w:p>
    <w:p>
      <w:pPr>
        <w:pStyle w:val="BodyText"/>
        <w:spacing w:line="302" w:lineRule="auto" w:before="12"/>
        <w:ind w:left="154" w:right="1131" w:firstLine="360"/>
        <w:jc w:val="both"/>
      </w:pPr>
      <w:r>
        <w:rPr>
          <w:rFonts w:ascii="Times New Roman" w:hAnsi="Times New Roman" w:cs="Times New Roman" w:eastAsia="Times New Roman" w:hint="default"/>
          <w:spacing w:val="-1"/>
        </w:rPr>
        <w:t>b.</w:t>
      </w:r>
      <w:r>
        <w:rPr>
          <w:spacing w:val="-1"/>
        </w:rPr>
        <w:t>出售极可能发生，即公司已经就一项出售计划作出决议且获得确定的购买承诺，预计出售将在一年内完成。有关规定</w:t>
      </w:r>
      <w:r>
        <w:rPr/>
        <w:t> 要求公司相关权力机构或者监管部门批准后方可出售的，已经获得批准。</w:t>
      </w:r>
    </w:p>
    <w:p>
      <w:pPr>
        <w:pStyle w:val="BodyText"/>
        <w:spacing w:line="319" w:lineRule="auto" w:before="68"/>
        <w:ind w:left="154" w:right="1133" w:firstLine="360"/>
        <w:jc w:val="both"/>
      </w:pPr>
      <w:r>
        <w:rPr>
          <w:spacing w:val="-2"/>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338" w:lineRule="auto" w:before="56"/>
        <w:ind w:left="514" w:right="1118"/>
        <w:jc w:val="left"/>
      </w:pPr>
      <w:r>
        <w:rPr/>
        <w:t>（</w:t>
      </w:r>
      <w:r>
        <w:rPr>
          <w:rFonts w:ascii="Times New Roman" w:hAnsi="Times New Roman" w:cs="Times New Roman" w:eastAsia="Times New Roman" w:hint="default"/>
        </w:rPr>
        <w:t>2</w:t>
      </w:r>
      <w:r>
        <w:rPr/>
        <w:t>）持有待售的非流动资产或处置组的计量 </w:t>
      </w:r>
      <w:r>
        <w:rPr>
          <w:spacing w:val="-2"/>
        </w:rPr>
        <w:t>公司初始计量或在资产负债表日重新计量持有待售的非流动资产或处置组时，其账面价值高于公允价值减去出售费用后</w:t>
      </w:r>
    </w:p>
    <w:p>
      <w:pPr>
        <w:pStyle w:val="BodyText"/>
        <w:spacing w:line="319" w:lineRule="auto" w:before="2"/>
        <w:ind w:left="154" w:right="1118"/>
        <w:jc w:val="left"/>
      </w:pPr>
      <w:r>
        <w:rPr>
          <w:spacing w:val="-2"/>
        </w:rPr>
        <w:t>的净额的，将账面价值减记至公允价值减去出售费用后的净额，减记的金额确认为资产减值损失，计入当期损益，同时计提</w:t>
      </w:r>
      <w:r>
        <w:rPr>
          <w:spacing w:val="-66"/>
        </w:rPr>
        <w:t> </w:t>
      </w:r>
      <w:r>
        <w:rPr>
          <w:spacing w:val="-66"/>
        </w:rPr>
      </w:r>
      <w:r>
        <w:rPr/>
        <w:t>持有待售资产减值准备。</w:t>
      </w:r>
    </w:p>
    <w:p>
      <w:pPr>
        <w:pStyle w:val="BodyText"/>
        <w:spacing w:line="319" w:lineRule="auto" w:before="55"/>
        <w:ind w:left="154" w:right="1131" w:firstLine="360"/>
        <w:jc w:val="both"/>
      </w:pPr>
      <w:r>
        <w:rPr>
          <w:spacing w:val="-2"/>
        </w:rPr>
        <w:t>对于取得日划分为持有待售类别的非流动资产或处置组，公司在初始计量时比较假定其不划分为持有待售类别情况下的</w:t>
      </w:r>
      <w:r>
        <w:rPr/>
        <w:t> </w:t>
      </w:r>
      <w:r>
        <w:rPr>
          <w:spacing w:val="-2"/>
        </w:rPr>
        <w:t>初始计量金额和公允价值减去出售费用后的净额，以两者孰低计量。除公司合并中取得的非流动资产或处置组外，由非流动</w:t>
      </w:r>
      <w:r>
        <w:rPr>
          <w:spacing w:val="-66"/>
        </w:rPr>
        <w:t> </w:t>
      </w:r>
      <w:r>
        <w:rPr>
          <w:spacing w:val="-66"/>
        </w:rPr>
      </w:r>
      <w:r>
        <w:rPr/>
        <w:t>资产或处置组以公允价值减去出售费用后的净额作为初始计量金额而产生的差额，计入当期损益。</w:t>
      </w:r>
    </w:p>
    <w:p>
      <w:pPr>
        <w:pStyle w:val="BodyText"/>
        <w:spacing w:line="319" w:lineRule="auto" w:before="55"/>
        <w:ind w:left="154" w:right="1043" w:firstLine="360"/>
        <w:jc w:val="both"/>
      </w:pPr>
      <w:r>
        <w:rPr/>
        <w:t>公司在资产负债表日重新计量持有待售的处置组时，首先按照相关会计准则规定计量处置组中资产和负债的账面价值， 然后按照上款的规定进行会计处理。</w:t>
      </w:r>
    </w:p>
    <w:p>
      <w:pPr>
        <w:pStyle w:val="BodyText"/>
        <w:spacing w:line="319" w:lineRule="auto" w:before="56"/>
        <w:ind w:left="154" w:right="1132" w:firstLine="360"/>
        <w:jc w:val="both"/>
      </w:pPr>
      <w:r>
        <w:rPr>
          <w:spacing w:val="-2"/>
        </w:rPr>
        <w:t>对于持有待售的处置组确认的资产减值损失金额，先抵减处置组中商誉的账面价值，再根据处置组中适用准则计量规定</w:t>
      </w:r>
      <w:r>
        <w:rPr/>
        <w:t> 的各项非流动资产账面价值所占比重，按比例抵减其账面价值。</w:t>
      </w:r>
    </w:p>
    <w:p>
      <w:pPr>
        <w:pStyle w:val="BodyText"/>
        <w:spacing w:line="319" w:lineRule="auto" w:before="55"/>
        <w:ind w:left="154" w:right="1130" w:firstLine="360"/>
        <w:jc w:val="both"/>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63"/>
        </w:rPr>
        <w:t> </w:t>
      </w:r>
      <w:r>
        <w:rPr>
          <w:spacing w:val="-63"/>
        </w:rPr>
      </w:r>
      <w:r>
        <w:rPr/>
        <w:t>失不得转回。</w:t>
      </w:r>
    </w:p>
    <w:p>
      <w:pPr>
        <w:pStyle w:val="BodyText"/>
        <w:spacing w:line="319" w:lineRule="auto" w:before="56"/>
        <w:ind w:left="154" w:right="1132" w:firstLine="360"/>
        <w:jc w:val="both"/>
      </w:pPr>
      <w:r>
        <w:rPr>
          <w:spacing w:val="-2"/>
        </w:rPr>
        <w:t>后续资产负债表日持有待售的处置组公允价值减去出售费用后的净额增加的，以前减记的金额予以恢复，并在划分为持</w:t>
      </w:r>
      <w:r>
        <w:rPr/>
        <w:t> </w:t>
      </w:r>
      <w:r>
        <w:rPr>
          <w:spacing w:val="-2"/>
        </w:rPr>
        <w:t>有待售类别后适用准则计量规定的非流动资产确认的资产减值损失金额内转回，转回金额计入当期损益。已抵减的商誉账面</w:t>
      </w:r>
      <w:r>
        <w:rPr>
          <w:spacing w:val="-64"/>
        </w:rPr>
        <w:t> </w:t>
      </w:r>
      <w:r>
        <w:rPr>
          <w:spacing w:val="-64"/>
        </w:rPr>
      </w:r>
      <w:r>
        <w:rPr/>
        <w:t>价值，以及适用准则计量规定的非流动资产在划分为持有待售类别前确认的资产减值损失不得转回。</w:t>
      </w:r>
    </w:p>
    <w:p>
      <w:pPr>
        <w:pStyle w:val="BodyText"/>
        <w:spacing w:line="240" w:lineRule="auto" w:before="56"/>
        <w:ind w:left="514" w:right="0"/>
        <w:jc w:val="left"/>
      </w:pPr>
      <w:r>
        <w:rPr/>
        <w:t>持有待售的处置组确认的资产减值损失后续转回金额</w:t>
      </w:r>
      <w:r>
        <w:rPr>
          <w:spacing w:val="-82"/>
        </w:rPr>
        <w:t>，</w:t>
      </w:r>
      <w:r>
        <w:rPr/>
        <w:t>根据处置组中除商誉外适用准则计量规定的各项非流动资产账面</w:t>
      </w:r>
    </w:p>
    <w:p>
      <w:pPr>
        <w:spacing w:after="0" w:line="240" w:lineRule="auto"/>
        <w:jc w:val="left"/>
        <w:sectPr>
          <w:footerReference w:type="default" r:id="rId19"/>
          <w:pgSz w:w="11910" w:h="16840"/>
          <w:pgMar w:footer="979" w:header="687" w:top="1140" w:bottom="1160" w:left="980" w:right="0"/>
        </w:sectPr>
      </w:pPr>
    </w:p>
    <w:p>
      <w:pPr>
        <w:spacing w:line="240" w:lineRule="auto" w:before="3"/>
        <w:rPr>
          <w:rFonts w:ascii="宋体" w:hAnsi="宋体" w:cs="宋体" w:eastAsia="宋体" w:hint="default"/>
          <w:sz w:val="20"/>
          <w:szCs w:val="20"/>
        </w:rPr>
      </w:pPr>
    </w:p>
    <w:p>
      <w:pPr>
        <w:pStyle w:val="BodyText"/>
        <w:spacing w:line="357" w:lineRule="auto" w:before="44"/>
        <w:ind w:left="514" w:right="1118" w:hanging="360"/>
        <w:jc w:val="left"/>
      </w:pPr>
      <w:r>
        <w:rPr/>
        <w:t>价值所占比重，按比例增加其账面价值。 </w:t>
      </w:r>
      <w:r>
        <w:rPr>
          <w:spacing w:val="-2"/>
        </w:rPr>
        <w:t>持有待售的非流动资产或处置组中的非流动资产不计提折旧或摊销，持有待售的处置组中负债的利息和其他费用继续予</w:t>
      </w:r>
    </w:p>
    <w:p>
      <w:pPr>
        <w:pStyle w:val="BodyText"/>
        <w:spacing w:line="225" w:lineRule="exact"/>
        <w:ind w:left="154" w:right="1118"/>
        <w:jc w:val="left"/>
      </w:pPr>
      <w:r>
        <w:rPr/>
        <w:t>以确认。</w:t>
      </w:r>
    </w:p>
    <w:p>
      <w:pPr>
        <w:pStyle w:val="BodyText"/>
        <w:spacing w:line="319" w:lineRule="auto" w:before="116"/>
        <w:ind w:left="154" w:right="1230" w:firstLine="360"/>
        <w:jc w:val="both"/>
      </w:pPr>
      <w:r>
        <w:rPr/>
        <w:t>非流动资产或处置组因不再满足持有待售类别的划分条件而不再继续划分为持有待售类别或非流动资产从持有待售的 处置组中移除时，按照以下两者孰低计量：</w:t>
      </w:r>
    </w:p>
    <w:p>
      <w:pPr>
        <w:pStyle w:val="BodyText"/>
        <w:spacing w:line="302" w:lineRule="auto" w:before="55"/>
        <w:ind w:left="154" w:right="1131" w:firstLine="360"/>
        <w:jc w:val="both"/>
      </w:pPr>
      <w:r>
        <w:rPr>
          <w:rFonts w:ascii="Times New Roman" w:hAnsi="Times New Roman" w:cs="Times New Roman" w:eastAsia="Times New Roman" w:hint="default"/>
          <w:spacing w:val="-1"/>
        </w:rPr>
        <w:t>a.</w:t>
      </w:r>
      <w:r>
        <w:rPr>
          <w:spacing w:val="-1"/>
        </w:rPr>
        <w:t>划分为持有待售类别前的账面价值，按照假定不划分为持有待售类别情况下本应确认的折旧、摊销或减值等进行调整</w:t>
      </w:r>
      <w:r>
        <w:rPr/>
        <w:t> 后的金额；</w:t>
      </w:r>
    </w:p>
    <w:p>
      <w:pPr>
        <w:pStyle w:val="BodyText"/>
        <w:spacing w:line="340" w:lineRule="auto" w:before="69"/>
        <w:ind w:left="514" w:right="3192"/>
        <w:jc w:val="left"/>
      </w:pPr>
      <w:r>
        <w:rPr>
          <w:rFonts w:ascii="Times New Roman" w:hAnsi="Times New Roman" w:cs="Times New Roman" w:eastAsia="Times New Roman" w:hint="default"/>
        </w:rPr>
        <w:t>b.</w:t>
      </w:r>
      <w:r>
        <w:rPr/>
        <w:t>可收回金额。 公司终止确认持有待售的非流动资产或处置组时，将尚未确认的利得或损失计入当期损益。</w:t>
      </w:r>
    </w:p>
    <w:p>
      <w:pPr>
        <w:spacing w:line="240" w:lineRule="auto" w:before="9"/>
        <w:rPr>
          <w:rFonts w:ascii="宋体" w:hAnsi="宋体" w:cs="宋体" w:eastAsia="宋体" w:hint="default"/>
          <w:sz w:val="21"/>
          <w:szCs w:val="21"/>
        </w:rPr>
      </w:pPr>
    </w:p>
    <w:p>
      <w:pPr>
        <w:pStyle w:val="Heading3"/>
        <w:spacing w:line="240" w:lineRule="auto"/>
        <w:ind w:left="556" w:right="1118"/>
        <w:jc w:val="left"/>
        <w:rPr>
          <w:b w:val="0"/>
          <w:bCs w:val="0"/>
        </w:rPr>
      </w:pPr>
      <w:bookmarkStart w:name="13、长期股权投资" w:id="192"/>
      <w:bookmarkEnd w:id="192"/>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right="1118"/>
        <w:jc w:val="left"/>
      </w:pPr>
      <w:r>
        <w:rPr/>
        <w:t>（</w:t>
      </w:r>
      <w:r>
        <w:rPr>
          <w:rFonts w:ascii="Times New Roman" w:hAnsi="Times New Roman" w:cs="Times New Roman" w:eastAsia="Times New Roman" w:hint="default"/>
        </w:rPr>
        <w:t>1</w:t>
      </w:r>
      <w:r>
        <w:rPr/>
        <w:t>）共同控制、重大影响的判断标准 </w:t>
      </w:r>
      <w:r>
        <w:rPr>
          <w:spacing w:val="-2"/>
        </w:rPr>
        <w:t>按照相关约定对某项安排所共有的控制，并且该安排的相关活动必须经过分享控制权的参与方一致同意后才能决策，则</w:t>
      </w:r>
    </w:p>
    <w:p>
      <w:pPr>
        <w:pStyle w:val="BodyText"/>
        <w:spacing w:line="357" w:lineRule="auto" w:before="4"/>
        <w:ind w:right="1118" w:hanging="360"/>
        <w:jc w:val="left"/>
      </w:pPr>
      <w:r>
        <w:rPr/>
        <w:t>视为共同控制。如果存在两个或两个以上的参与方组合能够集体控制某项安排的，不视为共同控制。 </w:t>
      </w:r>
      <w:r>
        <w:rPr>
          <w:spacing w:val="-2"/>
        </w:rPr>
        <w:t>对被投资单位的财务和经营政策有参与决策的权力，但并不能够控制或者与其他方一起共同控制这些政策的制定，则视</w:t>
      </w:r>
    </w:p>
    <w:p>
      <w:pPr>
        <w:pStyle w:val="BodyText"/>
        <w:spacing w:line="225" w:lineRule="exact"/>
        <w:ind w:left="153" w:right="1118"/>
        <w:jc w:val="left"/>
      </w:pPr>
      <w:r>
        <w:rPr/>
        <w:t>为对被投资单位实施重大影响。</w:t>
      </w:r>
    </w:p>
    <w:p>
      <w:pPr>
        <w:pStyle w:val="BodyText"/>
        <w:spacing w:line="240" w:lineRule="auto" w:before="117"/>
        <w:ind w:right="1118"/>
        <w:jc w:val="left"/>
      </w:pPr>
      <w:r>
        <w:rPr/>
        <w:t>（</w:t>
      </w:r>
      <w:r>
        <w:rPr>
          <w:rFonts w:ascii="Times New Roman" w:hAnsi="Times New Roman" w:cs="Times New Roman" w:eastAsia="Times New Roman" w:hint="default"/>
        </w:rPr>
        <w:t>2</w:t>
      </w:r>
      <w:r>
        <w:rPr/>
        <w:t>） 初始投资成本确定</w:t>
      </w:r>
    </w:p>
    <w:p>
      <w:pPr>
        <w:pStyle w:val="BodyText"/>
        <w:spacing w:line="302" w:lineRule="auto" w:before="101"/>
        <w:ind w:left="153" w:right="1043" w:firstLine="360"/>
        <w:jc w:val="both"/>
      </w:pPr>
      <w:r>
        <w:rPr/>
        <w:t>企业合并形成的长期股权投资，按照本附注</w:t>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t>同一控制下和非同一控制下企业合并的会计处理方法</w:t>
      </w:r>
      <w:r>
        <w:rPr>
          <w:rFonts w:ascii="Times New Roman" w:hAnsi="Times New Roman" w:cs="Times New Roman" w:eastAsia="Times New Roman" w:hint="default"/>
        </w:rPr>
        <w:t>”</w:t>
      </w:r>
      <w:r>
        <w:rPr/>
        <w:t>的相关内容确认 初始投资成本；除企业合并形成的长期股权投资以外，其他方式取得的长期股权投资，按照下述方法确认其初始投资成本：</w:t>
      </w:r>
    </w:p>
    <w:p>
      <w:pPr>
        <w:pStyle w:val="BodyText"/>
        <w:spacing w:line="302" w:lineRule="auto" w:before="68"/>
        <w:ind w:left="153" w:right="1131" w:firstLine="360"/>
        <w:jc w:val="both"/>
      </w:pPr>
      <w:r>
        <w:rPr>
          <w:rFonts w:ascii="Times New Roman" w:hAnsi="Times New Roman" w:cs="Times New Roman" w:eastAsia="Times New Roman" w:hint="default"/>
          <w:spacing w:val="-1"/>
        </w:rPr>
        <w:t>a.</w:t>
      </w:r>
      <w:r>
        <w:rPr>
          <w:spacing w:val="-1"/>
        </w:rPr>
        <w:t>以支付现金取得的长期股权投资，应当按照实际支付的购买价款作为初始投资成本。初始投资成本包括与取得长期股</w:t>
      </w:r>
      <w:r>
        <w:rPr/>
        <w:t> 权投资直接相关的费用、税金及其他必要支出。</w:t>
      </w:r>
    </w:p>
    <w:p>
      <w:pPr>
        <w:pStyle w:val="BodyText"/>
        <w:spacing w:line="302" w:lineRule="auto" w:before="69"/>
        <w:ind w:left="153" w:right="1131" w:firstLine="360"/>
        <w:jc w:val="both"/>
      </w:pPr>
      <w:r>
        <w:rPr>
          <w:rFonts w:ascii="Times New Roman" w:hAnsi="Times New Roman" w:cs="Times New Roman" w:eastAsia="Times New Roman" w:hint="default"/>
          <w:spacing w:val="-1"/>
        </w:rPr>
        <w:t>b.</w:t>
      </w:r>
      <w:r>
        <w:rPr>
          <w:spacing w:val="-1"/>
        </w:rPr>
        <w:t>以发行权益性证券取得的长期股权投资，应当按照发行权益性证券的公允价值作为初始投资成本。与发行权益行证券</w:t>
      </w:r>
      <w:r>
        <w:rPr/>
        <w:t> 直接相关的费用，应当按照《企业会计准则第</w:t>
      </w:r>
      <w:r>
        <w:rPr>
          <w:spacing w:val="-46"/>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金融工具列报》的有关规定确定。</w:t>
      </w:r>
    </w:p>
    <w:p>
      <w:pPr>
        <w:pStyle w:val="BodyText"/>
        <w:spacing w:line="309" w:lineRule="auto" w:before="49"/>
        <w:ind w:left="153" w:right="1131" w:firstLine="360"/>
        <w:jc w:val="both"/>
      </w:pPr>
      <w:r>
        <w:rPr>
          <w:rFonts w:ascii="Times New Roman" w:hAnsi="Times New Roman" w:cs="Times New Roman" w:eastAsia="Times New Roman" w:hint="default"/>
          <w:spacing w:val="-1"/>
        </w:rPr>
        <w:t>c.</w:t>
      </w:r>
      <w:r>
        <w:rPr>
          <w:spacing w:val="-1"/>
        </w:rPr>
        <w:t>在非货币性资产交换具备商业实质和换入资产或换出资产的公允价值能够可靠计量的前提下，非货币性资产交换换入</w:t>
      </w:r>
      <w:r>
        <w:rPr/>
        <w:t> </w:t>
      </w: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pStyle w:val="BodyText"/>
        <w:spacing w:line="240" w:lineRule="auto" w:before="64"/>
        <w:ind w:right="1118"/>
        <w:jc w:val="left"/>
      </w:pPr>
      <w:r>
        <w:rPr>
          <w:rFonts w:ascii="Times New Roman" w:hAnsi="Times New Roman" w:cs="Times New Roman" w:eastAsia="Times New Roman" w:hint="default"/>
        </w:rPr>
        <w:t>d.</w:t>
      </w:r>
      <w:r>
        <w:rPr/>
        <w:t>通过债务重组取得的长期股权投资，其初始投资成本按照公允价值为基础确定。</w:t>
      </w:r>
    </w:p>
    <w:p>
      <w:pPr>
        <w:pStyle w:val="BodyText"/>
        <w:spacing w:line="240" w:lineRule="auto" w:before="103"/>
        <w:ind w:right="1118"/>
        <w:jc w:val="left"/>
      </w:pPr>
      <w:r>
        <w:rPr/>
        <w:t>（</w:t>
      </w:r>
      <w:r>
        <w:rPr>
          <w:rFonts w:ascii="Times New Roman" w:hAnsi="Times New Roman" w:cs="Times New Roman" w:eastAsia="Times New Roman" w:hint="default"/>
        </w:rPr>
        <w:t>3</w:t>
      </w:r>
      <w:r>
        <w:rPr/>
        <w:t>） 后续计量及损益确认方法</w:t>
      </w:r>
    </w:p>
    <w:p>
      <w:pPr>
        <w:pStyle w:val="BodyText"/>
        <w:spacing w:line="338" w:lineRule="auto" w:before="102"/>
        <w:ind w:left="514" w:right="1118"/>
        <w:jc w:val="left"/>
      </w:pPr>
      <w:r>
        <w:rPr>
          <w:rFonts w:ascii="Times New Roman" w:hAnsi="Times New Roman" w:cs="Times New Roman" w:eastAsia="Times New Roman" w:hint="default"/>
        </w:rPr>
        <w:t>a.</w:t>
      </w:r>
      <w:r>
        <w:rPr/>
        <w:t>成本法后续计量 </w:t>
      </w:r>
      <w:r>
        <w:rPr>
          <w:spacing w:val="-2"/>
        </w:rPr>
        <w:t>公司能够对被投资单位实施控制的长期股权投资采用成本法核算，长期股权投资按照初始投资成本计价。追加或收回投</w:t>
      </w:r>
    </w:p>
    <w:p>
      <w:pPr>
        <w:pStyle w:val="BodyText"/>
        <w:spacing w:line="240" w:lineRule="auto" w:before="4"/>
        <w:ind w:left="154" w:right="1118"/>
        <w:jc w:val="left"/>
      </w:pPr>
      <w:r>
        <w:rPr/>
        <w:t>资调整长期股权投资的成本。被投资单位宣告分派的现金股利或利润，确认为当期投资收益。</w:t>
      </w:r>
    </w:p>
    <w:p>
      <w:pPr>
        <w:pStyle w:val="BodyText"/>
        <w:spacing w:line="338" w:lineRule="auto" w:before="117"/>
        <w:ind w:right="1118"/>
        <w:jc w:val="left"/>
      </w:pPr>
      <w:r>
        <w:rPr>
          <w:rFonts w:ascii="Times New Roman" w:hAnsi="Times New Roman" w:cs="Times New Roman" w:eastAsia="Times New Roman" w:hint="default"/>
        </w:rPr>
        <w:t>b.</w:t>
      </w:r>
      <w:r>
        <w:rPr/>
        <w:t>权益法后续计量 </w:t>
      </w:r>
      <w:r>
        <w:rPr>
          <w:spacing w:val="-2"/>
        </w:rPr>
        <w:t>公司对联营企业和合营企业的长期股权投资，采用权益法核算，长期股权投资的初始投资成本大于投资时应享有被投资</w:t>
      </w:r>
    </w:p>
    <w:p>
      <w:pPr>
        <w:pStyle w:val="BodyText"/>
        <w:spacing w:line="319" w:lineRule="auto" w:before="2"/>
        <w:ind w:left="153" w:right="1118"/>
        <w:jc w:val="left"/>
      </w:pPr>
      <w:r>
        <w:rPr>
          <w:spacing w:val="-2"/>
        </w:rPr>
        <w:t>单位可辨认净资产公允价值份额的，不调整长期股权投资的初始投资成本；长期股权投资的初始投资成本小于投资时应享有</w:t>
      </w:r>
      <w:r>
        <w:rPr>
          <w:spacing w:val="-64"/>
        </w:rPr>
        <w:t> </w:t>
      </w:r>
      <w:r>
        <w:rPr>
          <w:spacing w:val="-64"/>
        </w:rPr>
      </w:r>
      <w:r>
        <w:rPr/>
        <w:t>被投资单位可辨认净资产公允价值份额的，其差额计入当期损益，同时调整长期股权投资的成本。</w:t>
      </w:r>
    </w:p>
    <w:p>
      <w:pPr>
        <w:pStyle w:val="BodyText"/>
        <w:spacing w:line="316" w:lineRule="auto" w:before="55"/>
        <w:ind w:left="153" w:right="1131" w:firstLine="360"/>
        <w:jc w:val="both"/>
      </w:pPr>
      <w:r>
        <w:rPr>
          <w:spacing w:val="-2"/>
        </w:rPr>
        <w:t>采用权益法核算时，投资方取得长期股权投资后，按照应享有或应分担的被投资单位实现的净损益和其他综合收益的份</w:t>
      </w:r>
      <w:r>
        <w:rPr/>
        <w:t> </w:t>
      </w:r>
      <w:r>
        <w:rPr>
          <w:spacing w:val="-2"/>
        </w:rPr>
        <w:t>额，分别确认投资收益和其他综合收益，同时调整长期股权投资的账面价值；投资方按照被投资单位宣告分派的利润或现金</w:t>
      </w:r>
      <w:r>
        <w:rPr>
          <w:spacing w:val="-66"/>
        </w:rPr>
        <w:t> </w:t>
      </w:r>
      <w:r>
        <w:rPr>
          <w:spacing w:val="-66"/>
        </w:rPr>
      </w:r>
      <w:r>
        <w:rPr>
          <w:spacing w:val="-2"/>
        </w:rPr>
        <w:t>股利计算应享有的部分，相应减少长期股权投资的账面价值；投资方对于被投资单位除净损益、其他综合收益和利润分配以</w:t>
      </w:r>
      <w:r>
        <w:rPr>
          <w:spacing w:val="-66"/>
        </w:rPr>
        <w:t> </w:t>
      </w:r>
      <w:r>
        <w:rPr>
          <w:spacing w:val="-66"/>
        </w:rPr>
      </w:r>
      <w:r>
        <w:rPr>
          <w:spacing w:val="-2"/>
        </w:rPr>
        <w:t>外所有者权益的其他变动，调整长期股权投资的账面价值并计入所有者权益。投资方在确认应享有被投资单位净损益的份额</w:t>
      </w:r>
      <w:r>
        <w:rPr>
          <w:spacing w:val="-64"/>
        </w:rPr>
        <w:t> </w:t>
      </w:r>
      <w:r>
        <w:rPr>
          <w:spacing w:val="-64"/>
        </w:rPr>
      </w:r>
      <w:r>
        <w:rPr>
          <w:spacing w:val="-2"/>
        </w:rPr>
        <w:t>时，以取得投资时被投资单位可辨认净资产的公允价值为基础，对被投资单位的净利润进行调整后确认。被投资单位采用的</w:t>
      </w:r>
      <w:r>
        <w:rPr>
          <w:spacing w:val="-65"/>
        </w:rPr>
        <w:t> </w:t>
      </w:r>
      <w:r>
        <w:rPr>
          <w:spacing w:val="-65"/>
        </w:rPr>
      </w:r>
      <w:r>
        <w:rPr>
          <w:spacing w:val="-2"/>
        </w:rPr>
        <w:t>会计政策及会计期间与投资方不一致的，按照投资方的会计政策及会计期间对被投资单位的财务报表进行调整，并据以确认</w:t>
      </w:r>
    </w:p>
    <w:p>
      <w:pPr>
        <w:spacing w:after="0" w:line="316" w:lineRule="auto"/>
        <w:jc w:val="both"/>
        <w:sectPr>
          <w:footerReference w:type="default" r:id="rId20"/>
          <w:pgSz w:w="11910" w:h="16840"/>
          <w:pgMar w:footer="979" w:header="687" w:top="1140" w:bottom="1160" w:left="980" w:right="0"/>
          <w:pgNumType w:start="101"/>
        </w:sectPr>
      </w:pPr>
    </w:p>
    <w:p>
      <w:pPr>
        <w:spacing w:line="240" w:lineRule="auto" w:before="3"/>
        <w:rPr>
          <w:rFonts w:ascii="宋体" w:hAnsi="宋体" w:cs="宋体" w:eastAsia="宋体" w:hint="default"/>
          <w:sz w:val="20"/>
          <w:szCs w:val="20"/>
        </w:rPr>
      </w:pPr>
    </w:p>
    <w:p>
      <w:pPr>
        <w:pStyle w:val="BodyText"/>
        <w:spacing w:line="357" w:lineRule="auto" w:before="44"/>
        <w:ind w:left="514" w:right="1118" w:hanging="360"/>
        <w:jc w:val="left"/>
      </w:pPr>
      <w:r>
        <w:rPr/>
        <w:t>投资收益和其他综合收益等。 </w:t>
      </w:r>
      <w:r>
        <w:rPr>
          <w:spacing w:val="-2"/>
        </w:rPr>
        <w:t>投资方确认被投资单位发生的净亏损，以长期股权投资的账面价值以及其他实质上构成对被投资单位净投资的长期权益</w:t>
      </w:r>
    </w:p>
    <w:p>
      <w:pPr>
        <w:pStyle w:val="BodyText"/>
        <w:spacing w:line="224" w:lineRule="exact"/>
        <w:ind w:left="154" w:right="0"/>
        <w:jc w:val="left"/>
      </w:pPr>
      <w:r>
        <w:rPr/>
        <w:t>减记至零为限，投资方负有承担额外损失义务的除外。被投资单位以后实现净利润的，投资方在其收益分享额弥补未确认的</w:t>
      </w:r>
    </w:p>
    <w:p>
      <w:pPr>
        <w:pStyle w:val="BodyText"/>
        <w:spacing w:line="357" w:lineRule="auto" w:before="77"/>
        <w:ind w:left="514" w:right="1118" w:hanging="360"/>
        <w:jc w:val="left"/>
      </w:pPr>
      <w:r>
        <w:rPr/>
        <w:t>亏损分担额后，恢复确认收益分享额。 </w:t>
      </w:r>
      <w:r>
        <w:rPr>
          <w:spacing w:val="-2"/>
        </w:rPr>
        <w:t>投资方计算确认应享有或应分担被投资单位的净损益时，与联营企业、合营企业之间发生的未实现内部交易损益按照应</w:t>
      </w:r>
    </w:p>
    <w:p>
      <w:pPr>
        <w:pStyle w:val="BodyText"/>
        <w:spacing w:line="224" w:lineRule="exact"/>
        <w:ind w:left="154" w:right="0"/>
        <w:jc w:val="left"/>
      </w:pPr>
      <w:r>
        <w:rPr/>
        <w:t>享有的比例计算归属于投资方的部分，予以抵销，在此基础上确认投资收益。投资方与被投资单位发生的未实现内部交易损</w:t>
      </w:r>
    </w:p>
    <w:p>
      <w:pPr>
        <w:pStyle w:val="BodyText"/>
        <w:spacing w:line="338" w:lineRule="auto" w:before="77"/>
        <w:ind w:right="1118" w:hanging="360"/>
        <w:jc w:val="left"/>
      </w:pPr>
      <w:r>
        <w:rPr/>
        <w:t>失，按照《企业会计准则第</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资产减值》等的有关规定属于资产减值损失的，全额确认。 </w:t>
      </w:r>
      <w:r>
        <w:rPr>
          <w:spacing w:val="-2"/>
        </w:rPr>
        <w:t>投资方对联营企业的权益性投资，其中一部分通过风险投资机构、共同基金、信托公司或包括投连险基金在内的类似主</w:t>
      </w:r>
    </w:p>
    <w:p>
      <w:pPr>
        <w:pStyle w:val="BodyText"/>
        <w:spacing w:line="319" w:lineRule="auto" w:before="2"/>
        <w:ind w:left="153" w:right="1118"/>
        <w:jc w:val="left"/>
      </w:pPr>
      <w:r>
        <w:rPr>
          <w:spacing w:val="-2"/>
        </w:rPr>
        <w:t>体间接持有的，无论以上主体是否对这部分投资具有重大影响，投资方都按照金融工具政策的有关规定，对间接持有的该部</w:t>
      </w:r>
      <w:r>
        <w:rPr>
          <w:spacing w:val="-66"/>
        </w:rPr>
        <w:t> </w:t>
      </w:r>
      <w:r>
        <w:rPr>
          <w:spacing w:val="-66"/>
        </w:rPr>
      </w:r>
      <w:r>
        <w:rPr/>
        <w:t>分投资选择以公允价值计量且其变动计入损益，并对其余部分采用权益法核算。</w:t>
      </w:r>
    </w:p>
    <w:p>
      <w:pPr>
        <w:pStyle w:val="BodyText"/>
        <w:spacing w:line="240" w:lineRule="auto" w:before="56"/>
        <w:ind w:right="1118"/>
        <w:jc w:val="left"/>
      </w:pPr>
      <w:r>
        <w:rPr>
          <w:rFonts w:ascii="Times New Roman" w:hAnsi="Times New Roman" w:cs="Times New Roman" w:eastAsia="Times New Roman" w:hint="default"/>
        </w:rPr>
        <w:t>c.</w:t>
      </w:r>
      <w:r>
        <w:rPr/>
        <w:t>因追加投资等原因能够对被投资单位施加重大影响或实施共同控制但不构成控制的处理</w:t>
      </w:r>
    </w:p>
    <w:p>
      <w:pPr>
        <w:pStyle w:val="BodyText"/>
        <w:spacing w:line="309" w:lineRule="auto" w:before="102"/>
        <w:ind w:left="153" w:right="1033" w:firstLine="360"/>
        <w:jc w:val="left"/>
      </w:pPr>
      <w:r>
        <w:rPr/>
        <w:t>按照《企业会计准则第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金融工具确认和计量》确定的原持有的股权投资的公允价值加上新增投资成本之和， 作为改按权益法核算的初始投资成本。原持有的股权投资分类为可供出售金融资产的，其公允价值与账面价值之间的差额，</w:t>
      </w:r>
      <w:r>
        <w:rPr>
          <w:spacing w:val="-85"/>
        </w:rPr>
        <w:t> </w:t>
      </w:r>
      <w:r>
        <w:rPr>
          <w:spacing w:val="-85"/>
        </w:rPr>
      </w:r>
      <w:r>
        <w:rPr/>
        <w:t>以及原计入其他综合收益的累计公允价值变动转入改按权益法核算的当期损益。</w:t>
      </w:r>
    </w:p>
    <w:p>
      <w:pPr>
        <w:pStyle w:val="BodyText"/>
        <w:spacing w:line="338" w:lineRule="auto" w:before="64"/>
        <w:ind w:right="1233"/>
        <w:jc w:val="left"/>
        <w:rPr>
          <w:rFonts w:ascii="Times New Roman" w:hAnsi="Times New Roman" w:cs="Times New Roman" w:eastAsia="Times New Roman" w:hint="default"/>
        </w:rPr>
      </w:pPr>
      <w:r>
        <w:rPr>
          <w:rFonts w:ascii="Times New Roman" w:hAnsi="Times New Roman" w:cs="Times New Roman" w:eastAsia="Times New Roman" w:hint="default"/>
        </w:rPr>
        <w:t>d.</w:t>
      </w:r>
      <w:r>
        <w:rPr/>
        <w:t>处置部分股权的处理 因处置部分股权投资等原因丧失了对被投资单位的共同控制或重大影响的，处置后的剩余股权改按本附注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p>
    <w:p>
      <w:pPr>
        <w:pStyle w:val="BodyText"/>
        <w:spacing w:line="217" w:lineRule="exact"/>
        <w:ind w:left="153" w:right="0"/>
        <w:jc w:val="left"/>
      </w:pPr>
      <w:r>
        <w:rPr/>
        <w:t>的政策核算，其在丧失共同控制或重大影响之日的公允价值与账面价值之间的差额计入当期损益。原股权投资因采用权益法</w:t>
      </w:r>
    </w:p>
    <w:p>
      <w:pPr>
        <w:pStyle w:val="BodyText"/>
        <w:spacing w:line="357" w:lineRule="auto" w:before="77"/>
        <w:ind w:left="514" w:right="0" w:hanging="360"/>
        <w:jc w:val="left"/>
      </w:pPr>
      <w:r>
        <w:rPr>
          <w:spacing w:val="-2"/>
        </w:rPr>
        <w:t>核算而确认的其他综合收益，在终止采用权益法核算时采用与被投资单位直接处置相关资产或负债相同的基础进行会计处理。</w:t>
      </w:r>
      <w:r>
        <w:rPr>
          <w:spacing w:val="-62"/>
        </w:rPr>
        <w:t> </w:t>
      </w:r>
      <w:r>
        <w:rPr>
          <w:spacing w:val="-62"/>
        </w:rPr>
      </w:r>
      <w:r>
        <w:rPr/>
        <w:t>因处置部分权益性投资等原因丧失了对被投资单位的控制的，在编制个别财务报表时，处置后的剩余股权能够对被投资</w:t>
      </w:r>
    </w:p>
    <w:p>
      <w:pPr>
        <w:pStyle w:val="BodyText"/>
        <w:spacing w:line="224" w:lineRule="exact"/>
        <w:ind w:left="154" w:right="0"/>
        <w:jc w:val="left"/>
      </w:pPr>
      <w:r>
        <w:rPr/>
        <w:t>单位实施共同控制或施加重大影响的，改按权益法核算，并对该剩余股权视同自取得时即采用权益法核算进行调整；处置后</w:t>
      </w:r>
    </w:p>
    <w:p>
      <w:pPr>
        <w:pStyle w:val="BodyText"/>
        <w:spacing w:line="302" w:lineRule="auto" w:before="76"/>
        <w:ind w:left="153" w:right="1118"/>
        <w:jc w:val="left"/>
      </w:pPr>
      <w:r>
        <w:rPr>
          <w:spacing w:val="-2"/>
        </w:rPr>
        <w:t>的剩余股权不能对被投资单位实施共同控制或施加重大影响的，改按本附注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的有关政策进行会计处理，其在丧失</w:t>
      </w:r>
      <w:r>
        <w:rPr>
          <w:spacing w:val="-44"/>
        </w:rPr>
        <w:t> </w:t>
      </w:r>
      <w:r>
        <w:rPr>
          <w:spacing w:val="-44"/>
        </w:rPr>
      </w:r>
      <w:r>
        <w:rPr/>
        <w:t>控制之日的公允价值与账面价值间的差额计入当期损益。在编制合并财务报表时，按照本附注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的相关内容处理。</w:t>
      </w:r>
    </w:p>
    <w:p>
      <w:pPr>
        <w:pStyle w:val="BodyText"/>
        <w:spacing w:line="338" w:lineRule="auto" w:before="69"/>
        <w:ind w:right="1118"/>
        <w:jc w:val="left"/>
      </w:pPr>
      <w:r>
        <w:rPr>
          <w:rFonts w:ascii="Times New Roman" w:hAnsi="Times New Roman" w:cs="Times New Roman" w:eastAsia="Times New Roman" w:hint="default"/>
        </w:rPr>
        <w:t>e.</w:t>
      </w:r>
      <w:r>
        <w:rPr/>
        <w:t>对联营企业或合营企业的权益性投资全部或部分分类为持有待售资产的处理 </w:t>
      </w:r>
      <w:r>
        <w:rPr>
          <w:spacing w:val="-2"/>
        </w:rPr>
        <w:t>分类为持有待售资产的对联营企业或合营企业的权益性投资，以账面价值与公允价值减去处置费用孰低的金额列示，公</w:t>
      </w:r>
    </w:p>
    <w:p>
      <w:pPr>
        <w:pStyle w:val="BodyText"/>
        <w:spacing w:line="319" w:lineRule="auto" w:before="2"/>
        <w:ind w:left="153" w:right="1133"/>
        <w:jc w:val="both"/>
      </w:pPr>
      <w:r>
        <w:rPr>
          <w:spacing w:val="-2"/>
        </w:rPr>
        <w:t>允价值减去处置费用低于原账面价值的金额，确认为资产减值损失。对于未划分为持有待售资产的剩余权益性投资，采用权</w:t>
      </w:r>
      <w:r>
        <w:rPr>
          <w:spacing w:val="-66"/>
        </w:rPr>
        <w:t> </w:t>
      </w:r>
      <w:r>
        <w:rPr>
          <w:spacing w:val="-66"/>
        </w:rPr>
      </w:r>
      <w:r>
        <w:rPr>
          <w:spacing w:val="-2"/>
        </w:rPr>
        <w:t>益法进行会计处理。已划分为持有待售的对联营企业或合营企业的权益性投资，不再符合持有待售资产分类条件的，从被分</w:t>
      </w:r>
      <w:r>
        <w:rPr>
          <w:spacing w:val="-66"/>
        </w:rPr>
        <w:t> </w:t>
      </w:r>
      <w:r>
        <w:rPr>
          <w:spacing w:val="-66"/>
        </w:rPr>
      </w:r>
      <w:r>
        <w:rPr/>
        <w:t>类为持有待售资产之日起采用权益法进行追溯调整。分类为持有待售期间的财务报表作相应调整。</w:t>
      </w:r>
    </w:p>
    <w:p>
      <w:pPr>
        <w:pStyle w:val="BodyText"/>
        <w:spacing w:line="338" w:lineRule="auto" w:before="58"/>
        <w:ind w:left="514" w:right="1118"/>
        <w:jc w:val="left"/>
      </w:pPr>
      <w:r>
        <w:rPr>
          <w:rFonts w:ascii="Times New Roman" w:hAnsi="Times New Roman" w:cs="Times New Roman" w:eastAsia="Times New Roman" w:hint="default"/>
        </w:rPr>
        <w:t>f.</w:t>
      </w:r>
      <w:r>
        <w:rPr/>
        <w:t>处置长期股权投资的处理</w:t>
      </w:r>
      <w:r>
        <w:rPr>
          <w:w w:val="99"/>
        </w:rPr>
        <w:t> </w:t>
      </w:r>
      <w:r>
        <w:rPr>
          <w:spacing w:val="-2"/>
        </w:rPr>
        <w:t>处置长期股权投资，其账面价值与实际取得价款之间的差额，计入当期损益。采用权益法核算的长期股权投资，在处置</w:t>
      </w:r>
    </w:p>
    <w:p>
      <w:pPr>
        <w:pStyle w:val="BodyText"/>
        <w:spacing w:line="319" w:lineRule="auto" w:before="2"/>
        <w:ind w:left="154" w:right="1118"/>
        <w:jc w:val="left"/>
      </w:pPr>
      <w:r>
        <w:rPr>
          <w:spacing w:val="-2"/>
        </w:rPr>
        <w:t>该项投资时，采用与被投资单位直接处置相关资产或负债相同的基础，按相应比例对原计入其他综合收益的部分进行会计处</w:t>
      </w:r>
      <w:r>
        <w:rPr>
          <w:spacing w:val="-64"/>
        </w:rPr>
        <w:t> </w:t>
      </w:r>
      <w:r>
        <w:rPr>
          <w:spacing w:val="-64"/>
        </w:rPr>
      </w:r>
      <w:r>
        <w:rPr/>
        <w:t>理。</w:t>
      </w:r>
    </w:p>
    <w:p>
      <w:pPr>
        <w:spacing w:line="240" w:lineRule="auto" w:before="12"/>
        <w:rPr>
          <w:rFonts w:ascii="宋体" w:hAnsi="宋体" w:cs="宋体" w:eastAsia="宋体" w:hint="default"/>
          <w:sz w:val="22"/>
          <w:szCs w:val="22"/>
        </w:rPr>
      </w:pPr>
    </w:p>
    <w:p>
      <w:pPr>
        <w:pStyle w:val="Heading3"/>
        <w:spacing w:line="240" w:lineRule="auto"/>
        <w:ind w:right="1118"/>
        <w:jc w:val="left"/>
        <w:rPr>
          <w:b w:val="0"/>
          <w:bCs w:val="0"/>
        </w:rPr>
      </w:pPr>
      <w:bookmarkStart w:name="14、投资性房地产" w:id="193"/>
      <w:bookmarkEnd w:id="193"/>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12"/>
        <w:rPr>
          <w:rFonts w:ascii="宋体" w:hAnsi="宋体" w:cs="宋体" w:eastAsia="宋体" w:hint="default"/>
          <w:b/>
          <w:bCs/>
          <w:sz w:val="26"/>
          <w:szCs w:val="26"/>
        </w:rPr>
      </w:pPr>
    </w:p>
    <w:p>
      <w:pPr>
        <w:pStyle w:val="BodyText"/>
        <w:spacing w:line="360" w:lineRule="auto"/>
        <w:ind w:left="514" w:right="8592"/>
        <w:jc w:val="left"/>
      </w:pPr>
      <w:r>
        <w:rPr/>
        <w:t>投资性房地产计量模式 成本法计量 折旧或摊销方法</w:t>
      </w:r>
    </w:p>
    <w:p>
      <w:pPr>
        <w:pStyle w:val="BodyText"/>
        <w:spacing w:line="319" w:lineRule="auto" w:before="25"/>
        <w:ind w:left="154" w:right="1132" w:firstLine="360"/>
        <w:jc w:val="both"/>
      </w:pPr>
      <w:r>
        <w:rPr>
          <w:spacing w:val="-2"/>
        </w:rPr>
        <w:t>投资性房地产包括已出租持有并准备增值后转让的土地使用权以及已出租的建筑物，以实际成本进行初始计量。与投资</w:t>
      </w:r>
      <w:r>
        <w:rPr/>
        <w:t> </w:t>
      </w:r>
      <w:r>
        <w:rPr>
          <w:spacing w:val="-5"/>
        </w:rPr>
        <w:t>性房地产有关的后续支出，在相关的经济利益很可能流入本公司且其成本能够可靠的计量时，计入投资性房地产成本；否则，</w:t>
      </w:r>
      <w:r>
        <w:rPr>
          <w:spacing w:val="-79"/>
        </w:rPr>
        <w:t> </w:t>
      </w:r>
      <w:r>
        <w:rPr>
          <w:spacing w:val="-79"/>
        </w:rPr>
      </w:r>
      <w:r>
        <w:rPr/>
        <w:t>在发生时计入当期损益。</w:t>
      </w:r>
    </w:p>
    <w:p>
      <w:pPr>
        <w:pStyle w:val="BodyText"/>
        <w:spacing w:line="240" w:lineRule="auto" w:before="55"/>
        <w:ind w:left="514" w:right="0"/>
        <w:jc w:val="left"/>
      </w:pPr>
      <w:r>
        <w:rPr/>
        <w:t>本公司采用成本模式对所有投资性房地产进行后续计量</w:t>
      </w:r>
      <w:r>
        <w:rPr>
          <w:spacing w:val="-82"/>
        </w:rPr>
        <w:t>，</w:t>
      </w:r>
      <w:r>
        <w:rPr/>
        <w:t>按其预计使用寿命及净残值率对建筑物和土地使用权计提折旧</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240" w:lineRule="auto" w:before="44"/>
        <w:ind w:left="154" w:right="1118"/>
        <w:jc w:val="left"/>
      </w:pPr>
      <w:r>
        <w:rPr/>
        <w:t>或摊销。投资性房地产的预计使用寿命、净残值率及年折旧</w:t>
      </w:r>
      <w:r>
        <w:rPr>
          <w:rFonts w:ascii="Times New Roman" w:hAnsi="Times New Roman" w:cs="Times New Roman" w:eastAsia="Times New Roman" w:hint="default"/>
        </w:rPr>
        <w:t>(</w:t>
      </w:r>
      <w:r>
        <w:rPr/>
        <w:t>摊销</w:t>
      </w:r>
      <w:r>
        <w:rPr>
          <w:rFonts w:ascii="Times New Roman" w:hAnsi="Times New Roman" w:cs="Times New Roman" w:eastAsia="Times New Roman" w:hint="default"/>
        </w:rPr>
        <w:t>)</w:t>
      </w:r>
      <w:r>
        <w:rPr/>
        <w:t>率列示如下：</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553"/>
        <w:gridCol w:w="2552"/>
        <w:gridCol w:w="2268"/>
        <w:gridCol w:w="2126"/>
      </w:tblGrid>
      <w:tr>
        <w:trPr>
          <w:trHeight w:val="342" w:hRule="exact"/>
        </w:trPr>
        <w:tc>
          <w:tcPr>
            <w:tcW w:w="2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预计使用寿命</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4"/>
              <w:jc w:val="right"/>
              <w:rPr>
                <w:rFonts w:ascii="宋体" w:hAnsi="宋体" w:cs="宋体" w:eastAsia="宋体" w:hint="default"/>
                <w:sz w:val="18"/>
                <w:szCs w:val="18"/>
              </w:rPr>
            </w:pPr>
            <w:r>
              <w:rPr>
                <w:rFonts w:ascii="宋体" w:hAnsi="宋体" w:cs="宋体" w:eastAsia="宋体" w:hint="default"/>
                <w:sz w:val="18"/>
                <w:szCs w:val="18"/>
              </w:rPr>
              <w:t>预计净残值率</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年折旧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摊销</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r>
          </w:p>
        </w:tc>
      </w:tr>
      <w:tr>
        <w:trPr>
          <w:trHeight w:val="34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10%</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4.50%</w:t>
            </w:r>
          </w:p>
        </w:tc>
      </w:tr>
    </w:tbl>
    <w:p>
      <w:pPr>
        <w:spacing w:line="240" w:lineRule="auto" w:before="9"/>
        <w:rPr>
          <w:rFonts w:ascii="宋体" w:hAnsi="宋体" w:cs="宋体" w:eastAsia="宋体" w:hint="default"/>
          <w:sz w:val="19"/>
          <w:szCs w:val="19"/>
        </w:rPr>
      </w:pPr>
    </w:p>
    <w:p>
      <w:pPr>
        <w:pStyle w:val="Heading3"/>
        <w:spacing w:line="240" w:lineRule="auto" w:before="38"/>
        <w:ind w:right="1118"/>
        <w:jc w:val="left"/>
        <w:rPr>
          <w:b w:val="0"/>
          <w:bCs w:val="0"/>
        </w:rPr>
      </w:pPr>
      <w:bookmarkStart w:name="15、固定资产" w:id="194"/>
      <w:bookmarkEnd w:id="194"/>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left="153" w:right="1131" w:firstLine="360"/>
        <w:jc w:val="both"/>
      </w:pPr>
      <w:r>
        <w:rPr>
          <w:spacing w:val="-2"/>
        </w:rPr>
        <w:t>固定资产是指为生产商品、提供劳务、出租或经营管理而持有的，使用寿命超过一个会计年度的有形资产。固定资产同</w:t>
      </w:r>
      <w:r>
        <w:rPr/>
        <w:t> </w:t>
      </w:r>
      <w:r>
        <w:rPr>
          <w:spacing w:val="-2"/>
        </w:rPr>
        <w:t>时满足下列条件的，才能予以确认：</w:t>
      </w:r>
      <w:r>
        <w:rPr>
          <w:rFonts w:ascii="Times New Roman" w:hAnsi="Times New Roman" w:cs="Times New Roman" w:eastAsia="Times New Roman" w:hint="default"/>
          <w:spacing w:val="-2"/>
        </w:rPr>
        <w:t>1</w:t>
      </w:r>
      <w:r>
        <w:rPr>
          <w:spacing w:val="-2"/>
        </w:rPr>
        <w:t>）与该固定资产有关的经济利益很可能流入企业；</w:t>
      </w:r>
      <w:r>
        <w:rPr>
          <w:rFonts w:ascii="Times New Roman" w:hAnsi="Times New Roman" w:cs="Times New Roman" w:eastAsia="Times New Roman" w:hint="default"/>
          <w:spacing w:val="-2"/>
        </w:rPr>
        <w:t>2</w:t>
      </w:r>
      <w:r>
        <w:rPr>
          <w:spacing w:val="-2"/>
        </w:rPr>
        <w:t>）该固定资产的成本能够可靠地计</w:t>
      </w:r>
      <w:r>
        <w:rPr>
          <w:spacing w:val="-63"/>
        </w:rPr>
        <w:t> </w:t>
      </w:r>
      <w:r>
        <w:rPr>
          <w:spacing w:val="-63"/>
        </w:rPr>
      </w:r>
      <w:r>
        <w:rPr/>
        <w:t>量。</w:t>
      </w:r>
    </w:p>
    <w:p>
      <w:pPr>
        <w:spacing w:line="240" w:lineRule="auto" w:before="7"/>
        <w:rPr>
          <w:rFonts w:ascii="宋体" w:hAnsi="宋体" w:cs="宋体" w:eastAsia="宋体" w:hint="default"/>
          <w:sz w:val="23"/>
          <w:szCs w:val="23"/>
        </w:rPr>
      </w:pPr>
    </w:p>
    <w:p>
      <w:pPr>
        <w:pStyle w:val="Heading3"/>
        <w:spacing w:line="240" w:lineRule="auto"/>
        <w:ind w:right="1118"/>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18-23.75%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18-31.67%</w:t>
            </w:r>
          </w:p>
        </w:tc>
      </w:tr>
    </w:tbl>
    <w:p>
      <w:pPr>
        <w:spacing w:line="240" w:lineRule="auto" w:before="9"/>
        <w:rPr>
          <w:rFonts w:ascii="宋体" w:hAnsi="宋体" w:cs="宋体" w:eastAsia="宋体" w:hint="default"/>
          <w:b/>
          <w:bCs/>
          <w:sz w:val="19"/>
          <w:szCs w:val="19"/>
        </w:rPr>
      </w:pPr>
    </w:p>
    <w:p>
      <w:pPr>
        <w:pStyle w:val="Heading3"/>
        <w:spacing w:line="240" w:lineRule="auto" w:before="38"/>
        <w:ind w:right="1118"/>
        <w:jc w:val="left"/>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6、在建工程" w:id="198"/>
      <w:bookmarkEnd w:id="198"/>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11"/>
        <w:rPr>
          <w:rFonts w:ascii="宋体" w:hAnsi="宋体" w:cs="宋体" w:eastAsia="宋体" w:hint="default"/>
          <w:b/>
          <w:bCs/>
          <w:sz w:val="26"/>
          <w:szCs w:val="26"/>
        </w:rPr>
      </w:pPr>
    </w:p>
    <w:p>
      <w:pPr>
        <w:pStyle w:val="BodyText"/>
        <w:spacing w:line="441" w:lineRule="auto"/>
        <w:ind w:right="7333"/>
        <w:jc w:val="left"/>
      </w:pPr>
      <w:r>
        <w:rPr/>
        <w:t>公司是否需要遵守特殊行业的披露要求 否</w:t>
      </w:r>
    </w:p>
    <w:p>
      <w:pPr>
        <w:pStyle w:val="BodyText"/>
        <w:spacing w:line="199" w:lineRule="exact"/>
        <w:ind w:left="153" w:right="0" w:firstLine="360"/>
        <w:jc w:val="left"/>
      </w:pPr>
      <w:r>
        <w:rPr/>
        <w:t>在建工程按实际发生的成本计量。实际成本包括建筑费用、其他为使在建工程达到预定可使用状态所发生的必要支出以</w:t>
      </w:r>
    </w:p>
    <w:p>
      <w:pPr>
        <w:pStyle w:val="BodyText"/>
        <w:spacing w:line="316" w:lineRule="auto" w:before="76"/>
        <w:ind w:left="153" w:right="1118"/>
        <w:jc w:val="left"/>
      </w:pPr>
      <w:r>
        <w:rPr>
          <w:spacing w:val="-2"/>
        </w:rPr>
        <w:t>及在资产达到预定可使用状态之前所发生的符合资本化条件的借款费用。在建工程在达到预定可使用状态时，转入固定资产</w:t>
      </w:r>
      <w:r>
        <w:rPr>
          <w:spacing w:val="-64"/>
        </w:rPr>
        <w:t> </w:t>
      </w:r>
      <w:r>
        <w:rPr>
          <w:spacing w:val="-64"/>
        </w:rPr>
      </w:r>
      <w:r>
        <w:rPr/>
        <w:t>并自次月起开始计提折旧。</w:t>
      </w:r>
    </w:p>
    <w:p>
      <w:pPr>
        <w:spacing w:line="240" w:lineRule="auto" w:before="2"/>
        <w:rPr>
          <w:rFonts w:ascii="宋体" w:hAnsi="宋体" w:cs="宋体" w:eastAsia="宋体" w:hint="default"/>
          <w:sz w:val="23"/>
          <w:szCs w:val="23"/>
        </w:rPr>
      </w:pPr>
    </w:p>
    <w:p>
      <w:pPr>
        <w:pStyle w:val="Heading3"/>
        <w:spacing w:line="240" w:lineRule="auto"/>
        <w:ind w:right="1118"/>
        <w:jc w:val="left"/>
        <w:rPr>
          <w:b w:val="0"/>
          <w:bCs w:val="0"/>
        </w:rPr>
      </w:pPr>
      <w:bookmarkStart w:name="17、借款费用" w:id="199"/>
      <w:bookmarkEnd w:id="199"/>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left="153" w:right="1033" w:firstLine="360"/>
        <w:jc w:val="left"/>
      </w:pPr>
      <w:r>
        <w:rPr>
          <w:spacing w:val="-2"/>
        </w:rPr>
        <w:t>发生的可直接归属于需要经过相当长时间的购建活动才能达到预定可使用状态之固定资产的购建的借款费用，在资产支</w:t>
      </w:r>
      <w:r>
        <w:rPr/>
        <w:t> </w:t>
      </w:r>
      <w:r>
        <w:rPr>
          <w:spacing w:val="-2"/>
        </w:rPr>
        <w:t>出及借款费用已经发生、为使资产达到预定可使用状态所必要的购建活动已经开始时，开始资本化并计入该资产的成本。当</w:t>
      </w:r>
      <w:r>
        <w:rPr>
          <w:spacing w:val="-66"/>
        </w:rPr>
        <w:t> </w:t>
      </w:r>
      <w:r>
        <w:rPr>
          <w:spacing w:val="-66"/>
        </w:rPr>
      </w:r>
      <w:r>
        <w:rPr/>
        <w:t>购建的资产达到预定可使用状态时停止资本化，其后发生的借款费用计入当期损益。如果资产的购建活动发生非正常中断，</w:t>
      </w:r>
      <w:r>
        <w:rPr>
          <w:spacing w:val="-85"/>
        </w:rPr>
        <w:t> </w:t>
      </w:r>
      <w:r>
        <w:rPr>
          <w:spacing w:val="-85"/>
        </w:rPr>
      </w:r>
      <w:r>
        <w:rPr/>
        <w:t>并且中断时间连续超过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个月，暂停借款费用的资本化，直至资产的购建活动重新开始。</w:t>
      </w:r>
    </w:p>
    <w:p>
      <w:pPr>
        <w:pStyle w:val="BodyText"/>
        <w:spacing w:line="319" w:lineRule="auto" w:before="36"/>
        <w:ind w:left="153" w:right="1131" w:firstLine="360"/>
        <w:jc w:val="both"/>
      </w:pPr>
      <w:r>
        <w:rPr>
          <w:spacing w:val="-2"/>
        </w:rPr>
        <w:t>在资本化期间内，专门借款（指为购建或者生产符合资本化条件的资产而专门借入的款项）以专门借款当期实际发生的</w:t>
      </w:r>
      <w:r>
        <w:rPr/>
        <w:t> </w:t>
      </w:r>
      <w:r>
        <w:rPr>
          <w:spacing w:val="-2"/>
        </w:rPr>
        <w:t>利息费用，减去将尚未动用的借款资金存入银行取得的利息收入或进行暂时性投资取得的投资收益后确定应予资本化的利息</w:t>
      </w:r>
      <w:r>
        <w:rPr>
          <w:spacing w:val="-64"/>
        </w:rPr>
        <w:t> </w:t>
      </w:r>
      <w:r>
        <w:rPr>
          <w:spacing w:val="-64"/>
        </w:rPr>
      </w:r>
      <w:r>
        <w:rPr>
          <w:spacing w:val="-2"/>
        </w:rPr>
        <w:t>金额；一般借款则根据累计资产支出超过专门借款部分的资产支出加权平均数乘以所占用一般借款的资本化率，计算确定一</w:t>
      </w:r>
      <w:r>
        <w:rPr>
          <w:spacing w:val="-64"/>
        </w:rPr>
        <w:t> </w:t>
      </w:r>
      <w:r>
        <w:rPr>
          <w:spacing w:val="-64"/>
        </w:rPr>
      </w:r>
      <w:r>
        <w:rPr/>
        <w:t>般借款应予资本化的利息金额。资本化率根据一般借款加权平均利率计算确定。</w:t>
      </w:r>
    </w:p>
    <w:p>
      <w:pPr>
        <w:pStyle w:val="BodyText"/>
        <w:spacing w:line="240" w:lineRule="auto" w:before="56"/>
        <w:ind w:right="1118"/>
        <w:jc w:val="left"/>
      </w:pPr>
      <w:r>
        <w:rPr/>
        <w:t>借款存在折价或者溢价的，按照实际利率法确定每一会计期间应摊销的折价或者溢价金额，调整每期利息金额。</w:t>
      </w:r>
    </w:p>
    <w:p>
      <w:pPr>
        <w:spacing w:after="0" w:line="24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18、无形资产" w:id="200"/>
      <w:bookmarkEnd w:id="200"/>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计价方法、使用寿命、减值测试" w:id="201"/>
      <w:bookmarkEnd w:id="20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3"/>
        <w:rPr>
          <w:rFonts w:ascii="宋体" w:hAnsi="宋体" w:cs="宋体" w:eastAsia="宋体" w:hint="default"/>
          <w:b/>
          <w:bCs/>
          <w:sz w:val="26"/>
          <w:szCs w:val="26"/>
        </w:rPr>
      </w:pPr>
    </w:p>
    <w:p>
      <w:pPr>
        <w:pStyle w:val="BodyText"/>
        <w:spacing w:line="357" w:lineRule="auto"/>
        <w:ind w:right="1118"/>
        <w:jc w:val="left"/>
      </w:pPr>
      <w:r>
        <w:rPr/>
        <w:t>无形资产包括土地使用权、专利权及非专利技术等。无形资产以实际成本计量。 </w:t>
      </w:r>
      <w:r>
        <w:rPr>
          <w:spacing w:val="-2"/>
        </w:rPr>
        <w:t>土地使用权按使用年限平均摊销。外购土地及建筑物的价款难以在土地使用权与建筑物之间合理分配的，全部作为固定</w:t>
      </w:r>
    </w:p>
    <w:p>
      <w:pPr>
        <w:pStyle w:val="BodyText"/>
        <w:spacing w:line="360" w:lineRule="auto"/>
        <w:ind w:right="2833" w:hanging="360"/>
        <w:jc w:val="left"/>
      </w:pPr>
      <w:r>
        <w:rPr/>
        <w:t>资产。专利权按法律规定的有效年限平均摊销。 对使用寿命有限的无形资产的预计使用寿命及摊销方法于每年年度终了进行复核并作适当调整。</w:t>
      </w:r>
    </w:p>
    <w:p>
      <w:pPr>
        <w:spacing w:line="240" w:lineRule="auto" w:before="7"/>
        <w:rPr>
          <w:rFonts w:ascii="宋体" w:hAnsi="宋体" w:cs="宋体" w:eastAsia="宋体" w:hint="default"/>
          <w:sz w:val="20"/>
          <w:szCs w:val="20"/>
        </w:rPr>
      </w:pPr>
    </w:p>
    <w:p>
      <w:pPr>
        <w:pStyle w:val="Heading3"/>
        <w:spacing w:line="240" w:lineRule="auto"/>
        <w:ind w:left="556" w:right="1118"/>
        <w:jc w:val="left"/>
        <w:rPr>
          <w:b w:val="0"/>
          <w:bCs w:val="0"/>
        </w:rPr>
      </w:pPr>
      <w:bookmarkStart w:name="（2）内部研究开发支出会计政策" w:id="202"/>
      <w:bookmarkEnd w:id="20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left="153" w:right="1118" w:firstLine="360"/>
        <w:jc w:val="left"/>
      </w:pPr>
      <w:r>
        <w:rPr>
          <w:spacing w:val="-2"/>
        </w:rPr>
        <w:t>根据内部研究开发项目支出的性质以及研发活动最终形成无形资产是否具有较大不确定性，分为研究阶段支出和开发阶</w:t>
      </w:r>
      <w:r>
        <w:rPr/>
        <w:t> 段支出。</w:t>
      </w:r>
    </w:p>
    <w:p>
      <w:pPr>
        <w:pStyle w:val="BodyText"/>
        <w:spacing w:line="240" w:lineRule="auto" w:before="56"/>
        <w:ind w:left="514" w:right="1118"/>
        <w:jc w:val="left"/>
      </w:pPr>
      <w:r>
        <w:rPr/>
        <w:t>研究阶段的支出，于发生时计入当期损益；开发阶段的支出，同时满足下列条件的，确认为无形资产：</w:t>
      </w:r>
    </w:p>
    <w:p>
      <w:pPr>
        <w:pStyle w:val="BodyText"/>
        <w:spacing w:line="240" w:lineRule="auto" w:before="116"/>
        <w:ind w:right="1118"/>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right="1118"/>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102"/>
        <w:ind w:left="514" w:right="1118"/>
        <w:jc w:val="left"/>
      </w:pPr>
      <w:r>
        <w:rPr>
          <w:rFonts w:ascii="Times New Roman" w:hAnsi="Times New Roman" w:cs="Times New Roman" w:eastAsia="Times New Roman" w:hint="default"/>
        </w:rPr>
        <w:t>3</w:t>
      </w:r>
      <w:r>
        <w:rPr/>
        <w:t>）能够证明该无形资产将如何产生经济利益；</w:t>
      </w:r>
    </w:p>
    <w:p>
      <w:pPr>
        <w:pStyle w:val="BodyText"/>
        <w:spacing w:line="240" w:lineRule="auto" w:before="102"/>
        <w:ind w:left="514" w:right="1118"/>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52" w:lineRule="auto" w:before="103"/>
        <w:ind w:right="1213"/>
        <w:jc w:val="left"/>
      </w:pP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 当开发支出的可收回金额低于其账面价值时，账面价值减记至可收回金额。</w:t>
      </w:r>
    </w:p>
    <w:p>
      <w:pPr>
        <w:spacing w:line="240" w:lineRule="auto" w:before="13"/>
        <w:rPr>
          <w:rFonts w:ascii="宋体" w:hAnsi="宋体" w:cs="宋体" w:eastAsia="宋体" w:hint="default"/>
          <w:sz w:val="20"/>
          <w:szCs w:val="20"/>
        </w:rPr>
      </w:pPr>
    </w:p>
    <w:p>
      <w:pPr>
        <w:pStyle w:val="Heading3"/>
        <w:spacing w:line="240" w:lineRule="auto"/>
        <w:ind w:left="556" w:right="1118"/>
        <w:jc w:val="left"/>
        <w:rPr>
          <w:b w:val="0"/>
          <w:bCs w:val="0"/>
        </w:rPr>
      </w:pPr>
      <w:bookmarkStart w:name="19、长期资产减值" w:id="203"/>
      <w:bookmarkEnd w:id="203"/>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left="154" w:right="1130" w:firstLine="360"/>
        <w:jc w:val="both"/>
      </w:pPr>
      <w:r>
        <w:rPr>
          <w:spacing w:val="-2"/>
        </w:rPr>
        <w:t>在财务报表中单独列示的商誉和使用寿命不确定的无形资产，无论是否存在减值迹象，至少每年进行减值测试。固定资</w:t>
      </w:r>
      <w:r>
        <w:rPr/>
        <w:t> </w:t>
      </w:r>
      <w:r>
        <w:rPr>
          <w:spacing w:val="-2"/>
        </w:rPr>
        <w:t>产、无形资产、以成本模式计量的投资性房地产及长期股权投资等，于资产负债表日存在减值迹象的，进行减值测试。减值</w:t>
      </w:r>
      <w:r>
        <w:rPr>
          <w:spacing w:val="-66"/>
        </w:rPr>
        <w:t> </w:t>
      </w:r>
      <w:r>
        <w:rPr>
          <w:spacing w:val="-66"/>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4"/>
        </w:rPr>
        <w:t> </w:t>
      </w:r>
      <w:r>
        <w:rPr>
          <w:spacing w:val="-64"/>
        </w:rPr>
      </w:r>
      <w:r>
        <w:rPr>
          <w:spacing w:val="-2"/>
        </w:rPr>
        <w:t>果难以对单项资产的可收回金额进行估计的，以该资产所属的资产组确定资产组的可收回金额。资产组是能够独立产生现金</w:t>
      </w:r>
      <w:r>
        <w:rPr>
          <w:spacing w:val="-63"/>
        </w:rPr>
        <w:t> </w:t>
      </w:r>
      <w:r>
        <w:rPr>
          <w:spacing w:val="-63"/>
        </w:rPr>
      </w:r>
      <w:r>
        <w:rPr/>
        <w:t>流入的最小资产组合。前述资产减值损失一经确认，如果在以后期间价值得以恢复，也不予转回。</w:t>
      </w:r>
    </w:p>
    <w:p>
      <w:pPr>
        <w:spacing w:line="240" w:lineRule="auto" w:before="12"/>
        <w:rPr>
          <w:rFonts w:ascii="宋体" w:hAnsi="宋体" w:cs="宋体" w:eastAsia="宋体" w:hint="default"/>
          <w:sz w:val="22"/>
          <w:szCs w:val="22"/>
        </w:rPr>
      </w:pPr>
    </w:p>
    <w:p>
      <w:pPr>
        <w:pStyle w:val="Heading3"/>
        <w:spacing w:line="240" w:lineRule="auto"/>
        <w:ind w:left="556" w:right="1118"/>
        <w:jc w:val="left"/>
        <w:rPr>
          <w:b w:val="0"/>
          <w:bCs w:val="0"/>
        </w:rPr>
      </w:pPr>
      <w:bookmarkStart w:name="20、长期待摊费用" w:id="204"/>
      <w:bookmarkEnd w:id="204"/>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left="154" w:right="1212" w:firstLine="360"/>
        <w:jc w:val="left"/>
      </w:pPr>
      <w:r>
        <w:rPr/>
        <w:t>长期待摊费用包括经营租入固定资产改良及其他已经发生但应由本期和以后各期负担的分摊期限在一年以上的各项费 用，按预计受益期间分期平均摊销，并以实际支出减去累计摊销后的净额列示。</w:t>
      </w:r>
    </w:p>
    <w:p>
      <w:pPr>
        <w:spacing w:line="240" w:lineRule="auto" w:before="12"/>
        <w:rPr>
          <w:rFonts w:ascii="宋体" w:hAnsi="宋体" w:cs="宋体" w:eastAsia="宋体" w:hint="default"/>
          <w:sz w:val="22"/>
          <w:szCs w:val="22"/>
        </w:rPr>
      </w:pPr>
    </w:p>
    <w:p>
      <w:pPr>
        <w:pStyle w:val="Heading3"/>
        <w:spacing w:line="240" w:lineRule="auto"/>
        <w:ind w:left="556" w:right="1118"/>
        <w:jc w:val="left"/>
        <w:rPr>
          <w:b w:val="0"/>
          <w:bCs w:val="0"/>
        </w:rPr>
      </w:pPr>
      <w:bookmarkStart w:name="21、职工薪酬" w:id="205"/>
      <w:bookmarkEnd w:id="205"/>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短期薪酬的会计处理方法" w:id="206"/>
      <w:bookmarkEnd w:id="20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left="154" w:right="1032" w:firstLine="360"/>
        <w:jc w:val="left"/>
      </w:pPr>
      <w:r>
        <w:rPr>
          <w:spacing w:val="-2"/>
        </w:rPr>
        <w:t>在职工为公司提供服务的会计期间，将实际发生的短期薪酬确认为负债，并计入当期损益或相关资产成本。发生的职工</w:t>
      </w:r>
      <w:r>
        <w:rPr/>
        <w:t> 福利费，在实际发生时根据实际发生额计入当期损益或相关资产成本。职工福利费为非货币性福利的，按照公允价值计量。</w:t>
      </w:r>
    </w:p>
    <w:p>
      <w:pPr>
        <w:spacing w:after="0" w:line="316"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032"/>
        <w:jc w:val="left"/>
      </w:pPr>
      <w:r>
        <w:rPr>
          <w:spacing w:val="-2"/>
        </w:rPr>
        <w:t>为职工缴纳的医疗保险费、工伤保险费、生育保险费等社会保险费和住房公积金，以及按规定提取的工会经费和职工教育经</w:t>
      </w:r>
      <w:r>
        <w:rPr>
          <w:spacing w:val="-66"/>
        </w:rPr>
        <w:t> </w:t>
      </w:r>
      <w:r>
        <w:rPr>
          <w:spacing w:val="-66"/>
        </w:rPr>
      </w:r>
      <w:r>
        <w:rPr/>
        <w:t>费，在职工为公司提供服务的会计期间，根据规定的计提基础和计提比例计算确定相应的职工薪酬金额，并确认相应负债，</w:t>
      </w:r>
      <w:r>
        <w:rPr>
          <w:spacing w:val="-85"/>
        </w:rPr>
        <w:t> </w:t>
      </w:r>
      <w:r>
        <w:rPr>
          <w:spacing w:val="-85"/>
        </w:rPr>
      </w:r>
      <w:r>
        <w:rPr/>
        <w:t>计入当期损益或相关资产成本。</w:t>
      </w:r>
    </w:p>
    <w:p>
      <w:pPr>
        <w:pStyle w:val="BodyText"/>
        <w:spacing w:line="319" w:lineRule="auto" w:before="55"/>
        <w:ind w:left="154" w:right="1131" w:firstLine="360"/>
        <w:jc w:val="both"/>
      </w:pPr>
      <w:r>
        <w:rPr>
          <w:spacing w:val="-2"/>
        </w:rPr>
        <w:t>在职工提供服务从而增加了其未来享有的带薪缺勤权利时，确认与累积带薪缺勤相关的职工薪酬，并以累积未行使权利</w:t>
      </w:r>
      <w:r>
        <w:rPr/>
        <w:t> 而增加的预期支付金额计量。在职工实际发生缺勤的会计期间确认与非累积带薪缺勤相关的职工薪酬。</w:t>
      </w:r>
    </w:p>
    <w:p>
      <w:pPr>
        <w:pStyle w:val="BodyText"/>
        <w:spacing w:line="348" w:lineRule="auto" w:before="58"/>
        <w:ind w:right="4993"/>
        <w:jc w:val="left"/>
      </w:pPr>
      <w:r>
        <w:rPr/>
        <w:t>利润分享计划同时满足下列条件时，公司确认相关的应付职工薪酬： </w:t>
      </w:r>
      <w:r>
        <w:rPr>
          <w:rFonts w:ascii="Times New Roman" w:hAnsi="Times New Roman" w:cs="Times New Roman" w:eastAsia="Times New Roman" w:hint="default"/>
        </w:rPr>
        <w:t>a.</w:t>
      </w:r>
      <w:r>
        <w:rPr/>
        <w:t>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8"/>
        <w:rPr>
          <w:rFonts w:ascii="宋体" w:hAnsi="宋体" w:cs="宋体" w:eastAsia="宋体" w:hint="default"/>
          <w:sz w:val="19"/>
          <w:szCs w:val="19"/>
        </w:rPr>
      </w:pPr>
    </w:p>
    <w:p>
      <w:pPr>
        <w:pStyle w:val="Heading3"/>
        <w:spacing w:line="240" w:lineRule="auto"/>
        <w:ind w:right="1118"/>
        <w:jc w:val="left"/>
        <w:rPr>
          <w:b w:val="0"/>
          <w:bCs w:val="0"/>
        </w:rPr>
      </w:pPr>
      <w:bookmarkStart w:name="（2）离职后福利的会计处理方法" w:id="207"/>
      <w:bookmarkEnd w:id="20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ind w:left="514" w:right="1118"/>
        <w:jc w:val="left"/>
      </w:pPr>
      <w:r>
        <w:rPr>
          <w:rFonts w:ascii="Times New Roman" w:hAnsi="Times New Roman" w:cs="Times New Roman" w:eastAsia="Times New Roman" w:hint="default"/>
        </w:rPr>
        <w:t>1</w:t>
      </w:r>
      <w:r>
        <w:rPr/>
        <w:t>）设定提存计划 </w:t>
      </w:r>
      <w:r>
        <w:rPr>
          <w:spacing w:val="-2"/>
        </w:rPr>
        <w:t>公司在职工为其提供服务的会计期间，将根据设定提存计划计算的应缴存金额确认为负债，并计入当期损益或相关资产</w:t>
      </w:r>
    </w:p>
    <w:p>
      <w:pPr>
        <w:pStyle w:val="BodyText"/>
        <w:spacing w:line="319" w:lineRule="auto" w:before="2"/>
        <w:ind w:left="154" w:right="1118"/>
        <w:jc w:val="left"/>
      </w:pPr>
      <w:r>
        <w:rPr>
          <w:spacing w:val="-2"/>
        </w:rPr>
        <w:t>成本。根据设定提存计划，预期不会在职工提供相关服务的年度报告期结束后十二个月内支付全部应缴存金额的，公司将全</w:t>
      </w:r>
      <w:r>
        <w:rPr>
          <w:spacing w:val="-66"/>
        </w:rPr>
        <w:t> </w:t>
      </w:r>
      <w:r>
        <w:rPr>
          <w:spacing w:val="-66"/>
        </w:rPr>
      </w:r>
      <w:r>
        <w:rPr/>
        <w:t>部应缴存金额以折现后的金额计量应付职工薪酬。</w:t>
      </w:r>
    </w:p>
    <w:p>
      <w:pPr>
        <w:pStyle w:val="BodyText"/>
        <w:spacing w:line="338" w:lineRule="auto" w:before="56"/>
        <w:ind w:left="514" w:right="6252"/>
        <w:jc w:val="left"/>
      </w:pPr>
      <w:r>
        <w:rPr>
          <w:rFonts w:ascii="Times New Roman" w:hAnsi="Times New Roman" w:cs="Times New Roman" w:eastAsia="Times New Roman" w:hint="default"/>
        </w:rPr>
        <w:t>2</w:t>
      </w:r>
      <w:r>
        <w:rPr/>
        <w:t>）设定受益计划 公司对设定受益计划的会计处理包括下列四个步骤：</w:t>
      </w:r>
    </w:p>
    <w:p>
      <w:pPr>
        <w:pStyle w:val="BodyText"/>
        <w:spacing w:line="309" w:lineRule="auto" w:before="42"/>
        <w:ind w:left="154" w:right="1131" w:firstLine="360"/>
        <w:jc w:val="both"/>
      </w:pPr>
      <w:r>
        <w:rPr>
          <w:rFonts w:ascii="Times New Roman" w:hAnsi="Times New Roman" w:cs="Times New Roman" w:eastAsia="Times New Roman" w:hint="default"/>
          <w:spacing w:val="-1"/>
        </w:rPr>
        <w:t>a.</w:t>
      </w:r>
      <w:r>
        <w:rPr>
          <w:spacing w:val="-1"/>
        </w:rPr>
        <w:t>根据预期累计福利单位法，采用无偏且相互一致的精算假设对有关人口统计变量和财务变量等做出估计，计量设定受</w:t>
      </w:r>
      <w:r>
        <w:rPr/>
        <w:t> </w:t>
      </w:r>
      <w:r>
        <w:rPr>
          <w:spacing w:val="-2"/>
        </w:rPr>
        <w:t>益计划所产生的义务，并确定相关义务的归属期间。公司将设定受益计划所产生的义务予以折现，以确定设定受益计划义务</w:t>
      </w:r>
      <w:r>
        <w:rPr>
          <w:spacing w:val="-66"/>
        </w:rPr>
        <w:t> </w:t>
      </w:r>
      <w:r>
        <w:rPr>
          <w:spacing w:val="-66"/>
        </w:rPr>
      </w:r>
      <w:r>
        <w:rPr/>
        <w:t>的现值和当期服务成本。</w:t>
      </w:r>
    </w:p>
    <w:p>
      <w:pPr>
        <w:pStyle w:val="BodyText"/>
        <w:spacing w:line="309" w:lineRule="auto" w:before="62"/>
        <w:ind w:left="153" w:right="1132" w:firstLine="360"/>
        <w:jc w:val="both"/>
      </w:pPr>
      <w:r>
        <w:rPr>
          <w:rFonts w:ascii="Times New Roman" w:hAnsi="Times New Roman" w:cs="Times New Roman" w:eastAsia="Times New Roman" w:hint="default"/>
          <w:spacing w:val="-1"/>
        </w:rPr>
        <w:t>b.</w:t>
      </w:r>
      <w:r>
        <w:rPr>
          <w:spacing w:val="-1"/>
        </w:rPr>
        <w:t>设定受益计划存在资产的，公司将设定受益计划义务现值减去设定受益计划资产公允价值所形成的赤字或盈余确认为</w:t>
      </w:r>
      <w:r>
        <w:rPr/>
        <w:t> </w:t>
      </w:r>
      <w:r>
        <w:rPr>
          <w:spacing w:val="-2"/>
        </w:rPr>
        <w:t>一项设定受益计划净负债或净资产。设定受益计划存在盈余的，公司以设定受益计划的盈余和资产上限两项的孰低者计量设</w:t>
      </w:r>
      <w:r>
        <w:rPr>
          <w:spacing w:val="-64"/>
        </w:rPr>
        <w:t> </w:t>
      </w:r>
      <w:r>
        <w:rPr>
          <w:spacing w:val="-64"/>
        </w:rPr>
      </w:r>
      <w:r>
        <w:rPr/>
        <w:t>定受益计划净资产。</w:t>
      </w:r>
    </w:p>
    <w:p>
      <w:pPr>
        <w:pStyle w:val="BodyText"/>
        <w:spacing w:line="340" w:lineRule="auto" w:before="64"/>
        <w:ind w:right="7378"/>
        <w:jc w:val="left"/>
      </w:pPr>
      <w:r>
        <w:rPr>
          <w:rFonts w:ascii="Times New Roman" w:hAnsi="Times New Roman" w:cs="Times New Roman" w:eastAsia="Times New Roman" w:hint="default"/>
        </w:rPr>
        <w:t>c.</w:t>
      </w:r>
      <w:r>
        <w:rPr/>
        <w:t>确定应当计入当期损益的金额。 </w:t>
      </w:r>
      <w:r>
        <w:rPr>
          <w:rFonts w:ascii="Times New Roman" w:hAnsi="Times New Roman" w:cs="Times New Roman" w:eastAsia="Times New Roman" w:hint="default"/>
        </w:rPr>
        <w:t>d.</w:t>
      </w:r>
      <w:r>
        <w:rPr/>
        <w:t>确定应当计入其他综合收益的金额。</w:t>
      </w:r>
    </w:p>
    <w:p>
      <w:pPr>
        <w:pStyle w:val="BodyText"/>
        <w:spacing w:line="319" w:lineRule="auto" w:before="17"/>
        <w:ind w:left="153" w:right="1118" w:firstLine="360"/>
        <w:jc w:val="left"/>
      </w:pPr>
      <w:r>
        <w:rPr>
          <w:spacing w:val="-2"/>
        </w:rPr>
        <w:t>公司根据预期累计福利单位法确定的公式将设定受益计划产生的福利义务归属于职工提供服务的期间，并计入当期损益</w:t>
      </w:r>
      <w:r>
        <w:rPr/>
        <w:t> </w:t>
      </w:r>
      <w:r>
        <w:rPr>
          <w:spacing w:val="-2"/>
        </w:rPr>
        <w:t>或相关资产成本。当职工后续年度的服务将导致其享有的设定受益计划福利水平显著高于以前年度时，按照直线法将累计设</w:t>
      </w:r>
      <w:r>
        <w:rPr>
          <w:spacing w:val="-64"/>
        </w:rPr>
        <w:t> </w:t>
      </w:r>
      <w:r>
        <w:rPr>
          <w:spacing w:val="-64"/>
        </w:rPr>
      </w:r>
      <w:r>
        <w:rPr/>
        <w:t>定受益计划义务分摊确认于职工提供服务而导致企业第一次产生设定受益计划福利义务至职工提供服务不再导致该福利义</w:t>
      </w:r>
      <w:r>
        <w:rPr/>
        <w:t> 务显著增加的期间。</w:t>
      </w:r>
    </w:p>
    <w:p>
      <w:pPr>
        <w:pStyle w:val="BodyText"/>
        <w:spacing w:line="319" w:lineRule="auto" w:before="55"/>
        <w:ind w:left="153" w:right="1131" w:firstLine="360"/>
        <w:jc w:val="both"/>
      </w:pPr>
      <w:r>
        <w:rPr>
          <w:spacing w:val="-2"/>
        </w:rPr>
        <w:t>报告期末，公司将设定受益计划产生的职工薪酬成本确认为：服务成本、设定受益计划净负债或净资产的利息净额，以</w:t>
      </w:r>
      <w:r>
        <w:rPr/>
        <w:t> 及重新计量设定受益计划净负债或净资产所产生的变动。</w:t>
      </w:r>
    </w:p>
    <w:p>
      <w:pPr>
        <w:pStyle w:val="BodyText"/>
        <w:spacing w:line="240" w:lineRule="auto" w:before="58"/>
        <w:ind w:right="1118"/>
        <w:jc w:val="left"/>
      </w:pPr>
      <w:r>
        <w:rPr/>
        <w:t>在设定受益计划下，公司在下列日期孰早日将过去服务成本确认为当期费用：</w:t>
      </w:r>
    </w:p>
    <w:p>
      <w:pPr>
        <w:pStyle w:val="BodyText"/>
        <w:spacing w:line="338" w:lineRule="auto" w:before="116"/>
        <w:ind w:right="5893"/>
        <w:jc w:val="left"/>
      </w:pPr>
      <w:r>
        <w:rPr>
          <w:rFonts w:ascii="Times New Roman" w:hAnsi="Times New Roman" w:cs="Times New Roman" w:eastAsia="Times New Roman" w:hint="default"/>
        </w:rPr>
        <w:t>a.</w:t>
      </w:r>
      <w:r>
        <w:rPr/>
        <w:t>修改设定受益计划时； </w:t>
      </w:r>
      <w:r>
        <w:rPr>
          <w:rFonts w:ascii="Times New Roman" w:hAnsi="Times New Roman" w:cs="Times New Roman" w:eastAsia="Times New Roman" w:hint="default"/>
        </w:rPr>
        <w:t>b.</w:t>
      </w:r>
      <w:r>
        <w:rPr/>
        <w:t>企业确认相关重组费用或辞退福利时。 公司在设定受益计划结算时，确认一项结算利得或损失。</w:t>
      </w:r>
    </w:p>
    <w:p>
      <w:pPr>
        <w:spacing w:line="240" w:lineRule="auto" w:before="10"/>
        <w:rPr>
          <w:rFonts w:ascii="宋体" w:hAnsi="宋体" w:cs="宋体" w:eastAsia="宋体" w:hint="default"/>
          <w:sz w:val="21"/>
          <w:szCs w:val="21"/>
        </w:rPr>
      </w:pPr>
    </w:p>
    <w:p>
      <w:pPr>
        <w:pStyle w:val="Heading3"/>
        <w:spacing w:line="240" w:lineRule="auto"/>
        <w:ind w:right="1118"/>
        <w:jc w:val="left"/>
        <w:rPr>
          <w:b w:val="0"/>
          <w:bCs w:val="0"/>
        </w:rPr>
      </w:pPr>
      <w:bookmarkStart w:name="（3）辞退福利的会计处理方法" w:id="208"/>
      <w:bookmarkEnd w:id="20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3"/>
        <w:rPr>
          <w:rFonts w:ascii="宋体" w:hAnsi="宋体" w:cs="宋体" w:eastAsia="宋体" w:hint="default"/>
          <w:b/>
          <w:bCs/>
          <w:sz w:val="26"/>
          <w:szCs w:val="26"/>
        </w:rPr>
      </w:pPr>
    </w:p>
    <w:p>
      <w:pPr>
        <w:pStyle w:val="BodyText"/>
        <w:spacing w:line="345" w:lineRule="auto"/>
        <w:ind w:right="2293"/>
        <w:jc w:val="left"/>
      </w:pPr>
      <w:r>
        <w:rPr/>
        <w:t>公司向职工提供辞退福利的，在下列两者孰早日确认辞退福利产生的职工薪酬负债，并计入当期损益： </w:t>
      </w:r>
      <w:r>
        <w:rPr>
          <w:rFonts w:ascii="Times New Roman" w:hAnsi="Times New Roman" w:cs="Times New Roman" w:eastAsia="Times New Roman" w:hint="default"/>
        </w:rPr>
        <w:t>a.</w:t>
      </w:r>
      <w:r>
        <w:rPr/>
        <w:t>公司不能单方面撤回因解除劳动关系计划或裁减建议所提供的辞退福利时。 </w:t>
      </w:r>
      <w:r>
        <w:rPr>
          <w:rFonts w:ascii="Times New Roman" w:hAnsi="Times New Roman" w:cs="Times New Roman" w:eastAsia="Times New Roman" w:hint="default"/>
        </w:rPr>
        <w:t>b.</w:t>
      </w:r>
      <w:r>
        <w:rPr/>
        <w:t>公司确认与涉及支付辞退福利的重组相关的成本或费用时。 公司按照辞退计划条款的规定，合理预计并确认辞退福利产生的应付职工薪酬。</w:t>
      </w:r>
    </w:p>
    <w:p>
      <w:pPr>
        <w:spacing w:after="0" w:line="345"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4）其他长期职工福利的会计处理方法" w:id="209"/>
      <w:bookmarkEnd w:id="20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right="1033"/>
        <w:jc w:val="left"/>
      </w:pPr>
      <w:r>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w:t>
      </w:r>
    </w:p>
    <w:p>
      <w:pPr>
        <w:pStyle w:val="BodyText"/>
        <w:spacing w:line="345" w:lineRule="auto"/>
        <w:ind w:left="514" w:right="5587" w:hanging="360"/>
        <w:jc w:val="left"/>
      </w:pPr>
      <w:r>
        <w:rPr/>
        <w:t>将其他长期职工福利产生的职工薪酬成本确认为下列组成部分： </w:t>
      </w:r>
      <w:r>
        <w:rPr>
          <w:rFonts w:ascii="Times New Roman" w:hAnsi="Times New Roman" w:cs="Times New Roman" w:eastAsia="Times New Roman" w:hint="default"/>
        </w:rPr>
        <w:t>a.</w:t>
      </w:r>
      <w:r>
        <w:rPr/>
        <w:t>服务成本。 </w:t>
      </w: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w:t>
      </w:r>
    </w:p>
    <w:p>
      <w:pPr>
        <w:pStyle w:val="BodyText"/>
        <w:spacing w:line="357" w:lineRule="auto" w:before="16"/>
        <w:ind w:right="1118"/>
        <w:jc w:val="left"/>
      </w:pPr>
      <w:r>
        <w:rPr/>
        <w:t>为简化相关会计处理，上述项目的总净额应计入当期损益或相关资产成本。 </w:t>
      </w:r>
      <w:r>
        <w:rPr>
          <w:spacing w:val="-2"/>
        </w:rPr>
        <w:t>长期残疾福利水平取决于职工提供服务期间长短的，公司在职工提供服务的期间确认应付长期残疾福利义务；长期残疾</w:t>
      </w:r>
    </w:p>
    <w:p>
      <w:pPr>
        <w:pStyle w:val="BodyText"/>
        <w:spacing w:line="225" w:lineRule="exact"/>
        <w:ind w:left="153" w:right="1118"/>
        <w:jc w:val="left"/>
      </w:pPr>
      <w:r>
        <w:rPr/>
        <w:t>福利与职工提供服务期间长短无关的，公司在导致职工长期残疾的事件发生的当期确认应付长期残疾福利义务。</w:t>
      </w:r>
    </w:p>
    <w:p>
      <w:pPr>
        <w:spacing w:line="240" w:lineRule="auto" w:before="0"/>
        <w:rPr>
          <w:rFonts w:ascii="宋体" w:hAnsi="宋体" w:cs="宋体" w:eastAsia="宋体" w:hint="default"/>
          <w:sz w:val="18"/>
          <w:szCs w:val="18"/>
        </w:rPr>
      </w:pPr>
    </w:p>
    <w:p>
      <w:pPr>
        <w:pStyle w:val="Heading3"/>
        <w:spacing w:line="240" w:lineRule="auto" w:before="123"/>
        <w:ind w:left="556" w:right="1118"/>
        <w:jc w:val="left"/>
        <w:rPr>
          <w:b w:val="0"/>
          <w:bCs w:val="0"/>
        </w:rPr>
      </w:pPr>
      <w:bookmarkStart w:name="22、预计负债" w:id="210"/>
      <w:bookmarkEnd w:id="210"/>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12"/>
        <w:rPr>
          <w:rFonts w:ascii="宋体" w:hAnsi="宋体" w:cs="宋体" w:eastAsia="宋体" w:hint="default"/>
          <w:b/>
          <w:bCs/>
          <w:sz w:val="26"/>
          <w:szCs w:val="26"/>
        </w:rPr>
      </w:pPr>
    </w:p>
    <w:p>
      <w:pPr>
        <w:pStyle w:val="BodyText"/>
        <w:spacing w:line="319" w:lineRule="auto"/>
        <w:ind w:left="154" w:right="1117" w:firstLine="360"/>
        <w:jc w:val="left"/>
      </w:pPr>
      <w:r>
        <w:rPr>
          <w:spacing w:val="-5"/>
        </w:rPr>
        <w:t>对因产品质量保证、亏损合同等形成的现时义务，其履行很可能导致经济利益的流出，在该义务的金额能够可靠计量时，</w:t>
      </w:r>
      <w:r>
        <w:rPr/>
        <w:t> 确认为预计负债。对于未来经营亏损，不确认预计负债。</w:t>
      </w:r>
    </w:p>
    <w:p>
      <w:pPr>
        <w:pStyle w:val="BodyText"/>
        <w:spacing w:line="319" w:lineRule="auto" w:before="55"/>
        <w:ind w:left="154"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357" w:lineRule="auto" w:before="58"/>
        <w:ind w:right="1118"/>
        <w:jc w:val="left"/>
      </w:pPr>
      <w:r>
        <w:rPr/>
        <w:t>于资产负债表日，对预计负债的账面价值进行复核并作适当调整，以反映当前的最佳估计数。 </w:t>
      </w:r>
      <w:r>
        <w:rPr>
          <w:spacing w:val="-2"/>
        </w:rPr>
        <w:t>收入的金额按照本公司在日常经营活动中销售商品和提供劳务时，已收或应收合同或协议价款的公允价值确定。收入按</w:t>
      </w:r>
    </w:p>
    <w:p>
      <w:pPr>
        <w:pStyle w:val="BodyText"/>
        <w:spacing w:line="357" w:lineRule="auto"/>
        <w:ind w:left="514" w:right="1118" w:hanging="360"/>
        <w:jc w:val="left"/>
      </w:pPr>
      <w:r>
        <w:rPr/>
        <w:t>扣除增值税、商业折扣、销售折让及销售退回的净额列示。 </w:t>
      </w:r>
      <w:r>
        <w:rPr>
          <w:spacing w:val="-2"/>
        </w:rPr>
        <w:t>与交易相关的经济利益能够流入本公司，相关的收入能够可靠计量且满足下列各项经营活动的特定收入确认标准时，确</w:t>
      </w:r>
    </w:p>
    <w:p>
      <w:pPr>
        <w:pStyle w:val="BodyText"/>
        <w:spacing w:line="225" w:lineRule="exact"/>
        <w:ind w:left="154" w:right="1118"/>
        <w:jc w:val="left"/>
      </w:pPr>
      <w:r>
        <w:rPr/>
        <w:t>认相关的收入。</w:t>
      </w:r>
    </w:p>
    <w:p>
      <w:pPr>
        <w:spacing w:line="240" w:lineRule="auto" w:before="0"/>
        <w:rPr>
          <w:rFonts w:ascii="宋体" w:hAnsi="宋体" w:cs="宋体" w:eastAsia="宋体" w:hint="default"/>
          <w:sz w:val="18"/>
          <w:szCs w:val="18"/>
        </w:rPr>
      </w:pPr>
    </w:p>
    <w:p>
      <w:pPr>
        <w:pStyle w:val="Heading3"/>
        <w:spacing w:line="240" w:lineRule="auto" w:before="124"/>
        <w:ind w:left="556" w:right="1118"/>
        <w:jc w:val="left"/>
        <w:rPr>
          <w:b w:val="0"/>
          <w:bCs w:val="0"/>
        </w:rPr>
      </w:pPr>
      <w:bookmarkStart w:name="23、收入" w:id="211"/>
      <w:bookmarkEnd w:id="211"/>
      <w:r>
        <w:rPr>
          <w:b w:val="0"/>
          <w:bCs w:val="0"/>
        </w:rPr>
      </w:r>
      <w:r>
        <w:rPr>
          <w:rFonts w:ascii="Times New Roman" w:hAnsi="Times New Roman" w:cs="Times New Roman" w:eastAsia="Times New Roman" w:hint="default"/>
        </w:rPr>
        <w:t>23</w:t>
      </w:r>
      <w:r>
        <w:rPr/>
        <w:t>、收入</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left="514" w:right="7332"/>
        <w:jc w:val="left"/>
      </w:pPr>
      <w:r>
        <w:rPr/>
        <w:t>公司是否需要遵守特殊行业的披露要求 否</w:t>
      </w:r>
    </w:p>
    <w:p>
      <w:pPr>
        <w:pStyle w:val="BodyText"/>
        <w:spacing w:line="338" w:lineRule="auto" w:before="28"/>
        <w:ind w:right="1118"/>
        <w:jc w:val="left"/>
      </w:pPr>
      <w:r>
        <w:rPr/>
        <w:t>（</w:t>
      </w:r>
      <w:r>
        <w:rPr>
          <w:rFonts w:ascii="Times New Roman" w:hAnsi="Times New Roman" w:cs="Times New Roman" w:eastAsia="Times New Roman" w:hint="default"/>
        </w:rPr>
        <w:t>1</w:t>
      </w:r>
      <w:r>
        <w:rPr/>
        <w:t>）销售商品 </w:t>
      </w:r>
      <w:r>
        <w:rPr>
          <w:spacing w:val="-2"/>
        </w:rPr>
        <w:t>商品销售在商品所有权上的主要风险和报酬已转移给买方，本公司不再对该商品实施继续管理权和实际控制权，与交易</w:t>
      </w:r>
    </w:p>
    <w:p>
      <w:pPr>
        <w:pStyle w:val="BodyText"/>
        <w:spacing w:line="240" w:lineRule="auto" w:before="4"/>
        <w:ind w:left="153" w:right="1118"/>
        <w:jc w:val="left"/>
      </w:pPr>
      <w:r>
        <w:rPr/>
        <w:t>相关的经济利益很可能流入企业，并且与销售该商品相关的收入和成本能够可靠地计量时，确认营业收入的实现。</w:t>
      </w:r>
    </w:p>
    <w:p>
      <w:pPr>
        <w:pStyle w:val="BodyText"/>
        <w:spacing w:line="338" w:lineRule="auto" w:before="116"/>
        <w:ind w:right="1118"/>
        <w:jc w:val="left"/>
      </w:pPr>
      <w:r>
        <w:rPr/>
        <w:t>（</w:t>
      </w:r>
      <w:r>
        <w:rPr>
          <w:rFonts w:ascii="Times New Roman" w:hAnsi="Times New Roman" w:cs="Times New Roman" w:eastAsia="Times New Roman" w:hint="default"/>
        </w:rPr>
        <w:t>2</w:t>
      </w:r>
      <w:r>
        <w:rPr/>
        <w:t>）提供劳务 </w:t>
      </w:r>
      <w:r>
        <w:rPr>
          <w:spacing w:val="-5"/>
        </w:rPr>
        <w:t>提供的劳务在同一会计年度开始并完成的，在劳务已经提供，收到价款或取得收取价款的证据时，确认营业收入的实现；</w:t>
      </w:r>
    </w:p>
    <w:p>
      <w:pPr>
        <w:pStyle w:val="BodyText"/>
        <w:spacing w:line="319" w:lineRule="auto" w:before="2"/>
        <w:ind w:left="153" w:right="1133"/>
        <w:jc w:val="both"/>
      </w:pPr>
      <w:r>
        <w:rPr>
          <w:spacing w:val="-2"/>
        </w:rPr>
        <w:t>劳务的开始和完成分属不同会计年度的，在劳务合同的总收入、劳务的完成程度能够可靠地确定，与交易相关的价款能够流</w:t>
      </w:r>
      <w:r>
        <w:rPr>
          <w:spacing w:val="-66"/>
        </w:rPr>
        <w:t> </w:t>
      </w:r>
      <w:r>
        <w:rPr>
          <w:spacing w:val="-66"/>
        </w:rPr>
      </w:r>
      <w:r>
        <w:rPr>
          <w:spacing w:val="-2"/>
        </w:rPr>
        <w:t>入，已经发生的成本和为完成劳务将要发生的成本能够可靠地计量时，按完工百分比法确认营业收入的实现；长期合同工程</w:t>
      </w:r>
      <w:r>
        <w:rPr>
          <w:spacing w:val="-66"/>
        </w:rPr>
        <w:t> </w:t>
      </w:r>
      <w:r>
        <w:rPr>
          <w:spacing w:val="-66"/>
        </w:rPr>
      </w:r>
      <w:r>
        <w:rPr/>
        <w:t>在合同结果已经能够合理地预见时，按结账时已完成工程进度的百分比法确认营业收入的实现。</w:t>
      </w:r>
    </w:p>
    <w:p>
      <w:pPr>
        <w:pStyle w:val="BodyText"/>
        <w:spacing w:line="338" w:lineRule="auto" w:before="58"/>
        <w:ind w:left="514" w:right="1118"/>
        <w:jc w:val="left"/>
      </w:pPr>
      <w:r>
        <w:rPr/>
        <w:t>（</w:t>
      </w:r>
      <w:r>
        <w:rPr>
          <w:rFonts w:ascii="Times New Roman" w:hAnsi="Times New Roman" w:cs="Times New Roman" w:eastAsia="Times New Roman" w:hint="default"/>
        </w:rPr>
        <w:t>3</w:t>
      </w:r>
      <w:r>
        <w:rPr/>
        <w:t>）让渡资产使用权 </w:t>
      </w:r>
      <w:r>
        <w:rPr>
          <w:spacing w:val="-2"/>
        </w:rPr>
        <w:t>让渡资产使用权取得的利息收入和使用费收入，在与交易相关的经济利益能够流入企业，且收入的金额能够可靠地计量</w:t>
      </w:r>
    </w:p>
    <w:p>
      <w:pPr>
        <w:pStyle w:val="BodyText"/>
        <w:spacing w:line="240" w:lineRule="auto" w:before="4"/>
        <w:ind w:left="154" w:right="1118"/>
        <w:jc w:val="left"/>
      </w:pPr>
      <w:r>
        <w:rPr/>
        <w:t>时，确认收入的实现。</w:t>
      </w:r>
    </w:p>
    <w:p>
      <w:pPr>
        <w:pStyle w:val="BodyText"/>
        <w:spacing w:line="240" w:lineRule="auto" w:before="116"/>
        <w:ind w:left="514" w:right="1118"/>
        <w:jc w:val="left"/>
      </w:pPr>
      <w:r>
        <w:rPr/>
        <w:t>（</w:t>
      </w:r>
      <w:r>
        <w:rPr>
          <w:rFonts w:ascii="Times New Roman" w:hAnsi="Times New Roman" w:cs="Times New Roman" w:eastAsia="Times New Roman" w:hint="default"/>
        </w:rPr>
        <w:t>4</w:t>
      </w:r>
      <w:r>
        <w:rPr/>
        <w:t>）各收入类别的具体确认原则及方法</w:t>
      </w:r>
    </w:p>
    <w:p>
      <w:pPr>
        <w:pStyle w:val="BodyText"/>
        <w:spacing w:line="240" w:lineRule="auto" w:before="102"/>
        <w:ind w:right="1118"/>
        <w:jc w:val="left"/>
      </w:pPr>
      <w:r>
        <w:rPr>
          <w:rFonts w:ascii="Times New Roman" w:hAnsi="Times New Roman" w:cs="Times New Roman" w:eastAsia="Times New Roman" w:hint="default"/>
        </w:rPr>
        <w:t>a.</w:t>
      </w:r>
      <w:r>
        <w:rPr/>
        <w:t>热处理设备收入的确认原则及方法</w:t>
      </w:r>
    </w:p>
    <w:p>
      <w:pPr>
        <w:spacing w:after="0" w:line="24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19" w:lineRule="auto" w:before="44"/>
        <w:ind w:left="154" w:right="1132" w:firstLine="360"/>
        <w:jc w:val="both"/>
      </w:pPr>
      <w:r>
        <w:rPr>
          <w:spacing w:val="-2"/>
        </w:rPr>
        <w:t>热处理设备销售在设备完成终验收，产品所有权上的主要风险和报酬已转移给买方，本公司不再对该设备实施继续管理</w:t>
      </w:r>
      <w:r>
        <w:rPr/>
        <w:t> </w:t>
      </w:r>
      <w:r>
        <w:rPr>
          <w:spacing w:val="-2"/>
        </w:rPr>
        <w:t>权和实际控制权，与交易相关的经济利益很可能流入企业，并且与销售该设备相关的收入和成本能够可靠地计量时，确认营</w:t>
      </w:r>
      <w:r>
        <w:rPr>
          <w:spacing w:val="-66"/>
        </w:rPr>
        <w:t> </w:t>
      </w:r>
      <w:r>
        <w:rPr>
          <w:spacing w:val="-66"/>
        </w:rPr>
      </w:r>
      <w:r>
        <w:rPr/>
        <w:t>业收入的实现。</w:t>
      </w:r>
    </w:p>
    <w:p>
      <w:pPr>
        <w:pStyle w:val="BodyText"/>
        <w:spacing w:line="345" w:lineRule="auto" w:before="56"/>
        <w:ind w:right="1118"/>
        <w:jc w:val="left"/>
      </w:pPr>
      <w:r>
        <w:rPr>
          <w:rFonts w:ascii="Times New Roman" w:hAnsi="Times New Roman" w:cs="Times New Roman" w:eastAsia="Times New Roman" w:hint="default"/>
        </w:rPr>
        <w:t>b.</w:t>
      </w:r>
      <w:r>
        <w:rPr/>
        <w:t>热处理加工收入的确认原则及方法 热处理加工收入在加工服务已经提供，收到价款或取得收取价款的证据时，确认营业收入的实现。 </w:t>
      </w:r>
      <w:r>
        <w:rPr>
          <w:rFonts w:ascii="Times New Roman" w:hAnsi="Times New Roman" w:cs="Times New Roman" w:eastAsia="Times New Roman" w:hint="default"/>
        </w:rPr>
        <w:t>c.</w:t>
      </w:r>
      <w:r>
        <w:rPr/>
        <w:t>财税云服务收入的确认原则及方法 </w:t>
      </w:r>
      <w:r>
        <w:rPr>
          <w:spacing w:val="-2"/>
        </w:rPr>
        <w:t>财税云服务业务系公司以自主研发的企业云服务产品为纳税用户提供专业互联网财税服务，包括自营模式、合作销售模</w:t>
      </w:r>
    </w:p>
    <w:p>
      <w:pPr>
        <w:pStyle w:val="BodyText"/>
        <w:spacing w:line="319" w:lineRule="auto"/>
        <w:ind w:left="153" w:right="1131"/>
        <w:jc w:val="both"/>
      </w:pPr>
      <w:r>
        <w:rPr>
          <w:spacing w:val="-2"/>
        </w:rPr>
        <w:t>式和定制化产品。自营模式下，用户通过网络一次性支付相应服务周期的价款后，开始使用该产品，公司与用户根据合同按</w:t>
      </w:r>
      <w:r>
        <w:rPr>
          <w:spacing w:val="-66"/>
        </w:rPr>
        <w:t> </w:t>
      </w:r>
      <w:r>
        <w:rPr>
          <w:spacing w:val="-66"/>
        </w:rPr>
      </w:r>
      <w:r>
        <w:rPr>
          <w:spacing w:val="-2"/>
        </w:rPr>
        <w:t>月或年进行价款结算，本公司按为客户提供的互联网财税服务的所属期分期确认收入；合作销售模式下，公司根据合作机构</w:t>
      </w:r>
      <w:r>
        <w:rPr>
          <w:spacing w:val="-66"/>
        </w:rPr>
        <w:t> </w:t>
      </w:r>
      <w:r>
        <w:rPr>
          <w:spacing w:val="-66"/>
        </w:rPr>
      </w:r>
      <w:r>
        <w:rPr>
          <w:spacing w:val="-2"/>
        </w:rPr>
        <w:t>确定的服务用户数量、服务期限、按照合作协议约定的分成比例进行价款结算，本公司按为客户提供的互联网财税服务的所</w:t>
      </w:r>
      <w:r>
        <w:rPr>
          <w:spacing w:val="-66"/>
        </w:rPr>
        <w:t> </w:t>
      </w:r>
      <w:r>
        <w:rPr>
          <w:spacing w:val="-66"/>
        </w:rPr>
      </w:r>
      <w:r>
        <w:rPr>
          <w:spacing w:val="-2"/>
        </w:rPr>
        <w:t>属期分期确认收入；定制化产品，公司向客户提供定制化的财税云服务软件产品，依据合同约定方式进行价款结算，本公司</w:t>
      </w:r>
      <w:r>
        <w:rPr>
          <w:spacing w:val="-66"/>
        </w:rPr>
        <w:t> </w:t>
      </w:r>
      <w:r>
        <w:rPr>
          <w:spacing w:val="-66"/>
        </w:rPr>
      </w:r>
      <w:r>
        <w:rPr/>
        <w:t>采用完工百分比法确认收入。</w:t>
      </w:r>
    </w:p>
    <w:p>
      <w:pPr>
        <w:pStyle w:val="BodyText"/>
        <w:spacing w:line="338" w:lineRule="auto" w:before="58"/>
        <w:ind w:right="1118"/>
        <w:jc w:val="left"/>
      </w:pPr>
      <w:r>
        <w:rPr>
          <w:rFonts w:ascii="Times New Roman" w:hAnsi="Times New Roman" w:cs="Times New Roman" w:eastAsia="Times New Roman" w:hint="default"/>
        </w:rPr>
        <w:t>d.</w:t>
      </w:r>
      <w:r>
        <w:rPr/>
        <w:t>软件开发与销售收入的确认原则及方法 </w:t>
      </w:r>
      <w:r>
        <w:rPr>
          <w:spacing w:val="-2"/>
        </w:rPr>
        <w:t>软件销售业务系向客户销售自主研发的计算机软件。该软件产品为通用型产品，不需要进行个性化开发，通过产品的配</w:t>
      </w:r>
    </w:p>
    <w:p>
      <w:pPr>
        <w:pStyle w:val="BodyText"/>
        <w:spacing w:line="319" w:lineRule="auto" w:before="2"/>
        <w:ind w:left="153" w:right="1133"/>
        <w:jc w:val="both"/>
      </w:pPr>
      <w:r>
        <w:rPr>
          <w:spacing w:val="-2"/>
        </w:rPr>
        <w:t>置、使用的培训即能满足客户对产品的应用需求。本公司在软件产品使用权的重要风险和报酬转移，且相关价款已经收到或</w:t>
      </w:r>
      <w:r>
        <w:rPr>
          <w:spacing w:val="-66"/>
        </w:rPr>
        <w:t> </w:t>
      </w:r>
      <w:r>
        <w:rPr>
          <w:spacing w:val="-66"/>
        </w:rPr>
      </w:r>
      <w:r>
        <w:rPr/>
        <w:t>取得了收款凭据时，确认软件销售的收入。</w:t>
      </w:r>
    </w:p>
    <w:p>
      <w:pPr>
        <w:pStyle w:val="BodyText"/>
        <w:spacing w:line="319" w:lineRule="auto" w:before="55"/>
        <w:ind w:left="153" w:right="1118" w:firstLine="360"/>
        <w:jc w:val="left"/>
      </w:pPr>
      <w:r>
        <w:rPr>
          <w:spacing w:val="-2"/>
        </w:rPr>
        <w:t>软件开发业务系接受客户的委托，根据客户的需求，对应用软件技术进行研究开发，该软件产品为定制软件，不具有通</w:t>
      </w:r>
      <w:r>
        <w:rPr/>
        <w:t> 用性，本公司采用完工百分比法确认软件开发业务收入。</w:t>
      </w:r>
    </w:p>
    <w:p>
      <w:pPr>
        <w:pStyle w:val="BodyText"/>
        <w:spacing w:line="338" w:lineRule="auto" w:before="58"/>
        <w:ind w:right="1033"/>
        <w:jc w:val="left"/>
      </w:pPr>
      <w:r>
        <w:rPr>
          <w:rFonts w:ascii="Times New Roman" w:hAnsi="Times New Roman" w:cs="Times New Roman" w:eastAsia="Times New Roman" w:hint="default"/>
        </w:rPr>
        <w:t>e.</w:t>
      </w:r>
      <w:r>
        <w:rPr/>
        <w:t>技术服务收入的确认原则及方法 技术服务业务系公司为客户提供专业的技术服务，包括规划咨询、系统运行维护服务等。技术服务一般约定服务期限，</w:t>
      </w:r>
    </w:p>
    <w:p>
      <w:pPr>
        <w:pStyle w:val="BodyText"/>
        <w:spacing w:line="240" w:lineRule="auto" w:before="4"/>
        <w:ind w:left="153" w:right="0"/>
        <w:jc w:val="both"/>
      </w:pPr>
      <w:r>
        <w:rPr/>
        <w:t>本公司按照服务合同约定的服务期限分期确认收入。</w:t>
      </w:r>
    </w:p>
    <w:p>
      <w:pPr>
        <w:pStyle w:val="BodyText"/>
        <w:spacing w:line="338" w:lineRule="auto" w:before="116"/>
        <w:ind w:right="1033"/>
        <w:jc w:val="left"/>
      </w:pPr>
      <w:r>
        <w:rPr>
          <w:rFonts w:ascii="Times New Roman" w:hAnsi="Times New Roman" w:cs="Times New Roman" w:eastAsia="Times New Roman" w:hint="default"/>
        </w:rPr>
        <w:t>f. </w:t>
      </w:r>
      <w:r>
        <w:rPr/>
        <w:t>系统集成收入的确认原则及方法</w:t>
      </w:r>
      <w:r>
        <w:rPr>
          <w:w w:val="99"/>
        </w:rPr>
        <w:t> </w:t>
      </w:r>
      <w:r>
        <w:rPr/>
        <w:t>系统集成服务业务系针对客户的需求，为用户设计符合其需求的软硬件解决方案。本公司在相关产品及服务已经提供，</w:t>
      </w:r>
    </w:p>
    <w:p>
      <w:pPr>
        <w:pStyle w:val="BodyText"/>
        <w:spacing w:line="240" w:lineRule="auto" w:before="4"/>
        <w:ind w:left="153" w:right="0"/>
        <w:jc w:val="both"/>
      </w:pPr>
      <w:r>
        <w:rPr/>
        <w:t>并经客户验收合格后确认系统集成业务收入。</w:t>
      </w:r>
    </w:p>
    <w:p>
      <w:pPr>
        <w:spacing w:line="240" w:lineRule="auto" w:before="0"/>
        <w:rPr>
          <w:rFonts w:ascii="宋体" w:hAnsi="宋体" w:cs="宋体" w:eastAsia="宋体" w:hint="default"/>
          <w:sz w:val="18"/>
          <w:szCs w:val="18"/>
        </w:rPr>
      </w:pPr>
    </w:p>
    <w:p>
      <w:pPr>
        <w:pStyle w:val="Heading3"/>
        <w:spacing w:line="240" w:lineRule="auto" w:before="123"/>
        <w:ind w:right="1118"/>
        <w:jc w:val="left"/>
        <w:rPr>
          <w:b w:val="0"/>
          <w:bCs w:val="0"/>
        </w:rPr>
      </w:pPr>
      <w:bookmarkStart w:name="24、政府补助" w:id="212"/>
      <w:bookmarkEnd w:id="212"/>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right="1118"/>
        <w:jc w:val="left"/>
        <w:rPr>
          <w:b w:val="0"/>
          <w:bCs w:val="0"/>
        </w:rPr>
      </w:pPr>
      <w:bookmarkStart w:name="（1）与资产相关的政府补助判断依据及会计处理方法" w:id="213"/>
      <w:bookmarkEnd w:id="21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left="153" w:right="1118" w:firstLine="360"/>
        <w:jc w:val="left"/>
      </w:pPr>
      <w:r>
        <w:rPr>
          <w:spacing w:val="-2"/>
        </w:rPr>
        <w:t>与资产相关的政府补助，冲减相关资产的账面价值或确认为递延收益。与资产相关的政府补助确认为递延收益的，在相</w:t>
      </w:r>
      <w:r>
        <w:rPr/>
        <w:t> 关资产使用寿命内按照合理、系统的方法分期计入损益。按照名义金额计量的政府补助，直接计入当期损益。</w:t>
      </w:r>
    </w:p>
    <w:p>
      <w:pPr>
        <w:pStyle w:val="BodyText"/>
        <w:spacing w:line="319" w:lineRule="auto" w:before="55"/>
        <w:ind w:left="153" w:right="1118" w:firstLine="360"/>
        <w:jc w:val="left"/>
      </w:pPr>
      <w:r>
        <w:rPr>
          <w:spacing w:val="-2"/>
        </w:rPr>
        <w:t>相关资产在使用寿命结束前被出售、转让、报废或发生毁损的，应当将尚未分配的相关递延收益余额转入资产处置当期</w:t>
      </w:r>
      <w:r>
        <w:rPr/>
        <w:t> 的损益。</w:t>
      </w:r>
    </w:p>
    <w:p>
      <w:pPr>
        <w:spacing w:line="240" w:lineRule="auto" w:before="12"/>
        <w:rPr>
          <w:rFonts w:ascii="宋体" w:hAnsi="宋体" w:cs="宋体" w:eastAsia="宋体" w:hint="default"/>
          <w:sz w:val="22"/>
          <w:szCs w:val="22"/>
        </w:rPr>
      </w:pPr>
    </w:p>
    <w:p>
      <w:pPr>
        <w:pStyle w:val="Heading3"/>
        <w:spacing w:line="240" w:lineRule="auto"/>
        <w:ind w:right="1118"/>
        <w:jc w:val="left"/>
        <w:rPr>
          <w:b w:val="0"/>
          <w:bCs w:val="0"/>
        </w:rPr>
      </w:pPr>
      <w:bookmarkStart w:name="（2）与收益相关的政府补助判断依据及会计处理方法" w:id="214"/>
      <w:bookmarkEnd w:id="21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2"/>
        <w:rPr>
          <w:rFonts w:ascii="宋体" w:hAnsi="宋体" w:cs="宋体" w:eastAsia="宋体" w:hint="default"/>
          <w:b/>
          <w:bCs/>
          <w:sz w:val="26"/>
          <w:szCs w:val="26"/>
        </w:rPr>
      </w:pPr>
    </w:p>
    <w:p>
      <w:pPr>
        <w:pStyle w:val="BodyText"/>
        <w:spacing w:line="319" w:lineRule="auto"/>
        <w:ind w:left="153" w:right="1118" w:firstLine="360"/>
        <w:jc w:val="left"/>
      </w:pPr>
      <w:r>
        <w:rPr>
          <w:spacing w:val="-2"/>
        </w:rPr>
        <w:t>用于补偿企业以后期间的相关成本费用或损失的，确认为递延收益，并在确认相关成本费用或损失的期间，计入当期损</w:t>
      </w:r>
      <w:r>
        <w:rPr/>
        <w:t> 益或冲减相关成本；用于补偿企业已发生的相关成本费用或损失的，直接计入当期损益或冲减相关成本。</w:t>
      </w:r>
    </w:p>
    <w:p>
      <w:pPr>
        <w:spacing w:line="240" w:lineRule="auto" w:before="12"/>
        <w:rPr>
          <w:rFonts w:ascii="宋体" w:hAnsi="宋体" w:cs="宋体" w:eastAsia="宋体" w:hint="default"/>
          <w:sz w:val="22"/>
          <w:szCs w:val="22"/>
        </w:rPr>
      </w:pPr>
    </w:p>
    <w:p>
      <w:pPr>
        <w:pStyle w:val="Heading3"/>
        <w:spacing w:line="240" w:lineRule="auto"/>
        <w:ind w:left="556" w:right="1118"/>
        <w:jc w:val="left"/>
        <w:rPr>
          <w:b w:val="0"/>
          <w:bCs w:val="0"/>
        </w:rPr>
      </w:pPr>
      <w:bookmarkStart w:name="25、递延所得税资产/递延所得税负债" w:id="215"/>
      <w:bookmarkEnd w:id="215"/>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2"/>
        <w:rPr>
          <w:rFonts w:ascii="宋体" w:hAnsi="宋体" w:cs="宋体" w:eastAsia="宋体" w:hint="default"/>
          <w:b/>
          <w:bCs/>
          <w:sz w:val="26"/>
          <w:szCs w:val="26"/>
        </w:rPr>
      </w:pPr>
    </w:p>
    <w:p>
      <w:pPr>
        <w:pStyle w:val="BodyText"/>
        <w:spacing w:line="300" w:lineRule="auto"/>
        <w:ind w:left="153" w:right="1153" w:firstLine="360"/>
        <w:jc w:val="left"/>
      </w:pPr>
      <w:r>
        <w:rPr/>
        <w:t>递延所得税资产和递延所得税负债根据资产和负债的计税基础与其账面价值的差额</w:t>
      </w:r>
      <w:r>
        <w:rPr>
          <w:rFonts w:ascii="Times New Roman" w:hAnsi="Times New Roman" w:cs="Times New Roman" w:eastAsia="Times New Roman" w:hint="default"/>
        </w:rPr>
        <w:t>(</w:t>
      </w:r>
      <w:r>
        <w:rPr/>
        <w:t>包括应纳税暂时性差异和可抵扣暂 时性差异</w:t>
      </w:r>
      <w:r>
        <w:rPr>
          <w:rFonts w:ascii="Times New Roman" w:hAnsi="Times New Roman" w:cs="Times New Roman" w:eastAsia="Times New Roman" w:hint="default"/>
        </w:rPr>
        <w:t>)</w:t>
      </w:r>
      <w:r>
        <w:rPr/>
        <w:t>计算确认。对于按照税法规定能够于以后年度抵减应纳税所得额的可抵扣亏损，视同可抵扣暂时性差异。对于商</w:t>
      </w:r>
    </w:p>
    <w:p>
      <w:pPr>
        <w:spacing w:after="0" w:line="300" w:lineRule="auto"/>
        <w:jc w:val="left"/>
        <w:sectPr>
          <w:pgSz w:w="11910" w:h="16840"/>
          <w:pgMar w:header="687" w:footer="979" w:top="1140" w:bottom="1160" w:left="980" w:right="0"/>
        </w:sectPr>
      </w:pPr>
    </w:p>
    <w:p>
      <w:pPr>
        <w:spacing w:line="240" w:lineRule="auto" w:before="1"/>
        <w:rPr>
          <w:rFonts w:ascii="宋体" w:hAnsi="宋体" w:cs="宋体" w:eastAsia="宋体" w:hint="default"/>
          <w:sz w:val="20"/>
          <w:szCs w:val="20"/>
        </w:rPr>
      </w:pPr>
    </w:p>
    <w:p>
      <w:pPr>
        <w:pStyle w:val="BodyText"/>
        <w:spacing w:line="300" w:lineRule="auto" w:before="44"/>
        <w:ind w:left="153" w:right="1169"/>
        <w:jc w:val="both"/>
      </w:pPr>
      <w:r>
        <w:rPr/>
        <w:t>誉的初始确认产生的暂时性差异，不确认相应的递延所得税负债。对于既不影响会计利润也不影响应纳税所得额</w:t>
      </w:r>
      <w:r>
        <w:rPr>
          <w:rFonts w:ascii="Times New Roman" w:hAnsi="Times New Roman" w:cs="Times New Roman" w:eastAsia="Times New Roman" w:hint="default"/>
        </w:rPr>
        <w:t>(</w:t>
      </w:r>
      <w:r>
        <w:rPr/>
        <w:t>或可抵扣 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的非企业合并的交易中产生的资产或负债的初始确认形成的暂时性差异，不确认相应的递延所得税资产和递延所得税 负债。于资产负债表日，递延所得税资产和递延所得税负债，按照预期收回该资产或清偿该负债期间的适用税率计量。</w:t>
      </w:r>
    </w:p>
    <w:p>
      <w:pPr>
        <w:pStyle w:val="BodyText"/>
        <w:spacing w:line="319" w:lineRule="auto" w:before="70"/>
        <w:ind w:left="153" w:right="1033" w:firstLine="360"/>
        <w:jc w:val="left"/>
      </w:pPr>
      <w:r>
        <w:rPr/>
        <w:t>递延所得税资产的确认以本公司很可能取得用来抵扣可抵扣暂时性差异、可抵扣亏损和税款抵减的应纳税所得额为限。 </w:t>
      </w:r>
      <w:r>
        <w:rPr>
          <w:spacing w:val="-2"/>
        </w:rPr>
        <w:t>对子公司、联营企业及合营企业投资相关的暂时性差异产生的递延所得税资产和递延所得税负债，予以确认。但本公司能够</w:t>
      </w:r>
      <w:r>
        <w:rPr>
          <w:spacing w:val="-66"/>
        </w:rPr>
        <w:t> </w:t>
      </w:r>
      <w:r>
        <w:rPr>
          <w:spacing w:val="-66"/>
        </w:rPr>
      </w:r>
      <w:r>
        <w:rPr/>
        <w:t>控制暂时性差异转回的时间且该暂时性差异在可预见的未来很可能不会转回的，不予确认。</w:t>
      </w:r>
    </w:p>
    <w:p>
      <w:pPr>
        <w:spacing w:line="240" w:lineRule="auto" w:before="13"/>
        <w:rPr>
          <w:rFonts w:ascii="宋体" w:hAnsi="宋体" w:cs="宋体" w:eastAsia="宋体" w:hint="default"/>
          <w:sz w:val="22"/>
          <w:szCs w:val="22"/>
        </w:rPr>
      </w:pPr>
    </w:p>
    <w:p>
      <w:pPr>
        <w:pStyle w:val="Heading3"/>
        <w:spacing w:line="240" w:lineRule="auto"/>
        <w:ind w:left="556" w:right="1118"/>
        <w:jc w:val="left"/>
        <w:rPr>
          <w:b w:val="0"/>
          <w:bCs w:val="0"/>
        </w:rPr>
      </w:pPr>
      <w:bookmarkStart w:name="26、租赁" w:id="216"/>
      <w:bookmarkEnd w:id="216"/>
      <w:r>
        <w:rPr>
          <w:b w:val="0"/>
          <w:bCs w:val="0"/>
        </w:rPr>
      </w:r>
      <w:r>
        <w:rPr>
          <w:rFonts w:ascii="Times New Roman" w:hAnsi="Times New Roman" w:cs="Times New Roman" w:eastAsia="Times New Roman" w:hint="default"/>
        </w:rPr>
        <w:t>26</w:t>
      </w:r>
      <w:r>
        <w:rPr/>
        <w:t>、租赁</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556" w:right="1118"/>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24"/>
        <w:ind w:left="556" w:right="1118"/>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right="1118"/>
        <w:jc w:val="left"/>
      </w:pPr>
      <w:r>
        <w:rPr/>
        <w:t>实质上转移了与资产所有权有关的全部风险和报酬的租赁为融资租赁。其他的租赁为经营租赁。 </w:t>
      </w:r>
      <w:r>
        <w:rPr>
          <w:spacing w:val="-2"/>
        </w:rPr>
        <w:t>按租赁资产的公允价值与最低租赁付款额的现值两者中较低者作为租入资产的入账价值，租入资产的入账价值与最低租</w:t>
      </w:r>
    </w:p>
    <w:p>
      <w:pPr>
        <w:pStyle w:val="BodyText"/>
        <w:spacing w:line="224" w:lineRule="exact"/>
        <w:ind w:left="153" w:right="0"/>
        <w:jc w:val="both"/>
      </w:pPr>
      <w:r>
        <w:rPr/>
        <w:t>赁付款额之间的差额为未确认融资费用，在租赁期内按实际利率法摊销。最低租赁付款额扣除未确认融资费用后的余额以长</w:t>
      </w:r>
    </w:p>
    <w:p>
      <w:pPr>
        <w:pStyle w:val="BodyText"/>
        <w:spacing w:line="240" w:lineRule="auto" w:before="77"/>
        <w:ind w:left="153" w:right="0"/>
        <w:jc w:val="both"/>
      </w:pPr>
      <w:r>
        <w:rPr/>
        <w:t>期应付款列示。</w:t>
      </w:r>
    </w:p>
    <w:p>
      <w:pPr>
        <w:spacing w:line="240" w:lineRule="auto" w:before="0"/>
        <w:rPr>
          <w:rFonts w:ascii="宋体" w:hAnsi="宋体" w:cs="宋体" w:eastAsia="宋体" w:hint="default"/>
          <w:sz w:val="18"/>
          <w:szCs w:val="18"/>
        </w:rPr>
      </w:pPr>
    </w:p>
    <w:p>
      <w:pPr>
        <w:pStyle w:val="Heading3"/>
        <w:spacing w:line="240" w:lineRule="auto" w:before="123"/>
        <w:ind w:right="1118"/>
        <w:jc w:val="left"/>
        <w:rPr>
          <w:b w:val="0"/>
          <w:bCs w:val="0"/>
        </w:rPr>
      </w:pPr>
      <w:bookmarkStart w:name="27、其他重要的会计政策和会计估计" w:id="219"/>
      <w:bookmarkEnd w:id="219"/>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11"/>
        <w:rPr>
          <w:rFonts w:ascii="宋体" w:hAnsi="宋体" w:cs="宋体" w:eastAsia="宋体" w:hint="default"/>
          <w:b/>
          <w:bCs/>
          <w:sz w:val="25"/>
          <w:szCs w:val="25"/>
        </w:rPr>
      </w:pPr>
    </w:p>
    <w:p>
      <w:pPr>
        <w:pStyle w:val="Heading3"/>
        <w:spacing w:line="240" w:lineRule="auto"/>
        <w:ind w:right="1118"/>
        <w:jc w:val="left"/>
        <w:rPr>
          <w:b w:val="0"/>
          <w:bCs w:val="0"/>
        </w:rPr>
      </w:pPr>
      <w:bookmarkStart w:name="28、重要会计政策和会计估计变更" w:id="220"/>
      <w:bookmarkEnd w:id="220"/>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112"/>
        <w:gridCol w:w="1276"/>
        <w:gridCol w:w="4182"/>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5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9"/>
              <w:ind w:left="22" w:right="22"/>
              <w:jc w:val="both"/>
              <w:rPr>
                <w:rFonts w:ascii="宋体" w:hAnsi="宋体" w:cs="宋体" w:eastAsia="宋体" w:hint="default"/>
                <w:sz w:val="18"/>
                <w:szCs w:val="18"/>
              </w:rPr>
            </w:pPr>
            <w:r>
              <w:rPr>
                <w:rFonts w:ascii="宋体" w:hAnsi="宋体" w:cs="宋体" w:eastAsia="宋体" w:hint="default"/>
                <w:sz w:val="18"/>
                <w:szCs w:val="18"/>
              </w:rPr>
              <w:t>根据财政部《关于印发</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 </w:t>
            </w:r>
            <w:r>
              <w:rPr>
                <w:rFonts w:ascii="宋体" w:hAnsi="宋体" w:cs="宋体" w:eastAsia="宋体" w:hint="default"/>
                <w:spacing w:val="-8"/>
                <w:sz w:val="18"/>
                <w:szCs w:val="18"/>
              </w:rPr>
              <w:t>待售的非流动资产、处置组和终止经营</w:t>
            </w:r>
            <w:r>
              <w:rPr>
                <w:rFonts w:ascii="Times New Roman" w:hAnsi="Times New Roman" w:cs="Times New Roman" w:eastAsia="Times New Roman" w:hint="default"/>
                <w:spacing w:val="-8"/>
                <w:sz w:val="18"/>
                <w:szCs w:val="18"/>
              </w:rPr>
              <w:t>&gt;</w:t>
            </w:r>
            <w:r>
              <w:rPr>
                <w:rFonts w:ascii="宋体" w:hAnsi="宋体" w:cs="宋体" w:eastAsia="宋体" w:hint="default"/>
                <w:spacing w:val="-8"/>
                <w:sz w:val="18"/>
                <w:szCs w:val="18"/>
              </w:rPr>
              <w:t>的通知》（财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号）的规定，本公司自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日起执行前述准则。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61"/>
              <w:jc w:val="left"/>
              <w:rPr>
                <w:rFonts w:ascii="宋体" w:hAnsi="宋体" w:cs="宋体" w:eastAsia="宋体" w:hint="default"/>
                <w:sz w:val="18"/>
                <w:szCs w:val="18"/>
              </w:rPr>
            </w:pPr>
            <w:r>
              <w:rPr>
                <w:rFonts w:ascii="宋体" w:hAnsi="宋体" w:cs="宋体" w:eastAsia="宋体" w:hint="default"/>
                <w:sz w:val="18"/>
                <w:szCs w:val="18"/>
              </w:rPr>
              <w:t>第四届董事会 第十七次会议</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2"/>
              <w:jc w:val="both"/>
              <w:rPr>
                <w:rFonts w:ascii="宋体" w:hAnsi="宋体" w:cs="宋体" w:eastAsia="宋体" w:hint="default"/>
                <w:sz w:val="18"/>
                <w:szCs w:val="18"/>
              </w:rPr>
            </w:pPr>
            <w:r>
              <w:rPr>
                <w:rFonts w:ascii="宋体" w:hAnsi="宋体" w:cs="宋体" w:eastAsia="宋体" w:hint="default"/>
                <w:spacing w:val="-1"/>
                <w:sz w:val="18"/>
                <w:szCs w:val="18"/>
              </w:rPr>
              <w:t>根据该准则的相关规定，施行日存在的持有待售的非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流动资产、处置组和终止经营，应当采用未来适用法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处理。</w:t>
            </w:r>
          </w:p>
        </w:tc>
      </w:tr>
      <w:tr>
        <w:trPr>
          <w:trHeight w:val="1050" w:hRule="exact"/>
        </w:trPr>
        <w:tc>
          <w:tcPr>
            <w:tcW w:w="4112" w:type="dxa"/>
            <w:tcBorders>
              <w:top w:val="single" w:sz="4" w:space="0" w:color="000000"/>
              <w:left w:val="single" w:sz="4" w:space="0" w:color="000000"/>
              <w:bottom w:val="single" w:sz="4" w:space="0" w:color="000000"/>
              <w:right w:val="single" w:sz="13" w:space="0" w:color="FFFFFF"/>
            </w:tcBorders>
          </w:tcPr>
          <w:p>
            <w:pPr>
              <w:pStyle w:val="TableParagraph"/>
              <w:spacing w:line="232" w:lineRule="auto" w:before="147"/>
              <w:ind w:left="22" w:right="-39"/>
              <w:jc w:val="left"/>
              <w:rPr>
                <w:rFonts w:ascii="宋体" w:hAnsi="宋体" w:cs="宋体" w:eastAsia="宋体" w:hint="default"/>
                <w:sz w:val="18"/>
                <w:szCs w:val="18"/>
              </w:rPr>
            </w:pPr>
            <w:r>
              <w:rPr>
                <w:rFonts w:ascii="宋体" w:hAnsi="宋体" w:cs="宋体" w:eastAsia="宋体" w:hint="default"/>
                <w:sz w:val="18"/>
                <w:szCs w:val="18"/>
              </w:rPr>
              <w:t>根据财政部《关于印发修订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号）的规定， 本公司自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日起执行前述准则。</w:t>
            </w:r>
          </w:p>
        </w:tc>
        <w:tc>
          <w:tcPr>
            <w:tcW w:w="1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11" w:right="161"/>
              <w:jc w:val="left"/>
              <w:rPr>
                <w:rFonts w:ascii="宋体" w:hAnsi="宋体" w:cs="宋体" w:eastAsia="宋体" w:hint="default"/>
                <w:sz w:val="18"/>
                <w:szCs w:val="18"/>
              </w:rPr>
            </w:pPr>
            <w:r>
              <w:rPr>
                <w:rFonts w:ascii="宋体" w:hAnsi="宋体" w:cs="宋体" w:eastAsia="宋体" w:hint="default"/>
                <w:sz w:val="18"/>
                <w:szCs w:val="18"/>
              </w:rPr>
              <w:t>第四届董事会 第八次会议</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宋体" w:hAnsi="宋体" w:cs="宋体" w:eastAsia="宋体" w:hint="default"/>
                <w:sz w:val="18"/>
                <w:szCs w:val="18"/>
              </w:rPr>
              <w:t>根据该准则的相关规定，本公司对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存在的政府补助采用未来适用法处理，对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exact" w:before="13"/>
              <w:ind w:left="22"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日至该准则施行日之间新增的政府补助根据该准 则进行调整。</w:t>
            </w:r>
          </w:p>
        </w:tc>
      </w:tr>
      <w:tr>
        <w:trPr>
          <w:trHeight w:val="1050"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3"/>
              <w:ind w:left="22" w:right="22"/>
              <w:jc w:val="both"/>
              <w:rPr>
                <w:rFonts w:ascii="宋体" w:hAnsi="宋体" w:cs="宋体" w:eastAsia="宋体" w:hint="default"/>
                <w:sz w:val="18"/>
                <w:szCs w:val="18"/>
              </w:rPr>
            </w:pPr>
            <w:r>
              <w:rPr>
                <w:rFonts w:ascii="宋体" w:hAnsi="宋体" w:cs="宋体" w:eastAsia="宋体" w:hint="default"/>
                <w:spacing w:val="-4"/>
                <w:sz w:val="18"/>
                <w:szCs w:val="18"/>
              </w:rPr>
              <w:t>根据财政部《关于修订印发一般企业财务报表格式的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号），本公司对财务报表 格式进行了相应调整。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61"/>
              <w:jc w:val="left"/>
              <w:rPr>
                <w:rFonts w:ascii="宋体" w:hAnsi="宋体" w:cs="宋体" w:eastAsia="宋体" w:hint="default"/>
                <w:sz w:val="18"/>
                <w:szCs w:val="18"/>
              </w:rPr>
            </w:pPr>
            <w:r>
              <w:rPr>
                <w:rFonts w:ascii="宋体" w:hAnsi="宋体" w:cs="宋体" w:eastAsia="宋体" w:hint="default"/>
                <w:sz w:val="18"/>
                <w:szCs w:val="18"/>
              </w:rPr>
              <w:t>第四届董事会 第十七次会议</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27"/>
              <w:ind w:left="22" w:right="20"/>
              <w:jc w:val="left"/>
              <w:rPr>
                <w:rFonts w:ascii="宋体" w:hAnsi="宋体" w:cs="宋体" w:eastAsia="宋体" w:hint="default"/>
                <w:sz w:val="18"/>
                <w:szCs w:val="18"/>
              </w:rPr>
            </w:pP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年度影响 金额</w:t>
            </w:r>
            <w:r>
              <w:rPr>
                <w:rFonts w:ascii="Times New Roman" w:hAnsi="Times New Roman" w:cs="Times New Roman" w:eastAsia="Times New Roman" w:hint="default"/>
                <w:sz w:val="18"/>
                <w:szCs w:val="18"/>
              </w:rPr>
              <w:t>-1,959,650.01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年度追溯影响金额 </w:t>
            </w:r>
            <w:r>
              <w:rPr>
                <w:rFonts w:ascii="Times New Roman" w:hAnsi="Times New Roman" w:cs="Times New Roman" w:eastAsia="Times New Roman" w:hint="default"/>
                <w:sz w:val="18"/>
                <w:szCs w:val="18"/>
              </w:rPr>
              <w:t>2,927,656.82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年度影响金额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10,317,209.41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9"/>
        <w:rPr>
          <w:rFonts w:ascii="宋体" w:hAnsi="宋体" w:cs="宋体" w:eastAsia="宋体" w:hint="default"/>
          <w:sz w:val="19"/>
          <w:szCs w:val="19"/>
        </w:rPr>
      </w:pPr>
    </w:p>
    <w:p>
      <w:pPr>
        <w:pStyle w:val="Heading3"/>
        <w:spacing w:line="240" w:lineRule="auto" w:before="38"/>
        <w:ind w:right="1118"/>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9、其他" w:id="223"/>
      <w:bookmarkEnd w:id="223"/>
      <w:r>
        <w:rPr>
          <w:b w:val="0"/>
          <w:bCs w:val="0"/>
        </w:rPr>
      </w:r>
      <w:r>
        <w:rPr>
          <w:rFonts w:ascii="Times New Roman" w:hAnsi="Times New Roman" w:cs="Times New Roman" w:eastAsia="Times New Roman" w:hint="default"/>
        </w:rPr>
        <w:t>29</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319" w:lineRule="auto"/>
        <w:ind w:left="154" w:right="1118" w:firstLine="360"/>
        <w:jc w:val="left"/>
      </w:pPr>
      <w:r>
        <w:rPr>
          <w:spacing w:val="-2"/>
        </w:rPr>
        <w:t>商誉为股权投资成本超过应享有的被投资单位于投资取得日的公允价值份额的差额，或者为非同一控制下企业合并成本</w:t>
      </w:r>
      <w:r>
        <w:rPr/>
        <w:t> 超过企业合并中取得的被购买方可辨认净资产于购买日的公允价值份额的差额。</w:t>
      </w:r>
    </w:p>
    <w:p>
      <w:pPr>
        <w:pStyle w:val="BodyText"/>
        <w:spacing w:line="319" w:lineRule="auto" w:before="56"/>
        <w:ind w:left="153" w:right="1118" w:firstLine="360"/>
        <w:jc w:val="left"/>
      </w:pPr>
      <w:r>
        <w:rPr>
          <w:spacing w:val="-2"/>
        </w:rPr>
        <w:t>企业合并形成的商誉在合并财务报表上单独列示。购买联营企业和合营企业股权投资成本超过投资时应享有被投资单位</w:t>
      </w:r>
      <w:r>
        <w:rPr/>
        <w:t> 的公允价值份额的差额，包含于长期股权投资。</w:t>
      </w:r>
    </w:p>
    <w:p>
      <w:pPr>
        <w:spacing w:line="240" w:lineRule="auto" w:before="7"/>
        <w:rPr>
          <w:rFonts w:ascii="宋体" w:hAnsi="宋体" w:cs="宋体" w:eastAsia="宋体" w:hint="default"/>
          <w:sz w:val="20"/>
          <w:szCs w:val="20"/>
        </w:rPr>
      </w:pPr>
    </w:p>
    <w:p>
      <w:pPr>
        <w:pStyle w:val="Heading2"/>
        <w:spacing w:line="240" w:lineRule="auto"/>
        <w:ind w:right="1118"/>
        <w:jc w:val="left"/>
        <w:rPr>
          <w:b w:val="0"/>
          <w:bCs w:val="0"/>
        </w:rPr>
      </w:pPr>
      <w:bookmarkStart w:name="六、税项" w:id="224"/>
      <w:bookmarkEnd w:id="224"/>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18"/>
        <w:jc w:val="left"/>
        <w:rPr>
          <w:b w:val="0"/>
          <w:bCs w:val="0"/>
        </w:rPr>
      </w:pPr>
      <w:bookmarkStart w:name="1、主要税种及税率" w:id="225"/>
      <w:bookmarkEnd w:id="22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190"/>
        <w:gridCol w:w="4041"/>
        <w:gridCol w:w="233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6"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vMerge w:val="restart"/>
            <w:tcBorders>
              <w:top w:val="single" w:sz="4" w:space="0" w:color="000000"/>
              <w:left w:val="single" w:sz="13" w:space="0" w:color="D2D2D2"/>
              <w:right w:val="single" w:sz="4" w:space="0" w:color="000000"/>
            </w:tcBorders>
          </w:tcPr>
          <w:p>
            <w:pPr>
              <w:pStyle w:val="TableParagraph"/>
              <w:spacing w:line="240" w:lineRule="exact" w:before="40"/>
              <w:ind w:left="10" w:right="166"/>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应纳税额按应纳税销售额乘以适用 税率扣除当期允许抵扣的进项税后的余额计算</w:t>
            </w:r>
            <w:r>
              <w:rPr>
                <w:rFonts w:ascii="Times New Roman" w:hAnsi="Times New Roman" w:cs="Times New Roman" w:eastAsia="Times New Roman" w:hint="default"/>
                <w:sz w:val="18"/>
                <w:szCs w:val="18"/>
              </w:rPr>
              <w:t>)</w:t>
            </w:r>
          </w:p>
        </w:tc>
        <w:tc>
          <w:tcPr>
            <w:tcW w:w="2339" w:type="dxa"/>
            <w:vMerge w:val="restart"/>
            <w:tcBorders>
              <w:top w:val="single" w:sz="4" w:space="0" w:color="000000"/>
              <w:left w:val="single" w:sz="4" w:space="0" w:color="000000"/>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44"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041" w:type="dxa"/>
            <w:vMerge/>
            <w:tcBorders>
              <w:left w:val="single" w:sz="13" w:space="0" w:color="D2D2D2"/>
              <w:bottom w:val="single" w:sz="4" w:space="0" w:color="000000"/>
              <w:right w:val="single" w:sz="4" w:space="0" w:color="000000"/>
            </w:tcBorders>
          </w:tcPr>
          <w:p>
            <w:pPr/>
          </w:p>
        </w:tc>
        <w:tc>
          <w:tcPr>
            <w:tcW w:w="2339"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0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8"/>
        <w:rPr>
          <w:rFonts w:ascii="宋体" w:hAnsi="宋体" w:cs="宋体" w:eastAsia="宋体" w:hint="default"/>
          <w:b/>
          <w:bCs/>
          <w:sz w:val="6"/>
          <w:szCs w:val="6"/>
        </w:rPr>
      </w:pPr>
    </w:p>
    <w:p>
      <w:pPr>
        <w:pStyle w:val="BodyText"/>
        <w:spacing w:line="240" w:lineRule="auto" w:before="44"/>
        <w:ind w:left="514" w:right="1118"/>
        <w:jc w:val="left"/>
      </w:pPr>
      <w:r>
        <w:rPr/>
        <w:t>存在不同企业所得税税率纳税主体的，披露情况说明</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金财互联控股股份有限公司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广州金财互联税务顾问有限公司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山东神创信息科技有限公司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广州方欣现代信息产业园有限公司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广东浪潮创新计算机科技服务有限公司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广州翼税数据服务有限公司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金财互联数据服务有限公司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方欣智慧财税服务有限公司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浙江金财立信财务管理有限公司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上海金财企盈企业服务有限公司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东莞市金财互联信息科技有限公司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江门市金财互联数据服务有限公司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浙江立信之友软件有限公司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黄山怀信商务信息咨询有限公司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新疆金财立信财务管理有限公司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上海灏友企业服务有限公司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常州鑫润丰东热处理工程有限公司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艾普零件制造（苏州）有限公司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2、税收优惠" w:id="226"/>
      <w:bookmarkEnd w:id="22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1"/>
        <w:rPr>
          <w:rFonts w:ascii="宋体" w:hAnsi="宋体" w:cs="宋体" w:eastAsia="宋体" w:hint="default"/>
          <w:b/>
          <w:bCs/>
          <w:sz w:val="26"/>
          <w:szCs w:val="26"/>
        </w:rPr>
      </w:pPr>
    </w:p>
    <w:p>
      <w:pPr>
        <w:pStyle w:val="BodyText"/>
        <w:spacing w:line="302" w:lineRule="auto"/>
        <w:ind w:left="154" w:right="1185" w:firstLine="360"/>
        <w:jc w:val="both"/>
      </w:pPr>
      <w:r>
        <w:rPr/>
        <w:t>公司子公司方欣科技根据（财税〔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rFonts w:ascii="Times New Roman" w:hAnsi="Times New Roman" w:cs="Times New Roman" w:eastAsia="Times New Roman" w:hint="default"/>
          <w:spacing w:val="-1"/>
        </w:rPr>
        <w:t> </w:t>
      </w:r>
      <w:r>
        <w:rPr/>
        <w:t>号）《关于软件和集成电路产业企业所得税优惠政策有关问题的通知》文 件，</w:t>
      </w:r>
      <w:r>
        <w:rPr>
          <w:rFonts w:ascii="Times New Roman" w:hAnsi="Times New Roman" w:cs="Times New Roman" w:eastAsia="Times New Roman" w:hint="default"/>
        </w:rPr>
        <w:t>2017 </w:t>
      </w:r>
      <w:r>
        <w:rPr/>
        <w:t>年度执行</w:t>
      </w:r>
      <w:r>
        <w:rPr>
          <w:spacing w:val="-47"/>
        </w:rPr>
        <w:t> </w:t>
      </w:r>
      <w:r>
        <w:rPr>
          <w:rFonts w:ascii="Times New Roman" w:hAnsi="Times New Roman" w:cs="Times New Roman" w:eastAsia="Times New Roman" w:hint="default"/>
        </w:rPr>
        <w:t>10%</w:t>
      </w:r>
      <w:r>
        <w:rPr/>
        <w:t>的所得税率。。</w:t>
      </w:r>
    </w:p>
    <w:p>
      <w:pPr>
        <w:pStyle w:val="BodyText"/>
        <w:spacing w:line="300" w:lineRule="auto" w:before="50"/>
        <w:ind w:left="153" w:right="1130" w:firstLine="360"/>
        <w:jc w:val="both"/>
      </w:pPr>
      <w:r>
        <w:rPr>
          <w:spacing w:val="-2"/>
        </w:rPr>
        <w:t>方欣科技下属公司广州金财互联税务顾问有限公司（以下简称</w:t>
      </w:r>
      <w:r>
        <w:rPr>
          <w:rFonts w:ascii="Times New Roman" w:hAnsi="Times New Roman" w:cs="Times New Roman" w:eastAsia="Times New Roman" w:hint="default"/>
          <w:spacing w:val="-2"/>
        </w:rPr>
        <w:t>“</w:t>
      </w:r>
      <w:r>
        <w:rPr>
          <w:spacing w:val="-2"/>
        </w:rPr>
        <w:t>广州金财互联</w:t>
      </w:r>
      <w:r>
        <w:rPr>
          <w:rFonts w:ascii="Times New Roman" w:hAnsi="Times New Roman" w:cs="Times New Roman" w:eastAsia="Times New Roman" w:hint="default"/>
          <w:spacing w:val="-2"/>
        </w:rPr>
        <w:t>”</w:t>
      </w:r>
      <w:r>
        <w:rPr>
          <w:spacing w:val="-2"/>
        </w:rPr>
        <w:t>）根据《国务院进一步鼓励软件产业和集</w:t>
      </w:r>
      <w:r>
        <w:rPr/>
        <w:t> 成电路产业发展的若干政策》（国发</w:t>
      </w:r>
      <w:r>
        <w:rPr>
          <w:rFonts w:ascii="Times New Roman" w:hAnsi="Times New Roman" w:cs="Times New Roman" w:eastAsia="Times New Roman" w:hint="default"/>
        </w:rPr>
        <w:t>[2011]4</w:t>
      </w:r>
      <w:r>
        <w:rPr>
          <w:rFonts w:ascii="Times New Roman" w:hAnsi="Times New Roman" w:cs="Times New Roman" w:eastAsia="Times New Roman" w:hint="default"/>
          <w:spacing w:val="-1"/>
        </w:rPr>
        <w:t> </w:t>
      </w:r>
      <w:r>
        <w:rPr/>
        <w:t>号）和《关于软件和集成电路产业企业所得税优惠政策有关问题的通知》（财 税</w:t>
      </w:r>
      <w:r>
        <w:rPr>
          <w:rFonts w:ascii="Times New Roman" w:hAnsi="Times New Roman" w:cs="Times New Roman" w:eastAsia="Times New Roman" w:hint="default"/>
        </w:rPr>
        <w:t>[2016]49</w:t>
      </w:r>
      <w:r>
        <w:rPr>
          <w:rFonts w:ascii="Times New Roman" w:hAnsi="Times New Roman" w:cs="Times New Roman" w:eastAsia="Times New Roman" w:hint="default"/>
          <w:spacing w:val="-10"/>
        </w:rPr>
        <w:t> </w:t>
      </w:r>
      <w:r>
        <w:rPr/>
        <w:t>号）相关规定，享受企业所得税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的税收优惠政策。</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年度及</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年度免征企业所得税，</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 度至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年度企业所得税税率为</w:t>
      </w:r>
      <w:r>
        <w:rPr>
          <w:spacing w:val="-46"/>
        </w:rPr>
        <w:t> </w:t>
      </w:r>
      <w:r>
        <w:rPr>
          <w:rFonts w:ascii="Times New Roman" w:hAnsi="Times New Roman" w:cs="Times New Roman" w:eastAsia="Times New Roman" w:hint="default"/>
        </w:rPr>
        <w:t>12.5%</w:t>
      </w:r>
      <w:r>
        <w:rPr/>
        <w:t>。</w:t>
      </w:r>
    </w:p>
    <w:p>
      <w:pPr>
        <w:pStyle w:val="BodyText"/>
        <w:spacing w:line="307" w:lineRule="auto" w:before="51"/>
        <w:ind w:left="153" w:right="1131" w:firstLine="360"/>
        <w:jc w:val="both"/>
      </w:pPr>
      <w:r>
        <w:rPr>
          <w:spacing w:val="-2"/>
        </w:rPr>
        <w:t>方欣科技下属公司广州金财互联子公司广东浪潮创新计算机科技服务有限公司根据《国务院进一步鼓励软件产业和集成</w:t>
      </w:r>
      <w:r>
        <w:rPr/>
        <w:t> 电路产业发展的若干政策》（国发</w:t>
      </w:r>
      <w:r>
        <w:rPr>
          <w:rFonts w:ascii="Times New Roman" w:hAnsi="Times New Roman" w:cs="Times New Roman" w:eastAsia="Times New Roman" w:hint="default"/>
        </w:rPr>
        <w:t>[2011]4</w:t>
      </w:r>
      <w:r>
        <w:rPr>
          <w:rFonts w:ascii="Times New Roman" w:hAnsi="Times New Roman" w:cs="Times New Roman" w:eastAsia="Times New Roman" w:hint="default"/>
          <w:spacing w:val="-2"/>
        </w:rPr>
        <w:t> </w:t>
      </w:r>
      <w:r>
        <w:rPr/>
        <w:t>号）和《关于软件和集成电路产业企业所得税优惠政策有关问题的通知》（财税 </w:t>
      </w:r>
      <w:r>
        <w:rPr>
          <w:rFonts w:ascii="Times New Roman" w:hAnsi="Times New Roman" w:cs="Times New Roman" w:eastAsia="Times New Roman" w:hint="default"/>
        </w:rPr>
        <w:t>[2016]49</w:t>
      </w:r>
      <w:r>
        <w:rPr>
          <w:rFonts w:ascii="Times New Roman" w:hAnsi="Times New Roman" w:cs="Times New Roman" w:eastAsia="Times New Roman" w:hint="default"/>
          <w:spacing w:val="-11"/>
        </w:rPr>
        <w:t> </w:t>
      </w:r>
      <w:r>
        <w:rPr/>
        <w:t>号）相关规定，享受企业所得税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的税收优惠政策。</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年度及</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年度免征企业所得税，</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 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年度企业所得税税率为</w:t>
      </w:r>
      <w:r>
        <w:rPr>
          <w:spacing w:val="-46"/>
        </w:rPr>
        <w:t> </w:t>
      </w:r>
      <w:r>
        <w:rPr>
          <w:rFonts w:ascii="Times New Roman" w:hAnsi="Times New Roman" w:cs="Times New Roman" w:eastAsia="Times New Roman" w:hint="default"/>
        </w:rPr>
        <w:t>12.5%</w:t>
      </w:r>
      <w:r>
        <w:rPr/>
        <w:t>。</w:t>
      </w:r>
    </w:p>
    <w:p>
      <w:pPr>
        <w:pStyle w:val="BodyText"/>
        <w:spacing w:line="309" w:lineRule="auto" w:before="45"/>
        <w:ind w:left="153" w:right="1132" w:firstLine="360"/>
        <w:jc w:val="both"/>
      </w:pPr>
      <w:r>
        <w:rPr>
          <w:spacing w:val="-2"/>
        </w:rPr>
        <w:t>方欣科技下属公司方欣智慧财税服务有限公司根据《财政部、国家税务总局关于新疆喀什霍尔果斯两个特殊经济开发区</w:t>
      </w:r>
      <w:r>
        <w:rPr/>
        <w:t> </w:t>
      </w:r>
      <w:r>
        <w:rPr>
          <w:spacing w:val="-1"/>
        </w:rPr>
        <w:t>企业所得税优惠政策的通知》财税【</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112</w:t>
      </w:r>
      <w:r>
        <w:rPr>
          <w:rFonts w:ascii="Times New Roman" w:hAnsi="Times New Roman" w:cs="Times New Roman" w:eastAsia="Times New Roman" w:hint="default"/>
          <w:spacing w:val="13"/>
        </w:rPr>
        <w:t> </w:t>
      </w:r>
      <w:r>
        <w:rPr>
          <w:spacing w:val="-1"/>
        </w:rPr>
        <w:t>号；《财政部、国家税务总局、国家发展改革委、工业和信息化部关于公布</w:t>
      </w:r>
      <w:r>
        <w:rPr>
          <w:spacing w:val="-87"/>
        </w:rPr>
        <w:t> </w:t>
      </w:r>
      <w:r>
        <w:rPr>
          <w:spacing w:val="-87"/>
        </w:rPr>
      </w:r>
      <w:r>
        <w:rPr/>
        <w:t>新疆困难地区重点鼓励发展产业企业所得税优惠目录（试行）的通知》财务【</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85</w:t>
      </w:r>
      <w:r>
        <w:rPr>
          <w:rFonts w:ascii="Times New Roman" w:hAnsi="Times New Roman" w:cs="Times New Roman" w:eastAsia="Times New Roman" w:hint="default"/>
          <w:spacing w:val="-1"/>
        </w:rPr>
        <w:t> </w:t>
      </w:r>
      <w:r>
        <w:rPr/>
        <w:t>号的税收优惠政策。</w:t>
      </w:r>
    </w:p>
    <w:p>
      <w:pPr>
        <w:pStyle w:val="BodyText"/>
        <w:spacing w:line="309" w:lineRule="auto" w:before="44"/>
        <w:ind w:left="154" w:right="1130" w:firstLine="360"/>
        <w:jc w:val="both"/>
      </w:pPr>
      <w:r>
        <w:rPr>
          <w:spacing w:val="-2"/>
        </w:rPr>
        <w:t>方欣科技下属公司浙江金财立信之友有限公司根据《财政部国家税务总局关于进一步鼓励软件产业和集成电路产业发展</w:t>
      </w:r>
      <w:r>
        <w:rPr/>
        <w:t> 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rFonts w:ascii="Times New Roman" w:hAnsi="Times New Roman" w:cs="Times New Roman" w:eastAsia="Times New Roman" w:hint="default"/>
          <w:spacing w:val="-16"/>
        </w:rPr>
        <w:t> </w:t>
      </w:r>
      <w:r>
        <w:rPr/>
        <w:t>号相关规定，享受企业所得税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的税收优惠政策。</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年度及</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 度免征企业所得税，</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年度至</w:t>
      </w:r>
      <w:r>
        <w:rPr>
          <w:spacing w:val="-46"/>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年度企业所得税税率为</w:t>
      </w:r>
      <w:r>
        <w:rPr>
          <w:spacing w:val="-46"/>
        </w:rPr>
        <w:t> </w:t>
      </w:r>
      <w:r>
        <w:rPr>
          <w:rFonts w:ascii="Times New Roman" w:hAnsi="Times New Roman" w:cs="Times New Roman" w:eastAsia="Times New Roman" w:hint="default"/>
        </w:rPr>
        <w:t>12.5%</w:t>
      </w:r>
      <w:r>
        <w:rPr/>
        <w:t>。</w:t>
      </w:r>
    </w:p>
    <w:p>
      <w:pPr>
        <w:pStyle w:val="BodyText"/>
        <w:spacing w:line="302" w:lineRule="auto" w:before="43"/>
        <w:ind w:left="153" w:right="1033" w:firstLine="360"/>
        <w:jc w:val="left"/>
      </w:pPr>
      <w:r>
        <w:rPr/>
        <w:t>丰东热技术下属公司青岛丰东热处理有限公司</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4"/>
        </w:rPr>
        <w:t>日通过高新技术企业复审，获得由青岛市科学技术局、青</w:t>
      </w:r>
      <w:r>
        <w:rPr/>
        <w:t> 岛市财政局、山东省青岛市国家税务局、青岛市地方税务局共同颁发的高新技术企业证书，证书编号为 </w:t>
      </w:r>
      <w:r>
        <w:rPr>
          <w:rFonts w:ascii="Times New Roman" w:hAnsi="Times New Roman" w:cs="Times New Roman" w:eastAsia="Times New Roman" w:hint="default"/>
        </w:rPr>
        <w:t>GR201737100496</w:t>
      </w:r>
      <w:r>
        <w:rPr/>
        <w:t>，</w:t>
      </w:r>
      <w:r>
        <w:rPr>
          <w:spacing w:val="-76"/>
        </w:rPr>
        <w:t> </w:t>
      </w:r>
      <w:r>
        <w:rPr>
          <w:rFonts w:ascii="Times New Roman" w:hAnsi="Times New Roman" w:cs="Times New Roman" w:eastAsia="Times New Roman" w:hint="default"/>
        </w:rPr>
        <w:t>2017 </w:t>
      </w:r>
      <w:r>
        <w:rPr/>
        <w:t>年度执行</w:t>
      </w:r>
      <w:r>
        <w:rPr>
          <w:spacing w:val="-45"/>
        </w:rPr>
        <w:t> </w:t>
      </w:r>
      <w:r>
        <w:rPr>
          <w:rFonts w:ascii="Times New Roman" w:hAnsi="Times New Roman" w:cs="Times New Roman" w:eastAsia="Times New Roman" w:hint="default"/>
        </w:rPr>
        <w:t>15%</w:t>
      </w:r>
      <w:r>
        <w:rPr/>
        <w:t>的所得税率。</w:t>
      </w:r>
    </w:p>
    <w:p>
      <w:pPr>
        <w:pStyle w:val="BodyText"/>
        <w:spacing w:line="300" w:lineRule="auto" w:before="49"/>
        <w:ind w:left="154" w:right="1132" w:firstLine="360"/>
        <w:jc w:val="both"/>
        <w:rPr>
          <w:rFonts w:ascii="Times New Roman" w:hAnsi="Times New Roman" w:cs="Times New Roman" w:eastAsia="Times New Roman" w:hint="default"/>
        </w:rPr>
      </w:pPr>
      <w:r>
        <w:rPr/>
        <w:t>丰东热技术下属公司盐城丰东特种炉业有限公司</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spacing w:val="-4"/>
        </w:rPr>
        <w:t>日通过高新技术企业复审，获得由江苏省科学技术厅、</w:t>
      </w:r>
      <w:r>
        <w:rPr/>
        <w:t> 江苏省财政厅、江苏省国家税务局、江苏省地方税务局共同颁发的高新技术企业证书，证书编号为</w:t>
      </w:r>
      <w:r>
        <w:rPr>
          <w:spacing w:val="-64"/>
        </w:rPr>
        <w:t> </w:t>
      </w:r>
      <w:r>
        <w:rPr>
          <w:rFonts w:ascii="Times New Roman" w:hAnsi="Times New Roman" w:cs="Times New Roman" w:eastAsia="Times New Roman" w:hint="default"/>
        </w:rPr>
        <w:t>GR201632001107</w:t>
      </w:r>
      <w:r>
        <w:rPr/>
        <w:t>，</w:t>
      </w:r>
      <w:r>
        <w:rPr>
          <w:rFonts w:ascii="Times New Roman" w:hAnsi="Times New Roman" w:cs="Times New Roman" w:eastAsia="Times New Roman" w:hint="default"/>
        </w:rPr>
        <w:t>2017</w:t>
      </w:r>
    </w:p>
    <w:p>
      <w:pPr>
        <w:spacing w:after="0" w:line="300" w:lineRule="auto"/>
        <w:jc w:val="both"/>
        <w:rPr>
          <w:rFonts w:ascii="Times New Roman" w:hAnsi="Times New Roman" w:cs="Times New Roman" w:eastAsia="Times New Roman" w:hint="default"/>
        </w:rPr>
        <w:sectPr>
          <w:pgSz w:w="11910" w:h="16840"/>
          <w:pgMar w:header="687" w:footer="979" w:top="1140" w:bottom="1160" w:left="980" w:right="0"/>
        </w:sectPr>
      </w:pPr>
    </w:p>
    <w:p>
      <w:pPr>
        <w:spacing w:line="240" w:lineRule="auto" w:before="11"/>
        <w:rPr>
          <w:rFonts w:ascii="Times New Roman" w:hAnsi="Times New Roman" w:cs="Times New Roman" w:eastAsia="Times New Roman" w:hint="default"/>
          <w:sz w:val="22"/>
          <w:szCs w:val="22"/>
        </w:rPr>
      </w:pPr>
    </w:p>
    <w:p>
      <w:pPr>
        <w:pStyle w:val="BodyText"/>
        <w:spacing w:line="338" w:lineRule="auto" w:before="44"/>
        <w:ind w:left="514" w:right="1118" w:hanging="360"/>
        <w:jc w:val="left"/>
      </w:pPr>
      <w:r>
        <w:rPr/>
        <w:t>年度执行</w:t>
      </w:r>
      <w:r>
        <w:rPr>
          <w:spacing w:val="-46"/>
        </w:rPr>
        <w:t> </w:t>
      </w:r>
      <w:r>
        <w:rPr>
          <w:rFonts w:ascii="Times New Roman" w:hAnsi="Times New Roman" w:cs="Times New Roman" w:eastAsia="Times New Roman" w:hint="default"/>
        </w:rPr>
        <w:t>15%</w:t>
      </w:r>
      <w:r>
        <w:rPr/>
        <w:t>的所得税率。 </w:t>
      </w:r>
      <w:r>
        <w:rPr>
          <w:spacing w:val="-2"/>
        </w:rPr>
        <w:t>丰东热技术下属公司重庆丰东热处理工程有限公司（以下简称</w:t>
      </w:r>
      <w:r>
        <w:rPr>
          <w:rFonts w:ascii="Times New Roman" w:hAnsi="Times New Roman" w:cs="Times New Roman" w:eastAsia="Times New Roman" w:hint="default"/>
          <w:spacing w:val="-2"/>
        </w:rPr>
        <w:t>“</w:t>
      </w:r>
      <w:r>
        <w:rPr>
          <w:spacing w:val="-2"/>
        </w:rPr>
        <w:t>重庆丰东</w:t>
      </w:r>
      <w:r>
        <w:rPr>
          <w:rFonts w:ascii="Times New Roman" w:hAnsi="Times New Roman" w:cs="Times New Roman" w:eastAsia="Times New Roman" w:hint="default"/>
          <w:spacing w:val="-2"/>
        </w:rPr>
        <w:t>”</w:t>
      </w:r>
      <w:r>
        <w:rPr>
          <w:spacing w:val="-2"/>
        </w:rPr>
        <w:t>），系重庆市民政局发证的社会福利企业，证</w:t>
      </w:r>
    </w:p>
    <w:p>
      <w:pPr>
        <w:pStyle w:val="BodyText"/>
        <w:spacing w:line="230" w:lineRule="exact"/>
        <w:ind w:left="153" w:right="1118"/>
        <w:jc w:val="left"/>
      </w:pPr>
      <w:r>
        <w:rPr/>
        <w:t>号为福企证字第</w:t>
      </w:r>
      <w:r>
        <w:rPr>
          <w:spacing w:val="-46"/>
        </w:rPr>
        <w:t> </w:t>
      </w:r>
      <w:r>
        <w:rPr>
          <w:rFonts w:ascii="Times New Roman" w:hAnsi="Times New Roman" w:cs="Times New Roman" w:eastAsia="Times New Roman" w:hint="default"/>
        </w:rPr>
        <w:t>500059990636</w:t>
      </w:r>
      <w:r>
        <w:rPr>
          <w:rFonts w:ascii="Times New Roman" w:hAnsi="Times New Roman" w:cs="Times New Roman" w:eastAsia="Times New Roman" w:hint="default"/>
          <w:spacing w:val="-1"/>
        </w:rPr>
        <w:t> </w:t>
      </w:r>
      <w:r>
        <w:rPr/>
        <w:t>号，按照财政部、国家税务总局财税</w:t>
      </w:r>
      <w:r>
        <w:rPr>
          <w:rFonts w:ascii="Times New Roman" w:hAnsi="Times New Roman" w:cs="Times New Roman" w:eastAsia="Times New Roman" w:hint="default"/>
        </w:rPr>
        <w:t>[2007]92</w:t>
      </w:r>
      <w:r>
        <w:rPr>
          <w:rFonts w:ascii="Times New Roman" w:hAnsi="Times New Roman" w:cs="Times New Roman" w:eastAsia="Times New Roman" w:hint="default"/>
          <w:spacing w:val="-1"/>
        </w:rPr>
        <w:t> </w:t>
      </w:r>
      <w:r>
        <w:rPr/>
        <w:t>号《财政部、国家税务总局关于促进残疾人就</w:t>
      </w:r>
    </w:p>
    <w:p>
      <w:pPr>
        <w:pStyle w:val="BodyText"/>
        <w:spacing w:line="240" w:lineRule="auto" w:before="64"/>
        <w:ind w:left="153" w:right="1118"/>
        <w:jc w:val="left"/>
      </w:pPr>
      <w:r>
        <w:rPr/>
        <w:t>业税收优惠政策的通知》，享受有关税收优惠政策。</w:t>
      </w:r>
    </w:p>
    <w:p>
      <w:pPr>
        <w:pStyle w:val="BodyText"/>
        <w:spacing w:line="300" w:lineRule="auto" w:before="116"/>
        <w:ind w:left="153" w:right="1128" w:firstLine="360"/>
        <w:jc w:val="left"/>
      </w:pPr>
      <w:r>
        <w:rPr/>
        <w:t>丰东热技术下属公司上海丰东热处理工程有限公司</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日获得由上海市科学技术委员会、上海市财政局、 上海市国家税务局、上海市地方税务局共同颁发的高新技术企业证书，证书编号为</w:t>
      </w:r>
      <w:r>
        <w:rPr>
          <w:spacing w:val="-46"/>
        </w:rPr>
        <w:t> </w:t>
      </w:r>
      <w:r>
        <w:rPr>
          <w:rFonts w:ascii="Times New Roman" w:hAnsi="Times New Roman" w:cs="Times New Roman" w:eastAsia="Times New Roman" w:hint="default"/>
        </w:rPr>
        <w:t>GR201731002623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年度执行</w:t>
      </w:r>
      <w:r>
        <w:rPr>
          <w:spacing w:val="-47"/>
        </w:rPr>
        <w:t> </w:t>
      </w:r>
      <w:r>
        <w:rPr>
          <w:rFonts w:ascii="Times New Roman" w:hAnsi="Times New Roman" w:cs="Times New Roman" w:eastAsia="Times New Roman" w:hint="default"/>
        </w:rPr>
        <w:t>15% </w:t>
      </w:r>
      <w:r>
        <w:rPr/>
        <w:t>的所得税率。</w:t>
      </w:r>
    </w:p>
    <w:p>
      <w:pPr>
        <w:pStyle w:val="BodyText"/>
        <w:spacing w:line="300" w:lineRule="auto" w:before="70"/>
        <w:ind w:left="153" w:right="1132" w:firstLine="360"/>
        <w:jc w:val="both"/>
      </w:pPr>
      <w:r>
        <w:rPr/>
        <w:t>丰东热技术下属江苏丰东热处理及表面改性工程技术研究有限公司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日取得由江苏省科学技术厅、江苏 省财政厅、江苏省国家税务局、江苏省地方税务局颁发的高新技术企业证书，证书编号为：</w:t>
      </w:r>
      <w:r>
        <w:rPr>
          <w:rFonts w:ascii="Times New Roman" w:hAnsi="Times New Roman" w:cs="Times New Roman" w:eastAsia="Times New Roman" w:hint="default"/>
        </w:rPr>
        <w:t>GR201732000882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年度执 行</w:t>
      </w:r>
      <w:r>
        <w:rPr>
          <w:spacing w:val="-46"/>
        </w:rPr>
        <w:t> </w:t>
      </w:r>
      <w:r>
        <w:rPr>
          <w:rFonts w:ascii="Times New Roman" w:hAnsi="Times New Roman" w:cs="Times New Roman" w:eastAsia="Times New Roman" w:hint="default"/>
        </w:rPr>
        <w:t>15%</w:t>
      </w:r>
      <w:r>
        <w:rPr/>
        <w:t>的所得税率。</w:t>
      </w:r>
    </w:p>
    <w:p>
      <w:pPr>
        <w:spacing w:line="240" w:lineRule="auto" w:before="8"/>
        <w:rPr>
          <w:rFonts w:ascii="宋体" w:hAnsi="宋体" w:cs="宋体" w:eastAsia="宋体" w:hint="default"/>
          <w:sz w:val="22"/>
          <w:szCs w:val="22"/>
        </w:rPr>
      </w:pPr>
    </w:p>
    <w:p>
      <w:pPr>
        <w:pStyle w:val="Heading3"/>
        <w:spacing w:line="240" w:lineRule="auto"/>
        <w:ind w:right="1118"/>
        <w:jc w:val="left"/>
        <w:rPr>
          <w:b w:val="0"/>
          <w:bCs w:val="0"/>
        </w:rPr>
      </w:pPr>
      <w:bookmarkStart w:name="3、其他" w:id="227"/>
      <w:bookmarkEnd w:id="227"/>
      <w:r>
        <w:rPr>
          <w:b w:val="0"/>
          <w:bCs w:val="0"/>
        </w:rPr>
      </w:r>
      <w:r>
        <w:rPr>
          <w:rFonts w:ascii="Times New Roman" w:hAnsi="Times New Roman" w:cs="Times New Roman" w:eastAsia="Times New Roman" w:hint="default"/>
        </w:rPr>
        <w:t>3</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1118"/>
        <w:jc w:val="left"/>
        <w:rPr>
          <w:b w:val="0"/>
          <w:bCs w:val="0"/>
        </w:rPr>
      </w:pPr>
      <w:bookmarkStart w:name="七、合并财务报表项目注释" w:id="228"/>
      <w:bookmarkEnd w:id="228"/>
      <w:r>
        <w:rPr>
          <w:b w:val="0"/>
          <w:bCs w:val="0"/>
        </w:rPr>
      </w:r>
      <w:r>
        <w:rPr/>
        <w:t>七、合并财务报表项目注释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118"/>
        <w:jc w:val="left"/>
        <w:rPr>
          <w:b w:val="0"/>
          <w:bCs w:val="0"/>
        </w:rPr>
      </w:pPr>
      <w:bookmarkStart w:name="1、货币资金" w:id="229"/>
      <w:bookmarkEnd w:id="22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991,438.58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896,303.77</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718,612,877.32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1,764,626,587.05</w:t>
            </w:r>
          </w:p>
        </w:tc>
      </w:tr>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3,596,775.10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1,743,941.32</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723,201,091.00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1,767,266,832.14</w:t>
            </w:r>
          </w:p>
        </w:tc>
      </w:tr>
    </w:tbl>
    <w:p>
      <w:pPr>
        <w:pStyle w:val="BodyText"/>
        <w:spacing w:line="240" w:lineRule="auto" w:before="51"/>
        <w:ind w:left="514" w:right="1118"/>
        <w:jc w:val="left"/>
      </w:pPr>
      <w:r>
        <w:rPr/>
        <w:t>其他说明</w:t>
      </w:r>
    </w:p>
    <w:p>
      <w:pPr>
        <w:pStyle w:val="BodyText"/>
        <w:spacing w:line="302" w:lineRule="auto" w:before="116"/>
        <w:ind w:left="153" w:right="1119" w:firstLine="360"/>
        <w:jc w:val="left"/>
      </w:pPr>
      <w:r>
        <w:rPr/>
        <w:t>货币资金期末数比期初数减少</w:t>
      </w:r>
      <w:r>
        <w:rPr>
          <w:spacing w:val="-54"/>
        </w:rPr>
        <w:t> </w:t>
      </w:r>
      <w:r>
        <w:rPr>
          <w:rFonts w:ascii="Times New Roman" w:hAnsi="Times New Roman" w:cs="Times New Roman" w:eastAsia="Times New Roman" w:hint="default"/>
        </w:rPr>
        <w:t>1,044,065,741.14</w:t>
      </w:r>
      <w:r>
        <w:rPr>
          <w:rFonts w:ascii="Times New Roman" w:hAnsi="Times New Roman" w:cs="Times New Roman" w:eastAsia="Times New Roman" w:hint="default"/>
          <w:spacing w:val="-8"/>
        </w:rPr>
        <w:t> </w:t>
      </w:r>
      <w:r>
        <w:rPr>
          <w:spacing w:val="-5"/>
        </w:rPr>
        <w:t>元，减少比例</w:t>
      </w:r>
      <w:r>
        <w:rPr>
          <w:spacing w:val="-54"/>
        </w:rPr>
        <w:t> </w:t>
      </w:r>
      <w:r>
        <w:rPr>
          <w:rFonts w:ascii="Times New Roman" w:hAnsi="Times New Roman" w:cs="Times New Roman" w:eastAsia="Times New Roman" w:hint="default"/>
        </w:rPr>
        <w:t>59.08%</w:t>
      </w:r>
      <w:r>
        <w:rPr/>
        <w:t>，主要原因系公司利用短期闲置资金购买银行保本 理财产品</w:t>
      </w:r>
      <w:r>
        <w:rPr>
          <w:spacing w:val="-47"/>
        </w:rPr>
        <w:t> </w:t>
      </w:r>
      <w:r>
        <w:rPr>
          <w:rFonts w:ascii="Times New Roman" w:hAnsi="Times New Roman" w:cs="Times New Roman" w:eastAsia="Times New Roman" w:hint="default"/>
        </w:rPr>
        <w:t>935,500,000,00</w:t>
      </w:r>
      <w:r>
        <w:rPr>
          <w:rFonts w:ascii="Times New Roman" w:hAnsi="Times New Roman" w:cs="Times New Roman" w:eastAsia="Times New Roman" w:hint="default"/>
          <w:spacing w:val="-1"/>
        </w:rPr>
        <w:t> </w:t>
      </w:r>
      <w:r>
        <w:rPr/>
        <w:t>元所致。</w:t>
      </w:r>
    </w:p>
    <w:p>
      <w:pPr>
        <w:spacing w:line="240" w:lineRule="auto" w:before="6"/>
        <w:rPr>
          <w:rFonts w:ascii="宋体" w:hAnsi="宋体" w:cs="宋体" w:eastAsia="宋体" w:hint="default"/>
          <w:sz w:val="22"/>
          <w:szCs w:val="22"/>
        </w:rPr>
      </w:pPr>
    </w:p>
    <w:p>
      <w:pPr>
        <w:pStyle w:val="Heading3"/>
        <w:spacing w:line="240" w:lineRule="auto"/>
        <w:ind w:right="1118"/>
        <w:jc w:val="left"/>
        <w:rPr>
          <w:b w:val="0"/>
          <w:bCs w:val="0"/>
        </w:rPr>
      </w:pPr>
      <w:bookmarkStart w:name="2、衍生金融资产" w:id="230"/>
      <w:bookmarkEnd w:id="230"/>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应收票据" w:id="231"/>
      <w:bookmarkEnd w:id="231"/>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应收票据分类列示" w:id="232"/>
      <w:bookmarkEnd w:id="23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45,337,684.17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33,602,177.30</w:t>
            </w:r>
          </w:p>
        </w:tc>
      </w:tr>
      <w:tr>
        <w:trPr>
          <w:trHeight w:val="37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6,866,400.00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285,775.10</w:t>
            </w:r>
          </w:p>
        </w:tc>
      </w:tr>
      <w:tr>
        <w:trPr>
          <w:trHeight w:val="3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52,204,084.17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33,887,952.40</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期末公司因出票人未履约而将其转应收账款的票据" w:id="233"/>
      <w:bookmarkEnd w:id="233"/>
      <w:r>
        <w:rPr>
          <w:b w:val="0"/>
          <w:bCs w:val="0"/>
        </w:rPr>
      </w:r>
      <w:r>
        <w:rPr/>
        <w:t>（</w:t>
      </w:r>
      <w:r>
        <w:rPr>
          <w:rFonts w:ascii="Times New Roman" w:hAnsi="Times New Roman" w:cs="Times New Roman" w:eastAsia="Times New Roman" w:hint="default"/>
        </w:rPr>
        <w:t>2</w:t>
      </w:r>
      <w:r>
        <w:rPr/>
        <w:t>）期末公司因出票人未履约而将其转应收账款的票据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514" w:right="1118"/>
        <w:jc w:val="left"/>
      </w:pPr>
      <w:r>
        <w:rPr/>
        <w:t>其他说明</w:t>
      </w:r>
    </w:p>
    <w:p>
      <w:pPr>
        <w:pStyle w:val="BodyText"/>
        <w:spacing w:line="302" w:lineRule="auto" w:before="115"/>
        <w:ind w:left="153" w:right="1120" w:firstLine="360"/>
        <w:jc w:val="left"/>
      </w:pPr>
      <w:r>
        <w:rPr/>
        <w:t>应收票据期末数比期初数增加</w:t>
      </w:r>
      <w:r>
        <w:rPr>
          <w:spacing w:val="-49"/>
        </w:rPr>
        <w:t> </w:t>
      </w:r>
      <w:r>
        <w:rPr>
          <w:rFonts w:ascii="Times New Roman" w:hAnsi="Times New Roman" w:cs="Times New Roman" w:eastAsia="Times New Roman" w:hint="default"/>
        </w:rPr>
        <w:t>18,316,131.77</w:t>
      </w:r>
      <w:r>
        <w:rPr>
          <w:rFonts w:ascii="Times New Roman" w:hAnsi="Times New Roman" w:cs="Times New Roman" w:eastAsia="Times New Roman" w:hint="default"/>
          <w:spacing w:val="-4"/>
        </w:rPr>
        <w:t> </w:t>
      </w:r>
      <w:r>
        <w:rPr/>
        <w:t>元，增加比例</w:t>
      </w:r>
      <w:r>
        <w:rPr>
          <w:spacing w:val="-49"/>
        </w:rPr>
        <w:t> </w:t>
      </w:r>
      <w:r>
        <w:rPr>
          <w:rFonts w:ascii="Times New Roman" w:hAnsi="Times New Roman" w:cs="Times New Roman" w:eastAsia="Times New Roman" w:hint="default"/>
        </w:rPr>
        <w:t>54.05%</w:t>
      </w:r>
      <w:r>
        <w:rPr/>
        <w:t>，主要原因系热处理板块业务增长，收到的以票据结 算的款项增加所致。</w:t>
      </w:r>
    </w:p>
    <w:p>
      <w:pPr>
        <w:spacing w:line="240" w:lineRule="auto" w:before="13"/>
        <w:rPr>
          <w:rFonts w:ascii="宋体" w:hAnsi="宋体" w:cs="宋体" w:eastAsia="宋体" w:hint="default"/>
          <w:sz w:val="23"/>
          <w:szCs w:val="23"/>
        </w:rPr>
      </w:pPr>
    </w:p>
    <w:p>
      <w:pPr>
        <w:pStyle w:val="Heading3"/>
        <w:spacing w:line="240" w:lineRule="auto"/>
        <w:ind w:right="1118"/>
        <w:jc w:val="left"/>
        <w:rPr>
          <w:b w:val="0"/>
          <w:bCs w:val="0"/>
        </w:rPr>
      </w:pPr>
      <w:bookmarkStart w:name="4、应收账款" w:id="234"/>
      <w:bookmarkEnd w:id="234"/>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5"/>
          <w:szCs w:val="25"/>
        </w:rPr>
      </w:pPr>
    </w:p>
    <w:p>
      <w:pPr>
        <w:pStyle w:val="Heading3"/>
        <w:spacing w:line="240" w:lineRule="auto"/>
        <w:ind w:right="1118"/>
        <w:jc w:val="left"/>
        <w:rPr>
          <w:b w:val="0"/>
          <w:bCs w:val="0"/>
        </w:rPr>
      </w:pPr>
      <w:bookmarkStart w:name="（1）应收账款分类披露" w:id="235"/>
      <w:bookmarkEnd w:id="23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90"/>
        <w:gridCol w:w="863"/>
        <w:gridCol w:w="709"/>
        <w:gridCol w:w="850"/>
        <w:gridCol w:w="709"/>
        <w:gridCol w:w="850"/>
        <w:gridCol w:w="851"/>
        <w:gridCol w:w="710"/>
        <w:gridCol w:w="850"/>
        <w:gridCol w:w="709"/>
        <w:gridCol w:w="778"/>
      </w:tblGrid>
      <w:tr>
        <w:trPr>
          <w:trHeight w:val="325" w:hRule="exact"/>
        </w:trPr>
        <w:tc>
          <w:tcPr>
            <w:tcW w:w="1690" w:type="dxa"/>
            <w:vMerge w:val="restart"/>
            <w:tcBorders>
              <w:top w:val="single" w:sz="4" w:space="0" w:color="000000"/>
              <w:left w:val="single" w:sz="4" w:space="0" w:color="000000"/>
              <w:right w:val="single" w:sz="4" w:space="0" w:color="000000"/>
            </w:tcBorders>
            <w:shd w:val="clear" w:color="auto" w:fill="D2D2D2"/>
          </w:tcPr>
          <w:p>
            <w:pPr/>
          </w:p>
        </w:tc>
        <w:tc>
          <w:tcPr>
            <w:tcW w:w="3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0"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vMerge w:val="restart"/>
            <w:tcBorders>
              <w:top w:val="single" w:sz="4" w:space="0" w:color="000000"/>
              <w:left w:val="single" w:sz="4" w:space="0" w:color="000000"/>
              <w:right w:val="single" w:sz="4" w:space="0" w:color="000000"/>
            </w:tcBorders>
            <w:shd w:val="clear" w:color="auto" w:fill="D2D2D2"/>
          </w:tcPr>
          <w:p>
            <w:pPr/>
          </w:p>
        </w:tc>
      </w:tr>
      <w:tr>
        <w:trPr>
          <w:trHeight w:val="185" w:hRule="exact"/>
        </w:trPr>
        <w:tc>
          <w:tcPr>
            <w:tcW w:w="1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43" w:hRule="exact"/>
        </w:trPr>
        <w:tc>
          <w:tcPr>
            <w:tcW w:w="1690" w:type="dxa"/>
            <w:vMerge/>
            <w:tcBorders>
              <w:left w:val="single" w:sz="4" w:space="0" w:color="000000"/>
              <w:bottom w:val="single" w:sz="4" w:space="0" w:color="FFFFFF"/>
              <w:right w:val="single" w:sz="4" w:space="0" w:color="000000"/>
            </w:tcBorders>
            <w:shd w:val="clear" w:color="auto" w:fill="D2D2D2"/>
          </w:tcPr>
          <w:p>
            <w:pPr/>
          </w:p>
        </w:tc>
        <w:tc>
          <w:tcPr>
            <w:tcW w:w="8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5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169"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50" w:type="dxa"/>
            <w:vMerge w:val="restart"/>
            <w:tcBorders>
              <w:top w:val="nil" w:sz="6" w:space="0" w:color="auto"/>
              <w:left w:val="single" w:sz="9" w:space="0" w:color="D2D2D2"/>
              <w:right w:val="single" w:sz="9" w:space="0" w:color="D2D2D2"/>
            </w:tcBorders>
          </w:tcPr>
          <w:p>
            <w:pPr>
              <w:pStyle w:val="TableParagraph"/>
              <w:spacing w:line="240" w:lineRule="auto" w:before="1"/>
              <w:ind w:left="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170" w:right="16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78" w:type="dxa"/>
            <w:vMerge w:val="restart"/>
            <w:tcBorders>
              <w:top w:val="nil" w:sz="6" w:space="0" w:color="auto"/>
              <w:left w:val="single" w:sz="9" w:space="0" w:color="D2D2D2"/>
              <w:right w:val="single" w:sz="13" w:space="0" w:color="D2D2D2"/>
            </w:tcBorders>
          </w:tcPr>
          <w:p>
            <w:pPr>
              <w:pStyle w:val="TableParagraph"/>
              <w:spacing w:line="240" w:lineRule="auto" w:before="1"/>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r>
      <w:tr>
        <w:trPr>
          <w:trHeight w:val="157" w:hRule="exact"/>
        </w:trPr>
        <w:tc>
          <w:tcPr>
            <w:tcW w:w="1690" w:type="dxa"/>
            <w:vMerge w:val="restart"/>
            <w:tcBorders>
              <w:top w:val="single" w:sz="4" w:space="0" w:color="FFFFFF"/>
              <w:left w:val="single" w:sz="4" w:space="0" w:color="000000"/>
              <w:right w:val="single" w:sz="4" w:space="0" w:color="000000"/>
            </w:tcBorders>
            <w:shd w:val="clear" w:color="auto" w:fill="D2D2D2"/>
          </w:tcPr>
          <w:p>
            <w:pPr/>
          </w:p>
        </w:tc>
        <w:tc>
          <w:tcPr>
            <w:tcW w:w="8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2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2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9" w:space="0" w:color="D2D2D2"/>
              <w:bottom w:val="nil" w:sz="6" w:space="0" w:color="auto"/>
              <w:right w:val="single" w:sz="9" w:space="0" w:color="D2D2D2"/>
            </w:tcBorders>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778" w:type="dxa"/>
            <w:vMerge/>
            <w:tcBorders>
              <w:left w:val="single" w:sz="9" w:space="0" w:color="D2D2D2"/>
              <w:bottom w:val="nil" w:sz="6" w:space="0" w:color="auto"/>
              <w:right w:val="single" w:sz="13" w:space="0" w:color="D2D2D2"/>
            </w:tcBorders>
          </w:tcPr>
          <w:p>
            <w:pPr/>
          </w:p>
        </w:tc>
      </w:tr>
      <w:tr>
        <w:trPr>
          <w:trHeight w:val="164" w:hRule="exact"/>
        </w:trPr>
        <w:tc>
          <w:tcPr>
            <w:tcW w:w="1690"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r>
      <w:tr>
        <w:trPr>
          <w:trHeight w:val="145" w:hRule="exact"/>
        </w:trPr>
        <w:tc>
          <w:tcPr>
            <w:tcW w:w="1690" w:type="dxa"/>
            <w:vMerge/>
            <w:tcBorders>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35"/>
              <w:jc w:val="both"/>
              <w:rPr>
                <w:rFonts w:ascii="宋体" w:hAnsi="宋体" w:cs="宋体" w:eastAsia="宋体" w:hint="default"/>
                <w:sz w:val="18"/>
                <w:szCs w:val="18"/>
              </w:rPr>
            </w:pPr>
            <w:r>
              <w:rPr>
                <w:rFonts w:ascii="宋体" w:hAnsi="宋体" w:cs="宋体" w:eastAsia="宋体" w:hint="default"/>
                <w:sz w:val="18"/>
                <w:szCs w:val="18"/>
              </w:rPr>
              <w:t>单项金额重大并单独 计提坏账准备的应收 账款</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3,803,759.</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3,803,759.</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3,238,000.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3,238,000.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35"/>
              <w:jc w:val="both"/>
              <w:rPr>
                <w:rFonts w:ascii="宋体" w:hAnsi="宋体" w:cs="宋体" w:eastAsia="宋体" w:hint="default"/>
                <w:sz w:val="18"/>
                <w:szCs w:val="18"/>
              </w:rPr>
            </w:pPr>
            <w:r>
              <w:rPr>
                <w:rFonts w:ascii="宋体" w:hAnsi="宋体" w:cs="宋体" w:eastAsia="宋体" w:hint="default"/>
                <w:sz w:val="18"/>
                <w:szCs w:val="18"/>
              </w:rPr>
              <w:t>按信用风险特征组合 计提坏账准备的应收 账款</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402,517,8</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22.66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31,526,55</w:t>
            </w:r>
          </w:p>
          <w:p>
            <w:pPr>
              <w:pStyle w:val="TableParagraph"/>
              <w:spacing w:line="240" w:lineRule="auto" w:before="34"/>
              <w:ind w:left="503" w:right="0"/>
              <w:jc w:val="left"/>
              <w:rPr>
                <w:rFonts w:ascii="Times New Roman" w:hAnsi="Times New Roman" w:cs="Times New Roman" w:eastAsia="Times New Roman" w:hint="default"/>
                <w:sz w:val="18"/>
                <w:szCs w:val="18"/>
              </w:rPr>
            </w:pPr>
            <w:r>
              <w:rPr>
                <w:rFonts w:ascii="Times New Roman"/>
                <w:sz w:val="18"/>
              </w:rPr>
              <w:t>1.53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370,991,2</w:t>
            </w:r>
          </w:p>
          <w:p>
            <w:pPr>
              <w:pStyle w:val="TableParagraph"/>
              <w:spacing w:line="240" w:lineRule="auto" w:before="34"/>
              <w:ind w:left="412" w:right="0"/>
              <w:jc w:val="left"/>
              <w:rPr>
                <w:rFonts w:ascii="Times New Roman" w:hAnsi="Times New Roman" w:cs="Times New Roman" w:eastAsia="Times New Roman" w:hint="default"/>
                <w:sz w:val="18"/>
                <w:szCs w:val="18"/>
              </w:rPr>
            </w:pPr>
            <w:r>
              <w:rPr>
                <w:rFonts w:ascii="Times New Roman"/>
                <w:sz w:val="18"/>
              </w:rPr>
              <w:t>71.13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236,844,5</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10.00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98.13%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19,277,03</w:t>
            </w:r>
          </w:p>
          <w:p>
            <w:pPr>
              <w:pStyle w:val="TableParagraph"/>
              <w:spacing w:line="240" w:lineRule="auto" w:before="34"/>
              <w:ind w:left="502" w:right="0"/>
              <w:jc w:val="left"/>
              <w:rPr>
                <w:rFonts w:ascii="Times New Roman" w:hAnsi="Times New Roman" w:cs="Times New Roman" w:eastAsia="Times New Roman" w:hint="default"/>
                <w:sz w:val="18"/>
                <w:szCs w:val="18"/>
              </w:rPr>
            </w:pPr>
            <w:r>
              <w:rPr>
                <w:rFonts w:ascii="Times New Roman"/>
                <w:sz w:val="18"/>
              </w:rPr>
              <w:t>9.89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217,567,4</w:t>
            </w:r>
          </w:p>
          <w:p>
            <w:pPr>
              <w:pStyle w:val="TableParagraph"/>
              <w:spacing w:line="240" w:lineRule="auto" w:before="34"/>
              <w:ind w:left="339" w:right="0"/>
              <w:jc w:val="left"/>
              <w:rPr>
                <w:rFonts w:ascii="Times New Roman" w:hAnsi="Times New Roman" w:cs="Times New Roman" w:eastAsia="Times New Roman" w:hint="default"/>
                <w:sz w:val="18"/>
                <w:szCs w:val="18"/>
              </w:rPr>
            </w:pPr>
            <w:r>
              <w:rPr>
                <w:rFonts w:ascii="Times New Roman"/>
                <w:sz w:val="18"/>
              </w:rPr>
              <w:t>70.11</w:t>
            </w:r>
          </w:p>
        </w:tc>
      </w:tr>
      <w:tr>
        <w:trPr>
          <w:trHeight w:val="81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35"/>
              <w:jc w:val="both"/>
              <w:rPr>
                <w:rFonts w:ascii="宋体" w:hAnsi="宋体" w:cs="宋体" w:eastAsia="宋体" w:hint="default"/>
                <w:sz w:val="18"/>
                <w:szCs w:val="18"/>
              </w:rPr>
            </w:pPr>
            <w:r>
              <w:rPr>
                <w:rFonts w:ascii="宋体" w:hAnsi="宋体" w:cs="宋体" w:eastAsia="宋体" w:hint="default"/>
                <w:sz w:val="18"/>
                <w:szCs w:val="18"/>
              </w:rPr>
              <w:t>单项金额不重大但单 独计提坏账准备的应 收账款</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1,015,668.</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1,015,668.</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1,281,723.</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1,281,723.</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vMerge w:val="restart"/>
            <w:tcBorders>
              <w:top w:val="single" w:sz="4" w:space="0" w:color="000000"/>
              <w:left w:val="single" w:sz="13" w:space="0" w:color="D2D2D2"/>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407,337,2</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49.66</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3"/>
              <w:ind w:left="97" w:right="0"/>
              <w:jc w:val="left"/>
              <w:rPr>
                <w:rFonts w:ascii="Times New Roman" w:hAnsi="Times New Roman" w:cs="Times New Roman" w:eastAsia="Times New Roman" w:hint="default"/>
                <w:sz w:val="18"/>
                <w:szCs w:val="18"/>
              </w:rPr>
            </w:pPr>
            <w:r>
              <w:rPr>
                <w:rFonts w:ascii="Times New Roman"/>
                <w:sz w:val="18"/>
              </w:rPr>
              <w:t>36,345,97</w:t>
            </w:r>
          </w:p>
          <w:p>
            <w:pPr>
              <w:pStyle w:val="TableParagraph"/>
              <w:spacing w:line="240" w:lineRule="auto" w:before="34"/>
              <w:ind w:left="503" w:right="0"/>
              <w:jc w:val="left"/>
              <w:rPr>
                <w:rFonts w:ascii="Times New Roman" w:hAnsi="Times New Roman" w:cs="Times New Roman" w:eastAsia="Times New Roman" w:hint="default"/>
                <w:sz w:val="18"/>
                <w:szCs w:val="18"/>
              </w:rPr>
            </w:pPr>
            <w:r>
              <w:rPr>
                <w:rFonts w:ascii="Times New Roman"/>
                <w:sz w:val="18"/>
              </w:rPr>
              <w:t>8.53</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8.92%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3"/>
              <w:ind w:left="97" w:right="0"/>
              <w:jc w:val="left"/>
              <w:rPr>
                <w:rFonts w:ascii="Times New Roman" w:hAnsi="Times New Roman" w:cs="Times New Roman" w:eastAsia="Times New Roman" w:hint="default"/>
                <w:sz w:val="18"/>
                <w:szCs w:val="18"/>
              </w:rPr>
            </w:pPr>
            <w:r>
              <w:rPr>
                <w:rFonts w:ascii="Times New Roman"/>
                <w:sz w:val="18"/>
              </w:rPr>
              <w:t>370,991,2</w:t>
            </w:r>
          </w:p>
          <w:p>
            <w:pPr>
              <w:pStyle w:val="TableParagraph"/>
              <w:spacing w:line="240" w:lineRule="auto" w:before="34"/>
              <w:ind w:left="412" w:right="0"/>
              <w:jc w:val="left"/>
              <w:rPr>
                <w:rFonts w:ascii="Times New Roman" w:hAnsi="Times New Roman" w:cs="Times New Roman" w:eastAsia="Times New Roman" w:hint="default"/>
                <w:sz w:val="18"/>
                <w:szCs w:val="18"/>
              </w:rPr>
            </w:pPr>
            <w:r>
              <w:rPr>
                <w:rFonts w:ascii="Times New Roman"/>
                <w:sz w:val="18"/>
              </w:rPr>
              <w:t>71.13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241,364,2</w:t>
            </w:r>
          </w:p>
          <w:p>
            <w:pPr>
              <w:pStyle w:val="TableParagraph"/>
              <w:spacing w:line="240" w:lineRule="auto" w:before="34"/>
              <w:ind w:left="413" w:right="0"/>
              <w:jc w:val="left"/>
              <w:rPr>
                <w:rFonts w:ascii="Times New Roman" w:hAnsi="Times New Roman" w:cs="Times New Roman" w:eastAsia="Times New Roman" w:hint="default"/>
                <w:sz w:val="18"/>
                <w:szCs w:val="18"/>
              </w:rPr>
            </w:pPr>
            <w:r>
              <w:rPr>
                <w:rFonts w:ascii="Times New Roman"/>
                <w:sz w:val="18"/>
              </w:rPr>
              <w:t>33.75</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3"/>
              <w:ind w:left="97" w:right="0"/>
              <w:jc w:val="left"/>
              <w:rPr>
                <w:rFonts w:ascii="Times New Roman" w:hAnsi="Times New Roman" w:cs="Times New Roman" w:eastAsia="Times New Roman" w:hint="default"/>
                <w:sz w:val="18"/>
                <w:szCs w:val="18"/>
              </w:rPr>
            </w:pPr>
            <w:r>
              <w:rPr>
                <w:rFonts w:ascii="Times New Roman"/>
                <w:sz w:val="18"/>
              </w:rPr>
              <w:t>23,796,76</w:t>
            </w:r>
          </w:p>
          <w:p>
            <w:pPr>
              <w:pStyle w:val="TableParagraph"/>
              <w:spacing w:line="240" w:lineRule="auto" w:before="34"/>
              <w:ind w:left="502" w:right="0"/>
              <w:jc w:val="left"/>
              <w:rPr>
                <w:rFonts w:ascii="Times New Roman" w:hAnsi="Times New Roman" w:cs="Times New Roman" w:eastAsia="Times New Roman" w:hint="default"/>
                <w:sz w:val="18"/>
                <w:szCs w:val="18"/>
              </w:rPr>
            </w:pPr>
            <w:r>
              <w:rPr>
                <w:rFonts w:ascii="Times New Roman"/>
                <w:sz w:val="18"/>
              </w:rPr>
              <w:t>3.64</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9.86%</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sz w:val="18"/>
              </w:rPr>
              <w:t>217,567,4</w:t>
            </w:r>
          </w:p>
          <w:p>
            <w:pPr>
              <w:pStyle w:val="TableParagraph"/>
              <w:spacing w:line="240" w:lineRule="auto" w:before="34"/>
              <w:ind w:left="339" w:right="0"/>
              <w:jc w:val="left"/>
              <w:rPr>
                <w:rFonts w:ascii="Times New Roman" w:hAnsi="Times New Roman" w:cs="Times New Roman" w:eastAsia="Times New Roman" w:hint="default"/>
                <w:sz w:val="18"/>
                <w:szCs w:val="18"/>
              </w:rPr>
            </w:pPr>
            <w:r>
              <w:rPr>
                <w:rFonts w:ascii="Times New Roman"/>
                <w:sz w:val="18"/>
              </w:rPr>
              <w:t>70.11</w:t>
            </w:r>
          </w:p>
        </w:tc>
      </w:tr>
      <w:tr>
        <w:trPr>
          <w:trHeight w:val="445"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vMerge/>
            <w:tcBorders>
              <w:left w:val="single" w:sz="13"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spacing w:after="0" w:line="240" w:lineRule="auto"/>
        <w:rPr>
          <w:rFonts w:ascii="宋体" w:hAnsi="宋体" w:cs="宋体" w:eastAsia="宋体" w:hint="default"/>
          <w:sz w:val="6"/>
          <w:szCs w:val="6"/>
        </w:rPr>
        <w:sectPr>
          <w:pgSz w:w="11910" w:h="16840"/>
          <w:pgMar w:header="687" w:footer="979" w:top="1140" w:bottom="1160" w:left="980" w:right="0"/>
        </w:sectPr>
      </w:pPr>
    </w:p>
    <w:p>
      <w:pPr>
        <w:pStyle w:val="BodyText"/>
        <w:spacing w:line="240" w:lineRule="auto" w:before="44"/>
        <w:ind w:left="514" w:right="-20"/>
        <w:jc w:val="left"/>
      </w:pPr>
      <w:r>
        <w:rPr/>
        <w:t>期末单项金额重大并单项计提坏账准备的应收账款：</w:t>
      </w:r>
    </w:p>
    <w:p>
      <w:pPr>
        <w:pStyle w:val="BodyText"/>
        <w:spacing w:line="240" w:lineRule="auto" w:before="117"/>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3815"/>
            <w:col w:w="246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136"/>
        <w:jc w:val="right"/>
      </w:pPr>
      <w:r>
        <w:rPr/>
        <w:pict>
          <v:shape style="position:absolute;margin-left:56.459999pt;margin-top:-43.27829pt;width:479.3pt;height:80.9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417"/>
                    <w:gridCol w:w="1559"/>
                    <w:gridCol w:w="1418"/>
                    <w:gridCol w:w="3474"/>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8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3,803,759.00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3,803,759.00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1" w:right="0"/>
                          <w:jc w:val="left"/>
                          <w:rPr>
                            <w:rFonts w:ascii="Times New Roman" w:hAnsi="Times New Roman" w:cs="Times New Roman" w:eastAsia="Times New Roman" w:hint="default"/>
                            <w:sz w:val="18"/>
                            <w:szCs w:val="18"/>
                          </w:rPr>
                        </w:pPr>
                        <w:r>
                          <w:rPr>
                            <w:rFonts w:ascii="Times New Roman"/>
                            <w:sz w:val="18"/>
                          </w:rPr>
                          <w:t>100.00%</w:t>
                        </w:r>
                      </w:p>
                    </w:tc>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9"/>
                          <w:jc w:val="center"/>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r>
                          <w:rPr>
                            <w:rFonts w:ascii="宋体" w:hAnsi="宋体" w:cs="宋体" w:eastAsia="宋体" w:hint="default"/>
                            <w:spacing w:val="-90"/>
                            <w:sz w:val="18"/>
                            <w:szCs w:val="18"/>
                          </w:rPr>
                          <w:t>，</w:t>
                        </w:r>
                        <w:r>
                          <w:rPr>
                            <w:rFonts w:ascii="宋体" w:hAnsi="宋体" w:cs="宋体" w:eastAsia="宋体" w:hint="default"/>
                            <w:sz w:val="18"/>
                            <w:szCs w:val="18"/>
                          </w:rPr>
                          <w:t>但经判断无法收回</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3,803,759.00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3,803,759.00</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160" w:left="980" w:right="0"/>
        </w:sectPr>
      </w:pPr>
    </w:p>
    <w:p>
      <w:pPr>
        <w:pStyle w:val="BodyText"/>
        <w:spacing w:line="240" w:lineRule="auto" w:before="44"/>
        <w:ind w:left="514" w:right="-20"/>
        <w:jc w:val="left"/>
      </w:pPr>
      <w:r>
        <w:rPr/>
        <w:t>组合中，按账龄分析法计提坏账准备的应收账款：</w:t>
      </w:r>
    </w:p>
    <w:p>
      <w:pPr>
        <w:pStyle w:val="BodyText"/>
        <w:spacing w:line="240" w:lineRule="auto" w:before="116"/>
        <w:ind w:left="5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3995"/>
            <w:col w:w="246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35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355"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4"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5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319,244,371.52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10,625,977.42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3.33%</w:t>
            </w:r>
          </w:p>
        </w:tc>
      </w:tr>
      <w:tr>
        <w:trPr>
          <w:trHeight w:val="35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36,972,560.06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2,740,421.81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7.41%</w:t>
            </w:r>
          </w:p>
        </w:tc>
      </w:tr>
      <w:tr>
        <w:trPr>
          <w:trHeight w:val="349"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21,753,332.85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2,913,565.35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13.39%</w:t>
            </w:r>
          </w:p>
        </w:tc>
      </w:tr>
      <w:tr>
        <w:trPr>
          <w:trHeight w:val="35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6,218,897.44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2,281,473.65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36.69%</w:t>
            </w:r>
          </w:p>
        </w:tc>
      </w:tr>
      <w:tr>
        <w:trPr>
          <w:trHeight w:val="35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5,096,124.02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2,627,266.47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51.55%</w:t>
            </w:r>
          </w:p>
        </w:tc>
      </w:tr>
      <w:tr>
        <w:trPr>
          <w:trHeight w:val="349"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10,337,846.83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10,337,846.83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399,623,132.72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31,526,551.53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7.89%</w:t>
            </w:r>
          </w:p>
        </w:tc>
      </w:tr>
    </w:tbl>
    <w:p>
      <w:pPr>
        <w:spacing w:line="240" w:lineRule="auto" w:before="9"/>
        <w:rPr>
          <w:rFonts w:ascii="宋体" w:hAnsi="宋体" w:cs="宋体" w:eastAsia="宋体" w:hint="default"/>
          <w:sz w:val="6"/>
          <w:szCs w:val="6"/>
        </w:rPr>
      </w:pPr>
    </w:p>
    <w:p>
      <w:pPr>
        <w:pStyle w:val="BodyText"/>
        <w:spacing w:line="439" w:lineRule="auto" w:before="44"/>
        <w:ind w:left="514" w:right="6072"/>
        <w:jc w:val="left"/>
      </w:pPr>
      <w:r>
        <w:rPr/>
        <w:t>确定该组合依据的说明： 组合中，采用余额百分比法计提坏账准备的应收账款：</w:t>
      </w:r>
    </w:p>
    <w:p>
      <w:pPr>
        <w:pStyle w:val="BodyText"/>
        <w:spacing w:line="240" w:lineRule="auto" w:before="47"/>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2）本期计提、收回或转回的坏账准备情况" w:id="236"/>
      <w:bookmarkEnd w:id="23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514" w:right="0"/>
        <w:jc w:val="left"/>
      </w:pPr>
      <w:r>
        <w:rPr/>
        <w:t>本期计提坏账准备金额</w:t>
      </w:r>
      <w:r>
        <w:rPr>
          <w:spacing w:val="-45"/>
        </w:rPr>
        <w:t> </w:t>
      </w:r>
      <w:r>
        <w:rPr>
          <w:rFonts w:ascii="Times New Roman" w:hAnsi="Times New Roman" w:cs="Times New Roman" w:eastAsia="Times New Roman" w:hint="default"/>
        </w:rPr>
        <w:t>13,186,593.42</w:t>
      </w:r>
      <w:r>
        <w:rPr>
          <w:rFonts w:ascii="Times New Roman" w:hAnsi="Times New Roman" w:cs="Times New Roman" w:eastAsia="Times New Roman" w:hint="default"/>
          <w:spacing w:val="1"/>
        </w:rPr>
        <w:t> </w:t>
      </w:r>
      <w:r>
        <w:rPr>
          <w:spacing w:val="-3"/>
        </w:rPr>
        <w:t>元；增加合并单位转入坏账准备金额</w:t>
      </w:r>
      <w:r>
        <w:rPr>
          <w:spacing w:val="-45"/>
        </w:rPr>
        <w:t> </w:t>
      </w:r>
      <w:r>
        <w:rPr>
          <w:rFonts w:ascii="Times New Roman" w:hAnsi="Times New Roman" w:cs="Times New Roman" w:eastAsia="Times New Roman" w:hint="default"/>
        </w:rPr>
        <w:t>4,069,291.75 </w:t>
      </w:r>
      <w:r>
        <w:rPr>
          <w:spacing w:val="-3"/>
        </w:rPr>
        <w:t>元；减少合并单位转出坏账准备</w:t>
      </w:r>
    </w:p>
    <w:p>
      <w:pPr>
        <w:pStyle w:val="BodyText"/>
        <w:spacing w:line="240" w:lineRule="auto" w:before="64"/>
        <w:ind w:left="153" w:right="1118"/>
        <w:jc w:val="left"/>
      </w:pPr>
      <w:r>
        <w:rPr/>
        <w:t>金额</w:t>
      </w:r>
      <w:r>
        <w:rPr>
          <w:spacing w:val="-47"/>
        </w:rPr>
        <w:t> </w:t>
      </w:r>
      <w:r>
        <w:rPr>
          <w:rFonts w:ascii="Times New Roman" w:hAnsi="Times New Roman" w:cs="Times New Roman" w:eastAsia="Times New Roman" w:hint="default"/>
        </w:rPr>
        <w:t>4,316,454.80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本期实际核销的应收账款情况" w:id="237"/>
      <w:bookmarkEnd w:id="23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390,215.48</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4）按欠款方归集的期末余额前五名的应收账款情况" w:id="238"/>
      <w:bookmarkEnd w:id="23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00"/>
        <w:gridCol w:w="1899"/>
        <w:gridCol w:w="1900"/>
        <w:gridCol w:w="1899"/>
        <w:gridCol w:w="1900"/>
      </w:tblGrid>
      <w:tr>
        <w:trPr>
          <w:trHeight w:val="406" w:hRule="exact"/>
        </w:trPr>
        <w:tc>
          <w:tcPr>
            <w:tcW w:w="19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9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9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70,874,655.46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z w:val="18"/>
              </w:rPr>
              <w:t>17.40%</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12,981,048.77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z w:val="18"/>
              </w:rPr>
              <w:t>3.19%</w:t>
            </w:r>
          </w:p>
        </w:tc>
      </w:tr>
      <w:tr>
        <w:trPr>
          <w:trHeight w:val="40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10,185,585.72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z w:val="18"/>
              </w:rPr>
              <w:t>2.50%</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pacing w:val="-1"/>
                <w:sz w:val="18"/>
              </w:rPr>
              <w:t>7,475,791.15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right"/>
              <w:rPr>
                <w:rFonts w:ascii="Times New Roman" w:hAnsi="Times New Roman" w:cs="Times New Roman" w:eastAsia="Times New Roman" w:hint="default"/>
                <w:sz w:val="18"/>
                <w:szCs w:val="18"/>
              </w:rPr>
            </w:pPr>
            <w:r>
              <w:rPr>
                <w:rFonts w:ascii="Times New Roman"/>
                <w:sz w:val="18"/>
              </w:rPr>
              <w:t>1.84%</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7,424,696.11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z w:val="18"/>
              </w:rPr>
              <w:t>1.82%</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9"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pacing w:val="-1"/>
                <w:sz w:val="18"/>
              </w:rPr>
              <w:t>108,941,777.21</w:t>
            </w:r>
          </w:p>
        </w:tc>
        <w:tc>
          <w:tcPr>
            <w:tcW w:w="1899"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Times New Roman" w:hAnsi="Times New Roman" w:cs="Times New Roman" w:eastAsia="Times New Roman" w:hint="default"/>
                <w:sz w:val="18"/>
                <w:szCs w:val="18"/>
              </w:rPr>
            </w:pPr>
            <w:r>
              <w:rPr>
                <w:rFonts w:ascii="Times New Roman"/>
                <w:sz w:val="18"/>
              </w:rPr>
              <w:t>26.75%</w:t>
            </w:r>
          </w:p>
        </w:tc>
      </w:tr>
    </w:tbl>
    <w:p>
      <w:pPr>
        <w:spacing w:line="240" w:lineRule="auto" w:before="8"/>
        <w:rPr>
          <w:rFonts w:ascii="宋体" w:hAnsi="宋体" w:cs="宋体" w:eastAsia="宋体" w:hint="default"/>
          <w:b/>
          <w:bCs/>
          <w:sz w:val="19"/>
          <w:szCs w:val="19"/>
        </w:rPr>
      </w:pPr>
    </w:p>
    <w:p>
      <w:pPr>
        <w:pStyle w:val="Heading3"/>
        <w:spacing w:line="240" w:lineRule="auto" w:before="38"/>
        <w:ind w:right="1118"/>
        <w:jc w:val="left"/>
        <w:rPr>
          <w:b w:val="0"/>
          <w:bCs w:val="0"/>
        </w:rPr>
      </w:pPr>
      <w:bookmarkStart w:name="（5）转移应收账款且继续涉入形成的资产、负债金额" w:id="239"/>
      <w:bookmarkEnd w:id="239"/>
      <w:r>
        <w:rPr>
          <w:b w:val="0"/>
          <w:bCs w:val="0"/>
        </w:rPr>
      </w: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1153"/>
        <w:jc w:val="left"/>
      </w:pPr>
      <w:r>
        <w:rPr/>
        <w:t>其他说明： 应收账款年末数比年初数增加</w:t>
      </w:r>
      <w:r>
        <w:rPr>
          <w:rFonts w:ascii="Times New Roman" w:hAnsi="Times New Roman" w:cs="Times New Roman" w:eastAsia="Times New Roman" w:hint="default"/>
        </w:rPr>
        <w:t>153,423,801.02</w:t>
      </w:r>
      <w:r>
        <w:rPr/>
        <w:t>元，增加比例为</w:t>
      </w:r>
      <w:r>
        <w:rPr>
          <w:rFonts w:ascii="Times New Roman" w:hAnsi="Times New Roman" w:cs="Times New Roman" w:eastAsia="Times New Roman" w:hint="default"/>
        </w:rPr>
        <w:t>70.52%</w:t>
      </w:r>
      <w:r>
        <w:rPr/>
        <w:t>，主要原因系收入大幅增加，应收账款相应增长所</w:t>
      </w:r>
    </w:p>
    <w:p>
      <w:pPr>
        <w:pStyle w:val="BodyText"/>
        <w:spacing w:line="201" w:lineRule="exact"/>
        <w:ind w:left="153" w:right="1118"/>
        <w:jc w:val="left"/>
      </w:pPr>
      <w:r>
        <w:rPr/>
        <w:t>致。</w:t>
      </w:r>
    </w:p>
    <w:p>
      <w:pPr>
        <w:spacing w:after="0" w:line="201" w:lineRule="exact"/>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5、预付款项" w:id="240"/>
      <w:bookmarkEnd w:id="24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预付款项按账龄列示" w:id="241"/>
      <w:bookmarkEnd w:id="24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191"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5"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90"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147,014,408.99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99.53%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19,684,482.29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94.36%</w:t>
            </w:r>
          </w:p>
        </w:tc>
      </w:tr>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284,046.62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1,176,988.19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5.64%</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409,817.51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0.28%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7"/>
              <w:ind w:right="9"/>
              <w:jc w:val="right"/>
              <w:rPr>
                <w:rFonts w:ascii="Times New Roman" w:hAnsi="Times New Roman" w:cs="Times New Roman" w:eastAsia="Times New Roman" w:hint="default"/>
                <w:sz w:val="18"/>
                <w:szCs w:val="18"/>
              </w:rPr>
            </w:pPr>
            <w:r>
              <w:rPr>
                <w:rFonts w:ascii="Times New Roman"/>
                <w:spacing w:val="-1"/>
                <w:sz w:val="18"/>
              </w:rPr>
              <w:t>147,708,273.12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20,861,470.48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按预付对象归集的期末余额前五名的预付款情况" w:id="242"/>
      <w:bookmarkEnd w:id="24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29"/>
        <w:gridCol w:w="1928"/>
        <w:gridCol w:w="1928"/>
        <w:gridCol w:w="1929"/>
        <w:gridCol w:w="1927"/>
      </w:tblGrid>
      <w:tr>
        <w:trPr>
          <w:trHeight w:val="389" w:hRule="exact"/>
        </w:trPr>
        <w:tc>
          <w:tcPr>
            <w:tcW w:w="192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59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2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4"/>
              <w:ind w:left="148" w:right="0"/>
              <w:jc w:val="left"/>
              <w:rPr>
                <w:rFonts w:ascii="宋体" w:hAnsi="宋体" w:cs="宋体" w:eastAsia="宋体" w:hint="default"/>
                <w:sz w:val="18"/>
                <w:szCs w:val="18"/>
              </w:rPr>
            </w:pPr>
            <w:r>
              <w:rPr>
                <w:rFonts w:ascii="宋体" w:hAnsi="宋体" w:cs="宋体" w:eastAsia="宋体" w:hint="default"/>
                <w:sz w:val="18"/>
                <w:szCs w:val="18"/>
              </w:rPr>
              <w:t>占预付账款总额比例</w:t>
            </w:r>
          </w:p>
        </w:tc>
      </w:tr>
      <w:tr>
        <w:trPr>
          <w:trHeight w:val="391" w:hRule="exact"/>
        </w:trPr>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合作方</w:t>
            </w:r>
            <w:r>
              <w:rPr>
                <w:rFonts w:ascii="Times New Roman" w:hAnsi="Times New Roman" w:cs="Times New Roman" w:eastAsia="Times New Roman" w:hint="default"/>
                <w:sz w:val="18"/>
                <w:szCs w:val="18"/>
              </w:rPr>
              <w:t>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拟合作方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
              <w:jc w:val="right"/>
              <w:rPr>
                <w:rFonts w:ascii="Times New Roman" w:hAnsi="Times New Roman" w:cs="Times New Roman" w:eastAsia="Times New Roman" w:hint="default"/>
                <w:sz w:val="18"/>
                <w:szCs w:val="18"/>
              </w:rPr>
            </w:pPr>
            <w:r>
              <w:rPr>
                <w:rFonts w:ascii="Times New Roman"/>
                <w:spacing w:val="-1"/>
                <w:sz w:val="18"/>
              </w:rPr>
              <w:t>48,705,000.00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right"/>
              <w:rPr>
                <w:rFonts w:ascii="Times New Roman" w:hAnsi="Times New Roman" w:cs="Times New Roman" w:eastAsia="Times New Roman" w:hint="default"/>
                <w:sz w:val="18"/>
                <w:szCs w:val="18"/>
              </w:rPr>
            </w:pPr>
            <w:r>
              <w:rPr>
                <w:rFonts w:ascii="Times New Roman"/>
                <w:sz w:val="18"/>
              </w:rPr>
              <w:t>32.97%</w:t>
            </w:r>
          </w:p>
        </w:tc>
      </w:tr>
      <w:tr>
        <w:trPr>
          <w:trHeight w:val="390" w:hRule="exact"/>
        </w:trPr>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23,495,495.47</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15.91%</w:t>
            </w:r>
          </w:p>
        </w:tc>
      </w:tr>
      <w:tr>
        <w:trPr>
          <w:trHeight w:val="390" w:hRule="exact"/>
        </w:trPr>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6.77%</w:t>
            </w:r>
          </w:p>
        </w:tc>
      </w:tr>
      <w:tr>
        <w:trPr>
          <w:trHeight w:val="390" w:hRule="exact"/>
        </w:trPr>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合作方</w:t>
            </w:r>
            <w:r>
              <w:rPr>
                <w:rFonts w:ascii="Times New Roman" w:hAnsi="Times New Roman" w:cs="Times New Roman" w:eastAsia="Times New Roman" w:hint="default"/>
                <w:sz w:val="18"/>
                <w:szCs w:val="18"/>
              </w:rPr>
              <w:t>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拟合作方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8,595,000.00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5.82%</w:t>
            </w:r>
          </w:p>
        </w:tc>
      </w:tr>
      <w:tr>
        <w:trPr>
          <w:trHeight w:val="390" w:hRule="exact"/>
        </w:trPr>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7,290,000.00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4.94%</w:t>
            </w:r>
          </w:p>
        </w:tc>
      </w:tr>
      <w:tr>
        <w:trPr>
          <w:trHeight w:val="390" w:hRule="exact"/>
        </w:trPr>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Times New Roman" w:hAnsi="Times New Roman" w:cs="Times New Roman" w:eastAsia="Times New Roman" w:hint="default"/>
                <w:sz w:val="20"/>
                <w:szCs w:val="20"/>
              </w:rPr>
            </w:pPr>
            <w:r>
              <w:rPr>
                <w:rFonts w:ascii="Times New Roman"/>
                <w:spacing w:val="-1"/>
                <w:sz w:val="20"/>
              </w:rPr>
              <w:t>98,085,495.47</w:t>
            </w:r>
          </w:p>
        </w:tc>
        <w:tc>
          <w:tcPr>
            <w:tcW w:w="1929"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right"/>
              <w:rPr>
                <w:rFonts w:ascii="Times New Roman" w:hAnsi="Times New Roman" w:cs="Times New Roman" w:eastAsia="Times New Roman" w:hint="default"/>
                <w:sz w:val="18"/>
                <w:szCs w:val="18"/>
              </w:rPr>
            </w:pPr>
            <w:r>
              <w:rPr>
                <w:rFonts w:ascii="Times New Roman"/>
                <w:sz w:val="18"/>
              </w:rPr>
              <w:t>66.41%</w:t>
            </w:r>
          </w:p>
        </w:tc>
      </w:tr>
    </w:tbl>
    <w:p>
      <w:pPr>
        <w:spacing w:line="240" w:lineRule="auto" w:before="9"/>
        <w:rPr>
          <w:rFonts w:ascii="宋体" w:hAnsi="宋体" w:cs="宋体" w:eastAsia="宋体" w:hint="default"/>
          <w:b/>
          <w:bCs/>
          <w:sz w:val="6"/>
          <w:szCs w:val="6"/>
        </w:rPr>
      </w:pPr>
    </w:p>
    <w:p>
      <w:pPr>
        <w:pStyle w:val="BodyText"/>
        <w:spacing w:line="240" w:lineRule="auto" w:before="44"/>
        <w:ind w:left="514" w:right="1118"/>
        <w:jc w:val="left"/>
      </w:pPr>
      <w:r>
        <w:rPr/>
        <w:t>其他说明：</w:t>
      </w:r>
    </w:p>
    <w:p>
      <w:pPr>
        <w:pStyle w:val="BodyText"/>
        <w:spacing w:line="302" w:lineRule="auto" w:before="115"/>
        <w:ind w:left="153" w:right="1119" w:firstLine="360"/>
        <w:jc w:val="left"/>
      </w:pPr>
      <w:r>
        <w:rPr/>
        <w:t>预付账款年末数比年初数增加</w:t>
      </w:r>
      <w:r>
        <w:rPr>
          <w:spacing w:val="-49"/>
        </w:rPr>
        <w:t> </w:t>
      </w:r>
      <w:r>
        <w:rPr>
          <w:rFonts w:ascii="Times New Roman" w:hAnsi="Times New Roman" w:cs="Times New Roman" w:eastAsia="Times New Roman" w:hint="default"/>
        </w:rPr>
        <w:t>126,846,802.64</w:t>
      </w:r>
      <w:r>
        <w:rPr>
          <w:rFonts w:ascii="Times New Roman" w:hAnsi="Times New Roman" w:cs="Times New Roman" w:eastAsia="Times New Roman" w:hint="default"/>
          <w:spacing w:val="-3"/>
        </w:rPr>
        <w:t> </w:t>
      </w:r>
      <w:r>
        <w:rPr/>
        <w:t>元，增加比例为</w:t>
      </w:r>
      <w:r>
        <w:rPr>
          <w:spacing w:val="-49"/>
        </w:rPr>
        <w:t> </w:t>
      </w:r>
      <w:r>
        <w:rPr>
          <w:rFonts w:ascii="Times New Roman" w:hAnsi="Times New Roman" w:cs="Times New Roman" w:eastAsia="Times New Roman" w:hint="default"/>
        </w:rPr>
        <w:t>608.04%</w:t>
      </w:r>
      <w:r>
        <w:rPr/>
        <w:t>，主要原因系业务扩张，预付股权转让款及经营 所需预付款增加所致。</w:t>
      </w:r>
    </w:p>
    <w:p>
      <w:pPr>
        <w:spacing w:line="240" w:lineRule="auto" w:before="13"/>
        <w:rPr>
          <w:rFonts w:ascii="宋体" w:hAnsi="宋体" w:cs="宋体" w:eastAsia="宋体" w:hint="default"/>
          <w:sz w:val="23"/>
          <w:szCs w:val="23"/>
        </w:rPr>
      </w:pPr>
    </w:p>
    <w:p>
      <w:pPr>
        <w:pStyle w:val="Heading3"/>
        <w:spacing w:line="240" w:lineRule="auto"/>
        <w:ind w:right="1118"/>
        <w:jc w:val="left"/>
        <w:rPr>
          <w:b w:val="0"/>
          <w:bCs w:val="0"/>
        </w:rPr>
      </w:pPr>
      <w:bookmarkStart w:name="6、其他应收款" w:id="243"/>
      <w:bookmarkEnd w:id="24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7"/>
        <w:rPr>
          <w:rFonts w:ascii="宋体" w:hAnsi="宋体" w:cs="宋体" w:eastAsia="宋体" w:hint="default"/>
          <w:b/>
          <w:bCs/>
          <w:sz w:val="25"/>
          <w:szCs w:val="25"/>
        </w:rPr>
      </w:pPr>
    </w:p>
    <w:p>
      <w:pPr>
        <w:pStyle w:val="Heading3"/>
        <w:spacing w:line="240" w:lineRule="auto"/>
        <w:ind w:right="1118"/>
        <w:jc w:val="left"/>
        <w:rPr>
          <w:b w:val="0"/>
          <w:bCs w:val="0"/>
        </w:rPr>
      </w:pPr>
      <w:bookmarkStart w:name="（1）其他应收款分类披露" w:id="244"/>
      <w:bookmarkEnd w:id="2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32"/>
        <w:gridCol w:w="863"/>
        <w:gridCol w:w="708"/>
        <w:gridCol w:w="710"/>
        <w:gridCol w:w="709"/>
        <w:gridCol w:w="850"/>
        <w:gridCol w:w="851"/>
        <w:gridCol w:w="710"/>
        <w:gridCol w:w="850"/>
        <w:gridCol w:w="709"/>
        <w:gridCol w:w="778"/>
      </w:tblGrid>
      <w:tr>
        <w:trPr>
          <w:trHeight w:val="325" w:hRule="exact"/>
        </w:trPr>
        <w:tc>
          <w:tcPr>
            <w:tcW w:w="1832"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0"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15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vMerge w:val="restart"/>
            <w:tcBorders>
              <w:top w:val="single" w:sz="4" w:space="0" w:color="000000"/>
              <w:left w:val="single" w:sz="4" w:space="0" w:color="000000"/>
              <w:right w:val="single" w:sz="4" w:space="0" w:color="000000"/>
            </w:tcBorders>
            <w:shd w:val="clear" w:color="auto" w:fill="D2D2D2"/>
          </w:tcPr>
          <w:p>
            <w:pPr/>
          </w:p>
        </w:tc>
      </w:tr>
      <w:tr>
        <w:trPr>
          <w:trHeight w:val="185" w:hRule="exact"/>
        </w:trPr>
        <w:tc>
          <w:tcPr>
            <w:tcW w:w="18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71" w:type="dxa"/>
            <w:gridSpan w:val="2"/>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43" w:hRule="exact"/>
        </w:trPr>
        <w:tc>
          <w:tcPr>
            <w:tcW w:w="1832" w:type="dxa"/>
            <w:vMerge/>
            <w:tcBorders>
              <w:left w:val="single" w:sz="4" w:space="0" w:color="000000"/>
              <w:bottom w:val="single" w:sz="4" w:space="0" w:color="FFFFFF"/>
              <w:right w:val="single" w:sz="4" w:space="0" w:color="000000"/>
            </w:tcBorders>
            <w:shd w:val="clear" w:color="auto" w:fill="D2D2D2"/>
          </w:tcPr>
          <w:p>
            <w:pPr/>
          </w:p>
        </w:tc>
        <w:tc>
          <w:tcPr>
            <w:tcW w:w="8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1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169"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850" w:type="dxa"/>
            <w:vMerge w:val="restart"/>
            <w:tcBorders>
              <w:top w:val="nil" w:sz="6" w:space="0" w:color="auto"/>
              <w:left w:val="single" w:sz="9" w:space="0" w:color="D2D2D2"/>
              <w:right w:val="single" w:sz="9" w:space="0" w:color="D2D2D2"/>
            </w:tcBorders>
          </w:tcPr>
          <w:p>
            <w:pPr>
              <w:pStyle w:val="TableParagraph"/>
              <w:spacing w:line="240" w:lineRule="auto" w:before="1"/>
              <w:ind w:left="5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21"/>
              <w:ind w:left="170" w:right="16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778" w:type="dxa"/>
            <w:vMerge w:val="restart"/>
            <w:tcBorders>
              <w:top w:val="nil" w:sz="6" w:space="0" w:color="auto"/>
              <w:left w:val="single" w:sz="9" w:space="0" w:color="D2D2D2"/>
              <w:right w:val="single" w:sz="13" w:space="0" w:color="D2D2D2"/>
            </w:tcBorders>
          </w:tcPr>
          <w:p>
            <w:pPr>
              <w:pStyle w:val="TableParagraph"/>
              <w:spacing w:line="240" w:lineRule="auto" w:before="1"/>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r>
      <w:tr>
        <w:trPr>
          <w:trHeight w:val="158" w:hRule="exact"/>
        </w:trPr>
        <w:tc>
          <w:tcPr>
            <w:tcW w:w="1832" w:type="dxa"/>
            <w:vMerge w:val="restart"/>
            <w:tcBorders>
              <w:top w:val="single" w:sz="4" w:space="0" w:color="FFFFFF"/>
              <w:left w:val="single" w:sz="4" w:space="0" w:color="000000"/>
              <w:right w:val="single" w:sz="4" w:space="0" w:color="000000"/>
            </w:tcBorders>
            <w:shd w:val="clear" w:color="auto" w:fill="D2D2D2"/>
          </w:tcPr>
          <w:p>
            <w:pPr/>
          </w:p>
        </w:tc>
        <w:tc>
          <w:tcPr>
            <w:tcW w:w="8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2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8"/>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850" w:type="dxa"/>
            <w:vMerge/>
            <w:tcBorders>
              <w:left w:val="single" w:sz="9" w:space="0" w:color="D2D2D2"/>
              <w:bottom w:val="nil" w:sz="6" w:space="0" w:color="auto"/>
              <w:right w:val="single" w:sz="9" w:space="0" w:color="D2D2D2"/>
            </w:tcBorders>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4"/>
              <w:ind w:left="2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778" w:type="dxa"/>
            <w:vMerge/>
            <w:tcBorders>
              <w:left w:val="single" w:sz="9" w:space="0" w:color="D2D2D2"/>
              <w:bottom w:val="nil" w:sz="6" w:space="0" w:color="auto"/>
              <w:right w:val="single" w:sz="13" w:space="0" w:color="D2D2D2"/>
            </w:tcBorders>
          </w:tcPr>
          <w:p>
            <w:pPr/>
          </w:p>
        </w:tc>
      </w:tr>
      <w:tr>
        <w:trPr>
          <w:trHeight w:val="164" w:hRule="exact"/>
        </w:trPr>
        <w:tc>
          <w:tcPr>
            <w:tcW w:w="1832"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r>
      <w:tr>
        <w:trPr>
          <w:trHeight w:val="145"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810"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77"/>
              <w:jc w:val="both"/>
              <w:rPr>
                <w:rFonts w:ascii="宋体" w:hAnsi="宋体" w:cs="宋体" w:eastAsia="宋体" w:hint="default"/>
                <w:sz w:val="18"/>
                <w:szCs w:val="18"/>
              </w:rPr>
            </w:pPr>
            <w:r>
              <w:rPr>
                <w:rFonts w:ascii="宋体" w:hAnsi="宋体" w:cs="宋体" w:eastAsia="宋体" w:hint="default"/>
                <w:sz w:val="18"/>
                <w:szCs w:val="18"/>
              </w:rPr>
              <w:t>按信用风险特征组合 计提坏账准备的其他 应收款</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28,328,96</w:t>
            </w:r>
          </w:p>
          <w:p>
            <w:pPr>
              <w:pStyle w:val="TableParagraph"/>
              <w:spacing w:line="240" w:lineRule="auto" w:before="34"/>
              <w:ind w:left="503" w:right="0"/>
              <w:jc w:val="left"/>
              <w:rPr>
                <w:rFonts w:ascii="Times New Roman" w:hAnsi="Times New Roman" w:cs="Times New Roman" w:eastAsia="Times New Roman" w:hint="default"/>
                <w:sz w:val="18"/>
                <w:szCs w:val="18"/>
              </w:rPr>
            </w:pPr>
            <w:r>
              <w:rPr>
                <w:rFonts w:ascii="Times New Roman"/>
                <w:sz w:val="18"/>
              </w:rPr>
              <w:t>8.32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96.52%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4,461,35</w:t>
            </w:r>
          </w:p>
          <w:p>
            <w:pPr>
              <w:pStyle w:val="TableParagraph"/>
              <w:spacing w:line="240" w:lineRule="auto" w:before="34"/>
              <w:ind w:left="361" w:right="0"/>
              <w:jc w:val="left"/>
              <w:rPr>
                <w:rFonts w:ascii="Times New Roman" w:hAnsi="Times New Roman" w:cs="Times New Roman" w:eastAsia="Times New Roman" w:hint="default"/>
                <w:sz w:val="18"/>
                <w:szCs w:val="18"/>
              </w:rPr>
            </w:pPr>
            <w:r>
              <w:rPr>
                <w:rFonts w:ascii="Times New Roman"/>
                <w:sz w:val="18"/>
              </w:rPr>
              <w:t>4.27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15.75%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23,867,61</w:t>
            </w:r>
          </w:p>
          <w:p>
            <w:pPr>
              <w:pStyle w:val="TableParagraph"/>
              <w:spacing w:line="240" w:lineRule="auto" w:before="34"/>
              <w:ind w:left="502" w:right="0"/>
              <w:jc w:val="left"/>
              <w:rPr>
                <w:rFonts w:ascii="Times New Roman" w:hAnsi="Times New Roman" w:cs="Times New Roman" w:eastAsia="Times New Roman" w:hint="default"/>
                <w:sz w:val="18"/>
                <w:szCs w:val="18"/>
              </w:rPr>
            </w:pPr>
            <w:r>
              <w:rPr>
                <w:rFonts w:ascii="Times New Roman"/>
                <w:sz w:val="18"/>
              </w:rPr>
              <w:t>4.05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24,576,66</w:t>
            </w:r>
          </w:p>
          <w:p>
            <w:pPr>
              <w:pStyle w:val="TableParagraph"/>
              <w:spacing w:line="240" w:lineRule="auto" w:before="34"/>
              <w:ind w:left="503" w:right="0"/>
              <w:jc w:val="left"/>
              <w:rPr>
                <w:rFonts w:ascii="Times New Roman" w:hAnsi="Times New Roman" w:cs="Times New Roman" w:eastAsia="Times New Roman" w:hint="default"/>
                <w:sz w:val="18"/>
                <w:szCs w:val="18"/>
              </w:rPr>
            </w:pPr>
            <w:r>
              <w:rPr>
                <w:rFonts w:ascii="Times New Roman"/>
                <w:sz w:val="18"/>
              </w:rPr>
              <w:t>8.17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98.41%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1,903,392.</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22,673,27</w:t>
            </w:r>
          </w:p>
          <w:p>
            <w:pPr>
              <w:pStyle w:val="TableParagraph"/>
              <w:spacing w:line="240" w:lineRule="auto" w:before="34"/>
              <w:ind w:left="429" w:right="0"/>
              <w:jc w:val="left"/>
              <w:rPr>
                <w:rFonts w:ascii="Times New Roman" w:hAnsi="Times New Roman" w:cs="Times New Roman" w:eastAsia="Times New Roman" w:hint="default"/>
                <w:sz w:val="18"/>
                <w:szCs w:val="18"/>
              </w:rPr>
            </w:pPr>
            <w:r>
              <w:rPr>
                <w:rFonts w:ascii="Times New Roman"/>
                <w:sz w:val="18"/>
              </w:rPr>
              <w:t>5.91</w:t>
            </w:r>
          </w:p>
        </w:tc>
      </w:tr>
      <w:tr>
        <w:trPr>
          <w:trHeight w:val="810"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77"/>
              <w:jc w:val="both"/>
              <w:rPr>
                <w:rFonts w:ascii="宋体" w:hAnsi="宋体" w:cs="宋体" w:eastAsia="宋体" w:hint="default"/>
                <w:sz w:val="18"/>
                <w:szCs w:val="18"/>
              </w:rPr>
            </w:pPr>
            <w:r>
              <w:rPr>
                <w:rFonts w:ascii="宋体" w:hAnsi="宋体" w:cs="宋体" w:eastAsia="宋体" w:hint="default"/>
                <w:sz w:val="18"/>
                <w:szCs w:val="18"/>
              </w:rPr>
              <w:t>单项金额不重大但单 独计提坏账准备的其 他应收款</w:t>
            </w:r>
          </w:p>
        </w:tc>
        <w:tc>
          <w:tcPr>
            <w:tcW w:w="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1,021,658.</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3.48%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1,021,65</w:t>
            </w:r>
          </w:p>
          <w:p>
            <w:pPr>
              <w:pStyle w:val="TableParagraph"/>
              <w:spacing w:line="240" w:lineRule="auto" w:before="34"/>
              <w:ind w:left="361" w:right="0"/>
              <w:jc w:val="left"/>
              <w:rPr>
                <w:rFonts w:ascii="Times New Roman" w:hAnsi="Times New Roman" w:cs="Times New Roman" w:eastAsia="Times New Roman" w:hint="default"/>
                <w:sz w:val="18"/>
                <w:szCs w:val="18"/>
              </w:rPr>
            </w:pPr>
            <w:r>
              <w:rPr>
                <w:rFonts w:ascii="Times New Roman"/>
                <w:sz w:val="18"/>
              </w:rPr>
              <w:t>8.01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398,236.2</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398,236.2</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vMerge w:val="restart"/>
            <w:tcBorders>
              <w:top w:val="single" w:sz="4" w:space="0" w:color="000000"/>
              <w:left w:val="single" w:sz="13" w:space="0" w:color="D2D2D2"/>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29,350,62</w:t>
            </w:r>
          </w:p>
          <w:p>
            <w:pPr>
              <w:pStyle w:val="TableParagraph"/>
              <w:spacing w:line="240" w:lineRule="auto" w:before="34"/>
              <w:ind w:left="503" w:right="0"/>
              <w:jc w:val="left"/>
              <w:rPr>
                <w:rFonts w:ascii="Times New Roman" w:hAnsi="Times New Roman" w:cs="Times New Roman" w:eastAsia="Times New Roman" w:hint="default"/>
                <w:sz w:val="18"/>
                <w:szCs w:val="18"/>
              </w:rPr>
            </w:pPr>
            <w:r>
              <w:rPr>
                <w:rFonts w:ascii="Times New Roman"/>
                <w:sz w:val="18"/>
              </w:rPr>
              <w:t>6.33</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100.00%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5,483,01</w:t>
            </w:r>
          </w:p>
          <w:p>
            <w:pPr>
              <w:pStyle w:val="TableParagraph"/>
              <w:spacing w:line="240" w:lineRule="auto" w:before="34"/>
              <w:ind w:left="361" w:right="0"/>
              <w:jc w:val="left"/>
              <w:rPr>
                <w:rFonts w:ascii="Times New Roman" w:hAnsi="Times New Roman" w:cs="Times New Roman" w:eastAsia="Times New Roman" w:hint="default"/>
                <w:sz w:val="18"/>
                <w:szCs w:val="18"/>
              </w:rPr>
            </w:pPr>
            <w:r>
              <w:rPr>
                <w:rFonts w:ascii="Times New Roman"/>
                <w:sz w:val="18"/>
              </w:rPr>
              <w:t>2.28</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18.68%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3"/>
              <w:ind w:left="97" w:right="0"/>
              <w:jc w:val="left"/>
              <w:rPr>
                <w:rFonts w:ascii="Times New Roman" w:hAnsi="Times New Roman" w:cs="Times New Roman" w:eastAsia="Times New Roman" w:hint="default"/>
                <w:sz w:val="18"/>
                <w:szCs w:val="18"/>
              </w:rPr>
            </w:pPr>
            <w:r>
              <w:rPr>
                <w:rFonts w:ascii="Times New Roman"/>
                <w:sz w:val="18"/>
              </w:rPr>
              <w:t>23,867,61</w:t>
            </w:r>
          </w:p>
          <w:p>
            <w:pPr>
              <w:pStyle w:val="TableParagraph"/>
              <w:spacing w:line="240" w:lineRule="auto" w:before="34"/>
              <w:ind w:left="502" w:right="0"/>
              <w:jc w:val="left"/>
              <w:rPr>
                <w:rFonts w:ascii="Times New Roman" w:hAnsi="Times New Roman" w:cs="Times New Roman" w:eastAsia="Times New Roman" w:hint="default"/>
                <w:sz w:val="18"/>
                <w:szCs w:val="18"/>
              </w:rPr>
            </w:pPr>
            <w:r>
              <w:rPr>
                <w:rFonts w:ascii="Times New Roman"/>
                <w:sz w:val="18"/>
              </w:rPr>
              <w:t>4.05</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63"/>
              <w:ind w:left="98" w:right="0"/>
              <w:jc w:val="left"/>
              <w:rPr>
                <w:rFonts w:ascii="Times New Roman" w:hAnsi="Times New Roman" w:cs="Times New Roman" w:eastAsia="Times New Roman" w:hint="default"/>
                <w:sz w:val="18"/>
                <w:szCs w:val="18"/>
              </w:rPr>
            </w:pPr>
            <w:r>
              <w:rPr>
                <w:rFonts w:ascii="Times New Roman"/>
                <w:sz w:val="18"/>
              </w:rPr>
              <w:t>24,974,90</w:t>
            </w:r>
          </w:p>
          <w:p>
            <w:pPr>
              <w:pStyle w:val="TableParagraph"/>
              <w:spacing w:line="240" w:lineRule="auto" w:before="34"/>
              <w:ind w:left="503" w:right="0"/>
              <w:jc w:val="left"/>
              <w:rPr>
                <w:rFonts w:ascii="Times New Roman" w:hAnsi="Times New Roman" w:cs="Times New Roman" w:eastAsia="Times New Roman" w:hint="default"/>
                <w:sz w:val="18"/>
                <w:szCs w:val="18"/>
              </w:rPr>
            </w:pPr>
            <w:r>
              <w:rPr>
                <w:rFonts w:ascii="Times New Roman"/>
                <w:sz w:val="18"/>
              </w:rPr>
              <w:t>4.39</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2,301,628.</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48</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9.22%</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sz w:val="18"/>
              </w:rPr>
              <w:t>22,673,27</w:t>
            </w:r>
          </w:p>
          <w:p>
            <w:pPr>
              <w:pStyle w:val="TableParagraph"/>
              <w:spacing w:line="240" w:lineRule="auto" w:before="34"/>
              <w:ind w:left="429" w:right="0"/>
              <w:jc w:val="left"/>
              <w:rPr>
                <w:rFonts w:ascii="Times New Roman" w:hAnsi="Times New Roman" w:cs="Times New Roman" w:eastAsia="Times New Roman" w:hint="default"/>
                <w:sz w:val="18"/>
                <w:szCs w:val="18"/>
              </w:rPr>
            </w:pPr>
            <w:r>
              <w:rPr>
                <w:rFonts w:ascii="Times New Roman"/>
                <w:sz w:val="18"/>
              </w:rPr>
              <w:t>5.91</w:t>
            </w:r>
          </w:p>
        </w:tc>
      </w:tr>
      <w:tr>
        <w:trPr>
          <w:trHeight w:val="445"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vMerge/>
            <w:tcBorders>
              <w:left w:val="single" w:sz="13"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240" w:lineRule="auto" w:before="44"/>
        <w:ind w:left="514" w:right="1118"/>
        <w:jc w:val="left"/>
      </w:pPr>
      <w:r>
        <w:rPr/>
        <w:t>期末单项金额重大并单项计提坏账准备的其他应收款：</w:t>
      </w:r>
    </w:p>
    <w:p>
      <w:pPr>
        <w:spacing w:line="240" w:lineRule="auto" w:before="12"/>
        <w:rPr>
          <w:rFonts w:ascii="宋体" w:hAnsi="宋体" w:cs="宋体" w:eastAsia="宋体" w:hint="default"/>
          <w:sz w:val="14"/>
          <w:szCs w:val="14"/>
        </w:rPr>
      </w:pPr>
    </w:p>
    <w:p>
      <w:pPr>
        <w:pStyle w:val="BodyText"/>
        <w:spacing w:line="415" w:lineRule="auto"/>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65"/>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190"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5"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96"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65"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5,092,947.51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252,616.30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4.96%</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1,678,090.95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167,701.30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9.99%</w:t>
            </w:r>
          </w:p>
        </w:tc>
      </w:tr>
      <w:tr>
        <w:trPr>
          <w:trHeight w:val="37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3,865,771.05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892,194.44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23.08%</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65,411.60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20,268.32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30.99%</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729,059.22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582,973.91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79.96%</w:t>
            </w:r>
          </w:p>
        </w:tc>
      </w:tr>
      <w:tr>
        <w:trPr>
          <w:trHeight w:val="371"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2,545,600.00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2,545,600.00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70"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13,976,880.33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4,461,354.27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31.92%</w:t>
            </w:r>
          </w:p>
        </w:tc>
      </w:tr>
    </w:tbl>
    <w:p>
      <w:pPr>
        <w:spacing w:line="240" w:lineRule="auto" w:before="9"/>
        <w:rPr>
          <w:rFonts w:ascii="宋体" w:hAnsi="宋体" w:cs="宋体" w:eastAsia="宋体" w:hint="default"/>
          <w:sz w:val="6"/>
          <w:szCs w:val="6"/>
        </w:rPr>
      </w:pPr>
    </w:p>
    <w:p>
      <w:pPr>
        <w:pStyle w:val="BodyText"/>
        <w:spacing w:line="439" w:lineRule="auto" w:before="44"/>
        <w:ind w:left="514" w:right="5892"/>
        <w:jc w:val="left"/>
      </w:pPr>
      <w:r>
        <w:rPr/>
        <w:t>确定该组合依据的说明： 组合中，采用余额百分比法计提坏账准备的其他应收款：</w:t>
      </w:r>
    </w:p>
    <w:p>
      <w:pPr>
        <w:pStyle w:val="BodyText"/>
        <w:spacing w:line="217" w:lineRule="exact"/>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right="1118"/>
        <w:jc w:val="left"/>
      </w:pPr>
      <w:r>
        <w:rPr/>
        <w:t>组合中，采用其他方法计提坏账准备的其他应收款：</w:t>
      </w:r>
    </w:p>
    <w:p>
      <w:pPr>
        <w:pStyle w:val="BodyText"/>
        <w:spacing w:line="240" w:lineRule="auto" w:before="116"/>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13"/>
          <w:szCs w:val="13"/>
        </w:rPr>
      </w:pPr>
    </w:p>
    <w:tbl>
      <w:tblPr>
        <w:tblW w:w="0" w:type="auto"/>
        <w:jc w:val="left"/>
        <w:tblInd w:w="220" w:type="dxa"/>
        <w:tblLayout w:type="fixed"/>
        <w:tblCellMar>
          <w:top w:w="0" w:type="dxa"/>
          <w:left w:w="0" w:type="dxa"/>
          <w:bottom w:w="0" w:type="dxa"/>
          <w:right w:w="0" w:type="dxa"/>
        </w:tblCellMar>
        <w:tblLook w:val="01E0"/>
      </w:tblPr>
      <w:tblGrid>
        <w:gridCol w:w="1900"/>
        <w:gridCol w:w="1899"/>
        <w:gridCol w:w="1900"/>
        <w:gridCol w:w="1899"/>
        <w:gridCol w:w="1900"/>
      </w:tblGrid>
      <w:tr>
        <w:trPr>
          <w:trHeight w:val="406" w:hRule="exact"/>
        </w:trPr>
        <w:tc>
          <w:tcPr>
            <w:tcW w:w="19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31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89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5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0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6,269,277.94</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员工借款</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7,681,120.25</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408"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z w:val="18"/>
              </w:rPr>
              <w:t>113,600.00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Times New Roman" w:hAnsi="Times New Roman" w:cs="Times New Roman" w:eastAsia="Times New Roman" w:hint="default"/>
                <w:sz w:val="18"/>
                <w:szCs w:val="18"/>
              </w:rPr>
            </w:pPr>
            <w:r>
              <w:rPr>
                <w:rFonts w:ascii="Times New Roman"/>
                <w:sz w:val="18"/>
              </w:rPr>
              <w:t>288,089.80</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
              <w:jc w:val="right"/>
              <w:rPr>
                <w:rFonts w:ascii="Times New Roman" w:hAnsi="Times New Roman" w:cs="Times New Roman" w:eastAsia="Times New Roman" w:hint="default"/>
                <w:sz w:val="18"/>
                <w:szCs w:val="18"/>
              </w:rPr>
            </w:pPr>
            <w:r>
              <w:rPr>
                <w:rFonts w:ascii="Times New Roman"/>
                <w:spacing w:val="-1"/>
                <w:sz w:val="18"/>
              </w:rPr>
              <w:t>14,352,087.99</w:t>
            </w:r>
          </w:p>
        </w:tc>
        <w:tc>
          <w:tcPr>
            <w:tcW w:w="1900"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4" w:right="0"/>
        <w:jc w:val="left"/>
      </w:pPr>
      <w:r>
        <w:rPr/>
        <w:t>本期计提坏账准备金额</w:t>
      </w:r>
      <w:r>
        <w:rPr>
          <w:spacing w:val="-47"/>
        </w:rPr>
        <w:t> </w:t>
      </w:r>
      <w:r>
        <w:rPr>
          <w:rFonts w:ascii="Times New Roman" w:hAnsi="Times New Roman" w:cs="Times New Roman" w:eastAsia="Times New Roman" w:hint="default"/>
        </w:rPr>
        <w:t>1,367,649.07</w:t>
      </w:r>
      <w:r>
        <w:rPr>
          <w:rFonts w:ascii="Times New Roman" w:hAnsi="Times New Roman" w:cs="Times New Roman" w:eastAsia="Times New Roman" w:hint="default"/>
          <w:spacing w:val="-2"/>
        </w:rPr>
        <w:t> </w:t>
      </w:r>
      <w:r>
        <w:rPr/>
        <w:t>元；新增合并单位转入坏账准备金额</w:t>
      </w:r>
      <w:r>
        <w:rPr>
          <w:spacing w:val="-47"/>
        </w:rPr>
        <w:t> </w:t>
      </w:r>
      <w:r>
        <w:rPr>
          <w:rFonts w:ascii="Times New Roman" w:hAnsi="Times New Roman" w:cs="Times New Roman" w:eastAsia="Times New Roman" w:hint="default"/>
        </w:rPr>
        <w:t>1,939,852.36</w:t>
      </w:r>
      <w:r>
        <w:rPr>
          <w:rFonts w:ascii="Times New Roman" w:hAnsi="Times New Roman" w:cs="Times New Roman" w:eastAsia="Times New Roman" w:hint="default"/>
          <w:spacing w:val="-2"/>
        </w:rPr>
        <w:t> </w:t>
      </w:r>
      <w:r>
        <w:rPr/>
        <w:t>元；减少合并单位转出坏账准备</w:t>
      </w:r>
    </w:p>
    <w:p>
      <w:pPr>
        <w:pStyle w:val="BodyText"/>
        <w:spacing w:line="240" w:lineRule="auto" w:before="64"/>
        <w:ind w:left="153" w:right="1118"/>
        <w:jc w:val="left"/>
      </w:pPr>
      <w:r>
        <w:rPr/>
        <w:t>金额</w:t>
      </w:r>
      <w:r>
        <w:rPr>
          <w:spacing w:val="-47"/>
        </w:rPr>
        <w:t> </w:t>
      </w:r>
      <w:r>
        <w:rPr>
          <w:rFonts w:ascii="Times New Roman" w:hAnsi="Times New Roman" w:cs="Times New Roman" w:eastAsia="Times New Roman" w:hint="default"/>
        </w:rPr>
        <w:t>101,097.24</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本期实际核销的其他应收款情况" w:id="246"/>
      <w:bookmarkEnd w:id="24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25,020.39</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4）其他应收款按款项性质分类情况" w:id="247"/>
      <w:bookmarkEnd w:id="24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6,269,277.94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2,905,154.66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7,681,120.25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10,754,749.53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15,400,228.14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11,315,000.20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29,350,626.33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24,974,904.39</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5）按欠款方归集的期末余额前五名的其他应收款情况" w:id="248"/>
      <w:bookmarkEnd w:id="24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212.899994pt;margin-top:67.701698pt;width:55.1pt;height:20.8pt;mso-position-horizontal-relative:page;mso-position-vertical-relative:paragraph;z-index:-986320" coordorigin="4258,1354" coordsize="1102,416">
            <v:group style="position:absolute;left:4269;top:1365;width:2;height:393" coordorigin="4269,1365" coordsize="2,393">
              <v:shape style="position:absolute;left:4269;top:1365;width:2;height:393" coordorigin="4269,1365" coordsize="0,393" path="m4269,1365l4269,1758e" filled="false" stroked="true" strokeweight="1.140pt" strokecolor="#ffffff">
                <v:path arrowok="t"/>
              </v:shape>
            </v:group>
            <v:group style="position:absolute;left:4281;top:1365;width:1080;height:393" coordorigin="4281,1365" coordsize="1080,393">
              <v:shape style="position:absolute;left:4281;top:1365;width:1080;height:393" coordorigin="4281,1365" coordsize="1080,393" path="m4281,1758l5360,1758,5360,1365,4281,1365,4281,1758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19"/>
        <w:gridCol w:w="1134"/>
        <w:gridCol w:w="1277"/>
        <w:gridCol w:w="1416"/>
        <w:gridCol w:w="1560"/>
        <w:gridCol w:w="1061"/>
      </w:tblGrid>
      <w:tr>
        <w:trPr>
          <w:trHeight w:val="570"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55" w:right="73"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1,746,111.15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w:t>
            </w:r>
            <w:r>
              <w:rPr>
                <w:rFonts w:ascii="宋体" w:hAnsi="宋体" w:cs="宋体" w:eastAsia="宋体" w:hint="default"/>
                <w:spacing w:val="-87"/>
                <w:sz w:val="18"/>
                <w:szCs w:val="18"/>
              </w:rPr>
              <w:t>心</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1,371,461.16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1,005,000.00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6,222,572.31</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21.20%</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7、存货" w:id="249"/>
      <w:bookmarkEnd w:id="249"/>
      <w:r>
        <w:rPr>
          <w:b w:val="0"/>
          <w:bCs w:val="0"/>
        </w:rPr>
      </w:r>
      <w:r>
        <w:rPr>
          <w:rFonts w:ascii="Times New Roman" w:hAnsi="Times New Roman" w:cs="Times New Roman" w:eastAsia="Times New Roman" w:hint="default"/>
        </w:rPr>
        <w:t>7</w:t>
      </w:r>
      <w:r>
        <w:rPr/>
        <w:t>、存货</w:t>
      </w:r>
      <w:r>
        <w:rPr>
          <w:b w:val="0"/>
          <w:bCs w:val="0"/>
        </w:rPr>
      </w:r>
    </w:p>
    <w:p>
      <w:pPr>
        <w:spacing w:line="240" w:lineRule="auto" w:before="12"/>
        <w:rPr>
          <w:rFonts w:ascii="宋体" w:hAnsi="宋体" w:cs="宋体" w:eastAsia="宋体" w:hint="default"/>
          <w:b/>
          <w:bCs/>
          <w:sz w:val="26"/>
          <w:szCs w:val="26"/>
        </w:rPr>
      </w:pPr>
    </w:p>
    <w:p>
      <w:pPr>
        <w:pStyle w:val="BodyText"/>
        <w:spacing w:line="360" w:lineRule="auto"/>
        <w:ind w:left="514" w:right="7152"/>
        <w:jc w:val="left"/>
      </w:pPr>
      <w:r>
        <w:rPr/>
        <w:t>公司是否需要遵守房地产行业的披露要求 否</w:t>
      </w:r>
    </w:p>
    <w:p>
      <w:pPr>
        <w:spacing w:line="240" w:lineRule="auto" w:before="7"/>
        <w:rPr>
          <w:rFonts w:ascii="宋体" w:hAnsi="宋体" w:cs="宋体" w:eastAsia="宋体" w:hint="default"/>
          <w:sz w:val="20"/>
          <w:szCs w:val="20"/>
        </w:rPr>
      </w:pPr>
    </w:p>
    <w:p>
      <w:pPr>
        <w:pStyle w:val="Heading3"/>
        <w:spacing w:line="240" w:lineRule="auto"/>
        <w:ind w:left="556" w:right="1118"/>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19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58,512,631.37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1,895,762.98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56,616,868.39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50,510,140.59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315,913.14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50,194,227.45</w:t>
            </w:r>
          </w:p>
        </w:tc>
      </w:tr>
      <w:tr>
        <w:trPr>
          <w:trHeight w:val="370"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64,601,281.84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2,657,374.36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61,943,907.48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53,010,298.99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2,626,822.90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50,383,476.09</w:t>
            </w:r>
          </w:p>
        </w:tc>
      </w:tr>
      <w:tr>
        <w:trPr>
          <w:trHeight w:val="37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6,450,131.55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91,476.49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6,358,655.06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2,636,198.59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2,636,198.59</w:t>
            </w:r>
          </w:p>
        </w:tc>
      </w:tr>
      <w:tr>
        <w:trPr>
          <w:trHeight w:val="370"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1,892,826.23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1,892,826.23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3,108,659.30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3,108,659.30</w:t>
            </w:r>
          </w:p>
        </w:tc>
      </w:tr>
      <w:tr>
        <w:trPr>
          <w:trHeight w:val="370"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72,624,046.21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72,624,046.21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44,975,918.30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44,975,918.30</w:t>
            </w:r>
          </w:p>
        </w:tc>
      </w:tr>
      <w:tr>
        <w:trPr>
          <w:trHeight w:val="371"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204,080,917.20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4,644,613.83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199,436,303.37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154,241,215.77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2,942,736.04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151,298,479.73</w:t>
            </w:r>
          </w:p>
        </w:tc>
      </w:tr>
    </w:tbl>
    <w:p>
      <w:pPr>
        <w:spacing w:line="240" w:lineRule="auto" w:before="9"/>
        <w:rPr>
          <w:rFonts w:ascii="宋体" w:hAnsi="宋体" w:cs="宋体" w:eastAsia="宋体" w:hint="default"/>
          <w:sz w:val="6"/>
          <w:szCs w:val="6"/>
        </w:rPr>
      </w:pPr>
    </w:p>
    <w:p>
      <w:pPr>
        <w:pStyle w:val="BodyText"/>
        <w:spacing w:line="338" w:lineRule="auto" w:before="44"/>
        <w:ind w:left="514" w:right="211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38"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315,913.14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779,849.84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1,895,762.98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2,626,822.90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965,318.17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934,766.71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2,657,374.36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91,476.49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91,476.49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2,942,736.04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1,745,168.01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891,476.49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934,766.71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4,644,613.83</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8、其他流动资产" w:id="252"/>
      <w:bookmarkEnd w:id="252"/>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1,713,733.78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6,480,017.47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488,013.53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640,979.74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937,701,747.31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7,120,997.21</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其他说明：</w:t>
      </w:r>
    </w:p>
    <w:p>
      <w:pPr>
        <w:pStyle w:val="BodyText"/>
        <w:spacing w:line="302" w:lineRule="auto" w:before="116"/>
        <w:ind w:left="153" w:right="1120" w:firstLine="360"/>
        <w:jc w:val="left"/>
      </w:pPr>
      <w:r>
        <w:rPr/>
        <w:t>其他流动资产年末数比年初数增加</w:t>
      </w:r>
      <w:r>
        <w:rPr>
          <w:spacing w:val="-55"/>
        </w:rPr>
        <w:t> </w:t>
      </w:r>
      <w:r>
        <w:rPr>
          <w:rFonts w:ascii="Times New Roman" w:hAnsi="Times New Roman" w:cs="Times New Roman" w:eastAsia="Times New Roman" w:hint="default"/>
        </w:rPr>
        <w:t>930,580,750.10</w:t>
      </w:r>
      <w:r>
        <w:rPr>
          <w:rFonts w:ascii="Times New Roman" w:hAnsi="Times New Roman" w:cs="Times New Roman" w:eastAsia="Times New Roman" w:hint="default"/>
          <w:spacing w:val="-9"/>
        </w:rPr>
        <w:t> </w:t>
      </w:r>
      <w:r>
        <w:rPr>
          <w:spacing w:val="-4"/>
        </w:rPr>
        <w:t>元，增加比例为</w:t>
      </w:r>
      <w:r>
        <w:rPr>
          <w:spacing w:val="-55"/>
        </w:rPr>
        <w:t> </w:t>
      </w:r>
      <w:r>
        <w:rPr>
          <w:rFonts w:ascii="Times New Roman" w:hAnsi="Times New Roman" w:cs="Times New Roman" w:eastAsia="Times New Roman" w:hint="default"/>
        </w:rPr>
        <w:t>13,068.12%</w:t>
      </w:r>
      <w:r>
        <w:rPr/>
        <w:t>，主要系利用短期闲置资金购买银行保本 理财产品所致。</w:t>
      </w:r>
    </w:p>
    <w:p>
      <w:pPr>
        <w:spacing w:line="240" w:lineRule="auto" w:before="11"/>
        <w:rPr>
          <w:rFonts w:ascii="宋体" w:hAnsi="宋体" w:cs="宋体" w:eastAsia="宋体" w:hint="default"/>
          <w:sz w:val="23"/>
          <w:szCs w:val="23"/>
        </w:rPr>
      </w:pPr>
    </w:p>
    <w:p>
      <w:pPr>
        <w:pStyle w:val="Heading3"/>
        <w:spacing w:line="240" w:lineRule="auto"/>
        <w:ind w:right="1118"/>
        <w:jc w:val="left"/>
        <w:rPr>
          <w:b w:val="0"/>
          <w:bCs w:val="0"/>
        </w:rPr>
      </w:pPr>
      <w:bookmarkStart w:name="9、可供出售金融资产" w:id="253"/>
      <w:bookmarkEnd w:id="253"/>
      <w:r>
        <w:rPr>
          <w:b w:val="0"/>
          <w:bCs w:val="0"/>
        </w:rPr>
      </w:r>
      <w:r>
        <w:rPr>
          <w:rFonts w:ascii="Times New Roman" w:hAnsi="Times New Roman" w:cs="Times New Roman" w:eastAsia="Times New Roman" w:hint="default"/>
        </w:rPr>
        <w:t>9</w:t>
      </w:r>
      <w:r>
        <w:rPr/>
        <w:t>、可供出售金融资产</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可供出售金融资产情况" w:id="254"/>
      <w:bookmarkEnd w:id="254"/>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190"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1"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79"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95,554,374.50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7,510,000.00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88,044,374.50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30,514,374.50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7,510,000.00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23,004,374.50</w:t>
            </w:r>
          </w:p>
        </w:tc>
      </w:tr>
      <w:tr>
        <w:trPr>
          <w:trHeight w:val="370"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95,554,374.50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7,510,000.00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88,044,374.50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30,514,374.50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7,510,000.00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23,004,374.50</w:t>
            </w:r>
          </w:p>
        </w:tc>
      </w:tr>
      <w:tr>
        <w:trPr>
          <w:trHeight w:val="37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95,554,374.50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7,510,000.00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88,044,374.50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30,514,374.50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7,510,000.00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23,004,374.50</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期末按成本计量的可供出售金融资产" w:id="255"/>
      <w:bookmarkEnd w:id="255"/>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江苏大丰 农村商业 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5,064,131.</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145,548.17</w:t>
            </w:r>
          </w:p>
        </w:tc>
      </w:tr>
      <w:tr>
        <w:trPr>
          <w:trHeight w:val="57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株式会社</w:t>
            </w:r>
          </w:p>
          <w:p>
            <w:pPr>
              <w:pStyle w:val="TableParagraph"/>
              <w:spacing w:line="240" w:lineRule="auto" w:before="48"/>
              <w:ind w:left="22" w:right="0"/>
              <w:jc w:val="left"/>
              <w:rPr>
                <w:rFonts w:ascii="Times New Roman" w:hAnsi="Times New Roman" w:cs="Times New Roman" w:eastAsia="Times New Roman" w:hint="default"/>
                <w:sz w:val="18"/>
                <w:szCs w:val="18"/>
              </w:rPr>
            </w:pPr>
            <w:r>
              <w:rPr>
                <w:rFonts w:ascii="Times New Roman"/>
                <w:sz w:val="18"/>
              </w:rPr>
              <w:t>ISI</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17,060,243</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17,060,243</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上海企盈 信息技术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杭州金才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34,020,000</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34,020,000</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广州湛蓝 数据科技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苏州方泽 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广州联合 软件有限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四川方欣 晟源科技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8"/>
              <w:jc w:val="both"/>
              <w:rPr>
                <w:rFonts w:ascii="宋体" w:hAnsi="宋体" w:cs="宋体" w:eastAsia="宋体" w:hint="default"/>
                <w:sz w:val="18"/>
                <w:szCs w:val="18"/>
              </w:rPr>
            </w:pPr>
            <w:r>
              <w:rPr>
                <w:rFonts w:ascii="宋体" w:hAnsi="宋体" w:cs="宋体" w:eastAsia="宋体" w:hint="default"/>
                <w:sz w:val="18"/>
                <w:szCs w:val="18"/>
              </w:rPr>
              <w:t>东莞市龙 达信息科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880,000.00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30,514,374</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65,920,000</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880,000.00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95,554,374</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7,510,000.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145,548.17</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其他说明</w:t>
      </w:r>
    </w:p>
    <w:p>
      <w:pPr>
        <w:pStyle w:val="BodyText"/>
        <w:spacing w:line="240" w:lineRule="auto" w:before="117"/>
        <w:ind w:right="1118"/>
        <w:jc w:val="left"/>
      </w:pPr>
      <w:r>
        <w:rPr/>
        <w:t>可供出售金融资产年末数比年初数增加</w:t>
      </w:r>
      <w:r>
        <w:rPr>
          <w:spacing w:val="-48"/>
        </w:rPr>
        <w:t> </w:t>
      </w:r>
      <w:r>
        <w:rPr>
          <w:rFonts w:ascii="Times New Roman" w:hAnsi="Times New Roman" w:cs="Times New Roman" w:eastAsia="Times New Roman" w:hint="default"/>
        </w:rPr>
        <w:t>65,040,000.00</w:t>
      </w:r>
      <w:r>
        <w:rPr>
          <w:rFonts w:ascii="Times New Roman" w:hAnsi="Times New Roman" w:cs="Times New Roman" w:eastAsia="Times New Roman" w:hint="default"/>
          <w:spacing w:val="-11"/>
        </w:rPr>
        <w:t> </w:t>
      </w:r>
      <w:r>
        <w:rPr/>
        <w:t>元，增加比例为</w:t>
      </w:r>
      <w:r>
        <w:rPr>
          <w:spacing w:val="-48"/>
        </w:rPr>
        <w:t> </w:t>
      </w:r>
      <w:r>
        <w:rPr>
          <w:rFonts w:ascii="Times New Roman" w:hAnsi="Times New Roman" w:cs="Times New Roman" w:eastAsia="Times New Roman" w:hint="default"/>
        </w:rPr>
        <w:t>282.73%</w:t>
      </w:r>
      <w:r>
        <w:rPr/>
        <w:t>，主要是新增投资参股公司所致。</w:t>
      </w:r>
    </w:p>
    <w:p>
      <w:pPr>
        <w:spacing w:line="240" w:lineRule="auto" w:before="5"/>
        <w:rPr>
          <w:rFonts w:ascii="宋体" w:hAnsi="宋体" w:cs="宋体" w:eastAsia="宋体" w:hint="default"/>
          <w:sz w:val="26"/>
          <w:szCs w:val="26"/>
        </w:rPr>
      </w:pPr>
    </w:p>
    <w:p>
      <w:pPr>
        <w:pStyle w:val="Heading3"/>
        <w:spacing w:line="240" w:lineRule="auto"/>
        <w:ind w:left="556" w:right="1118"/>
        <w:jc w:val="left"/>
        <w:rPr>
          <w:b w:val="0"/>
          <w:bCs w:val="0"/>
        </w:rPr>
      </w:pPr>
      <w:bookmarkStart w:name="10、长期应收款" w:id="256"/>
      <w:bookmarkEnd w:id="256"/>
      <w:r>
        <w:rPr>
          <w:b w:val="0"/>
          <w:bCs w:val="0"/>
        </w:rPr>
      </w:r>
      <w:r>
        <w:rPr>
          <w:rFonts w:ascii="Times New Roman" w:hAnsi="Times New Roman" w:cs="Times New Roman" w:eastAsia="Times New Roman" w:hint="default"/>
        </w:rPr>
        <w:t>10</w:t>
      </w:r>
      <w:r>
        <w:rPr/>
        <w:t>、长期应收款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长期应收款情况" w:id="257"/>
      <w:bookmarkEnd w:id="25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49"/>
        <w:gridCol w:w="1134"/>
        <w:gridCol w:w="1134"/>
        <w:gridCol w:w="1134"/>
        <w:gridCol w:w="1134"/>
        <w:gridCol w:w="1276"/>
        <w:gridCol w:w="1032"/>
        <w:gridCol w:w="1165"/>
      </w:tblGrid>
      <w:tr>
        <w:trPr>
          <w:trHeight w:val="206"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1" w:hRule="exact"/>
        </w:trPr>
        <w:tc>
          <w:tcPr>
            <w:tcW w:w="15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3"/>
            <w:vMerge/>
            <w:tcBorders>
              <w:left w:val="single" w:sz="4" w:space="0" w:color="000000"/>
              <w:bottom w:val="single" w:sz="4" w:space="0" w:color="000000"/>
              <w:right w:val="single" w:sz="4" w:space="0" w:color="000000"/>
            </w:tcBorders>
            <w:shd w:val="clear" w:color="auto" w:fill="D2D2D2"/>
          </w:tcPr>
          <w:p>
            <w:pPr/>
          </w:p>
        </w:tc>
        <w:tc>
          <w:tcPr>
            <w:tcW w:w="3442"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right w:val="single" w:sz="4" w:space="0" w:color="000000"/>
            </w:tcBorders>
            <w:shd w:val="clear" w:color="auto" w:fill="D2D2D2"/>
          </w:tcPr>
          <w:p>
            <w:pPr/>
          </w:p>
        </w:tc>
      </w:tr>
      <w:tr>
        <w:trPr>
          <w:trHeight w:val="200" w:hRule="exact"/>
        </w:trPr>
        <w:tc>
          <w:tcPr>
            <w:tcW w:w="1549"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right w:val="single" w:sz="4" w:space="0" w:color="000000"/>
            </w:tcBorders>
            <w:shd w:val="clear" w:color="auto" w:fill="D2D2D2"/>
          </w:tcPr>
          <w:p>
            <w:pPr/>
          </w:p>
        </w:tc>
      </w:tr>
      <w:tr>
        <w:trPr>
          <w:trHeight w:val="206"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032"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6,129,316.24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11、长期股权投资" w:id="258"/>
      <w:bookmarkEnd w:id="258"/>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30"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3"/>
                <w:szCs w:val="23"/>
              </w:rPr>
            </w:pPr>
          </w:p>
          <w:p>
            <w:pPr>
              <w:pStyle w:val="TableParagraph"/>
              <w:spacing w:line="244"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3"/>
                <w:szCs w:val="23"/>
              </w:rPr>
            </w:pPr>
          </w:p>
          <w:p>
            <w:pPr>
              <w:pStyle w:val="TableParagraph"/>
              <w:spacing w:line="244"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810"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盐城高周 波热炼有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60,730,17</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5.53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3,220,591</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63,950,76</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6.85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796" w:type="dxa"/>
            <w:tcBorders>
              <w:top w:val="single" w:sz="4" w:space="0" w:color="000000"/>
              <w:left w:val="single" w:sz="4" w:space="0" w:color="000000"/>
              <w:bottom w:val="single" w:sz="52" w:space="0" w:color="D2D2D2"/>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江苏石川 岛丰东真 空技术有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13,716,90</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1.82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1,660,867</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15,377,76</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8.98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13" w:space="0" w:color="D2D2D2"/>
              <w:right w:val="single" w:sz="4" w:space="0" w:color="000000"/>
            </w:tcBorders>
          </w:tcPr>
          <w:p>
            <w:pPr>
              <w:pStyle w:val="TableParagraph"/>
              <w:spacing w:line="240" w:lineRule="auto" w:before="63"/>
              <w:ind w:left="34" w:right="0"/>
              <w:jc w:val="left"/>
              <w:rPr>
                <w:rFonts w:ascii="Times New Roman" w:hAnsi="Times New Roman" w:cs="Times New Roman" w:eastAsia="Times New Roman" w:hint="default"/>
                <w:sz w:val="18"/>
                <w:szCs w:val="18"/>
              </w:rPr>
            </w:pPr>
            <w:r>
              <w:rPr>
                <w:rFonts w:ascii="Times New Roman"/>
                <w:sz w:val="18"/>
              </w:rPr>
              <w:t>74,447,07</w:t>
            </w:r>
          </w:p>
          <w:p>
            <w:pPr>
              <w:pStyle w:val="TableParagraph"/>
              <w:spacing w:line="240" w:lineRule="auto" w:before="34"/>
              <w:ind w:left="439" w:right="0"/>
              <w:jc w:val="left"/>
              <w:rPr>
                <w:rFonts w:ascii="Times New Roman" w:hAnsi="Times New Roman" w:cs="Times New Roman" w:eastAsia="Times New Roman" w:hint="default"/>
                <w:sz w:val="18"/>
                <w:szCs w:val="18"/>
              </w:rPr>
            </w:pPr>
            <w:r>
              <w:rPr>
                <w:rFonts w:ascii="Times New Roman"/>
                <w:sz w:val="18"/>
              </w:rPr>
              <w:t>7.35</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4,881,458</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.48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79,328,53</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5.83</w:t>
            </w:r>
          </w:p>
        </w:tc>
        <w:tc>
          <w:tcPr>
            <w:tcW w:w="798" w:type="dxa"/>
            <w:vMerge w:val="restart"/>
            <w:tcBorders>
              <w:top w:val="single" w:sz="4" w:space="0" w:color="000000"/>
              <w:left w:val="single" w:sz="4" w:space="0" w:color="000000"/>
              <w:right w:val="single" w:sz="4" w:space="0" w:color="000000"/>
            </w:tcBorders>
          </w:tcPr>
          <w:p>
            <w:pPr/>
          </w:p>
        </w:tc>
      </w:tr>
      <w:tr>
        <w:trPr>
          <w:trHeight w:val="445"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13"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1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1"/>
              <w:jc w:val="both"/>
              <w:rPr>
                <w:rFonts w:ascii="宋体" w:hAnsi="宋体" w:cs="宋体" w:eastAsia="宋体" w:hint="default"/>
                <w:sz w:val="18"/>
                <w:szCs w:val="18"/>
              </w:rPr>
            </w:pPr>
            <w:r>
              <w:rPr>
                <w:rFonts w:ascii="宋体" w:hAnsi="宋体" w:cs="宋体" w:eastAsia="宋体" w:hint="default"/>
                <w:sz w:val="18"/>
                <w:szCs w:val="18"/>
              </w:rPr>
              <w:t>广州丰东 热炼有限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18,690,04</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7.66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2,023,419</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20,713,46</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7.34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18,690,04</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7.66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2,023,419</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20,713,46</w:t>
            </w:r>
          </w:p>
          <w:p>
            <w:pPr>
              <w:pStyle w:val="TableParagraph"/>
              <w:spacing w:line="240" w:lineRule="auto" w:before="34"/>
              <w:ind w:left="450" w:right="0"/>
              <w:jc w:val="left"/>
              <w:rPr>
                <w:rFonts w:ascii="Times New Roman" w:hAnsi="Times New Roman" w:cs="Times New Roman" w:eastAsia="Times New Roman" w:hint="default"/>
                <w:sz w:val="18"/>
                <w:szCs w:val="18"/>
              </w:rPr>
            </w:pPr>
            <w:r>
              <w:rPr>
                <w:rFonts w:ascii="Times New Roman"/>
                <w:sz w:val="18"/>
              </w:rPr>
              <w:t>7.34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5" w:right="0"/>
              <w:jc w:val="left"/>
              <w:rPr>
                <w:rFonts w:ascii="Times New Roman" w:hAnsi="Times New Roman" w:cs="Times New Roman" w:eastAsia="Times New Roman" w:hint="default"/>
                <w:sz w:val="18"/>
                <w:szCs w:val="18"/>
              </w:rPr>
            </w:pPr>
            <w:r>
              <w:rPr>
                <w:rFonts w:ascii="Times New Roman"/>
                <w:sz w:val="18"/>
              </w:rPr>
              <w:t>93,137,12</w:t>
            </w:r>
          </w:p>
          <w:p>
            <w:pPr>
              <w:pStyle w:val="TableParagraph"/>
              <w:spacing w:line="240" w:lineRule="auto" w:before="34"/>
              <w:ind w:left="451" w:right="0"/>
              <w:jc w:val="left"/>
              <w:rPr>
                <w:rFonts w:ascii="Times New Roman" w:hAnsi="Times New Roman" w:cs="Times New Roman" w:eastAsia="Times New Roman" w:hint="default"/>
                <w:sz w:val="18"/>
                <w:szCs w:val="18"/>
              </w:rPr>
            </w:pPr>
            <w:r>
              <w:rPr>
                <w:rFonts w:ascii="Times New Roman"/>
                <w:sz w:val="18"/>
              </w:rPr>
              <w:t>5.01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6,904,878</w:t>
            </w:r>
          </w:p>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 w:right="0"/>
              <w:jc w:val="left"/>
              <w:rPr>
                <w:rFonts w:ascii="Times New Roman" w:hAnsi="Times New Roman" w:cs="Times New Roman" w:eastAsia="Times New Roman" w:hint="default"/>
                <w:sz w:val="18"/>
                <w:szCs w:val="18"/>
              </w:rPr>
            </w:pPr>
            <w:r>
              <w:rPr>
                <w:rFonts w:ascii="Times New Roman"/>
                <w:sz w:val="18"/>
              </w:rPr>
              <w:t>100,042,0</w:t>
            </w:r>
          </w:p>
          <w:p>
            <w:pPr>
              <w:pStyle w:val="TableParagraph"/>
              <w:spacing w:line="240" w:lineRule="auto" w:before="34"/>
              <w:ind w:left="360" w:right="0"/>
              <w:jc w:val="left"/>
              <w:rPr>
                <w:rFonts w:ascii="Times New Roman" w:hAnsi="Times New Roman" w:cs="Times New Roman" w:eastAsia="Times New Roman" w:hint="default"/>
                <w:sz w:val="18"/>
                <w:szCs w:val="18"/>
              </w:rPr>
            </w:pPr>
            <w:r>
              <w:rPr>
                <w:rFonts w:ascii="Times New Roman"/>
                <w:sz w:val="18"/>
              </w:rPr>
              <w:t>03.17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其他说明</w:t>
      </w:r>
    </w:p>
    <w:p>
      <w:pPr>
        <w:spacing w:line="240" w:lineRule="auto" w:before="0"/>
        <w:rPr>
          <w:rFonts w:ascii="宋体" w:hAnsi="宋体" w:cs="宋体" w:eastAsia="宋体" w:hint="default"/>
          <w:sz w:val="15"/>
          <w:szCs w:val="15"/>
        </w:rPr>
      </w:pPr>
    </w:p>
    <w:p>
      <w:pPr>
        <w:pStyle w:val="BodyText"/>
        <w:spacing w:line="319" w:lineRule="auto"/>
        <w:ind w:left="153" w:right="1118" w:firstLine="360"/>
        <w:jc w:val="left"/>
      </w:pPr>
      <w:r>
        <w:rPr>
          <w:spacing w:val="-2"/>
        </w:rPr>
        <w:t>四川方欣科技有限公司及方欣（北京）科技有限公司系子公司方欣科技的子公司，两家公司无实际业务经营，营业执照</w:t>
      </w:r>
      <w:r>
        <w:rPr/>
        <w:t> 处于被吊销状态，故未纳入合并报表范围；初始投资金额</w:t>
      </w:r>
      <w:r>
        <w:rPr>
          <w:spacing w:val="-45"/>
        </w:rPr>
        <w:t> </w:t>
      </w:r>
      <w:r>
        <w:rPr>
          <w:rFonts w:ascii="Times New Roman" w:hAnsi="Times New Roman" w:cs="Times New Roman" w:eastAsia="Times New Roman" w:hint="default"/>
        </w:rPr>
        <w:t>137</w:t>
      </w:r>
      <w:r>
        <w:rPr>
          <w:rFonts w:ascii="Times New Roman" w:hAnsi="Times New Roman" w:cs="Times New Roman" w:eastAsia="Times New Roman" w:hint="default"/>
          <w:spacing w:val="-1"/>
        </w:rPr>
        <w:t> </w:t>
      </w:r>
      <w:r>
        <w:rPr/>
        <w:t>万元，已全额计提减值准备。</w:t>
      </w:r>
    </w:p>
    <w:p>
      <w:pPr>
        <w:pStyle w:val="BodyText"/>
        <w:spacing w:line="240" w:lineRule="auto" w:before="117"/>
        <w:ind w:right="1118"/>
        <w:jc w:val="left"/>
      </w:pPr>
      <w:r>
        <w:rPr/>
        <w:t>除上述事项外，其余长期股权投资单位无向投资企业转移资金的能力受到限制的情况。</w:t>
      </w:r>
    </w:p>
    <w:p>
      <w:pPr>
        <w:spacing w:line="240" w:lineRule="auto" w:before="0"/>
        <w:rPr>
          <w:rFonts w:ascii="宋体" w:hAnsi="宋体" w:cs="宋体" w:eastAsia="宋体" w:hint="default"/>
          <w:sz w:val="18"/>
          <w:szCs w:val="18"/>
        </w:rPr>
      </w:pPr>
    </w:p>
    <w:p>
      <w:pPr>
        <w:pStyle w:val="Heading3"/>
        <w:spacing w:line="240" w:lineRule="auto" w:before="124"/>
        <w:ind w:left="153" w:right="1118"/>
        <w:jc w:val="left"/>
        <w:rPr>
          <w:b w:val="0"/>
          <w:bCs w:val="0"/>
        </w:rPr>
      </w:pPr>
      <w:bookmarkStart w:name="12、固定资产" w:id="259"/>
      <w:bookmarkEnd w:id="259"/>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153" w:right="1118"/>
        <w:jc w:val="left"/>
        <w:rPr>
          <w:b w:val="0"/>
          <w:bCs w:val="0"/>
        </w:rPr>
      </w:pPr>
      <w:bookmarkStart w:name="（1）固定资产情况" w:id="260"/>
      <w:bookmarkEnd w:id="26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4"/>
        <w:gridCol w:w="1570"/>
        <w:gridCol w:w="1560"/>
        <w:gridCol w:w="1560"/>
        <w:gridCol w:w="1416"/>
        <w:gridCol w:w="1484"/>
      </w:tblGrid>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4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41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53"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180,580,526.85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155,495,240.05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19,809,255.12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29,715,218.57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385,600,240.59</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3,709,565.85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49,821,380.07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4,908,790.35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12,665,833.68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71,105,569.95</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1,695,125.90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8,775,943.63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2,972,985.37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9,849,542.56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23,293,597.46</w:t>
            </w: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2,014,439.95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22,222,641.26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50,376.92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24,287,458.13</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18,822,795.18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1,935,804.98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2,765,914.20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23,524,514.36</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85,681.22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11,080,208.70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349,908.07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1,263,672.29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12,779,470.28</w:t>
            </w: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85,681.22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9,807,619.56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349,908.07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521,771.89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10,764,980.74</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1,272,589.14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741,900.40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2,014,489.54</w:t>
            </w: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184,204,411.48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194,236,411.42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24,368,137.40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41,117,379.96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443,926,340.26</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974"/>
        <w:gridCol w:w="1570"/>
        <w:gridCol w:w="1560"/>
        <w:gridCol w:w="1560"/>
        <w:gridCol w:w="1416"/>
        <w:gridCol w:w="1484"/>
      </w:tblGrid>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40,378,854.93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67,377,029.84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13,301,613.25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20,728,113.70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141,785,611.72</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8,295,762.53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24,815,240.02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3,965,516.10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6,319,511.03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43,396,029.68</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8,295,762.53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14,539,705.15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2,774,154.14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4,227,638.31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29,837,260.13</w:t>
            </w: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10,275,534.87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1,191,361.96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2,091,872.72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13,558,769.55</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47,615.38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7,331,243.23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553,311.93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882,735.33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8,814,905.87</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47,615.38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6,945,290.18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553,311.93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658,447.19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8,204,664.68</w:t>
            </w: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385,953.05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224,288.14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610,241.19</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48,627,002.08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84,861,026.63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16,713,817.42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26,164,889.40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176,366,735.53</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855,000.00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1,155,000.00</w:t>
            </w: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855,000.00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1,155,000.00</w:t>
            </w: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70" w:type="dxa"/>
            <w:tcBorders>
              <w:top w:val="single" w:sz="4" w:space="0" w:color="000000"/>
              <w:left w:val="single" w:sz="9" w:space="0" w:color="D9D9D9"/>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135,277,409.40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108,520,384.79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7,654,319.98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14,952,490.56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266,404,604.73</w:t>
            </w:r>
          </w:p>
        </w:tc>
      </w:tr>
      <w:tr>
        <w:trPr>
          <w:trHeight w:val="371" w:hRule="exact"/>
        </w:trPr>
        <w:tc>
          <w:tcPr>
            <w:tcW w:w="1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70"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139,901,671.92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87,263,210.21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6,507,641.87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8,987,104.87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242,659,628.87</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3、在建工程" w:id="261"/>
      <w:bookmarkEnd w:id="261"/>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在建工程情况" w:id="262"/>
      <w:bookmarkEnd w:id="26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30"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无人化智能工厂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7,144,118.73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7,144,118.73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6,031,326.82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6,031,326.82</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15,103,968.30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15,103,968.30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23,284,227.13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23,284,227.13</w:t>
            </w:r>
          </w:p>
        </w:tc>
      </w:tr>
      <w:tr>
        <w:trPr>
          <w:trHeight w:val="3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22,248,087.03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22,248,087.03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29,315,553.95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29,315,553.95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重要在建工程项目本期变动情况" w:id="263"/>
      <w:bookmarkEnd w:id="26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81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9"/>
              <w:jc w:val="both"/>
              <w:rPr>
                <w:rFonts w:ascii="宋体" w:hAnsi="宋体" w:cs="宋体" w:eastAsia="宋体" w:hint="default"/>
                <w:sz w:val="18"/>
                <w:szCs w:val="18"/>
              </w:rPr>
            </w:pPr>
            <w:r>
              <w:rPr>
                <w:rFonts w:ascii="宋体" w:hAnsi="宋体" w:cs="宋体" w:eastAsia="宋体" w:hint="default"/>
                <w:sz w:val="18"/>
                <w:szCs w:val="18"/>
              </w:rPr>
              <w:t>无人化 智能工 厂项目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6,031,32</w:t>
            </w:r>
          </w:p>
          <w:p>
            <w:pPr>
              <w:pStyle w:val="TableParagraph"/>
              <w:spacing w:line="240" w:lineRule="auto" w:before="33"/>
              <w:ind w:left="389" w:right="0"/>
              <w:jc w:val="left"/>
              <w:rPr>
                <w:rFonts w:ascii="Times New Roman" w:hAnsi="Times New Roman" w:cs="Times New Roman" w:eastAsia="Times New Roman" w:hint="default"/>
                <w:sz w:val="18"/>
                <w:szCs w:val="18"/>
              </w:rPr>
            </w:pPr>
            <w:r>
              <w:rPr>
                <w:rFonts w:ascii="Times New Roman"/>
                <w:sz w:val="18"/>
              </w:rPr>
              <w:t>6.82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4,117,24</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2.26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2,014,43</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9.95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990,010.</w:t>
            </w:r>
          </w:p>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7,144,11</w:t>
            </w:r>
          </w:p>
          <w:p>
            <w:pPr>
              <w:pStyle w:val="TableParagraph"/>
              <w:spacing w:line="240" w:lineRule="auto" w:before="33"/>
              <w:ind w:left="388" w:right="0"/>
              <w:jc w:val="left"/>
              <w:rPr>
                <w:rFonts w:ascii="Times New Roman" w:hAnsi="Times New Roman" w:cs="Times New Roman" w:eastAsia="Times New Roman" w:hint="default"/>
                <w:sz w:val="18"/>
                <w:szCs w:val="18"/>
              </w:rPr>
            </w:pPr>
            <w:r>
              <w:rPr>
                <w:rFonts w:ascii="Times New Roman"/>
                <w:sz w:val="18"/>
              </w:rPr>
              <w:t>8.73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81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59"/>
              <w:jc w:val="left"/>
              <w:rPr>
                <w:rFonts w:ascii="宋体" w:hAnsi="宋体" w:cs="宋体" w:eastAsia="宋体" w:hint="default"/>
                <w:sz w:val="18"/>
                <w:szCs w:val="18"/>
              </w:rPr>
            </w:pPr>
            <w:r>
              <w:rPr>
                <w:rFonts w:ascii="宋体" w:hAnsi="宋体" w:cs="宋体" w:eastAsia="宋体" w:hint="default"/>
                <w:sz w:val="18"/>
                <w:szCs w:val="18"/>
              </w:rPr>
              <w:t>设备安 装工程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23,284,2</w:t>
            </w:r>
          </w:p>
          <w:p>
            <w:pPr>
              <w:pStyle w:val="TableParagraph"/>
              <w:spacing w:line="240" w:lineRule="auto" w:before="34"/>
              <w:ind w:left="299" w:right="0"/>
              <w:jc w:val="left"/>
              <w:rPr>
                <w:rFonts w:ascii="Times New Roman" w:hAnsi="Times New Roman" w:cs="Times New Roman" w:eastAsia="Times New Roman" w:hint="default"/>
                <w:sz w:val="18"/>
                <w:szCs w:val="18"/>
              </w:rPr>
            </w:pPr>
            <w:r>
              <w:rPr>
                <w:rFonts w:ascii="Times New Roman"/>
                <w:sz w:val="18"/>
              </w:rPr>
              <w:t>27.13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14,627,1</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60.34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22,273,0</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18.18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534,400.</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15,103,9</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68.30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both"/>
              <w:rPr>
                <w:rFonts w:ascii="宋体" w:hAnsi="宋体" w:cs="宋体" w:eastAsia="宋体" w:hint="default"/>
                <w:sz w:val="18"/>
                <w:szCs w:val="18"/>
              </w:rPr>
            </w:pPr>
            <w:r>
              <w:rPr>
                <w:rFonts w:ascii="宋体" w:hAnsi="宋体" w:cs="宋体" w:eastAsia="宋体" w:hint="default"/>
                <w:sz w:val="18"/>
                <w:szCs w:val="18"/>
              </w:rPr>
              <w:t>自筹及 募集资 金</w:t>
            </w:r>
          </w:p>
        </w:tc>
      </w:tr>
      <w:tr>
        <w:trPr>
          <w:trHeight w:val="57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29,315,5</w:t>
            </w:r>
          </w:p>
          <w:p>
            <w:pPr>
              <w:pStyle w:val="TableParagraph"/>
              <w:spacing w:line="240" w:lineRule="auto" w:before="34"/>
              <w:ind w:left="299" w:right="0"/>
              <w:jc w:val="left"/>
              <w:rPr>
                <w:rFonts w:ascii="Times New Roman" w:hAnsi="Times New Roman" w:cs="Times New Roman" w:eastAsia="Times New Roman" w:hint="default"/>
                <w:sz w:val="18"/>
                <w:szCs w:val="18"/>
              </w:rPr>
            </w:pPr>
            <w:r>
              <w:rPr>
                <w:rFonts w:ascii="Times New Roman"/>
                <w:sz w:val="18"/>
              </w:rPr>
              <w:t>53.95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18,744,4</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02.60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24,287,4</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58.13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 w:right="0"/>
              <w:jc w:val="left"/>
              <w:rPr>
                <w:rFonts w:ascii="Times New Roman" w:hAnsi="Times New Roman" w:cs="Times New Roman" w:eastAsia="Times New Roman" w:hint="default"/>
                <w:sz w:val="18"/>
                <w:szCs w:val="18"/>
              </w:rPr>
            </w:pPr>
            <w:r>
              <w:rPr>
                <w:rFonts w:ascii="Times New Roman"/>
                <w:sz w:val="18"/>
              </w:rPr>
              <w:t>1,524,41</w:t>
            </w:r>
          </w:p>
          <w:p>
            <w:pPr>
              <w:pStyle w:val="TableParagraph"/>
              <w:spacing w:line="240" w:lineRule="auto" w:before="34"/>
              <w:ind w:left="390" w:right="0"/>
              <w:jc w:val="left"/>
              <w:rPr>
                <w:rFonts w:ascii="Times New Roman" w:hAnsi="Times New Roman" w:cs="Times New Roman" w:eastAsia="Times New Roman" w:hint="default"/>
                <w:sz w:val="18"/>
                <w:szCs w:val="18"/>
              </w:rPr>
            </w:pPr>
            <w:r>
              <w:rPr>
                <w:rFonts w:ascii="Times New Roman"/>
                <w:sz w:val="18"/>
              </w:rPr>
              <w:t>1.39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3" w:right="0"/>
              <w:jc w:val="left"/>
              <w:rPr>
                <w:rFonts w:ascii="Times New Roman" w:hAnsi="Times New Roman" w:cs="Times New Roman" w:eastAsia="Times New Roman" w:hint="default"/>
                <w:sz w:val="18"/>
                <w:szCs w:val="18"/>
              </w:rPr>
            </w:pPr>
            <w:r>
              <w:rPr>
                <w:rFonts w:ascii="Times New Roman"/>
                <w:sz w:val="18"/>
              </w:rPr>
              <w:t>22,248,0</w:t>
            </w:r>
          </w:p>
          <w:p>
            <w:pPr>
              <w:pStyle w:val="TableParagraph"/>
              <w:spacing w:line="240" w:lineRule="auto" w:before="34"/>
              <w:ind w:left="298" w:right="0"/>
              <w:jc w:val="left"/>
              <w:rPr>
                <w:rFonts w:ascii="Times New Roman" w:hAnsi="Times New Roman" w:cs="Times New Roman" w:eastAsia="Times New Roman" w:hint="default"/>
                <w:sz w:val="18"/>
                <w:szCs w:val="18"/>
              </w:rPr>
            </w:pPr>
            <w:r>
              <w:rPr>
                <w:rFonts w:ascii="Times New Roman"/>
                <w:sz w:val="18"/>
              </w:rPr>
              <w:t>87.03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4、无形资产" w:id="264"/>
      <w:bookmarkEnd w:id="264"/>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无形资产情况" w:id="265"/>
      <w:bookmarkEnd w:id="26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288"/>
        <w:gridCol w:w="851"/>
        <w:gridCol w:w="992"/>
        <w:gridCol w:w="1134"/>
        <w:gridCol w:w="1134"/>
        <w:gridCol w:w="1142"/>
        <w:gridCol w:w="1195"/>
      </w:tblGrid>
      <w:tr>
        <w:trPr>
          <w:trHeight w:val="125" w:hRule="exact"/>
        </w:trPr>
        <w:tc>
          <w:tcPr>
            <w:tcW w:w="1820" w:type="dxa"/>
            <w:tcBorders>
              <w:top w:val="single" w:sz="4" w:space="0" w:color="000000"/>
              <w:left w:val="single" w:sz="4" w:space="0" w:color="000000"/>
              <w:bottom w:val="nil" w:sz="6" w:space="0" w:color="auto"/>
              <w:right w:val="single" w:sz="4" w:space="0" w:color="000000"/>
            </w:tcBorders>
            <w:shd w:val="clear" w:color="auto" w:fill="D9D9D9"/>
          </w:tcPr>
          <w:p>
            <w:pPr/>
          </w:p>
        </w:tc>
        <w:tc>
          <w:tcPr>
            <w:tcW w:w="1288" w:type="dxa"/>
            <w:tcBorders>
              <w:top w:val="single" w:sz="4" w:space="0" w:color="000000"/>
              <w:left w:val="single" w:sz="4" w:space="0" w:color="000000"/>
              <w:bottom w:val="nil" w:sz="6" w:space="0" w:color="auto"/>
              <w:right w:val="single" w:sz="4" w:space="0" w:color="000000"/>
            </w:tcBorders>
            <w:shd w:val="clear" w:color="auto" w:fill="D9D9D9"/>
          </w:tcPr>
          <w:p>
            <w:pPr/>
          </w:p>
        </w:tc>
        <w:tc>
          <w:tcPr>
            <w:tcW w:w="851" w:type="dxa"/>
            <w:tcBorders>
              <w:top w:val="single" w:sz="4" w:space="0" w:color="000000"/>
              <w:left w:val="single" w:sz="4" w:space="0" w:color="000000"/>
              <w:bottom w:val="nil" w:sz="6" w:space="0" w:color="auto"/>
              <w:right w:val="single" w:sz="4" w:space="0" w:color="000000"/>
            </w:tcBorders>
            <w:shd w:val="clear" w:color="auto" w:fill="D9D9D9"/>
          </w:tcPr>
          <w:p>
            <w:pPr/>
          </w:p>
        </w:tc>
        <w:tc>
          <w:tcPr>
            <w:tcW w:w="992" w:type="dxa"/>
            <w:tcBorders>
              <w:top w:val="single" w:sz="4" w:space="0" w:color="000000"/>
              <w:left w:val="single" w:sz="4" w:space="0" w:color="000000"/>
              <w:bottom w:val="nil" w:sz="6" w:space="0" w:color="auto"/>
              <w:right w:val="single" w:sz="4" w:space="0" w:color="000000"/>
            </w:tcBorders>
            <w:shd w:val="clear" w:color="auto" w:fill="D9D9D9"/>
          </w:tcPr>
          <w:p>
            <w:pPr/>
          </w:p>
        </w:tc>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244" w:lineRule="auto" w:before="21"/>
              <w:ind w:left="291" w:right="110" w:hanging="180"/>
              <w:jc w:val="left"/>
              <w:rPr>
                <w:rFonts w:ascii="宋体" w:hAnsi="宋体" w:cs="宋体" w:eastAsia="宋体" w:hint="default"/>
                <w:sz w:val="18"/>
                <w:szCs w:val="18"/>
              </w:rPr>
            </w:pPr>
            <w:r>
              <w:rPr>
                <w:rFonts w:ascii="宋体" w:hAnsi="宋体" w:cs="宋体" w:eastAsia="宋体" w:hint="default"/>
                <w:sz w:val="18"/>
                <w:szCs w:val="18"/>
              </w:rPr>
              <w:t>商标及软件 著作权</w:t>
            </w:r>
          </w:p>
        </w:tc>
        <w:tc>
          <w:tcPr>
            <w:tcW w:w="1134" w:type="dxa"/>
            <w:tcBorders>
              <w:top w:val="single" w:sz="4" w:space="0" w:color="000000"/>
              <w:left w:val="single" w:sz="4" w:space="0" w:color="000000"/>
              <w:bottom w:val="nil" w:sz="6" w:space="0" w:color="auto"/>
              <w:right w:val="single" w:sz="4" w:space="0" w:color="000000"/>
            </w:tcBorders>
            <w:shd w:val="clear" w:color="auto" w:fill="D9D9D9"/>
          </w:tcPr>
          <w:p>
            <w:pPr/>
          </w:p>
        </w:tc>
        <w:tc>
          <w:tcPr>
            <w:tcW w:w="1142" w:type="dxa"/>
            <w:tcBorders>
              <w:top w:val="single" w:sz="4" w:space="0" w:color="000000"/>
              <w:left w:val="single" w:sz="4" w:space="0" w:color="000000"/>
              <w:bottom w:val="nil" w:sz="6" w:space="0" w:color="auto"/>
              <w:right w:val="single" w:sz="4" w:space="0" w:color="000000"/>
            </w:tcBorders>
            <w:shd w:val="clear" w:color="auto" w:fill="D9D9D9"/>
          </w:tcPr>
          <w:p>
            <w:pPr/>
          </w:p>
        </w:tc>
        <w:tc>
          <w:tcPr>
            <w:tcW w:w="1195"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385" w:hRule="exact"/>
        </w:trPr>
        <w:tc>
          <w:tcPr>
            <w:tcW w:w="182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51"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92"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34" w:type="dxa"/>
            <w:vMerge/>
            <w:tcBorders>
              <w:left w:val="single" w:sz="4" w:space="0" w:color="000000"/>
              <w:bottom w:val="single" w:sz="4" w:space="0" w:color="000000"/>
              <w:right w:val="single" w:sz="4" w:space="0" w:color="000000"/>
            </w:tcBorders>
            <w:shd w:val="clear" w:color="auto" w:fill="D9D9D9"/>
          </w:tcPr>
          <w:p>
            <w:pPr/>
          </w:p>
        </w:tc>
        <w:tc>
          <w:tcPr>
            <w:tcW w:w="1134"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21"/>
              <w:ind w:left="111"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1142"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9"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8"/>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8" w:type="dxa"/>
            <w:tcBorders>
              <w:top w:val="single" w:sz="52" w:space="0" w:color="D9D9D9"/>
              <w:left w:val="single" w:sz="13" w:space="0" w:color="D9D9D9"/>
              <w:bottom w:val="single" w:sz="4" w:space="0" w:color="000000"/>
              <w:right w:val="single" w:sz="4" w:space="0" w:color="000000"/>
            </w:tcBorders>
          </w:tcPr>
          <w:p>
            <w:pPr/>
          </w:p>
        </w:tc>
        <w:tc>
          <w:tcPr>
            <w:tcW w:w="851" w:type="dxa"/>
            <w:tcBorders>
              <w:top w:val="single" w:sz="52" w:space="0" w:color="D9D9D9"/>
              <w:left w:val="single" w:sz="4" w:space="0" w:color="000000"/>
              <w:bottom w:val="single" w:sz="4" w:space="0" w:color="000000"/>
              <w:right w:val="single" w:sz="4" w:space="0" w:color="000000"/>
            </w:tcBorders>
          </w:tcPr>
          <w:p>
            <w:pPr/>
          </w:p>
        </w:tc>
        <w:tc>
          <w:tcPr>
            <w:tcW w:w="992" w:type="dxa"/>
            <w:tcBorders>
              <w:top w:val="single" w:sz="52" w:space="0" w:color="D9D9D9"/>
              <w:left w:val="single" w:sz="4" w:space="0" w:color="000000"/>
              <w:bottom w:val="single" w:sz="4" w:space="0" w:color="000000"/>
              <w:right w:val="single" w:sz="9" w:space="0" w:color="D9D9D9"/>
            </w:tcBorders>
          </w:tcPr>
          <w:p>
            <w:pPr/>
          </w:p>
        </w:tc>
        <w:tc>
          <w:tcPr>
            <w:tcW w:w="1134" w:type="dxa"/>
            <w:tcBorders>
              <w:top w:val="single" w:sz="4" w:space="0" w:color="000000"/>
              <w:left w:val="single" w:sz="9" w:space="0" w:color="D9D9D9"/>
              <w:bottom w:val="single" w:sz="4" w:space="0" w:color="000000"/>
              <w:right w:val="single" w:sz="13" w:space="0" w:color="D9D9D9"/>
            </w:tcBorders>
          </w:tcPr>
          <w:p>
            <w:pPr/>
          </w:p>
        </w:tc>
        <w:tc>
          <w:tcPr>
            <w:tcW w:w="1134" w:type="dxa"/>
            <w:tcBorders>
              <w:top w:val="single" w:sz="52" w:space="0" w:color="D9D9D9"/>
              <w:left w:val="single" w:sz="13" w:space="0" w:color="D9D9D9"/>
              <w:bottom w:val="single" w:sz="4" w:space="0" w:color="000000"/>
              <w:right w:val="single" w:sz="4" w:space="0" w:color="000000"/>
            </w:tcBorders>
          </w:tcPr>
          <w:p>
            <w:pPr/>
          </w:p>
        </w:tc>
        <w:tc>
          <w:tcPr>
            <w:tcW w:w="1142" w:type="dxa"/>
            <w:tcBorders>
              <w:top w:val="single" w:sz="52" w:space="0" w:color="D9D9D9"/>
              <w:left w:val="single" w:sz="4" w:space="0" w:color="000000"/>
              <w:bottom w:val="single" w:sz="4" w:space="0" w:color="000000"/>
              <w:right w:val="single" w:sz="4" w:space="0" w:color="000000"/>
            </w:tcBorders>
          </w:tcPr>
          <w:p>
            <w:pPr/>
          </w:p>
        </w:tc>
        <w:tc>
          <w:tcPr>
            <w:tcW w:w="1195" w:type="dxa"/>
            <w:tcBorders>
              <w:top w:val="single" w:sz="52" w:space="0" w:color="D9D9D9"/>
              <w:left w:val="single" w:sz="4" w:space="0" w:color="000000"/>
              <w:bottom w:val="single" w:sz="4" w:space="0" w:color="000000"/>
              <w:right w:val="single" w:sz="4" w:space="0" w:color="000000"/>
            </w:tcBorders>
          </w:tcPr>
          <w:p>
            <w:pP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41,257,804.97</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84,743,370.98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5,684,595.25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5,137,550.91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136,823,322.11</w:t>
            </w: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449,688.67</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8,969,159.62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766,764.19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10,185,612.48</w:t>
            </w:r>
          </w:p>
        </w:tc>
      </w:tr>
      <w:tr>
        <w:trPr>
          <w:trHeight w:val="349"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449,688.67</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8,969,159.62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564,290.01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9,983,138.30</w:t>
            </w: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right="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5" w:lineRule="exact" w:before="2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202,474.18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202,474.18</w:t>
            </w: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2,830,188.60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2,830,188.60</w:t>
            </w:r>
          </w:p>
        </w:tc>
      </w:tr>
      <w:tr>
        <w:trPr>
          <w:trHeight w:val="349"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right="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2,830,188.60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2,830,188.60</w:t>
            </w: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41,707,493.64</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93,712,530.60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2,854,406.65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5,904,315.10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144,178,745.99</w:t>
            </w:r>
          </w:p>
        </w:tc>
      </w:tr>
      <w:tr>
        <w:trPr>
          <w:trHeight w:val="349"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5,855,217.92</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4,032,801.45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2,327,992.15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1,386,839.22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13,602,850.74</w:t>
            </w: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842,707.84</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9,344,431.70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379,242.50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660,328.44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11,226,710.48</w:t>
            </w:r>
          </w:p>
        </w:tc>
      </w:tr>
      <w:tr>
        <w:trPr>
          <w:trHeight w:val="349"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z w:val="18"/>
              </w:rPr>
              <w:t>842,707.84</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9,344,431.70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379,242.50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560,799.83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11,127,181.87</w:t>
            </w:r>
          </w:p>
        </w:tc>
      </w:tr>
      <w:tr>
        <w:trPr>
          <w:trHeight w:val="57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5" w:lineRule="exact" w:before="2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99,528.61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99,528.61</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1,061,320.95</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1,061,320.95</w:t>
            </w: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right="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1,061,320.95</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1,061,320.95</w:t>
            </w:r>
          </w:p>
        </w:tc>
      </w:tr>
      <w:tr>
        <w:trPr>
          <w:trHeight w:val="349"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8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6,697,925.76</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13,377,233.15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1,645,913.70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2,047,167.66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23,768,240.27</w:t>
            </w: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5" w:lineRule="exact" w:before="2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8" w:type="dxa"/>
            <w:tcBorders>
              <w:top w:val="single" w:sz="4" w:space="0" w:color="000000"/>
              <w:left w:val="single" w:sz="13" w:space="0" w:color="D9D9D9"/>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851"/>
        <w:gridCol w:w="992"/>
        <w:gridCol w:w="1134"/>
        <w:gridCol w:w="1134"/>
        <w:gridCol w:w="1142"/>
        <w:gridCol w:w="1195"/>
      </w:tblGrid>
      <w:tr>
        <w:trPr>
          <w:trHeight w:val="3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35,009,567.88</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80,335,297.45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1,208,492.95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3,857,147.44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 w:right="0"/>
              <w:jc w:val="left"/>
              <w:rPr>
                <w:rFonts w:ascii="Times New Roman" w:hAnsi="Times New Roman" w:cs="Times New Roman" w:eastAsia="Times New Roman" w:hint="default"/>
                <w:sz w:val="18"/>
                <w:szCs w:val="18"/>
              </w:rPr>
            </w:pPr>
            <w:r>
              <w:rPr>
                <w:rFonts w:ascii="Times New Roman"/>
                <w:sz w:val="18"/>
              </w:rPr>
              <w:t>120,410,505.72</w:t>
            </w:r>
          </w:p>
        </w:tc>
      </w:tr>
      <w:tr>
        <w:trPr>
          <w:trHeight w:val="350"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35,402,587.05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80,710,569.53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3,356,603.10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pacing w:val="-1"/>
                <w:sz w:val="18"/>
              </w:rPr>
              <w:t>3,750,711.69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 w:right="0"/>
              <w:jc w:val="left"/>
              <w:rPr>
                <w:rFonts w:ascii="Times New Roman" w:hAnsi="Times New Roman" w:cs="Times New Roman" w:eastAsia="Times New Roman" w:hint="default"/>
                <w:sz w:val="18"/>
                <w:szCs w:val="18"/>
              </w:rPr>
            </w:pPr>
            <w:r>
              <w:rPr>
                <w:rFonts w:ascii="Times New Roman"/>
                <w:sz w:val="18"/>
              </w:rPr>
              <w:t>123,220,471.37</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5、开发支出" w:id="266"/>
      <w:bookmarkEnd w:id="266"/>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7"/>
        <w:gridCol w:w="1003"/>
        <w:gridCol w:w="1134"/>
        <w:gridCol w:w="1134"/>
        <w:gridCol w:w="852"/>
        <w:gridCol w:w="1134"/>
        <w:gridCol w:w="850"/>
        <w:gridCol w:w="851"/>
        <w:gridCol w:w="1204"/>
      </w:tblGrid>
      <w:tr>
        <w:trPr>
          <w:trHeight w:val="370"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1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87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70"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2"/>
              <w:ind w:left="22" w:right="112"/>
              <w:jc w:val="left"/>
              <w:rPr>
                <w:rFonts w:ascii="宋体" w:hAnsi="宋体" w:cs="宋体" w:eastAsia="宋体" w:hint="default"/>
                <w:sz w:val="18"/>
                <w:szCs w:val="18"/>
              </w:rPr>
            </w:pPr>
            <w:r>
              <w:rPr>
                <w:rFonts w:ascii="宋体" w:hAnsi="宋体" w:cs="宋体" w:eastAsia="宋体" w:hint="default"/>
                <w:sz w:val="18"/>
                <w:szCs w:val="18"/>
              </w:rPr>
              <w:t>智慧财税服务互 联平台</w:t>
            </w:r>
          </w:p>
        </w:tc>
        <w:tc>
          <w:tcPr>
            <w:tcW w:w="1003"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29,702,994.54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1,010,339.39</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7,204,286.01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23,509,047.92</w:t>
            </w:r>
          </w:p>
        </w:tc>
      </w:tr>
      <w:tr>
        <w:trPr>
          <w:trHeight w:val="570"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2"/>
              <w:ind w:left="22" w:right="112"/>
              <w:jc w:val="left"/>
              <w:rPr>
                <w:rFonts w:ascii="宋体" w:hAnsi="宋体" w:cs="宋体" w:eastAsia="宋体" w:hint="default"/>
                <w:sz w:val="18"/>
                <w:szCs w:val="18"/>
              </w:rPr>
            </w:pPr>
            <w:r>
              <w:rPr>
                <w:rFonts w:ascii="宋体" w:hAnsi="宋体" w:cs="宋体" w:eastAsia="宋体" w:hint="default"/>
                <w:sz w:val="18"/>
                <w:szCs w:val="18"/>
              </w:rPr>
              <w:t>企业大数据创新 服务平台</w:t>
            </w:r>
          </w:p>
        </w:tc>
        <w:tc>
          <w:tcPr>
            <w:tcW w:w="1003"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3,768,091.79</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3,768,091.79</w:t>
            </w:r>
          </w:p>
        </w:tc>
      </w:tr>
      <w:tr>
        <w:trPr>
          <w:trHeight w:val="371" w:hRule="exact"/>
        </w:trPr>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03" w:type="dxa"/>
            <w:tcBorders>
              <w:top w:val="single" w:sz="4" w:space="0" w:color="000000"/>
              <w:left w:val="single" w:sz="13" w:space="0" w:color="D9D9D9"/>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33,471,086.33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1,010,339.39</w:t>
            </w:r>
          </w:p>
        </w:tc>
        <w:tc>
          <w:tcPr>
            <w:tcW w:w="8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7,204,286.01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27,277,139.71</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6、商誉" w:id="267"/>
      <w:bookmarkEnd w:id="267"/>
      <w:r>
        <w:rPr>
          <w:b w:val="0"/>
          <w:bCs w:val="0"/>
        </w:rPr>
      </w: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商誉账面原值" w:id="268"/>
      <w:bookmarkEnd w:id="26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276"/>
        <w:gridCol w:w="1417"/>
        <w:gridCol w:w="1276"/>
        <w:gridCol w:w="1257"/>
        <w:gridCol w:w="1367"/>
      </w:tblGrid>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方欣科技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1,518,423,769.33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1,518,423,769.33</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金财立信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71,998,929.76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71,998,929.76</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北京恒利</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86,430,489.31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86,430,489.31</w:t>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上海宝华威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3,676,692.55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3,676,692.55</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4,833,418.62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4,833,418.62</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15,475.33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15,475.33</w:t>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216,477.98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216,477.98</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上海丰东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853,922.04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853,922.04</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1,056,547.35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1,056,547.35</w:t>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1,525,399,610.65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162,106,111.62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1,687,505,722.27</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商誉减值准备" w:id="269"/>
      <w:bookmarkEnd w:id="26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76"/>
        <w:gridCol w:w="1357"/>
        <w:gridCol w:w="1367"/>
        <w:gridCol w:w="1367"/>
        <w:gridCol w:w="1367"/>
      </w:tblGrid>
      <w:tr>
        <w:trPr>
          <w:trHeight w:val="5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常州鑫润丰东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420,000.00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420,000.00</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420,000.00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420,000.00</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357" w:lineRule="auto" w:before="44"/>
        <w:ind w:left="514" w:right="1118"/>
        <w:jc w:val="left"/>
      </w:pPr>
      <w:r>
        <w:rPr/>
        <w:t>说明商誉减值测试过程、参数及商誉减值损失的确认方法： </w:t>
      </w:r>
      <w:r>
        <w:rPr>
          <w:spacing w:val="-2"/>
        </w:rPr>
        <w:t>本公司商誉的可收回金额按照互联网板块、热处理板块各个资产组的预计未来现金流量的现值确定。管理层根据最近期</w:t>
      </w:r>
    </w:p>
    <w:p>
      <w:pPr>
        <w:pStyle w:val="BodyText"/>
        <w:spacing w:line="237" w:lineRule="exact"/>
        <w:ind w:left="154" w:right="0"/>
        <w:jc w:val="left"/>
      </w:pPr>
      <w:r>
        <w:rPr/>
        <w:t>的财务预算假设编制未来</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w:t>
      </w:r>
      <w:r>
        <w:rPr/>
        <w:t>预算期</w:t>
      </w:r>
      <w:r>
        <w:rPr>
          <w:rFonts w:ascii="Times New Roman" w:hAnsi="Times New Roman" w:cs="Times New Roman" w:eastAsia="Times New Roman" w:hint="default"/>
        </w:rPr>
        <w:t>”)</w:t>
      </w:r>
      <w:r>
        <w:rPr/>
        <w:t>的现金流量预测，可收回金额所用的折现率根据不同板块资产组设定，互联网板块</w:t>
      </w:r>
    </w:p>
    <w:p>
      <w:pPr>
        <w:pStyle w:val="BodyText"/>
        <w:spacing w:line="240" w:lineRule="auto" w:before="64"/>
        <w:ind w:left="154" w:right="1118"/>
        <w:jc w:val="left"/>
      </w:pPr>
      <w:r>
        <w:rPr/>
        <w:t>折现率设定为</w:t>
      </w:r>
      <w:r>
        <w:rPr>
          <w:spacing w:val="-47"/>
        </w:rPr>
        <w:t> </w:t>
      </w:r>
      <w:r>
        <w:rPr>
          <w:rFonts w:ascii="Times New Roman" w:hAnsi="Times New Roman" w:cs="Times New Roman" w:eastAsia="Times New Roman" w:hint="default"/>
        </w:rPr>
        <w:t>14.2%</w:t>
      </w:r>
      <w:r>
        <w:rPr/>
        <w:t>、热处理板块折现率设定为</w:t>
      </w:r>
      <w:r>
        <w:rPr>
          <w:spacing w:val="-47"/>
        </w:rPr>
        <w:t> </w:t>
      </w:r>
      <w:r>
        <w:rPr>
          <w:rFonts w:ascii="Times New Roman" w:hAnsi="Times New Roman" w:cs="Times New Roman" w:eastAsia="Times New Roman" w:hint="default"/>
        </w:rPr>
        <w:t>12%</w:t>
      </w:r>
      <w:r>
        <w:rPr/>
        <w:t>。</w:t>
      </w:r>
    </w:p>
    <w:p>
      <w:pPr>
        <w:pStyle w:val="BodyText"/>
        <w:spacing w:line="240" w:lineRule="auto" w:before="103"/>
        <w:ind w:right="1118"/>
        <w:jc w:val="left"/>
        <w:rPr>
          <w:rFonts w:ascii="Times New Roman" w:hAnsi="Times New Roman" w:cs="Times New Roman" w:eastAsia="Times New Roman" w:hint="default"/>
        </w:rPr>
      </w:pPr>
      <w:r>
        <w:rPr/>
        <w:t>管理层认为，基于上述评估，截至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日止，热处理板块子公司常州鑫润丰东商誉发生减值，已于</w:t>
      </w:r>
      <w:r>
        <w:rPr>
          <w:spacing w:val="-46"/>
        </w:rPr>
        <w:t> </w:t>
      </w:r>
      <w:r>
        <w:rPr>
          <w:rFonts w:ascii="Times New Roman" w:hAnsi="Times New Roman" w:cs="Times New Roman" w:eastAsia="Times New Roman" w:hint="default"/>
        </w:rPr>
        <w:t>2016</w:t>
      </w:r>
    </w:p>
    <w:p>
      <w:pPr>
        <w:pStyle w:val="BodyText"/>
        <w:spacing w:line="415" w:lineRule="auto" w:before="64"/>
        <w:ind w:left="514" w:right="3556" w:hanging="360"/>
        <w:jc w:val="left"/>
      </w:pPr>
      <w:r>
        <w:rPr/>
        <w:t>年内计提减值准备</w:t>
      </w:r>
      <w:r>
        <w:rPr>
          <w:spacing w:val="-47"/>
        </w:rPr>
        <w:t> </w:t>
      </w:r>
      <w:r>
        <w:rPr>
          <w:rFonts w:ascii="Times New Roman" w:hAnsi="Times New Roman" w:cs="Times New Roman" w:eastAsia="Times New Roman" w:hint="default"/>
        </w:rPr>
        <w:t>420,000.00</w:t>
      </w:r>
      <w:r>
        <w:rPr>
          <w:rFonts w:ascii="Times New Roman" w:hAnsi="Times New Roman" w:cs="Times New Roman" w:eastAsia="Times New Roman" w:hint="default"/>
          <w:spacing w:val="-2"/>
        </w:rPr>
        <w:t> </w:t>
      </w:r>
      <w:r>
        <w:rPr/>
        <w:t>元。各资产组未发生新的商誉减值情况，无需计提减值准备。 其他说明</w:t>
      </w:r>
    </w:p>
    <w:p>
      <w:pPr>
        <w:pStyle w:val="BodyText"/>
        <w:spacing w:line="221" w:lineRule="exact"/>
        <w:ind w:left="514" w:right="1118"/>
        <w:jc w:val="left"/>
      </w:pPr>
      <w:r>
        <w:rPr/>
        <w:t>商誉形成的原因：</w:t>
      </w:r>
    </w:p>
    <w:p>
      <w:pPr>
        <w:pStyle w:val="BodyText"/>
        <w:spacing w:line="300" w:lineRule="auto" w:before="115"/>
        <w:ind w:left="154" w:right="1132" w:firstLine="360"/>
        <w:jc w:val="both"/>
      </w:pPr>
      <w:r>
        <w:rPr>
          <w:rFonts w:ascii="Times New Roman" w:hAnsi="Times New Roman" w:cs="Times New Roman" w:eastAsia="Times New Roman" w:hint="default"/>
        </w:rPr>
        <w:t>a.2016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3"/>
        </w:rPr>
        <w:t>月，公司以</w:t>
      </w:r>
      <w:r>
        <w:rPr>
          <w:spacing w:val="-51"/>
        </w:rPr>
        <w:t> </w:t>
      </w:r>
      <w:r>
        <w:rPr>
          <w:rFonts w:ascii="Times New Roman" w:hAnsi="Times New Roman" w:cs="Times New Roman" w:eastAsia="Times New Roman" w:hint="default"/>
        </w:rPr>
        <w:t>180,000</w:t>
      </w:r>
      <w:r>
        <w:rPr>
          <w:rFonts w:ascii="Times New Roman" w:hAnsi="Times New Roman" w:cs="Times New Roman" w:eastAsia="Times New Roman" w:hint="default"/>
          <w:spacing w:val="-6"/>
        </w:rPr>
        <w:t> </w:t>
      </w:r>
      <w:r>
        <w:rPr/>
        <w:t>万元定向增发收购方欣科技</w:t>
      </w:r>
      <w:r>
        <w:rPr>
          <w:spacing w:val="-51"/>
        </w:rPr>
        <w:t> </w:t>
      </w:r>
      <w:r>
        <w:rPr>
          <w:rFonts w:ascii="Times New Roman" w:hAnsi="Times New Roman" w:cs="Times New Roman" w:eastAsia="Times New Roman" w:hint="default"/>
        </w:rPr>
        <w:t>100%</w:t>
      </w:r>
      <w:r>
        <w:rPr/>
        <w:t>的股权，根据上海东洲资产评估有限公司出具的《企 业价值评估报告书》（沪东洲资评报字</w:t>
      </w:r>
      <w:r>
        <w:rPr>
          <w:rFonts w:ascii="Times New Roman" w:hAnsi="Times New Roman" w:cs="Times New Roman" w:eastAsia="Times New Roman" w:hint="default"/>
        </w:rPr>
        <w:t>[2016]</w:t>
      </w:r>
      <w:r>
        <w:rPr/>
        <w:t>第</w:t>
      </w:r>
      <w:r>
        <w:rPr>
          <w:spacing w:val="-46"/>
        </w:rPr>
        <w:t> </w:t>
      </w:r>
      <w:r>
        <w:rPr>
          <w:rFonts w:ascii="Times New Roman" w:hAnsi="Times New Roman" w:cs="Times New Roman" w:eastAsia="Times New Roman" w:hint="default"/>
        </w:rPr>
        <w:t>0067053 </w:t>
      </w:r>
      <w:r>
        <w:rPr/>
        <w:t>号），截至评估基准日</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日，方欣科技股东全部权</w:t>
      </w:r>
    </w:p>
    <w:p>
      <w:pPr>
        <w:pStyle w:val="BodyText"/>
        <w:spacing w:line="240" w:lineRule="auto" w:before="13"/>
        <w:ind w:left="154" w:right="1118"/>
        <w:jc w:val="left"/>
      </w:pPr>
      <w:r>
        <w:rPr/>
        <w:t>益价值为</w:t>
      </w:r>
      <w:r>
        <w:rPr>
          <w:spacing w:val="-47"/>
        </w:rPr>
        <w:t> </w:t>
      </w:r>
      <w:r>
        <w:rPr>
          <w:rFonts w:ascii="Times New Roman" w:hAnsi="Times New Roman" w:cs="Times New Roman" w:eastAsia="Times New Roman" w:hint="default"/>
        </w:rPr>
        <w:t>180,100</w:t>
      </w:r>
      <w:r>
        <w:rPr>
          <w:rFonts w:ascii="Times New Roman" w:hAnsi="Times New Roman" w:cs="Times New Roman" w:eastAsia="Times New Roman" w:hint="default"/>
          <w:spacing w:val="-2"/>
        </w:rPr>
        <w:t> </w:t>
      </w:r>
      <w:r>
        <w:rPr/>
        <w:t>万元，方欣科技合并报表归属于母公司的所有者权益账面值</w:t>
      </w:r>
      <w:r>
        <w:rPr>
          <w:spacing w:val="-47"/>
        </w:rPr>
        <w:t> </w:t>
      </w:r>
      <w:r>
        <w:rPr>
          <w:rFonts w:ascii="Times New Roman" w:hAnsi="Times New Roman" w:cs="Times New Roman" w:eastAsia="Times New Roman" w:hint="default"/>
        </w:rPr>
        <w:t>14,530.65</w:t>
      </w:r>
      <w:r>
        <w:rPr>
          <w:rFonts w:ascii="Times New Roman" w:hAnsi="Times New Roman" w:cs="Times New Roman" w:eastAsia="Times New Roman" w:hint="default"/>
          <w:spacing w:val="-2"/>
        </w:rPr>
        <w:t> </w:t>
      </w:r>
      <w:r>
        <w:rPr/>
        <w:t>万元，其中无形资产</w:t>
      </w:r>
      <w:r>
        <w:rPr>
          <w:rFonts w:ascii="Times New Roman" w:hAnsi="Times New Roman" w:cs="Times New Roman" w:eastAsia="Times New Roman" w:hint="default"/>
        </w:rPr>
        <w:t>—</w:t>
      </w:r>
      <w:r>
        <w:rPr/>
        <w:t>软件著作权</w:t>
      </w:r>
    </w:p>
    <w:p>
      <w:pPr>
        <w:pStyle w:val="BodyText"/>
        <w:spacing w:line="240" w:lineRule="auto" w:before="63"/>
        <w:ind w:left="153" w:right="0"/>
        <w:jc w:val="left"/>
      </w:pPr>
      <w:r>
        <w:rPr/>
        <w:t>增值</w:t>
      </w:r>
      <w:r>
        <w:rPr>
          <w:spacing w:val="-47"/>
        </w:rPr>
        <w:t> </w:t>
      </w:r>
      <w:r>
        <w:rPr>
          <w:rFonts w:ascii="Times New Roman" w:hAnsi="Times New Roman" w:cs="Times New Roman" w:eastAsia="Times New Roman" w:hint="default"/>
        </w:rPr>
        <w:t>7,900</w:t>
      </w:r>
      <w:r>
        <w:rPr>
          <w:rFonts w:ascii="Times New Roman" w:hAnsi="Times New Roman" w:cs="Times New Roman" w:eastAsia="Times New Roman" w:hint="default"/>
          <w:spacing w:val="-1"/>
        </w:rPr>
        <w:t> </w:t>
      </w:r>
      <w:r>
        <w:rPr/>
        <w:t>万元。本公司以收购完成日方欣科技净资产并考虑无形资产评估增值后的金额</w:t>
      </w:r>
      <w:r>
        <w:rPr>
          <w:spacing w:val="-46"/>
        </w:rPr>
        <w:t> </w:t>
      </w:r>
      <w:r>
        <w:rPr>
          <w:rFonts w:ascii="Times New Roman" w:hAnsi="Times New Roman" w:cs="Times New Roman" w:eastAsia="Times New Roman" w:hint="default"/>
        </w:rPr>
        <w:t>281,576,230.67</w:t>
      </w:r>
      <w:r>
        <w:rPr>
          <w:rFonts w:ascii="Times New Roman" w:hAnsi="Times New Roman" w:cs="Times New Roman" w:eastAsia="Times New Roman" w:hint="default"/>
          <w:spacing w:val="-1"/>
        </w:rPr>
        <w:t> </w:t>
      </w:r>
      <w:r>
        <w:rPr/>
        <w:t>为按持股比例享有</w:t>
      </w:r>
    </w:p>
    <w:p>
      <w:pPr>
        <w:pStyle w:val="BodyText"/>
        <w:spacing w:line="240" w:lineRule="auto" w:before="64"/>
        <w:ind w:left="153" w:right="1118"/>
        <w:jc w:val="left"/>
      </w:pPr>
      <w:r>
        <w:rPr/>
        <w:t>的可辨认净资产公允价值，由此形成溢价差额</w:t>
      </w:r>
      <w:r>
        <w:rPr>
          <w:spacing w:val="-47"/>
        </w:rPr>
        <w:t> </w:t>
      </w:r>
      <w:r>
        <w:rPr>
          <w:rFonts w:ascii="Times New Roman" w:hAnsi="Times New Roman" w:cs="Times New Roman" w:eastAsia="Times New Roman" w:hint="default"/>
        </w:rPr>
        <w:t>1,518,423,769.33</w:t>
      </w:r>
      <w:r>
        <w:rPr>
          <w:rFonts w:ascii="Times New Roman" w:hAnsi="Times New Roman" w:cs="Times New Roman" w:eastAsia="Times New Roman" w:hint="default"/>
          <w:spacing w:val="-1"/>
        </w:rPr>
        <w:t> </w:t>
      </w:r>
      <w:r>
        <w:rPr/>
        <w:t>元。</w:t>
      </w:r>
    </w:p>
    <w:p>
      <w:pPr>
        <w:pStyle w:val="BodyText"/>
        <w:spacing w:line="300" w:lineRule="auto" w:before="102"/>
        <w:ind w:left="153" w:right="1040" w:firstLine="360"/>
        <w:jc w:val="left"/>
      </w:pPr>
      <w:r>
        <w:rPr>
          <w:rFonts w:ascii="Times New Roman" w:hAnsi="Times New Roman" w:cs="Times New Roman" w:eastAsia="Times New Roman" w:hint="default"/>
        </w:rPr>
        <w:t>b.2017</w:t>
      </w:r>
      <w:r>
        <w:rPr>
          <w:rFonts w:ascii="Times New Roman" w:hAnsi="Times New Roman" w:cs="Times New Roman" w:eastAsia="Times New Roman" w:hint="default"/>
          <w:spacing w:val="7"/>
        </w:rPr>
        <w:t> </w:t>
      </w:r>
      <w:r>
        <w:rPr/>
        <w:t>年</w:t>
      </w:r>
      <w:r>
        <w:rPr>
          <w:spacing w:val="-39"/>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月，公司子公司方欣科技出资</w:t>
      </w:r>
      <w:r>
        <w:rPr>
          <w:spacing w:val="-36"/>
        </w:rPr>
        <w:t> </w:t>
      </w:r>
      <w:r>
        <w:rPr>
          <w:rFonts w:ascii="Times New Roman" w:hAnsi="Times New Roman" w:cs="Times New Roman" w:eastAsia="Times New Roman" w:hint="default"/>
        </w:rPr>
        <w:t>76,500,000.00</w:t>
      </w:r>
      <w:r>
        <w:rPr>
          <w:rFonts w:ascii="Times New Roman" w:hAnsi="Times New Roman" w:cs="Times New Roman" w:eastAsia="Times New Roman" w:hint="default"/>
          <w:spacing w:val="10"/>
        </w:rPr>
        <w:t> </w:t>
      </w:r>
      <w:r>
        <w:rPr/>
        <w:t>元收购浙江金财立信财务管理有限公司（以下简称金财立信）</w:t>
      </w:r>
      <w:r>
        <w:rPr>
          <w:spacing w:val="1"/>
        </w:rPr>
        <w:t> </w:t>
      </w:r>
      <w:r>
        <w:rPr>
          <w:rFonts w:ascii="Times New Roman" w:hAnsi="Times New Roman" w:cs="Times New Roman" w:eastAsia="Times New Roman" w:hint="default"/>
        </w:rPr>
        <w:t>51%</w:t>
      </w:r>
      <w:r>
        <w:rPr/>
        <w:t>的股权。根据北京中企华资产评估有限责任公司出具的《方欣科技有限公司拟购买股权涉及的浙江金财立信财务管理有 限公司股东全部权益价值项目估值报告》（中企华估字（</w:t>
      </w:r>
      <w:r>
        <w:rPr>
          <w:rFonts w:ascii="Times New Roman" w:hAnsi="Times New Roman" w:cs="Times New Roman" w:eastAsia="Times New Roman" w:hint="default"/>
        </w:rPr>
        <w:t>2017</w:t>
      </w:r>
      <w:r>
        <w:rPr/>
        <w:t>）第</w:t>
      </w:r>
      <w:r>
        <w:rPr>
          <w:spacing w:val="-53"/>
        </w:rPr>
        <w:t> </w:t>
      </w:r>
      <w:r>
        <w:rPr>
          <w:rFonts w:ascii="Times New Roman" w:hAnsi="Times New Roman" w:cs="Times New Roman" w:eastAsia="Times New Roman" w:hint="default"/>
        </w:rPr>
        <w:t>4533</w:t>
      </w:r>
      <w:r>
        <w:rPr>
          <w:rFonts w:ascii="Times New Roman" w:hAnsi="Times New Roman" w:cs="Times New Roman" w:eastAsia="Times New Roman" w:hint="default"/>
          <w:spacing w:val="-8"/>
        </w:rPr>
        <w:t> </w:t>
      </w:r>
      <w:r>
        <w:rPr>
          <w:spacing w:val="-6"/>
        </w:rPr>
        <w:t>号），截止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日，金财立信股东全部</w:t>
      </w:r>
    </w:p>
    <w:p>
      <w:pPr>
        <w:pStyle w:val="BodyText"/>
        <w:spacing w:line="240" w:lineRule="auto" w:before="13"/>
        <w:ind w:left="153" w:right="1118"/>
        <w:jc w:val="left"/>
      </w:pPr>
      <w:r>
        <w:rPr/>
        <w:t>价值为</w:t>
      </w:r>
      <w:r>
        <w:rPr>
          <w:spacing w:val="-48"/>
        </w:rPr>
        <w:t> </w:t>
      </w:r>
      <w:r>
        <w:rPr>
          <w:rFonts w:ascii="Times New Roman" w:hAnsi="Times New Roman" w:cs="Times New Roman" w:eastAsia="Times New Roman" w:hint="default"/>
        </w:rPr>
        <w:t>15,208.52</w:t>
      </w:r>
      <w:r>
        <w:rPr>
          <w:rFonts w:ascii="Times New Roman" w:hAnsi="Times New Roman" w:cs="Times New Roman" w:eastAsia="Times New Roman" w:hint="default"/>
          <w:spacing w:val="-3"/>
        </w:rPr>
        <w:t> </w:t>
      </w:r>
      <w:r>
        <w:rPr/>
        <w:t>万元。截止收购完成日</w:t>
      </w:r>
      <w:r>
        <w:rPr>
          <w:rFonts w:ascii="Times New Roman" w:hAnsi="Times New Roman" w:cs="Times New Roman" w:eastAsia="Times New Roman" w:hint="default"/>
        </w:rPr>
        <w:t>,</w:t>
      </w:r>
      <w:r>
        <w:rPr/>
        <w:t>按持股比例享有的可辨认净资产公允价值为</w:t>
      </w:r>
      <w:r>
        <w:rPr>
          <w:spacing w:val="-48"/>
        </w:rPr>
        <w:t> </w:t>
      </w:r>
      <w:r>
        <w:rPr>
          <w:rFonts w:ascii="Times New Roman" w:hAnsi="Times New Roman" w:cs="Times New Roman" w:eastAsia="Times New Roman" w:hint="default"/>
        </w:rPr>
        <w:t>4,501,070.24</w:t>
      </w:r>
      <w:r>
        <w:rPr>
          <w:rFonts w:ascii="Times New Roman" w:hAnsi="Times New Roman" w:cs="Times New Roman" w:eastAsia="Times New Roman" w:hint="default"/>
          <w:spacing w:val="-2"/>
        </w:rPr>
        <w:t> </w:t>
      </w:r>
      <w:r>
        <w:rPr/>
        <w:t>元，由此形成溢价差额</w:t>
      </w:r>
    </w:p>
    <w:p>
      <w:pPr>
        <w:pStyle w:val="BodyText"/>
        <w:spacing w:line="240" w:lineRule="auto" w:before="64"/>
        <w:ind w:left="153" w:right="1118"/>
        <w:jc w:val="left"/>
      </w:pPr>
      <w:r>
        <w:rPr>
          <w:rFonts w:ascii="Times New Roman" w:hAnsi="Times New Roman" w:cs="Times New Roman" w:eastAsia="Times New Roman" w:hint="default"/>
        </w:rPr>
        <w:t>71,998,929.76</w:t>
      </w:r>
      <w:r>
        <w:rPr>
          <w:rFonts w:ascii="Times New Roman" w:hAnsi="Times New Roman" w:cs="Times New Roman" w:eastAsia="Times New Roman" w:hint="default"/>
          <w:spacing w:val="-2"/>
        </w:rPr>
        <w:t> </w:t>
      </w:r>
      <w:r>
        <w:rPr/>
        <w:t>元。</w:t>
      </w:r>
    </w:p>
    <w:p>
      <w:pPr>
        <w:pStyle w:val="BodyText"/>
        <w:spacing w:line="309" w:lineRule="auto" w:before="101"/>
        <w:ind w:left="153" w:right="1130" w:firstLine="360"/>
        <w:jc w:val="both"/>
        <w:rPr>
          <w:rFonts w:ascii="Times New Roman" w:hAnsi="Times New Roman" w:cs="Times New Roman" w:eastAsia="Times New Roman" w:hint="default"/>
        </w:rPr>
      </w:pPr>
      <w:r>
        <w:rPr>
          <w:rFonts w:ascii="Times New Roman" w:hAnsi="Times New Roman" w:cs="Times New Roman" w:eastAsia="Times New Roman" w:hint="default"/>
        </w:rPr>
        <w:t>c.2007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月，公司子公司方欣科技出资</w:t>
      </w:r>
      <w:r>
        <w:rPr>
          <w:spacing w:val="-47"/>
        </w:rPr>
        <w:t> </w:t>
      </w:r>
      <w:r>
        <w:rPr>
          <w:rFonts w:ascii="Times New Roman" w:hAnsi="Times New Roman" w:cs="Times New Roman" w:eastAsia="Times New Roman" w:hint="default"/>
        </w:rPr>
        <w:t>91,000,000.00</w:t>
      </w:r>
      <w:r>
        <w:rPr>
          <w:rFonts w:ascii="Times New Roman" w:hAnsi="Times New Roman" w:cs="Times New Roman" w:eastAsia="Times New Roman" w:hint="default"/>
          <w:spacing w:val="-1"/>
        </w:rPr>
        <w:t> </w:t>
      </w:r>
      <w:r>
        <w:rPr/>
        <w:t>收购北京方欣恒利科技有限公司（以下简称方欣恒利）</w:t>
      </w:r>
      <w:r>
        <w:rPr>
          <w:rFonts w:ascii="Times New Roman" w:hAnsi="Times New Roman" w:cs="Times New Roman" w:eastAsia="Times New Roman" w:hint="default"/>
        </w:rPr>
        <w:t>70%</w:t>
      </w:r>
      <w:r>
        <w:rPr/>
        <w:t>的 </w:t>
      </w:r>
      <w:r>
        <w:rPr>
          <w:spacing w:val="-2"/>
        </w:rPr>
        <w:t>股权。根据北京中企华资产评估有限公司出具的《方欣科技有限公司拟购买股权涉及的北京中联恒利科技有限公司股东全部</w:t>
      </w:r>
      <w:r>
        <w:rPr>
          <w:spacing w:val="-64"/>
        </w:rPr>
        <w:t> </w:t>
      </w:r>
      <w:r>
        <w:rPr>
          <w:spacing w:val="-64"/>
        </w:rPr>
      </w:r>
      <w:r>
        <w:rPr/>
        <w:t>权益价值项目估值报告》（中企华估字（</w:t>
      </w:r>
      <w:r>
        <w:rPr>
          <w:rFonts w:ascii="Times New Roman" w:hAnsi="Times New Roman" w:cs="Times New Roman" w:eastAsia="Times New Roman" w:hint="default"/>
        </w:rPr>
        <w:t>2017</w:t>
      </w:r>
      <w:r>
        <w:rPr/>
        <w:t>）第</w:t>
      </w:r>
      <w:r>
        <w:rPr>
          <w:spacing w:val="-50"/>
        </w:rPr>
        <w:t> </w:t>
      </w:r>
      <w:r>
        <w:rPr>
          <w:rFonts w:ascii="Times New Roman" w:hAnsi="Times New Roman" w:cs="Times New Roman" w:eastAsia="Times New Roman" w:hint="default"/>
        </w:rPr>
        <w:t>4556</w:t>
      </w:r>
      <w:r>
        <w:rPr>
          <w:rFonts w:ascii="Times New Roman" w:hAnsi="Times New Roman" w:cs="Times New Roman" w:eastAsia="Times New Roman" w:hint="default"/>
          <w:spacing w:val="-5"/>
        </w:rPr>
        <w:t> </w:t>
      </w:r>
      <w:r>
        <w:rPr/>
        <w:t>号），截止</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日，方欣恒利股东全部价值为</w:t>
      </w:r>
      <w:r>
        <w:rPr>
          <w:spacing w:val="-50"/>
        </w:rPr>
        <w:t> </w:t>
      </w:r>
      <w:r>
        <w:rPr>
          <w:rFonts w:ascii="Times New Roman" w:hAnsi="Times New Roman" w:cs="Times New Roman" w:eastAsia="Times New Roman" w:hint="default"/>
        </w:rPr>
        <w:t>13,097.43</w:t>
      </w:r>
    </w:p>
    <w:p>
      <w:pPr>
        <w:pStyle w:val="BodyText"/>
        <w:spacing w:line="240" w:lineRule="auto" w:before="5"/>
        <w:ind w:left="154" w:right="1118"/>
        <w:jc w:val="left"/>
      </w:pPr>
      <w:r>
        <w:rPr/>
        <w:t>万元。截止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日，收购完成日按持股比例享有的方欣恒利可辨认净资产公允价值为</w:t>
      </w:r>
      <w:r>
        <w:rPr>
          <w:spacing w:val="-46"/>
        </w:rPr>
        <w:t> </w:t>
      </w:r>
      <w:r>
        <w:rPr>
          <w:rFonts w:ascii="Times New Roman" w:hAnsi="Times New Roman" w:cs="Times New Roman" w:eastAsia="Times New Roman" w:hint="default"/>
        </w:rPr>
        <w:t>4,569,510.69</w:t>
      </w:r>
      <w:r>
        <w:rPr>
          <w:rFonts w:ascii="Times New Roman" w:hAnsi="Times New Roman" w:cs="Times New Roman" w:eastAsia="Times New Roman" w:hint="default"/>
          <w:spacing w:val="-1"/>
        </w:rPr>
        <w:t> </w:t>
      </w:r>
      <w:r>
        <w:rPr/>
        <w:t>元，由此形</w:t>
      </w:r>
    </w:p>
    <w:p>
      <w:pPr>
        <w:pStyle w:val="BodyText"/>
        <w:spacing w:line="240" w:lineRule="auto" w:before="64"/>
        <w:ind w:left="154" w:right="1118"/>
        <w:jc w:val="left"/>
      </w:pPr>
      <w:r>
        <w:rPr/>
        <w:t>成溢价差额</w:t>
      </w:r>
      <w:r>
        <w:rPr>
          <w:spacing w:val="-46"/>
        </w:rPr>
        <w:t> </w:t>
      </w:r>
      <w:r>
        <w:rPr>
          <w:rFonts w:ascii="Times New Roman" w:hAnsi="Times New Roman" w:cs="Times New Roman" w:eastAsia="Times New Roman" w:hint="default"/>
        </w:rPr>
        <w:t>86,430,489.31 </w:t>
      </w:r>
      <w:r>
        <w:rPr/>
        <w:t>元。</w:t>
      </w:r>
    </w:p>
    <w:p>
      <w:pPr>
        <w:pStyle w:val="BodyText"/>
        <w:spacing w:line="302" w:lineRule="auto" w:before="101"/>
        <w:ind w:left="153" w:right="1170" w:firstLine="360"/>
        <w:jc w:val="both"/>
      </w:pPr>
      <w:r>
        <w:rPr>
          <w:rFonts w:ascii="Times New Roman" w:hAnsi="Times New Roman" w:cs="Times New Roman" w:eastAsia="Times New Roman" w:hint="default"/>
        </w:rPr>
        <w:t>d.2017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月，公司出资</w:t>
      </w:r>
      <w:r>
        <w:rPr>
          <w:spacing w:val="-47"/>
        </w:rPr>
        <w:t> </w:t>
      </w:r>
      <w:r>
        <w:rPr>
          <w:rFonts w:ascii="Times New Roman" w:hAnsi="Times New Roman" w:cs="Times New Roman" w:eastAsia="Times New Roman" w:hint="default"/>
        </w:rPr>
        <w:t>27,940,000.00</w:t>
      </w:r>
      <w:r>
        <w:rPr>
          <w:rFonts w:ascii="Times New Roman" w:hAnsi="Times New Roman" w:cs="Times New Roman" w:eastAsia="Times New Roman" w:hint="default"/>
          <w:spacing w:val="-1"/>
        </w:rPr>
        <w:t> </w:t>
      </w:r>
      <w:r>
        <w:rPr/>
        <w:t>元收购上海宝华威热处理设备有限公司</w:t>
      </w:r>
      <w:r>
        <w:rPr>
          <w:spacing w:val="-47"/>
        </w:rPr>
        <w:t> </w:t>
      </w:r>
      <w:r>
        <w:rPr>
          <w:rFonts w:ascii="Times New Roman" w:hAnsi="Times New Roman" w:cs="Times New Roman" w:eastAsia="Times New Roman" w:hint="default"/>
        </w:rPr>
        <w:t>85%</w:t>
      </w:r>
      <w:r>
        <w:rPr/>
        <w:t>的股权。按持股比例享有的可辨认 净资产公允价值为</w:t>
      </w:r>
      <w:r>
        <w:rPr>
          <w:spacing w:val="-47"/>
        </w:rPr>
        <w:t> </w:t>
      </w:r>
      <w:r>
        <w:rPr>
          <w:rFonts w:ascii="Times New Roman" w:hAnsi="Times New Roman" w:cs="Times New Roman" w:eastAsia="Times New Roman" w:hint="default"/>
        </w:rPr>
        <w:t>24,263,307.45</w:t>
      </w:r>
      <w:r>
        <w:rPr>
          <w:rFonts w:ascii="Times New Roman" w:hAnsi="Times New Roman" w:cs="Times New Roman" w:eastAsia="Times New Roman" w:hint="default"/>
          <w:spacing w:val="-1"/>
        </w:rPr>
        <w:t> </w:t>
      </w:r>
      <w:r>
        <w:rPr/>
        <w:t>元，由此形成溢价差额</w:t>
      </w:r>
      <w:r>
        <w:rPr>
          <w:spacing w:val="-47"/>
        </w:rPr>
        <w:t> </w:t>
      </w:r>
      <w:r>
        <w:rPr>
          <w:rFonts w:ascii="Times New Roman" w:hAnsi="Times New Roman" w:cs="Times New Roman" w:eastAsia="Times New Roman" w:hint="default"/>
        </w:rPr>
        <w:t>3,676,692.55</w:t>
      </w:r>
      <w:r>
        <w:rPr>
          <w:rFonts w:ascii="Times New Roman" w:hAnsi="Times New Roman" w:cs="Times New Roman" w:eastAsia="Times New Roman" w:hint="default"/>
          <w:spacing w:val="-1"/>
        </w:rPr>
        <w:t> </w:t>
      </w:r>
      <w:r>
        <w:rPr/>
        <w:t>元。</w:t>
      </w:r>
    </w:p>
    <w:p>
      <w:pPr>
        <w:pStyle w:val="BodyText"/>
        <w:spacing w:line="240" w:lineRule="auto" w:before="50"/>
        <w:ind w:right="0"/>
        <w:jc w:val="left"/>
      </w:pPr>
      <w:r>
        <w:rPr>
          <w:rFonts w:ascii="Times New Roman" w:hAnsi="Times New Roman" w:cs="Times New Roman" w:eastAsia="Times New Roman" w:hint="default"/>
        </w:rPr>
        <w:t>e.2007</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spacing w:val="-2"/>
        </w:rPr>
        <w:t>月</w:t>
      </w:r>
      <w:r>
        <w:rPr>
          <w:spacing w:val="-90"/>
        </w:rPr>
        <w:t>，</w:t>
      </w:r>
      <w:r>
        <w:rPr/>
        <w:t>公司出资</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8</w:t>
      </w:r>
      <w:r>
        <w:rPr>
          <w:rFonts w:ascii="Times New Roman" w:hAnsi="Times New Roman" w:cs="Times New Roman" w:eastAsia="Times New Roman" w:hint="default"/>
        </w:rPr>
        <w:t>00,000.00</w:t>
      </w:r>
      <w:r>
        <w:rPr>
          <w:rFonts w:ascii="Times New Roman" w:hAnsi="Times New Roman" w:cs="Times New Roman" w:eastAsia="Times New Roman" w:hint="default"/>
          <w:spacing w:val="-5"/>
        </w:rPr>
        <w:t> </w:t>
      </w:r>
      <w:r>
        <w:rPr/>
        <w:t>元</w:t>
      </w:r>
      <w:r>
        <w:rPr>
          <w:spacing w:val="-2"/>
        </w:rPr>
        <w:t>收</w:t>
      </w:r>
      <w:r>
        <w:rPr/>
        <w:t>购南京顺捷热处理加工有限公</w:t>
      </w:r>
      <w:r>
        <w:rPr>
          <w:spacing w:val="-90"/>
        </w:rPr>
        <w:t>司</w:t>
      </w:r>
      <w:r>
        <w:rPr/>
        <w:t>（后更名为南京丰东热处理工程有限公司）</w:t>
      </w:r>
    </w:p>
    <w:p>
      <w:pPr>
        <w:pStyle w:val="BodyText"/>
        <w:spacing w:line="240" w:lineRule="auto" w:before="64"/>
        <w:ind w:left="153" w:right="1118"/>
        <w:jc w:val="left"/>
      </w:pPr>
      <w:r>
        <w:rPr>
          <w:rFonts w:ascii="Times New Roman" w:hAnsi="Times New Roman" w:cs="Times New Roman" w:eastAsia="Times New Roman" w:hint="default"/>
        </w:rPr>
        <w:t>80%</w:t>
      </w:r>
      <w:r>
        <w:rPr/>
        <w:t>的股权，按持股比例享有的可辨认净资产公允价值为</w:t>
      </w:r>
      <w:r>
        <w:rPr>
          <w:spacing w:val="-47"/>
        </w:rPr>
        <w:t> </w:t>
      </w:r>
      <w:r>
        <w:rPr>
          <w:rFonts w:ascii="Times New Roman" w:hAnsi="Times New Roman" w:cs="Times New Roman" w:eastAsia="Times New Roman" w:hint="default"/>
        </w:rPr>
        <w:t>5,966,581.38</w:t>
      </w:r>
      <w:r>
        <w:rPr>
          <w:rFonts w:ascii="Times New Roman" w:hAnsi="Times New Roman" w:cs="Times New Roman" w:eastAsia="Times New Roman" w:hint="default"/>
          <w:spacing w:val="-3"/>
        </w:rPr>
        <w:t> </w:t>
      </w:r>
      <w:r>
        <w:rPr/>
        <w:t>元，由此形成溢价差额</w:t>
      </w:r>
      <w:r>
        <w:rPr>
          <w:spacing w:val="-47"/>
        </w:rPr>
        <w:t> </w:t>
      </w:r>
      <w:r>
        <w:rPr>
          <w:rFonts w:ascii="Times New Roman" w:hAnsi="Times New Roman" w:cs="Times New Roman" w:eastAsia="Times New Roman" w:hint="default"/>
        </w:rPr>
        <w:t>4,833,418.62</w:t>
      </w:r>
      <w:r>
        <w:rPr>
          <w:rFonts w:ascii="Times New Roman" w:hAnsi="Times New Roman" w:cs="Times New Roman" w:eastAsia="Times New Roman" w:hint="default"/>
          <w:spacing w:val="-2"/>
        </w:rPr>
        <w:t> </w:t>
      </w:r>
      <w:r>
        <w:rPr/>
        <w:t>元。</w:t>
      </w:r>
    </w:p>
    <w:p>
      <w:pPr>
        <w:pStyle w:val="BodyText"/>
        <w:spacing w:line="300" w:lineRule="auto" w:before="101"/>
        <w:ind w:left="153" w:right="1215" w:firstLine="360"/>
        <w:jc w:val="both"/>
      </w:pPr>
      <w:r>
        <w:rPr>
          <w:rFonts w:ascii="Times New Roman" w:hAnsi="Times New Roman" w:cs="Times New Roman" w:eastAsia="Times New Roman" w:hint="default"/>
        </w:rPr>
        <w:t>f.2007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月及</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月，公司分期出资</w:t>
      </w:r>
      <w:r>
        <w:rPr>
          <w:spacing w:val="-47"/>
        </w:rPr>
        <w:t> </w:t>
      </w:r>
      <w:r>
        <w:rPr>
          <w:rFonts w:ascii="Times New Roman" w:hAnsi="Times New Roman" w:cs="Times New Roman" w:eastAsia="Times New Roman" w:hint="default"/>
        </w:rPr>
        <w:t>4,856,800.00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7,200,000.00</w:t>
      </w:r>
      <w:r>
        <w:rPr>
          <w:rFonts w:ascii="Times New Roman" w:hAnsi="Times New Roman" w:cs="Times New Roman" w:eastAsia="Times New Roman" w:hint="default"/>
          <w:spacing w:val="-1"/>
        </w:rPr>
        <w:t> </w:t>
      </w:r>
      <w:r>
        <w:rPr/>
        <w:t>元与</w:t>
      </w:r>
      <w:r>
        <w:rPr>
          <w:spacing w:val="-47"/>
        </w:rPr>
        <w:t> </w:t>
      </w:r>
      <w:r>
        <w:rPr>
          <w:rFonts w:ascii="Times New Roman" w:hAnsi="Times New Roman" w:cs="Times New Roman" w:eastAsia="Times New Roman" w:hint="default"/>
        </w:rPr>
        <w:t>6,216,000.00</w:t>
      </w:r>
      <w:r>
        <w:rPr>
          <w:rFonts w:ascii="Times New Roman" w:hAnsi="Times New Roman" w:cs="Times New Roman" w:eastAsia="Times New Roman" w:hint="default"/>
          <w:spacing w:val="-1"/>
        </w:rPr>
        <w:t> </w:t>
      </w:r>
      <w:r>
        <w:rPr/>
        <w:t>元，设立</w:t>
      </w:r>
      <w:r>
        <w:rPr>
          <w:w w:val="99"/>
        </w:rPr>
        <w:t> </w:t>
      </w:r>
      <w:r>
        <w:rPr/>
        <w:t>天津丰东晨旭金属科技有限公司（后更名为天津丰东热处理有限公司），持股比例</w:t>
      </w:r>
      <w:r>
        <w:rPr>
          <w:spacing w:val="-46"/>
        </w:rPr>
        <w:t> </w:t>
      </w:r>
      <w:r>
        <w:rPr>
          <w:rFonts w:ascii="Times New Roman" w:hAnsi="Times New Roman" w:cs="Times New Roman" w:eastAsia="Times New Roman" w:hint="default"/>
        </w:rPr>
        <w:t>65%</w:t>
      </w:r>
      <w:r>
        <w:rPr/>
        <w:t>，按持股比例享有的可辨认净资产</w:t>
      </w:r>
      <w:r>
        <w:rPr>
          <w:w w:val="99"/>
        </w:rPr>
        <w:t> </w:t>
      </w:r>
      <w:r>
        <w:rPr/>
        <w:t>公允价值为</w:t>
      </w:r>
      <w:r>
        <w:rPr>
          <w:spacing w:val="-47"/>
        </w:rPr>
        <w:t> </w:t>
      </w:r>
      <w:r>
        <w:rPr>
          <w:rFonts w:ascii="Times New Roman" w:hAnsi="Times New Roman" w:cs="Times New Roman" w:eastAsia="Times New Roman" w:hint="default"/>
        </w:rPr>
        <w:t>18,257,324.67</w:t>
      </w:r>
      <w:r>
        <w:rPr>
          <w:rFonts w:ascii="Times New Roman" w:hAnsi="Times New Roman" w:cs="Times New Roman" w:eastAsia="Times New Roman" w:hint="default"/>
          <w:spacing w:val="-1"/>
        </w:rPr>
        <w:t> </w:t>
      </w:r>
      <w:r>
        <w:rPr/>
        <w:t>元，因汇率因素形成溢价差额</w:t>
      </w:r>
      <w:r>
        <w:rPr>
          <w:spacing w:val="-47"/>
        </w:rPr>
        <w:t> </w:t>
      </w:r>
      <w:r>
        <w:rPr>
          <w:rFonts w:ascii="Times New Roman" w:hAnsi="Times New Roman" w:cs="Times New Roman" w:eastAsia="Times New Roman" w:hint="default"/>
        </w:rPr>
        <w:t>15,475.33</w:t>
      </w:r>
      <w:r>
        <w:rPr>
          <w:rFonts w:ascii="Times New Roman" w:hAnsi="Times New Roman" w:cs="Times New Roman" w:eastAsia="Times New Roman" w:hint="default"/>
          <w:spacing w:val="-2"/>
        </w:rPr>
        <w:t> </w:t>
      </w:r>
      <w:r>
        <w:rPr/>
        <w:t>元。</w:t>
      </w:r>
    </w:p>
    <w:p>
      <w:pPr>
        <w:pStyle w:val="BodyText"/>
        <w:spacing w:line="302" w:lineRule="auto" w:before="51"/>
        <w:ind w:left="153" w:right="1216" w:firstLine="360"/>
        <w:jc w:val="both"/>
      </w:pPr>
      <w:r>
        <w:rPr>
          <w:rFonts w:ascii="Times New Roman" w:hAnsi="Times New Roman" w:cs="Times New Roman" w:eastAsia="Times New Roman" w:hint="default"/>
        </w:rPr>
        <w:t>g.2007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月，公司出资</w:t>
      </w:r>
      <w:r>
        <w:rPr>
          <w:spacing w:val="-47"/>
        </w:rPr>
        <w:t> </w:t>
      </w:r>
      <w:r>
        <w:rPr>
          <w:rFonts w:ascii="Times New Roman" w:hAnsi="Times New Roman" w:cs="Times New Roman" w:eastAsia="Times New Roman" w:hint="default"/>
        </w:rPr>
        <w:t>990,000.00</w:t>
      </w:r>
      <w:r>
        <w:rPr>
          <w:rFonts w:ascii="Times New Roman" w:hAnsi="Times New Roman" w:cs="Times New Roman" w:eastAsia="Times New Roman" w:hint="default"/>
          <w:spacing w:val="-2"/>
        </w:rPr>
        <w:t> </w:t>
      </w:r>
      <w:r>
        <w:rPr/>
        <w:t>元，增持盐城丰东特种炉业有限公司</w:t>
      </w:r>
      <w:r>
        <w:rPr>
          <w:spacing w:val="-47"/>
        </w:rPr>
        <w:t> </w:t>
      </w:r>
      <w:r>
        <w:rPr>
          <w:rFonts w:ascii="Times New Roman" w:hAnsi="Times New Roman" w:cs="Times New Roman" w:eastAsia="Times New Roman" w:hint="default"/>
        </w:rPr>
        <w:t>11%</w:t>
      </w:r>
      <w:r>
        <w:rPr/>
        <w:t>的股份，按持股比例享有的可辨认净资 产公允价值为</w:t>
      </w:r>
      <w:r>
        <w:rPr>
          <w:spacing w:val="-47"/>
        </w:rPr>
        <w:t> </w:t>
      </w:r>
      <w:r>
        <w:rPr>
          <w:rFonts w:ascii="Times New Roman" w:hAnsi="Times New Roman" w:cs="Times New Roman" w:eastAsia="Times New Roman" w:hint="default"/>
        </w:rPr>
        <w:t>773,522.02</w:t>
      </w:r>
      <w:r>
        <w:rPr>
          <w:rFonts w:ascii="Times New Roman" w:hAnsi="Times New Roman" w:cs="Times New Roman" w:eastAsia="Times New Roman" w:hint="default"/>
          <w:spacing w:val="-2"/>
        </w:rPr>
        <w:t> </w:t>
      </w:r>
      <w:r>
        <w:rPr/>
        <w:t>元，由此形成溢价差额</w:t>
      </w:r>
      <w:r>
        <w:rPr>
          <w:spacing w:val="-47"/>
        </w:rPr>
        <w:t> </w:t>
      </w:r>
      <w:r>
        <w:rPr>
          <w:rFonts w:ascii="Times New Roman" w:hAnsi="Times New Roman" w:cs="Times New Roman" w:eastAsia="Times New Roman" w:hint="default"/>
        </w:rPr>
        <w:t>216,477.98</w:t>
      </w:r>
      <w:r>
        <w:rPr>
          <w:rFonts w:ascii="Times New Roman" w:hAnsi="Times New Roman" w:cs="Times New Roman" w:eastAsia="Times New Roman" w:hint="default"/>
          <w:spacing w:val="-2"/>
        </w:rPr>
        <w:t> </w:t>
      </w:r>
      <w:r>
        <w:rPr/>
        <w:t>元。</w:t>
      </w:r>
    </w:p>
    <w:p>
      <w:pPr>
        <w:pStyle w:val="BodyText"/>
        <w:spacing w:line="300" w:lineRule="auto" w:before="50"/>
        <w:ind w:left="153" w:right="1170" w:firstLine="360"/>
        <w:jc w:val="both"/>
      </w:pPr>
      <w:r>
        <w:rPr>
          <w:rFonts w:ascii="Times New Roman" w:hAnsi="Times New Roman" w:cs="Times New Roman" w:eastAsia="Times New Roman" w:hint="default"/>
        </w:rPr>
        <w:t>h.2008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月，公司出资</w:t>
      </w:r>
      <w:r>
        <w:rPr>
          <w:spacing w:val="-47"/>
        </w:rPr>
        <w:t> </w:t>
      </w:r>
      <w:r>
        <w:rPr>
          <w:rFonts w:ascii="Times New Roman" w:hAnsi="Times New Roman" w:cs="Times New Roman" w:eastAsia="Times New Roman" w:hint="default"/>
        </w:rPr>
        <w:t>7,272,000.00</w:t>
      </w:r>
      <w:r>
        <w:rPr>
          <w:rFonts w:ascii="Times New Roman" w:hAnsi="Times New Roman" w:cs="Times New Roman" w:eastAsia="Times New Roman" w:hint="default"/>
          <w:spacing w:val="-1"/>
        </w:rPr>
        <w:t> </w:t>
      </w:r>
      <w:r>
        <w:rPr/>
        <w:t>元收购上海丰东热处理工程有限公司</w:t>
      </w:r>
      <w:r>
        <w:rPr>
          <w:spacing w:val="-47"/>
        </w:rPr>
        <w:t> </w:t>
      </w:r>
      <w:r>
        <w:rPr>
          <w:rFonts w:ascii="Times New Roman" w:hAnsi="Times New Roman" w:cs="Times New Roman" w:eastAsia="Times New Roman" w:hint="default"/>
        </w:rPr>
        <w:t>90%</w:t>
      </w:r>
      <w:r>
        <w:rPr/>
        <w:t>的股权，根据上海银信汇业资产评估 有限公司沪银信汇业评报字</w:t>
      </w:r>
      <w:r>
        <w:rPr>
          <w:rFonts w:ascii="Times New Roman" w:hAnsi="Times New Roman" w:cs="Times New Roman" w:eastAsia="Times New Roman" w:hint="default"/>
        </w:rPr>
        <w:t>[2008]</w:t>
      </w:r>
      <w:r>
        <w:rPr/>
        <w:t>第</w:t>
      </w:r>
      <w:r>
        <w:rPr>
          <w:spacing w:val="-47"/>
        </w:rPr>
        <w:t> </w:t>
      </w:r>
      <w:r>
        <w:rPr>
          <w:rFonts w:ascii="Times New Roman" w:hAnsi="Times New Roman" w:cs="Times New Roman" w:eastAsia="Times New Roman" w:hint="default"/>
        </w:rPr>
        <w:t>1124</w:t>
      </w:r>
      <w:r>
        <w:rPr>
          <w:rFonts w:ascii="Times New Roman" w:hAnsi="Times New Roman" w:cs="Times New Roman" w:eastAsia="Times New Roman" w:hint="default"/>
          <w:spacing w:val="-1"/>
        </w:rPr>
        <w:t> </w:t>
      </w:r>
      <w:r>
        <w:rPr/>
        <w:t>号评估报告，上海丰东热处理工程有限公司</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日为评估基准日的净</w:t>
      </w:r>
    </w:p>
    <w:p>
      <w:pPr>
        <w:pStyle w:val="BodyText"/>
        <w:spacing w:line="240" w:lineRule="auto" w:before="13"/>
        <w:ind w:left="153" w:right="0"/>
        <w:jc w:val="left"/>
      </w:pPr>
      <w:r>
        <w:rPr/>
        <w:t>资产为</w:t>
      </w:r>
      <w:r>
        <w:rPr>
          <w:spacing w:val="-47"/>
        </w:rPr>
        <w:t> </w:t>
      </w:r>
      <w:r>
        <w:rPr>
          <w:rFonts w:ascii="Times New Roman" w:hAnsi="Times New Roman" w:cs="Times New Roman" w:eastAsia="Times New Roman" w:hint="default"/>
        </w:rPr>
        <w:t>8,027,741.77</w:t>
      </w:r>
      <w:r>
        <w:rPr>
          <w:rFonts w:ascii="Times New Roman" w:hAnsi="Times New Roman" w:cs="Times New Roman" w:eastAsia="Times New Roman" w:hint="default"/>
          <w:spacing w:val="-1"/>
        </w:rPr>
        <w:t> </w:t>
      </w:r>
      <w:r>
        <w:rPr/>
        <w:t>元，其中无形资产</w:t>
      </w:r>
      <w:r>
        <w:rPr>
          <w:rFonts w:ascii="Times New Roman" w:hAnsi="Times New Roman" w:cs="Times New Roman" w:eastAsia="Times New Roman" w:hint="default"/>
        </w:rPr>
        <w:t>—</w:t>
      </w:r>
      <w:r>
        <w:rPr/>
        <w:t>土地使用权增值</w:t>
      </w:r>
      <w:r>
        <w:rPr>
          <w:spacing w:val="-47"/>
        </w:rPr>
        <w:t> </w:t>
      </w:r>
      <w:r>
        <w:rPr>
          <w:rFonts w:ascii="Times New Roman" w:hAnsi="Times New Roman" w:cs="Times New Roman" w:eastAsia="Times New Roman" w:hint="default"/>
        </w:rPr>
        <w:t>3,586,176.15</w:t>
      </w:r>
      <w:r>
        <w:rPr>
          <w:rFonts w:ascii="Times New Roman" w:hAnsi="Times New Roman" w:cs="Times New Roman" w:eastAsia="Times New Roman" w:hint="default"/>
          <w:spacing w:val="-1"/>
        </w:rPr>
        <w:t> </w:t>
      </w:r>
      <w:r>
        <w:rPr/>
        <w:t>元。本公司以该评估净资产扣除按无形资产增值额计</w:t>
      </w:r>
    </w:p>
    <w:p>
      <w:pPr>
        <w:pStyle w:val="BodyText"/>
        <w:spacing w:line="240" w:lineRule="auto" w:before="63"/>
        <w:ind w:left="154" w:right="1118"/>
        <w:jc w:val="left"/>
      </w:pPr>
      <w:r>
        <w:rPr/>
        <w:t>提的递延所得税负债</w:t>
      </w:r>
      <w:r>
        <w:rPr>
          <w:spacing w:val="-47"/>
        </w:rPr>
        <w:t> </w:t>
      </w:r>
      <w:r>
        <w:rPr>
          <w:rFonts w:ascii="Times New Roman" w:hAnsi="Times New Roman" w:cs="Times New Roman" w:eastAsia="Times New Roman" w:hint="default"/>
        </w:rPr>
        <w:t>896,544.04</w:t>
      </w:r>
      <w:r>
        <w:rPr>
          <w:rFonts w:ascii="Times New Roman" w:hAnsi="Times New Roman" w:cs="Times New Roman" w:eastAsia="Times New Roman" w:hint="default"/>
          <w:spacing w:val="-2"/>
        </w:rPr>
        <w:t> </w:t>
      </w:r>
      <w:r>
        <w:rPr/>
        <w:t>元后的金额</w:t>
      </w:r>
      <w:r>
        <w:rPr>
          <w:spacing w:val="-46"/>
        </w:rPr>
        <w:t> </w:t>
      </w:r>
      <w:r>
        <w:rPr>
          <w:rFonts w:ascii="Times New Roman" w:hAnsi="Times New Roman" w:cs="Times New Roman" w:eastAsia="Times New Roman" w:hint="default"/>
        </w:rPr>
        <w:t>7,131,197.73</w:t>
      </w:r>
      <w:r>
        <w:rPr>
          <w:rFonts w:ascii="Times New Roman" w:hAnsi="Times New Roman" w:cs="Times New Roman" w:eastAsia="Times New Roman" w:hint="default"/>
          <w:spacing w:val="-1"/>
        </w:rPr>
        <w:t> </w:t>
      </w:r>
      <w:r>
        <w:rPr/>
        <w:t>为公允价值收购，按持股比例享有的可辨认净资产公允价值为</w:t>
      </w:r>
    </w:p>
    <w:p>
      <w:pPr>
        <w:pStyle w:val="BodyText"/>
        <w:spacing w:line="240" w:lineRule="auto" w:before="64"/>
        <w:ind w:left="154" w:right="1118"/>
        <w:jc w:val="left"/>
      </w:pPr>
      <w:r>
        <w:rPr>
          <w:rFonts w:ascii="Times New Roman" w:hAnsi="Times New Roman" w:cs="Times New Roman" w:eastAsia="Times New Roman" w:hint="default"/>
        </w:rPr>
        <w:t>6,418,077.96</w:t>
      </w:r>
      <w:r>
        <w:rPr>
          <w:rFonts w:ascii="Times New Roman" w:hAnsi="Times New Roman" w:cs="Times New Roman" w:eastAsia="Times New Roman" w:hint="default"/>
          <w:spacing w:val="-1"/>
        </w:rPr>
        <w:t> </w:t>
      </w:r>
      <w:r>
        <w:rPr/>
        <w:t>元，由此形成溢价差额</w:t>
      </w:r>
      <w:r>
        <w:rPr>
          <w:spacing w:val="-47"/>
        </w:rPr>
        <w:t> </w:t>
      </w:r>
      <w:r>
        <w:rPr>
          <w:rFonts w:ascii="Times New Roman" w:hAnsi="Times New Roman" w:cs="Times New Roman" w:eastAsia="Times New Roman" w:hint="default"/>
        </w:rPr>
        <w:t>853,922.04</w:t>
      </w:r>
      <w:r>
        <w:rPr>
          <w:rFonts w:ascii="Times New Roman" w:hAnsi="Times New Roman" w:cs="Times New Roman" w:eastAsia="Times New Roman" w:hint="default"/>
          <w:spacing w:val="-2"/>
        </w:rPr>
        <w:t> </w:t>
      </w:r>
      <w:r>
        <w:rPr/>
        <w:t>元。</w:t>
      </w:r>
    </w:p>
    <w:p>
      <w:pPr>
        <w:pStyle w:val="BodyText"/>
        <w:spacing w:line="302" w:lineRule="auto" w:before="101"/>
        <w:ind w:left="154" w:right="1200" w:firstLine="360"/>
        <w:jc w:val="both"/>
      </w:pPr>
      <w:r>
        <w:rPr>
          <w:rFonts w:ascii="Times New Roman" w:hAnsi="Times New Roman" w:cs="Times New Roman" w:eastAsia="Times New Roman" w:hint="default"/>
        </w:rPr>
        <w:t>i.2015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月，公司出资</w:t>
      </w:r>
      <w:r>
        <w:rPr>
          <w:spacing w:val="-46"/>
        </w:rPr>
        <w:t> </w:t>
      </w:r>
      <w:r>
        <w:rPr>
          <w:rFonts w:ascii="Times New Roman" w:hAnsi="Times New Roman" w:cs="Times New Roman" w:eastAsia="Times New Roman" w:hint="default"/>
        </w:rPr>
        <w:t>570 </w:t>
      </w:r>
      <w:r>
        <w:rPr/>
        <w:t>万元收购常州鑫润丰东</w:t>
      </w:r>
      <w:r>
        <w:rPr>
          <w:spacing w:val="-46"/>
        </w:rPr>
        <w:t> </w:t>
      </w:r>
      <w:r>
        <w:rPr>
          <w:rFonts w:ascii="Times New Roman" w:hAnsi="Times New Roman" w:cs="Times New Roman" w:eastAsia="Times New Roman" w:hint="default"/>
        </w:rPr>
        <w:t>30%</w:t>
      </w:r>
      <w:r>
        <w:rPr/>
        <w:t>的股权，由于常州鑫润丰东未完成承诺业绩，</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 公司与其原股东签订协议，以</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元的价格受让常州鑫润丰东</w:t>
      </w:r>
      <w:r>
        <w:rPr>
          <w:spacing w:val="-46"/>
        </w:rPr>
        <w:t> </w:t>
      </w:r>
      <w:r>
        <w:rPr>
          <w:rFonts w:ascii="Times New Roman" w:hAnsi="Times New Roman" w:cs="Times New Roman" w:eastAsia="Times New Roman" w:hint="default"/>
        </w:rPr>
        <w:t>21%</w:t>
      </w:r>
      <w:r>
        <w:rPr/>
        <w:t>的股权，受让完成后公司拥有常州鑫润丰东</w:t>
      </w:r>
      <w:r>
        <w:rPr>
          <w:spacing w:val="-46"/>
        </w:rPr>
        <w:t> </w:t>
      </w:r>
      <w:r>
        <w:rPr>
          <w:rFonts w:ascii="Times New Roman" w:hAnsi="Times New Roman" w:cs="Times New Roman" w:eastAsia="Times New Roman" w:hint="default"/>
        </w:rPr>
        <w:t>51%</w:t>
      </w:r>
      <w:r>
        <w:rPr/>
        <w:t>的股权， 按持股比例享有的可辨认净资产公允价值为</w:t>
      </w:r>
      <w:r>
        <w:rPr>
          <w:spacing w:val="-47"/>
        </w:rPr>
        <w:t> </w:t>
      </w:r>
      <w:r>
        <w:rPr>
          <w:rFonts w:ascii="Times New Roman" w:hAnsi="Times New Roman" w:cs="Times New Roman" w:eastAsia="Times New Roman" w:hint="default"/>
        </w:rPr>
        <w:t>5,089,253.65</w:t>
      </w:r>
      <w:r>
        <w:rPr>
          <w:rFonts w:ascii="Times New Roman" w:hAnsi="Times New Roman" w:cs="Times New Roman" w:eastAsia="Times New Roman" w:hint="default"/>
          <w:spacing w:val="-2"/>
        </w:rPr>
        <w:t> </w:t>
      </w:r>
      <w:r>
        <w:rPr/>
        <w:t>元，由此形成溢价差额</w:t>
      </w:r>
      <w:r>
        <w:rPr>
          <w:spacing w:val="-47"/>
        </w:rPr>
        <w:t> </w:t>
      </w:r>
      <w:r>
        <w:rPr>
          <w:rFonts w:ascii="Times New Roman" w:hAnsi="Times New Roman" w:cs="Times New Roman" w:eastAsia="Times New Roman" w:hint="default"/>
        </w:rPr>
        <w:t>1,056,547.35</w:t>
      </w:r>
      <w:r>
        <w:rPr>
          <w:rFonts w:ascii="Times New Roman" w:hAnsi="Times New Roman" w:cs="Times New Roman" w:eastAsia="Times New Roman" w:hint="default"/>
          <w:spacing w:val="-1"/>
        </w:rPr>
        <w:t> </w:t>
      </w:r>
      <w:r>
        <w:rPr/>
        <w:t>元。</w:t>
      </w:r>
    </w:p>
    <w:p>
      <w:pPr>
        <w:spacing w:after="0" w:line="302" w:lineRule="auto"/>
        <w:jc w:val="both"/>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17、长期待摊费用" w:id="270"/>
      <w:bookmarkEnd w:id="270"/>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7"/>
        <w:gridCol w:w="1559"/>
        <w:gridCol w:w="1559"/>
        <w:gridCol w:w="1418"/>
        <w:gridCol w:w="1416"/>
        <w:gridCol w:w="1487"/>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211,764.70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31,372.56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180,392.14</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财税介质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8,626,814.86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8,626,814.86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厂房装修支出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1,463,064.33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3,922,283.26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1,388,746.39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3,996,601.20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512,601.65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2,483,142.30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365,866.38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2,629,877.57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10,814,245.54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6,405,425.56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10,412,800.19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6,806,870.91</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8、递延所得税资产/递延所得税负债" w:id="271"/>
      <w:bookmarkEnd w:id="271"/>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未经抵销的递延所得税资产" w:id="272"/>
      <w:bookmarkEnd w:id="27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90" w:hRule="exact"/>
        </w:trPr>
        <w:tc>
          <w:tcPr>
            <w:tcW w:w="1889" w:type="dxa"/>
            <w:tcBorders>
              <w:top w:val="single" w:sz="4" w:space="0" w:color="000000"/>
              <w:left w:val="single" w:sz="4" w:space="0" w:color="000000"/>
              <w:bottom w:val="nil" w:sz="6" w:space="0" w:color="auto"/>
              <w:right w:val="single" w:sz="4" w:space="0" w:color="000000"/>
            </w:tcBorders>
            <w:shd w:val="clear" w:color="auto" w:fill="D9D9D9"/>
          </w:tcPr>
          <w:p>
            <w:pPr/>
          </w:p>
        </w:tc>
        <w:tc>
          <w:tcPr>
            <w:tcW w:w="3842"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1" w:hRule="exact"/>
        </w:trPr>
        <w:tc>
          <w:tcPr>
            <w:tcW w:w="188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9D9D9"/>
          </w:tcPr>
          <w:p>
            <w:pPr/>
          </w:p>
        </w:tc>
        <w:tc>
          <w:tcPr>
            <w:tcW w:w="3828" w:type="dxa"/>
            <w:gridSpan w:val="2"/>
            <w:vMerge/>
            <w:tcBorders>
              <w:left w:val="single" w:sz="4" w:space="0" w:color="000000"/>
              <w:bottom w:val="single" w:sz="4" w:space="0" w:color="000000"/>
              <w:right w:val="single" w:sz="4" w:space="0" w:color="000000"/>
            </w:tcBorders>
            <w:shd w:val="clear" w:color="auto" w:fill="D9D9D9"/>
          </w:tcPr>
          <w:p>
            <w:pPr/>
          </w:p>
        </w:tc>
      </w:tr>
      <w:tr>
        <w:trPr>
          <w:trHeight w:val="179" w:hRule="exact"/>
        </w:trPr>
        <w:tc>
          <w:tcPr>
            <w:tcW w:w="1889" w:type="dxa"/>
            <w:vMerge/>
            <w:tcBorders>
              <w:left w:val="single" w:sz="4" w:space="0" w:color="000000"/>
              <w:bottom w:val="nil" w:sz="6" w:space="0" w:color="auto"/>
              <w:right w:val="single" w:sz="4" w:space="0" w:color="000000"/>
            </w:tcBorders>
            <w:shd w:val="clear" w:color="auto" w:fill="D9D9D9"/>
          </w:tcPr>
          <w:p>
            <w:pPr/>
          </w:p>
        </w:tc>
        <w:tc>
          <w:tcPr>
            <w:tcW w:w="19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91" w:hRule="exact"/>
        </w:trPr>
        <w:tc>
          <w:tcPr>
            <w:tcW w:w="1889" w:type="dxa"/>
            <w:tcBorders>
              <w:top w:val="nil" w:sz="6" w:space="0" w:color="auto"/>
              <w:left w:val="single" w:sz="4" w:space="0" w:color="000000"/>
              <w:bottom w:val="single" w:sz="4" w:space="0" w:color="000000"/>
              <w:right w:val="single" w:sz="4" w:space="0" w:color="000000"/>
            </w:tcBorders>
            <w:shd w:val="clear" w:color="auto" w:fill="D9D9D9"/>
          </w:tcPr>
          <w:p>
            <w:pPr/>
          </w:p>
        </w:tc>
        <w:tc>
          <w:tcPr>
            <w:tcW w:w="1928"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53,875,121.67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7,382,244.02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33,200,043.12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4,147,001.09</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16,838,732.34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2,741,562.79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20,167,403.90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3,352,429.28</w:t>
            </w:r>
          </w:p>
        </w:tc>
      </w:tr>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2,108,334.96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527,083.74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5,129,685.32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809,974.97</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21,004,250.14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3,209,273.35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6,708,812.75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993,698.09</w:t>
            </w:r>
          </w:p>
        </w:tc>
      </w:tr>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93,826,439.11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13,860,163.90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65,205,945.09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9,303,103.43</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未经抵销的递延所得税负债" w:id="273"/>
      <w:bookmarkEnd w:id="27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90" w:hRule="exact"/>
        </w:trPr>
        <w:tc>
          <w:tcPr>
            <w:tcW w:w="1889" w:type="dxa"/>
            <w:tcBorders>
              <w:top w:val="single" w:sz="4" w:space="0" w:color="000000"/>
              <w:left w:val="single" w:sz="4" w:space="0" w:color="000000"/>
              <w:bottom w:val="nil" w:sz="6" w:space="0" w:color="auto"/>
              <w:right w:val="single" w:sz="4" w:space="0" w:color="000000"/>
            </w:tcBorders>
            <w:shd w:val="clear" w:color="auto" w:fill="D9D9D9"/>
          </w:tcPr>
          <w:p>
            <w:pPr/>
          </w:p>
        </w:tc>
        <w:tc>
          <w:tcPr>
            <w:tcW w:w="3842"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1" w:hRule="exact"/>
        </w:trPr>
        <w:tc>
          <w:tcPr>
            <w:tcW w:w="188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9D9D9"/>
          </w:tcPr>
          <w:p>
            <w:pPr/>
          </w:p>
        </w:tc>
        <w:tc>
          <w:tcPr>
            <w:tcW w:w="3828" w:type="dxa"/>
            <w:gridSpan w:val="2"/>
            <w:vMerge/>
            <w:tcBorders>
              <w:left w:val="single" w:sz="4" w:space="0" w:color="000000"/>
              <w:bottom w:val="single" w:sz="4" w:space="0" w:color="000000"/>
              <w:right w:val="single" w:sz="4" w:space="0" w:color="000000"/>
            </w:tcBorders>
            <w:shd w:val="clear" w:color="auto" w:fill="D9D9D9"/>
          </w:tcPr>
          <w:p>
            <w:pPr/>
          </w:p>
        </w:tc>
      </w:tr>
      <w:tr>
        <w:trPr>
          <w:trHeight w:val="179" w:hRule="exact"/>
        </w:trPr>
        <w:tc>
          <w:tcPr>
            <w:tcW w:w="1889" w:type="dxa"/>
            <w:vMerge/>
            <w:tcBorders>
              <w:left w:val="single" w:sz="4" w:space="0" w:color="000000"/>
              <w:bottom w:val="nil" w:sz="6" w:space="0" w:color="auto"/>
              <w:right w:val="single" w:sz="4" w:space="0" w:color="000000"/>
            </w:tcBorders>
            <w:shd w:val="clear" w:color="auto" w:fill="D9D9D9"/>
          </w:tcPr>
          <w:p>
            <w:pPr/>
          </w:p>
        </w:tc>
        <w:tc>
          <w:tcPr>
            <w:tcW w:w="19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91" w:hRule="exact"/>
        </w:trPr>
        <w:tc>
          <w:tcPr>
            <w:tcW w:w="1889" w:type="dxa"/>
            <w:tcBorders>
              <w:top w:val="nil" w:sz="6" w:space="0" w:color="auto"/>
              <w:left w:val="single" w:sz="4" w:space="0" w:color="000000"/>
              <w:bottom w:val="single" w:sz="4" w:space="0" w:color="000000"/>
              <w:right w:val="single" w:sz="4" w:space="0" w:color="000000"/>
            </w:tcBorders>
            <w:shd w:val="clear" w:color="auto" w:fill="D9D9D9"/>
          </w:tcPr>
          <w:p>
            <w:pPr/>
          </w:p>
        </w:tc>
        <w:tc>
          <w:tcPr>
            <w:tcW w:w="1928"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c>
          <w:tcPr>
            <w:tcW w:w="1914" w:type="dxa"/>
            <w:vMerge/>
            <w:tcBorders>
              <w:left w:val="single" w:sz="4" w:space="0" w:color="000000"/>
              <w:bottom w:val="single" w:sz="4" w:space="0" w:color="000000"/>
              <w:right w:val="single" w:sz="4" w:space="0" w:color="000000"/>
            </w:tcBorders>
            <w:shd w:val="clear" w:color="auto" w:fill="D9D9D9"/>
          </w:tcPr>
          <w:p>
            <w:pPr/>
          </w:p>
        </w:tc>
      </w:tr>
      <w:tr>
        <w:trPr>
          <w:trHeight w:val="649"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5" w:lineRule="auto" w:before="53"/>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72,670,077.85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7,411,345.01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80,646,379.45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8,509,094.66</w:t>
            </w:r>
          </w:p>
        </w:tc>
      </w:tr>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分期收款销售</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2,452,991.56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245,299.16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75,123,069.41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7,656,644.17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80,646,379.45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8,509,094.66</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以抵销后净额列示的递延所得税资产或负债" w:id="274"/>
      <w:bookmarkEnd w:id="27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2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4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13,860,163.90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9,303,103.43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7,656,644.17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8,509,094.66</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4）未确认递延所得税资产明细" w:id="275"/>
      <w:bookmarkEnd w:id="27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23,514,226.14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21,579,066.50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25,314,226.14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23,379,066.50</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5）未确认递延所得税资产的可抵扣亏损将于以下年度到期" w:id="276"/>
      <w:bookmarkEnd w:id="27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2,212,627.74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21,254,587.75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47,010.65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23,514,226.14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9、短期借款" w:id="277"/>
      <w:bookmarkEnd w:id="277"/>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短期借款分类" w:id="278"/>
      <w:bookmarkEnd w:id="27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187,000,000.00</w:t>
            </w:r>
          </w:p>
        </w:tc>
      </w:tr>
    </w:tbl>
    <w:p>
      <w:pPr>
        <w:pStyle w:val="BodyText"/>
        <w:spacing w:line="240" w:lineRule="auto" w:before="51"/>
        <w:ind w:left="514" w:right="1118"/>
        <w:jc w:val="left"/>
      </w:pPr>
      <w:r>
        <w:rPr/>
        <w:t>短期借款分类的说明：</w:t>
      </w:r>
    </w:p>
    <w:p>
      <w:pPr>
        <w:pStyle w:val="BodyText"/>
        <w:spacing w:line="309" w:lineRule="auto" w:before="116"/>
        <w:ind w:left="153" w:right="1131" w:firstLine="360"/>
        <w:jc w:val="both"/>
      </w:pPr>
      <w:r>
        <w:rPr/>
        <w:t>上述期末保证借款中</w:t>
      </w:r>
      <w:r>
        <w:rPr>
          <w:spacing w:val="-41"/>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4"/>
        </w:rPr>
        <w:t> </w:t>
      </w:r>
      <w:r>
        <w:rPr>
          <w:spacing w:val="-3"/>
        </w:rPr>
        <w:t>万元由江苏德航工程机械装备有限公司、朱文明提供连带责任保证；</w:t>
      </w:r>
      <w:r>
        <w:rPr>
          <w:rFonts w:ascii="Times New Roman" w:hAnsi="Times New Roman" w:cs="Times New Roman" w:eastAsia="Times New Roman" w:hint="default"/>
          <w:spacing w:val="-3"/>
        </w:rPr>
        <w:t>300</w:t>
      </w:r>
      <w:r>
        <w:rPr>
          <w:rFonts w:ascii="Times New Roman" w:hAnsi="Times New Roman" w:cs="Times New Roman" w:eastAsia="Times New Roman" w:hint="default"/>
          <w:spacing w:val="4"/>
        </w:rPr>
        <w:t> </w:t>
      </w:r>
      <w:r>
        <w:rPr/>
        <w:t>万元系孙公司特种 </w:t>
      </w:r>
      <w:r>
        <w:rPr>
          <w:spacing w:val="-2"/>
        </w:rPr>
        <w:t>炉业借款，该借款由江苏德航工程机械装备有限公司、韩志春提供保证。期末抵押保证借款系孙公司特种炉业借款，该借款</w:t>
      </w:r>
      <w:r>
        <w:rPr>
          <w:spacing w:val="-66"/>
        </w:rPr>
        <w:t> </w:t>
      </w:r>
      <w:r>
        <w:rPr>
          <w:spacing w:val="-66"/>
        </w:rPr>
      </w:r>
      <w:r>
        <w:rPr/>
        <w:t>由特种炉业以自有房产及土地使用权作抵押，并由韩志春提供保证担保。</w:t>
      </w:r>
    </w:p>
    <w:p>
      <w:pPr>
        <w:spacing w:line="240" w:lineRule="auto" w:before="6"/>
        <w:rPr>
          <w:rFonts w:ascii="宋体" w:hAnsi="宋体" w:cs="宋体" w:eastAsia="宋体" w:hint="default"/>
          <w:sz w:val="23"/>
          <w:szCs w:val="23"/>
        </w:rPr>
      </w:pPr>
    </w:p>
    <w:p>
      <w:pPr>
        <w:pStyle w:val="Heading3"/>
        <w:spacing w:line="240" w:lineRule="auto"/>
        <w:ind w:left="556" w:right="1118"/>
        <w:jc w:val="left"/>
        <w:rPr>
          <w:b w:val="0"/>
          <w:bCs w:val="0"/>
        </w:rPr>
      </w:pPr>
      <w:bookmarkStart w:name="20、衍生金融负债" w:id="279"/>
      <w:bookmarkEnd w:id="279"/>
      <w:r>
        <w:rPr>
          <w:b w:val="0"/>
          <w:bCs w:val="0"/>
        </w:rPr>
      </w:r>
      <w:r>
        <w:rPr>
          <w:rFonts w:ascii="Times New Roman" w:hAnsi="Times New Roman" w:cs="Times New Roman" w:eastAsia="Times New Roman" w:hint="default"/>
        </w:rPr>
        <w:t>20</w:t>
      </w:r>
      <w:r>
        <w:rPr/>
        <w:t>、衍生金融负债</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1、应付票据" w:id="280"/>
      <w:bookmarkEnd w:id="280"/>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514" w:right="1118"/>
        <w:jc w:val="left"/>
      </w:pPr>
      <w:r>
        <w:rPr/>
        <w:t>本期末已到期未支付的应付票据总额为</w:t>
      </w:r>
      <w:r>
        <w:rPr>
          <w:spacing w:val="-46"/>
        </w:rPr>
        <w:t> </w:t>
      </w:r>
      <w:r>
        <w:rPr>
          <w:rFonts w:ascii="Times New Roman" w:hAnsi="Times New Roman" w:cs="Times New Roman" w:eastAsia="Times New Roman" w:hint="default"/>
        </w:rPr>
        <w:t>0.00 </w:t>
      </w:r>
      <w:r>
        <w:rPr/>
        <w:t>元。</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22、应付账款" w:id="281"/>
      <w:bookmarkEnd w:id="281"/>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应付账款列示" w:id="282"/>
      <w:bookmarkEnd w:id="28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158,776,555.60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86,154,004.93</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15,555,784.28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20,139,417.45</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1,023,095.98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4,518,084.57</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6,029,597.97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4,872,523.31</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181,385,033.83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115,684,030.26</w:t>
            </w:r>
          </w:p>
        </w:tc>
      </w:tr>
    </w:tbl>
    <w:p>
      <w:pPr>
        <w:spacing w:line="240" w:lineRule="auto" w:before="9"/>
        <w:rPr>
          <w:rFonts w:ascii="宋体" w:hAnsi="宋体" w:cs="宋体" w:eastAsia="宋体" w:hint="default"/>
          <w:sz w:val="6"/>
          <w:szCs w:val="6"/>
        </w:rPr>
      </w:pPr>
    </w:p>
    <w:p>
      <w:pPr>
        <w:pStyle w:val="BodyText"/>
        <w:spacing w:line="357" w:lineRule="auto" w:before="44"/>
        <w:ind w:right="1033"/>
        <w:jc w:val="left"/>
      </w:pPr>
      <w:r>
        <w:rPr/>
        <w:t>其他说明： 应付账款年末数比年初数增加</w:t>
      </w:r>
      <w:r>
        <w:rPr>
          <w:rFonts w:ascii="Times New Roman" w:hAnsi="Times New Roman" w:cs="Times New Roman" w:eastAsia="Times New Roman" w:hint="default"/>
        </w:rPr>
        <w:t>65,701,003.57</w:t>
      </w:r>
      <w:r>
        <w:rPr/>
        <w:t>元，增加比例为</w:t>
      </w:r>
      <w:r>
        <w:rPr>
          <w:rFonts w:ascii="Times New Roman" w:hAnsi="Times New Roman" w:cs="Times New Roman" w:eastAsia="Times New Roman" w:hint="default"/>
        </w:rPr>
        <w:t>56.79%</w:t>
      </w:r>
      <w:r>
        <w:rPr/>
        <w:t>，主要系业务增长，对下游供应商应付款增加所致。</w:t>
      </w:r>
    </w:p>
    <w:p>
      <w:pPr>
        <w:spacing w:line="240" w:lineRule="auto" w:before="0"/>
        <w:rPr>
          <w:rFonts w:ascii="宋体" w:hAnsi="宋体" w:cs="宋体" w:eastAsia="宋体" w:hint="default"/>
          <w:sz w:val="19"/>
          <w:szCs w:val="19"/>
        </w:rPr>
      </w:pPr>
    </w:p>
    <w:p>
      <w:pPr>
        <w:pStyle w:val="Heading3"/>
        <w:spacing w:line="240" w:lineRule="auto"/>
        <w:ind w:right="1118"/>
        <w:jc w:val="left"/>
        <w:rPr>
          <w:b w:val="0"/>
          <w:bCs w:val="0"/>
        </w:rPr>
      </w:pPr>
      <w:bookmarkStart w:name="23、预收款项" w:id="283"/>
      <w:bookmarkEnd w:id="283"/>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预收款项列示" w:id="284"/>
      <w:bookmarkEnd w:id="28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152,194,908.55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103,792,590.50</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17,188,775.67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12,389,804.76</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7,525,324.26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5,203,355.42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4,276,320.35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805,811.17</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181,185,328.83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122,191,561.85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账龄超过1年的重要预收款项" w:id="285"/>
      <w:bookmarkEnd w:id="285"/>
      <w:r>
        <w:rPr>
          <w:b w:val="0"/>
          <w:bCs w:val="0"/>
        </w:rPr>
      </w: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 </w:t>
      </w:r>
      <w:r>
        <w:rPr/>
        <w:t>年的重要预收款项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6,615,470.08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提货延迟，安装调试中</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6,395,726.50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提货延迟，安装调试中</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2,788,680.34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提货延迟，安装调试中</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2,205,000.00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客户资产重组，项目搁置</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18,004,876.92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7" w:lineRule="auto" w:before="51"/>
        <w:ind w:left="523" w:right="1413" w:hanging="10"/>
        <w:jc w:val="left"/>
      </w:pPr>
      <w:r>
        <w:rPr/>
        <w:t>其他说明： 预收账款年末数比年初数增加</w:t>
      </w:r>
      <w:r>
        <w:rPr>
          <w:rFonts w:ascii="Times New Roman" w:hAnsi="Times New Roman" w:cs="Times New Roman" w:eastAsia="Times New Roman" w:hint="default"/>
        </w:rPr>
        <w:t>58,993,766.98</w:t>
      </w:r>
      <w:r>
        <w:rPr/>
        <w:t>元，增加比例为</w:t>
      </w:r>
      <w:r>
        <w:rPr>
          <w:rFonts w:ascii="Times New Roman" w:hAnsi="Times New Roman" w:cs="Times New Roman" w:eastAsia="Times New Roman" w:hint="default"/>
        </w:rPr>
        <w:t>48.28%</w:t>
      </w:r>
      <w:r>
        <w:rPr/>
        <w:t>，主要系业务量增长，对客户预收款增加所致。</w:t>
      </w:r>
    </w:p>
    <w:p>
      <w:pPr>
        <w:spacing w:line="240" w:lineRule="auto" w:before="3"/>
        <w:rPr>
          <w:rFonts w:ascii="宋体" w:hAnsi="宋体" w:cs="宋体" w:eastAsia="宋体" w:hint="default"/>
          <w:sz w:val="19"/>
          <w:szCs w:val="19"/>
        </w:rPr>
      </w:pPr>
    </w:p>
    <w:p>
      <w:pPr>
        <w:pStyle w:val="Heading3"/>
        <w:spacing w:line="240" w:lineRule="auto"/>
        <w:ind w:right="1118"/>
        <w:jc w:val="left"/>
        <w:rPr>
          <w:b w:val="0"/>
          <w:bCs w:val="0"/>
        </w:rPr>
      </w:pPr>
      <w:bookmarkStart w:name="24、应付职工薪酬" w:id="286"/>
      <w:bookmarkEnd w:id="286"/>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应付职工薪酬列示" w:id="287"/>
      <w:bookmarkEnd w:id="28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713"/>
        <w:gridCol w:w="1702"/>
        <w:gridCol w:w="1701"/>
        <w:gridCol w:w="1632"/>
      </w:tblGrid>
      <w:tr>
        <w:trPr>
          <w:trHeight w:val="370"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11,323,654.01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231,768,347.84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228,533,511.33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14,558,490.52</w:t>
            </w:r>
          </w:p>
        </w:tc>
      </w:tr>
      <w:tr>
        <w:trPr>
          <w:trHeight w:val="370"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13,877,050.30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13,839,136.86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37,913.44</w:t>
            </w:r>
          </w:p>
        </w:tc>
      </w:tr>
      <w:tr>
        <w:trPr>
          <w:trHeight w:val="370"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44,622.83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216,034.51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260,657.34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11,368,276.84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245,861,432.65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242,633,305.53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14,596,403.96</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短期薪酬列示" w:id="288"/>
      <w:bookmarkEnd w:id="28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1854"/>
        <w:gridCol w:w="1702"/>
        <w:gridCol w:w="1701"/>
        <w:gridCol w:w="1632"/>
      </w:tblGrid>
      <w:tr>
        <w:trPr>
          <w:trHeight w:val="371"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10,996,787.91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203,385,319.10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200,083,725.08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14,298,381.93</w:t>
            </w:r>
          </w:p>
        </w:tc>
      </w:tr>
      <w:tr>
        <w:trPr>
          <w:trHeight w:val="3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54" w:type="dxa"/>
            <w:tcBorders>
              <w:top w:val="single" w:sz="4" w:space="0" w:color="000000"/>
              <w:left w:val="single" w:sz="13"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9,484,264.60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9,484,264.60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54" w:type="dxa"/>
            <w:tcBorders>
              <w:top w:val="single" w:sz="4" w:space="0" w:color="000000"/>
              <w:left w:val="single" w:sz="13"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9,009,484.24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8,997,198.61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12,285.63</w:t>
            </w:r>
          </w:p>
        </w:tc>
      </w:tr>
      <w:tr>
        <w:trPr>
          <w:trHeight w:val="3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54" w:type="dxa"/>
            <w:tcBorders>
              <w:top w:val="single" w:sz="4" w:space="0" w:color="000000"/>
              <w:left w:val="single" w:sz="13"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7,680,751.31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7,669,527.85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11,223.46</w:t>
            </w:r>
          </w:p>
        </w:tc>
      </w:tr>
      <w:tr>
        <w:trPr>
          <w:trHeight w:val="3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54" w:type="dxa"/>
            <w:tcBorders>
              <w:top w:val="single" w:sz="4" w:space="0" w:color="000000"/>
              <w:left w:val="single" w:sz="13"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492,791.91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493,437.42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-645.51</w:t>
            </w:r>
          </w:p>
        </w:tc>
      </w:tr>
      <w:tr>
        <w:trPr>
          <w:trHeight w:val="371"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54" w:type="dxa"/>
            <w:tcBorders>
              <w:top w:val="single" w:sz="4" w:space="0" w:color="000000"/>
              <w:left w:val="single" w:sz="13"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701,405.52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699,697.84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1,707.68</w:t>
            </w:r>
          </w:p>
        </w:tc>
      </w:tr>
      <w:tr>
        <w:trPr>
          <w:trHeight w:val="3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476"/>
              <w:jc w:val="center"/>
              <w:rPr>
                <w:rFonts w:ascii="宋体" w:hAnsi="宋体" w:cs="宋体" w:eastAsia="宋体" w:hint="default"/>
                <w:sz w:val="18"/>
                <w:szCs w:val="18"/>
              </w:rPr>
            </w:pPr>
            <w:r>
              <w:rPr>
                <w:rFonts w:ascii="宋体" w:hAnsi="宋体" w:cs="宋体" w:eastAsia="宋体" w:hint="default"/>
                <w:sz w:val="18"/>
                <w:szCs w:val="18"/>
              </w:rPr>
              <w:t>其他</w:t>
            </w:r>
          </w:p>
        </w:tc>
        <w:tc>
          <w:tcPr>
            <w:tcW w:w="1854" w:type="dxa"/>
            <w:tcBorders>
              <w:top w:val="single" w:sz="4" w:space="0" w:color="000000"/>
              <w:left w:val="single" w:sz="13"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134,535.50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134,535.50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54" w:type="dxa"/>
            <w:tcBorders>
              <w:top w:val="single" w:sz="4" w:space="0" w:color="000000"/>
              <w:left w:val="single" w:sz="13" w:space="0" w:color="D9D9D9"/>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8,651,108.64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8,647,273.64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3,835.00</w:t>
            </w:r>
          </w:p>
        </w:tc>
      </w:tr>
      <w:tr>
        <w:trPr>
          <w:trHeight w:val="371"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326,866.10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1,238,171.26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1,321,049.40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243,987.96</w:t>
            </w:r>
          </w:p>
        </w:tc>
      </w:tr>
      <w:tr>
        <w:trPr>
          <w:trHeight w:val="370" w:hRule="exact"/>
        </w:trPr>
        <w:tc>
          <w:tcPr>
            <w:tcW w:w="2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11,323,654.01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231,768,347.84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228,533,511.33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14,558,490.52</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设定提存计划列示" w:id="289"/>
      <w:bookmarkEnd w:id="28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13,419,903.85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13,383,483.82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36,420.03</w:t>
            </w:r>
          </w:p>
        </w:tc>
      </w:tr>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457,146.45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455,653.04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1,493.41</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13,877,050.30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13,839,136.86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37,913.44</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5、应交税费" w:id="290"/>
      <w:bookmarkEnd w:id="290"/>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13,317,393.80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6,810,705.73</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14,190,215.42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4,876,429.44</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1,258,830.17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697,062.81</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1,041,055.58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482,031.02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795,354.98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352,930.86</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155,693.18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175,816.42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221,890.62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232,896.20</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482,207.01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1,940,862.02</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31,462,640.76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15,568,734.50</w:t>
            </w:r>
          </w:p>
        </w:tc>
      </w:tr>
    </w:tbl>
    <w:p>
      <w:pPr>
        <w:spacing w:line="240" w:lineRule="auto" w:before="9"/>
        <w:rPr>
          <w:rFonts w:ascii="宋体" w:hAnsi="宋体" w:cs="宋体" w:eastAsia="宋体" w:hint="default"/>
          <w:sz w:val="6"/>
          <w:szCs w:val="6"/>
        </w:rPr>
      </w:pPr>
    </w:p>
    <w:p>
      <w:pPr>
        <w:pStyle w:val="BodyText"/>
        <w:spacing w:line="357" w:lineRule="auto" w:before="44"/>
        <w:ind w:right="1153"/>
        <w:jc w:val="left"/>
      </w:pPr>
      <w:r>
        <w:rPr/>
        <w:t>其他说明： 应交税费年末数比年初数增加</w:t>
      </w:r>
      <w:r>
        <w:rPr>
          <w:rFonts w:ascii="Times New Roman" w:hAnsi="Times New Roman" w:cs="Times New Roman" w:eastAsia="Times New Roman" w:hint="default"/>
        </w:rPr>
        <w:t>15,893,906.26</w:t>
      </w:r>
      <w:r>
        <w:rPr/>
        <w:t>元，增加比例为</w:t>
      </w:r>
      <w:r>
        <w:rPr>
          <w:rFonts w:ascii="Times New Roman" w:hAnsi="Times New Roman" w:cs="Times New Roman" w:eastAsia="Times New Roman" w:hint="default"/>
        </w:rPr>
        <w:t>102.09%</w:t>
      </w:r>
      <w:r>
        <w:rPr/>
        <w:t>，主要系业务收入大幅增长及季节性原因，导致应</w:t>
      </w:r>
    </w:p>
    <w:p>
      <w:pPr>
        <w:pStyle w:val="BodyText"/>
        <w:spacing w:line="201" w:lineRule="exact"/>
        <w:ind w:left="153" w:right="1118"/>
        <w:jc w:val="left"/>
      </w:pPr>
      <w:r>
        <w:rPr/>
        <w:t>交增值税、应交所得税大幅增长所致。</w:t>
      </w:r>
    </w:p>
    <w:p>
      <w:pPr>
        <w:spacing w:line="240" w:lineRule="auto" w:before="0"/>
        <w:rPr>
          <w:rFonts w:ascii="宋体" w:hAnsi="宋体" w:cs="宋体" w:eastAsia="宋体" w:hint="default"/>
          <w:sz w:val="18"/>
          <w:szCs w:val="18"/>
        </w:rPr>
      </w:pPr>
    </w:p>
    <w:p>
      <w:pPr>
        <w:pStyle w:val="Heading3"/>
        <w:spacing w:line="240" w:lineRule="auto" w:before="124"/>
        <w:ind w:left="556" w:right="1118"/>
        <w:jc w:val="left"/>
        <w:rPr>
          <w:b w:val="0"/>
          <w:bCs w:val="0"/>
        </w:rPr>
      </w:pPr>
      <w:bookmarkStart w:name="26、应付利息" w:id="291"/>
      <w:bookmarkEnd w:id="291"/>
      <w:r>
        <w:rPr>
          <w:b w:val="0"/>
          <w:bCs w:val="0"/>
        </w:rPr>
      </w:r>
      <w:r>
        <w:rPr>
          <w:rFonts w:ascii="Times New Roman" w:hAnsi="Times New Roman" w:cs="Times New Roman" w:eastAsia="Times New Roman" w:hint="default"/>
        </w:rPr>
        <w:t>26</w:t>
      </w:r>
      <w:r>
        <w:rPr/>
        <w:t>、应付利息</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225,958.33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84,583.33</w:t>
            </w:r>
          </w:p>
        </w:tc>
      </w:tr>
      <w:tr>
        <w:trPr>
          <w:trHeight w:val="37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225,958.33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84,583.33</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7、其他应付款" w:id="292"/>
      <w:bookmarkEnd w:id="292"/>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按款项性质列示其他应付款" w:id="293"/>
      <w:bookmarkEnd w:id="29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83,441,227.62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18,410,917.92</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3,076,348.39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1,191,302.20</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526,519.90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335,731.54</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817,737.08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654,516.31</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87,861,832.99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20,592,467.97</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2）账龄超过1年的重要其他应付款" w:id="294"/>
      <w:bookmarkEnd w:id="294"/>
      <w:r>
        <w:rPr>
          <w:b w:val="0"/>
          <w:bCs w:val="0"/>
        </w:rPr>
      </w: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 </w:t>
      </w:r>
      <w:r>
        <w:rPr/>
        <w:t>年的重要其他应付款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209" w:type="dxa"/>
        <w:tblLayout w:type="fixed"/>
        <w:tblCellMar>
          <w:top w:w="0" w:type="dxa"/>
          <w:left w:w="0" w:type="dxa"/>
          <w:bottom w:w="0" w:type="dxa"/>
          <w:right w:w="0" w:type="dxa"/>
        </w:tblCellMar>
        <w:tblLook w:val="01E0"/>
      </w:tblPr>
      <w:tblGrid>
        <w:gridCol w:w="3188"/>
        <w:gridCol w:w="3194"/>
        <w:gridCol w:w="3189"/>
      </w:tblGrid>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客户违约，尚在协商中</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下属公司原股东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1,415,640.27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未到还款期</w:t>
            </w:r>
          </w:p>
        </w:tc>
      </w:tr>
      <w:tr>
        <w:trPr>
          <w:trHeight w:val="37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工会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529,740.08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应付工会款</w:t>
            </w:r>
          </w:p>
        </w:tc>
      </w:tr>
      <w:tr>
        <w:trPr>
          <w:trHeight w:val="37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2,545,380.35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73" w:right="482"/>
        <w:jc w:val="left"/>
      </w:pPr>
      <w:r>
        <w:rPr/>
        <w:t>其他说明 </w:t>
      </w:r>
      <w:r>
        <w:rPr>
          <w:spacing w:val="-3"/>
        </w:rPr>
        <w:t>其他应付款年末数比年初数增加</w:t>
      </w:r>
      <w:r>
        <w:rPr>
          <w:rFonts w:ascii="Times New Roman" w:hAnsi="Times New Roman" w:cs="Times New Roman" w:eastAsia="Times New Roman" w:hint="default"/>
          <w:spacing w:val="-3"/>
        </w:rPr>
        <w:t>67,269,365.02</w:t>
      </w:r>
      <w:r>
        <w:rPr>
          <w:spacing w:val="-3"/>
        </w:rPr>
        <w:t>元，增加比例</w:t>
      </w:r>
      <w:r>
        <w:rPr>
          <w:rFonts w:ascii="Times New Roman" w:hAnsi="Times New Roman" w:cs="Times New Roman" w:eastAsia="Times New Roman" w:hint="default"/>
          <w:spacing w:val="-3"/>
        </w:rPr>
        <w:t>326.67%</w:t>
      </w:r>
      <w:r>
        <w:rPr>
          <w:spacing w:val="-3"/>
        </w:rPr>
        <w:t>，主要系子公司方欣部分股权并购款尚未支付所致。</w:t>
      </w:r>
    </w:p>
    <w:p>
      <w:pPr>
        <w:spacing w:line="240" w:lineRule="auto" w:before="0"/>
        <w:rPr>
          <w:rFonts w:ascii="宋体" w:hAnsi="宋体" w:cs="宋体" w:eastAsia="宋体" w:hint="default"/>
          <w:sz w:val="19"/>
          <w:szCs w:val="19"/>
        </w:rPr>
      </w:pPr>
    </w:p>
    <w:p>
      <w:pPr>
        <w:pStyle w:val="Heading3"/>
        <w:spacing w:line="240" w:lineRule="auto"/>
        <w:ind w:left="615" w:right="482"/>
        <w:jc w:val="left"/>
        <w:rPr>
          <w:b w:val="0"/>
          <w:bCs w:val="0"/>
        </w:rPr>
      </w:pPr>
      <w:bookmarkStart w:name="28、长期借款" w:id="295"/>
      <w:bookmarkEnd w:id="295"/>
      <w:r>
        <w:rPr>
          <w:b w:val="0"/>
          <w:bCs w:val="0"/>
        </w:rPr>
      </w: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615" w:right="482"/>
        <w:jc w:val="left"/>
        <w:rPr>
          <w:b w:val="0"/>
          <w:bCs w:val="0"/>
        </w:rPr>
      </w:pPr>
      <w:bookmarkStart w:name="（1）长期借款分类" w:id="296"/>
      <w:bookmarkEnd w:id="29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4"/>
        <w:gridCol w:w="3206"/>
        <w:gridCol w:w="3189"/>
      </w:tblGrid>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2,149,950.44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2,149,950.44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3"/>
        <w:spacing w:line="240" w:lineRule="auto" w:before="38"/>
        <w:ind w:left="615" w:right="482"/>
        <w:jc w:val="left"/>
        <w:rPr>
          <w:b w:val="0"/>
          <w:bCs w:val="0"/>
        </w:rPr>
      </w:pPr>
      <w:bookmarkStart w:name="29、递延收益" w:id="297"/>
      <w:bookmarkEnd w:id="297"/>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23,493,935.40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2,931,000.43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22,242,934.97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23,493,935.40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2,931,000.43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22,242,934.97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6"/>
          <w:szCs w:val="6"/>
        </w:rPr>
      </w:pPr>
    </w:p>
    <w:p>
      <w:pPr>
        <w:pStyle w:val="BodyText"/>
        <w:spacing w:line="240" w:lineRule="auto" w:before="44"/>
        <w:ind w:left="574" w:right="482"/>
        <w:jc w:val="left"/>
      </w:pPr>
      <w:r>
        <w:rPr/>
        <w:t>涉及政府补助的项目：</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128"/>
        <w:gridCol w:w="1134"/>
        <w:gridCol w:w="1134"/>
        <w:gridCol w:w="1134"/>
        <w:gridCol w:w="991"/>
        <w:gridCol w:w="710"/>
        <w:gridCol w:w="425"/>
        <w:gridCol w:w="1135"/>
        <w:gridCol w:w="1063"/>
      </w:tblGrid>
      <w:tr>
        <w:trPr>
          <w:trHeight w:val="1049"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69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4"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4"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79" w:right="78"/>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26" w:right="2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exact"/>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8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3"/>
              <w:jc w:val="both"/>
              <w:rPr>
                <w:rFonts w:ascii="宋体" w:hAnsi="宋体" w:cs="宋体" w:eastAsia="宋体" w:hint="default"/>
                <w:sz w:val="18"/>
                <w:szCs w:val="18"/>
              </w:rPr>
            </w:pPr>
            <w:r>
              <w:rPr>
                <w:rFonts w:ascii="宋体" w:hAnsi="宋体" w:cs="宋体" w:eastAsia="宋体" w:hint="default"/>
                <w:sz w:val="18"/>
                <w:szCs w:val="18"/>
              </w:rPr>
              <w:t>智能化真空热处理设备的 开发及产业化项目省级拨 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5,641,458.97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460,524.00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5,180,934.97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3"/>
              <w:jc w:val="left"/>
              <w:rPr>
                <w:rFonts w:ascii="宋体" w:hAnsi="宋体" w:cs="宋体" w:eastAsia="宋体" w:hint="default"/>
                <w:sz w:val="18"/>
                <w:szCs w:val="18"/>
              </w:rPr>
            </w:pPr>
            <w:r>
              <w:rPr>
                <w:rFonts w:ascii="宋体" w:hAnsi="宋体" w:cs="宋体" w:eastAsia="宋体" w:hint="default"/>
                <w:sz w:val="18"/>
                <w:szCs w:val="18"/>
              </w:rPr>
              <w:t>智能制造专项项目补助资 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无人化智能热处理工厂</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3"/>
              <w:jc w:val="both"/>
              <w:rPr>
                <w:rFonts w:ascii="宋体" w:hAnsi="宋体" w:cs="宋体" w:eastAsia="宋体" w:hint="default"/>
                <w:sz w:val="18"/>
                <w:szCs w:val="18"/>
              </w:rPr>
            </w:pPr>
            <w:r>
              <w:rPr>
                <w:rFonts w:ascii="宋体" w:hAnsi="宋体" w:cs="宋体" w:eastAsia="宋体" w:hint="default"/>
                <w:sz w:val="18"/>
                <w:szCs w:val="18"/>
              </w:rPr>
              <w:t>真空热处理设备智能化研 发和远程服务系统信息平 台建设专项资金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3"/>
              <w:jc w:val="both"/>
              <w:rPr>
                <w:rFonts w:ascii="宋体" w:hAnsi="宋体" w:cs="宋体" w:eastAsia="宋体" w:hint="default"/>
                <w:sz w:val="18"/>
                <w:szCs w:val="18"/>
              </w:rPr>
            </w:pPr>
            <w:r>
              <w:rPr>
                <w:rFonts w:ascii="宋体" w:hAnsi="宋体" w:cs="宋体" w:eastAsia="宋体" w:hint="default"/>
                <w:sz w:val="18"/>
                <w:szCs w:val="18"/>
              </w:rPr>
              <w:t>热处理设备智能化和远程 服务系统提升创新专项资 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13"/>
              <w:jc w:val="both"/>
              <w:rPr>
                <w:rFonts w:ascii="宋体" w:hAnsi="宋体" w:cs="宋体" w:eastAsia="宋体" w:hint="default"/>
                <w:sz w:val="18"/>
                <w:szCs w:val="18"/>
              </w:rPr>
            </w:pPr>
            <w:r>
              <w:rPr>
                <w:rFonts w:ascii="宋体" w:hAnsi="宋体" w:cs="宋体" w:eastAsia="宋体" w:hint="default"/>
                <w:sz w:val="18"/>
                <w:szCs w:val="18"/>
              </w:rPr>
              <w:t>精密模具及汽车零件高档 热处理专业化配套加工扩 建项目专项资金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687" w:footer="979" w:top="1140" w:bottom="1160" w:left="920" w:right="0"/>
        </w:sectPr>
      </w:pPr>
    </w:p>
    <w:p>
      <w:pPr>
        <w:spacing w:line="240" w:lineRule="auto" w:before="9"/>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128"/>
        <w:gridCol w:w="1134"/>
        <w:gridCol w:w="1134"/>
        <w:gridCol w:w="1134"/>
        <w:gridCol w:w="991"/>
        <w:gridCol w:w="710"/>
        <w:gridCol w:w="425"/>
        <w:gridCol w:w="1135"/>
        <w:gridCol w:w="1063"/>
      </w:tblGrid>
      <w:tr>
        <w:trPr>
          <w:trHeight w:val="57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青岛发生技术创新平台建 设计划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7"/>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青岛丰东科技型中小企业 技术创新基金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新能源汽车零部件热处理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1,280,000.00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128,000.00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1,152,000.00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齿轮热处理应用研究补贴</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基于国产基础软件的企业 在线管理平台建设补助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2,476.43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2,476.43</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13"/>
              <w:jc w:val="left"/>
              <w:rPr>
                <w:rFonts w:ascii="宋体" w:hAnsi="宋体" w:cs="宋体" w:eastAsia="宋体" w:hint="default"/>
                <w:sz w:val="18"/>
                <w:szCs w:val="18"/>
              </w:rPr>
            </w:pPr>
            <w:r>
              <w:rPr>
                <w:rFonts w:ascii="宋体" w:hAnsi="宋体" w:cs="宋体" w:eastAsia="宋体" w:hint="default"/>
                <w:sz w:val="18"/>
                <w:szCs w:val="18"/>
              </w:rPr>
              <w:t>中小企业财税云服务平台 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7"/>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23,493,935.40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1,680,000.00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2,260,524.00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670,476.43</w:t>
            </w:r>
          </w:p>
        </w:tc>
        <w:tc>
          <w:tcPr>
            <w:tcW w:w="7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22,242,934.97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9"/>
          <w:szCs w:val="19"/>
        </w:rPr>
      </w:pPr>
    </w:p>
    <w:p>
      <w:pPr>
        <w:pStyle w:val="Heading3"/>
        <w:spacing w:line="240" w:lineRule="auto" w:before="38"/>
        <w:ind w:left="615" w:right="482"/>
        <w:jc w:val="left"/>
        <w:rPr>
          <w:b w:val="0"/>
          <w:bCs w:val="0"/>
        </w:rPr>
      </w:pPr>
      <w:bookmarkStart w:name="30、股本" w:id="298"/>
      <w:bookmarkEnd w:id="298"/>
      <w:r>
        <w:rPr>
          <w:b w:val="0"/>
          <w:bCs w:val="0"/>
        </w:rPr>
      </w:r>
      <w:r>
        <w:rPr>
          <w:rFonts w:ascii="Times New Roman" w:hAnsi="Times New Roman" w:cs="Times New Roman" w:eastAsia="Times New Roman" w:hint="default"/>
        </w:rPr>
        <w:t>30</w:t>
      </w:r>
      <w:r>
        <w:rPr/>
        <w:t>、股本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490,741,853.00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490,741,853.00</w:t>
            </w:r>
          </w:p>
        </w:tc>
      </w:tr>
    </w:tbl>
    <w:p>
      <w:pPr>
        <w:pStyle w:val="BodyText"/>
        <w:spacing w:line="357" w:lineRule="auto" w:before="51"/>
        <w:ind w:left="573" w:right="482"/>
        <w:jc w:val="left"/>
      </w:pPr>
      <w:r>
        <w:rPr/>
        <w:t>其他说明： 上述股本经众华会计师事务所（特殊普通合伙）众会字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6131</w:t>
      </w:r>
      <w:r>
        <w:rPr/>
        <w:t>号《验资报告》验证。年末股本与注册资本一致。</w:t>
      </w:r>
    </w:p>
    <w:p>
      <w:pPr>
        <w:spacing w:line="240" w:lineRule="auto" w:before="0"/>
        <w:rPr>
          <w:rFonts w:ascii="宋体" w:hAnsi="宋体" w:cs="宋体" w:eastAsia="宋体" w:hint="default"/>
          <w:sz w:val="19"/>
          <w:szCs w:val="19"/>
        </w:rPr>
      </w:pPr>
    </w:p>
    <w:p>
      <w:pPr>
        <w:pStyle w:val="Heading3"/>
        <w:spacing w:line="240" w:lineRule="auto"/>
        <w:ind w:left="615" w:right="482"/>
        <w:jc w:val="left"/>
        <w:rPr>
          <w:b w:val="0"/>
          <w:bCs w:val="0"/>
        </w:rPr>
      </w:pPr>
      <w:bookmarkStart w:name="31、资本公积" w:id="299"/>
      <w:bookmarkEnd w:id="299"/>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2,954,442,231.32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594,903.87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2,953,847,327.45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2,954,442,231.32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594,903.87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2,953,847,327.45</w:t>
            </w:r>
          </w:p>
        </w:tc>
      </w:tr>
    </w:tbl>
    <w:p>
      <w:pPr>
        <w:pStyle w:val="BodyText"/>
        <w:spacing w:line="357" w:lineRule="auto" w:before="51"/>
        <w:ind w:left="574" w:right="1287"/>
        <w:jc w:val="left"/>
      </w:pPr>
      <w:r>
        <w:rPr/>
        <w:t>其他说明，包括本期增减变动情况、变动原因说明： 资本公积本年度减少</w:t>
      </w:r>
      <w:r>
        <w:rPr>
          <w:rFonts w:ascii="Times New Roman" w:hAnsi="Times New Roman" w:cs="Times New Roman" w:eastAsia="Times New Roman" w:hint="default"/>
        </w:rPr>
        <w:t>594,903.87</w:t>
      </w:r>
      <w:r>
        <w:rPr/>
        <w:t>元系转让重庆丰东</w:t>
      </w:r>
      <w:r>
        <w:rPr>
          <w:rFonts w:ascii="Times New Roman" w:hAnsi="Times New Roman" w:cs="Times New Roman" w:eastAsia="Times New Roman" w:hint="default"/>
        </w:rPr>
        <w:t>31.15%</w:t>
      </w:r>
      <w:r>
        <w:rPr/>
        <w:t>的股权，收回投资款与按净资产比例计算价值之间的差额。</w:t>
      </w:r>
    </w:p>
    <w:p>
      <w:pPr>
        <w:spacing w:line="240" w:lineRule="auto" w:before="0"/>
        <w:rPr>
          <w:rFonts w:ascii="宋体" w:hAnsi="宋体" w:cs="宋体" w:eastAsia="宋体" w:hint="default"/>
          <w:sz w:val="19"/>
          <w:szCs w:val="19"/>
        </w:rPr>
      </w:pPr>
    </w:p>
    <w:p>
      <w:pPr>
        <w:pStyle w:val="Heading3"/>
        <w:spacing w:line="240" w:lineRule="auto"/>
        <w:ind w:left="616" w:right="482"/>
        <w:jc w:val="left"/>
        <w:rPr>
          <w:b w:val="0"/>
          <w:bCs w:val="0"/>
        </w:rPr>
      </w:pPr>
      <w:bookmarkStart w:name="32、盈余公积" w:id="300"/>
      <w:bookmarkEnd w:id="300"/>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0"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28,528,732.05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1,730,318.29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30,259,050.34</w:t>
            </w:r>
          </w:p>
        </w:tc>
      </w:tr>
      <w:tr>
        <w:trPr>
          <w:trHeight w:val="37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28,528,732.05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1,730,318.29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30,259,050.34</w:t>
            </w:r>
          </w:p>
        </w:tc>
      </w:tr>
    </w:tbl>
    <w:p>
      <w:pPr>
        <w:spacing w:line="240" w:lineRule="auto" w:before="7"/>
        <w:rPr>
          <w:rFonts w:ascii="宋体" w:hAnsi="宋体" w:cs="宋体" w:eastAsia="宋体" w:hint="default"/>
          <w:sz w:val="19"/>
          <w:szCs w:val="19"/>
        </w:rPr>
      </w:pPr>
    </w:p>
    <w:p>
      <w:pPr>
        <w:pStyle w:val="Heading3"/>
        <w:spacing w:line="240" w:lineRule="auto" w:before="38"/>
        <w:ind w:left="615" w:right="482"/>
        <w:jc w:val="left"/>
        <w:rPr>
          <w:b w:val="0"/>
          <w:bCs w:val="0"/>
        </w:rPr>
      </w:pPr>
      <w:bookmarkStart w:name="33、未分配利润" w:id="301"/>
      <w:bookmarkEnd w:id="301"/>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725"/>
        <w:gridCol w:w="2925"/>
        <w:gridCol w:w="2918"/>
      </w:tblGrid>
      <w:tr>
        <w:trPr>
          <w:trHeight w:val="370"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687" w:footer="979" w:top="1140" w:bottom="1160" w:left="92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37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228,160,267.55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190,305,315.14</w:t>
            </w:r>
          </w:p>
        </w:tc>
      </w:tr>
      <w:tr>
        <w:trPr>
          <w:trHeight w:val="37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228,160,267.55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190,305,315.14</w:t>
            </w:r>
          </w:p>
        </w:tc>
      </w:tr>
      <w:tr>
        <w:trPr>
          <w:trHeight w:val="37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230,474,158.71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46,556,799.86</w:t>
            </w:r>
          </w:p>
        </w:tc>
      </w:tr>
      <w:tr>
        <w:trPr>
          <w:trHeight w:val="37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1,730,318.29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661,847.45</w:t>
            </w:r>
          </w:p>
        </w:tc>
      </w:tr>
      <w:tr>
        <w:trPr>
          <w:trHeight w:val="37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8,040,000.00</w:t>
            </w:r>
          </w:p>
        </w:tc>
      </w:tr>
      <w:tr>
        <w:trPr>
          <w:trHeight w:val="370"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456,904,107.97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228,160,267.55</w:t>
            </w:r>
          </w:p>
        </w:tc>
      </w:tr>
    </w:tbl>
    <w:p>
      <w:pPr>
        <w:pStyle w:val="BodyText"/>
        <w:spacing w:line="240" w:lineRule="auto" w:before="51"/>
        <w:ind w:left="514" w:right="1118"/>
        <w:jc w:val="left"/>
      </w:pPr>
      <w:r>
        <w:rPr/>
        <w:t>调整期初未分配利润明细：</w:t>
      </w:r>
    </w:p>
    <w:p>
      <w:pPr>
        <w:pStyle w:val="BodyText"/>
        <w:spacing w:line="240" w:lineRule="auto" w:before="117"/>
        <w:ind w:left="514" w:right="1118"/>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4" w:right="1118"/>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18"/>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18"/>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18"/>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4、营业收入和营业成本" w:id="302"/>
      <w:bookmarkEnd w:id="302"/>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90"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75"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90"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7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940,874,270.52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508,177,386.31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435,475,159.70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292,202,030.29</w:t>
            </w:r>
          </w:p>
        </w:tc>
      </w:tr>
      <w:tr>
        <w:trPr>
          <w:trHeight w:val="37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56,867,996.95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34,320,174.17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48,363,557.95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29,056,326.81</w:t>
            </w:r>
          </w:p>
        </w:tc>
      </w:tr>
      <w:tr>
        <w:trPr>
          <w:trHeight w:val="37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997,742,267.47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542,497,560.48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483,838,717.65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321,258,357.10</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5、税金及附加" w:id="303"/>
      <w:bookmarkEnd w:id="303"/>
      <w:r>
        <w:rPr>
          <w:b w:val="0"/>
          <w:bCs w:val="0"/>
        </w:rPr>
      </w:r>
      <w:r>
        <w:rPr>
          <w:rFonts w:ascii="Times New Roman" w:hAnsi="Times New Roman" w:cs="Times New Roman" w:eastAsia="Times New Roman" w:hint="default"/>
        </w:rPr>
        <w:t>35</w:t>
      </w:r>
      <w:r>
        <w:rPr/>
        <w:t>、税金及附加</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1"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3,387,935.68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2,438,648.55</w:t>
            </w:r>
          </w:p>
        </w:tc>
      </w:tr>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2,579,587.48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1,845,858.67</w:t>
            </w:r>
          </w:p>
        </w:tc>
      </w:tr>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1,485,996.61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1,147,886.74</w:t>
            </w:r>
          </w:p>
        </w:tc>
      </w:tr>
      <w:tr>
        <w:trPr>
          <w:trHeight w:val="371"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747,422.80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646,065.59</w:t>
            </w:r>
          </w:p>
        </w:tc>
      </w:tr>
      <w:tr>
        <w:trPr>
          <w:trHeight w:val="370"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其他税</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1,276,331.27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2,262,214.60</w:t>
            </w:r>
          </w:p>
        </w:tc>
      </w:tr>
      <w:tr>
        <w:trPr>
          <w:trHeight w:val="371"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9,477,273.84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8,340,674.15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6、销售费用" w:id="304"/>
      <w:bookmarkEnd w:id="304"/>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7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4,818,566.76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3,045,598.53</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包装运输费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6,163,486.89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4,544,352.52</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3,355,663.66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830,948.50</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12,597,528.85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5,135,815.19</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1,077,220.68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938,984.91</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产品维修及服务费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5,970,264.93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5,239,035.40</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3,933,998.67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2,602,707.00</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119,276.79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298,071.84</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1,451,147.00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1,164,623.08</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39,487,154.23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23,800,136.97</w:t>
            </w:r>
          </w:p>
        </w:tc>
      </w:tr>
    </w:tbl>
    <w:p>
      <w:pPr>
        <w:spacing w:line="240" w:lineRule="auto" w:before="9"/>
        <w:rPr>
          <w:rFonts w:ascii="宋体" w:hAnsi="宋体" w:cs="宋体" w:eastAsia="宋体" w:hint="default"/>
          <w:sz w:val="6"/>
          <w:szCs w:val="6"/>
        </w:rPr>
      </w:pPr>
    </w:p>
    <w:p>
      <w:pPr>
        <w:pStyle w:val="BodyText"/>
        <w:spacing w:line="357" w:lineRule="auto" w:before="44"/>
        <w:ind w:right="1963"/>
        <w:jc w:val="left"/>
      </w:pPr>
      <w:r>
        <w:rPr/>
        <w:t>其他说明： 销售费用本年数比上年数增加</w:t>
      </w:r>
      <w:r>
        <w:rPr>
          <w:rFonts w:ascii="Times New Roman" w:hAnsi="Times New Roman" w:cs="Times New Roman" w:eastAsia="Times New Roman" w:hint="default"/>
        </w:rPr>
        <w:t>15,687,017.26</w:t>
      </w:r>
      <w:r>
        <w:rPr/>
        <w:t>元，增加比例为</w:t>
      </w:r>
      <w:r>
        <w:rPr>
          <w:rFonts w:ascii="Times New Roman" w:hAnsi="Times New Roman" w:cs="Times New Roman" w:eastAsia="Times New Roman" w:hint="default"/>
        </w:rPr>
        <w:t>65.91%</w:t>
      </w:r>
      <w:r>
        <w:rPr/>
        <w:t>，主要系本年度合并方欣科技全年所致。</w:t>
      </w:r>
    </w:p>
    <w:p>
      <w:pPr>
        <w:spacing w:line="240" w:lineRule="auto" w:before="0"/>
        <w:rPr>
          <w:rFonts w:ascii="宋体" w:hAnsi="宋体" w:cs="宋体" w:eastAsia="宋体" w:hint="default"/>
          <w:sz w:val="19"/>
          <w:szCs w:val="19"/>
        </w:rPr>
      </w:pPr>
    </w:p>
    <w:p>
      <w:pPr>
        <w:pStyle w:val="Heading3"/>
        <w:spacing w:line="240" w:lineRule="auto"/>
        <w:ind w:left="556" w:right="1118"/>
        <w:jc w:val="left"/>
        <w:rPr>
          <w:b w:val="0"/>
          <w:bCs w:val="0"/>
        </w:rPr>
      </w:pPr>
      <w:bookmarkStart w:name="37、管理费用" w:id="305"/>
      <w:bookmarkEnd w:id="305"/>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7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员工工资和福利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40,575,344.46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27,172,561.84</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60,700,880.22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21,946,004.54</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6,953,084.98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3,984,757.71</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7,399,189.04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5,264,107.73</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各项税费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104,910.91</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8,162,220.19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5,222,066.06</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资产摊销、折旧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16,763,772.57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8,073,970.65</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10,597,480.81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1,366,344.84</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1,160,729.66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3,949,512.14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4,407,955.22</w:t>
            </w:r>
          </w:p>
        </w:tc>
      </w:tr>
      <w:tr>
        <w:trPr>
          <w:trHeight w:val="37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3,288,160.60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1,682,531.88</w:t>
            </w:r>
          </w:p>
        </w:tc>
      </w:tr>
      <w:tr>
        <w:trPr>
          <w:trHeight w:val="37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159,550,374.67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79,225,211.38</w:t>
            </w:r>
          </w:p>
        </w:tc>
      </w:tr>
    </w:tbl>
    <w:p>
      <w:pPr>
        <w:spacing w:line="240" w:lineRule="auto" w:before="9"/>
        <w:rPr>
          <w:rFonts w:ascii="宋体" w:hAnsi="宋体" w:cs="宋体" w:eastAsia="宋体" w:hint="default"/>
          <w:sz w:val="6"/>
          <w:szCs w:val="6"/>
        </w:rPr>
      </w:pPr>
    </w:p>
    <w:p>
      <w:pPr>
        <w:pStyle w:val="BodyText"/>
        <w:spacing w:line="357" w:lineRule="auto" w:before="44"/>
        <w:ind w:right="1873"/>
        <w:jc w:val="left"/>
      </w:pPr>
      <w:r>
        <w:rPr/>
        <w:t>其他说明： 管理费用本年数比上年数增加</w:t>
      </w:r>
      <w:r>
        <w:rPr>
          <w:rFonts w:ascii="Times New Roman" w:hAnsi="Times New Roman" w:cs="Times New Roman" w:eastAsia="Times New Roman" w:hint="default"/>
        </w:rPr>
        <w:t>80,325,163.29</w:t>
      </w:r>
      <w:r>
        <w:rPr/>
        <w:t>元，增加比例为</w:t>
      </w:r>
      <w:r>
        <w:rPr>
          <w:rFonts w:ascii="Times New Roman" w:hAnsi="Times New Roman" w:cs="Times New Roman" w:eastAsia="Times New Roman" w:hint="default"/>
        </w:rPr>
        <w:t>101.39%</w:t>
      </w:r>
      <w:r>
        <w:rPr/>
        <w:t>，主要系本年度合并方欣科技全年所致。</w:t>
      </w:r>
    </w:p>
    <w:p>
      <w:pPr>
        <w:spacing w:line="240" w:lineRule="auto" w:before="0"/>
        <w:rPr>
          <w:rFonts w:ascii="宋体" w:hAnsi="宋体" w:cs="宋体" w:eastAsia="宋体" w:hint="default"/>
          <w:sz w:val="19"/>
          <w:szCs w:val="19"/>
        </w:rPr>
      </w:pPr>
    </w:p>
    <w:p>
      <w:pPr>
        <w:pStyle w:val="Heading3"/>
        <w:spacing w:line="240" w:lineRule="auto"/>
        <w:ind w:left="556" w:right="1118"/>
        <w:jc w:val="left"/>
        <w:rPr>
          <w:b w:val="0"/>
          <w:bCs w:val="0"/>
        </w:rPr>
      </w:pPr>
      <w:bookmarkStart w:name="38、财务费用" w:id="306"/>
      <w:bookmarkEnd w:id="306"/>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-703,594.56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2,921,557.07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9,364,686.21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2,161,388.55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利息净支出</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-10,068,280.77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760,168.52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加：汇兑净损失</w:t>
            </w:r>
            <w:r>
              <w:rPr>
                <w:rFonts w:ascii="Times New Roman" w:hAnsi="Times New Roman" w:cs="Times New Roman" w:eastAsia="Times New Roman" w:hint="default"/>
                <w:sz w:val="18"/>
                <w:szCs w:val="18"/>
              </w:rPr>
              <w:t>/</w:t>
            </w:r>
            <w:r>
              <w:rPr>
                <w:rFonts w:ascii="宋体" w:hAnsi="宋体" w:cs="宋体" w:eastAsia="宋体" w:hint="default"/>
                <w:sz w:val="18"/>
                <w:szCs w:val="18"/>
              </w:rPr>
              <w:t>（净收益）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368,545.52</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224,436.22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92,089.76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-9,836,034.52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1,220,803.80</w:t>
            </w:r>
          </w:p>
        </w:tc>
      </w:tr>
    </w:tbl>
    <w:p>
      <w:pPr>
        <w:spacing w:line="240" w:lineRule="auto" w:before="9"/>
        <w:rPr>
          <w:rFonts w:ascii="宋体" w:hAnsi="宋体" w:cs="宋体" w:eastAsia="宋体" w:hint="default"/>
          <w:sz w:val="6"/>
          <w:szCs w:val="6"/>
        </w:rPr>
      </w:pPr>
    </w:p>
    <w:p>
      <w:pPr>
        <w:pStyle w:val="BodyText"/>
        <w:spacing w:line="357" w:lineRule="auto" w:before="44"/>
        <w:ind w:right="1127"/>
        <w:jc w:val="left"/>
      </w:pPr>
      <w:r>
        <w:rPr/>
        <w:t>其他说明： </w:t>
      </w:r>
      <w:r>
        <w:rPr>
          <w:spacing w:val="-1"/>
        </w:rPr>
        <w:t>财务费用本年数比上年数减少</w:t>
      </w:r>
      <w:r>
        <w:rPr>
          <w:rFonts w:ascii="Times New Roman" w:hAnsi="Times New Roman" w:cs="Times New Roman" w:eastAsia="Times New Roman" w:hint="default"/>
          <w:spacing w:val="-1"/>
        </w:rPr>
        <w:t>11,056,838.32</w:t>
      </w:r>
      <w:r>
        <w:rPr>
          <w:spacing w:val="-1"/>
        </w:rPr>
        <w:t>元，减少比例为</w:t>
      </w:r>
      <w:r>
        <w:rPr>
          <w:rFonts w:ascii="Times New Roman" w:hAnsi="Times New Roman" w:cs="Times New Roman" w:eastAsia="Times New Roman" w:hint="default"/>
          <w:spacing w:val="-1"/>
        </w:rPr>
        <w:t>905.70%</w:t>
      </w:r>
      <w:r>
        <w:rPr>
          <w:spacing w:val="-1"/>
        </w:rPr>
        <w:t>，系收到政府贴息冲减利息支出</w:t>
      </w:r>
      <w:r>
        <w:rPr>
          <w:rFonts w:ascii="Times New Roman" w:hAnsi="Times New Roman" w:cs="Times New Roman" w:eastAsia="Times New Roman" w:hint="default"/>
          <w:spacing w:val="-1"/>
        </w:rPr>
        <w:t>472</w:t>
      </w:r>
      <w:r>
        <w:rPr>
          <w:spacing w:val="-1"/>
        </w:rPr>
        <w:t>万元，及募集资</w:t>
      </w:r>
    </w:p>
    <w:p>
      <w:pPr>
        <w:pStyle w:val="BodyText"/>
        <w:spacing w:line="214" w:lineRule="exact"/>
        <w:ind w:left="153" w:right="1118"/>
        <w:jc w:val="left"/>
      </w:pPr>
      <w:r>
        <w:rPr/>
        <w:t>金利息收入</w:t>
      </w:r>
      <w:r>
        <w:rPr>
          <w:rFonts w:ascii="Times New Roman" w:hAnsi="Times New Roman" w:cs="Times New Roman" w:eastAsia="Times New Roman" w:hint="default"/>
        </w:rPr>
        <w:t>814.87</w:t>
      </w:r>
      <w:r>
        <w:rPr/>
        <w:t>万元。</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9、资产减值损失" w:id="307"/>
      <w:bookmarkEnd w:id="307"/>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14,554,242.49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6,200,780.73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1,745,168.01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934,766.71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16,299,410.50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7,555,547.44</w:t>
            </w:r>
          </w:p>
        </w:tc>
      </w:tr>
    </w:tbl>
    <w:p>
      <w:pPr>
        <w:pStyle w:val="BodyText"/>
        <w:spacing w:line="240" w:lineRule="auto" w:before="51"/>
        <w:ind w:left="154" w:right="1118"/>
        <w:jc w:val="left"/>
      </w:pPr>
      <w:r>
        <w:rPr/>
        <w:t>其他说明：</w:t>
      </w:r>
    </w:p>
    <w:p>
      <w:pPr>
        <w:pStyle w:val="BodyText"/>
        <w:spacing w:line="300" w:lineRule="auto" w:before="116"/>
        <w:ind w:left="153" w:right="1127"/>
        <w:jc w:val="left"/>
      </w:pPr>
      <w:r>
        <w:rPr>
          <w:spacing w:val="-1"/>
        </w:rPr>
        <w:t>资产减值损失本年数比上年数增加</w:t>
      </w:r>
      <w:r>
        <w:rPr>
          <w:rFonts w:ascii="Times New Roman" w:hAnsi="Times New Roman" w:cs="Times New Roman" w:eastAsia="Times New Roman" w:hint="default"/>
          <w:spacing w:val="-1"/>
        </w:rPr>
        <w:t>8,743,863.06</w:t>
      </w:r>
      <w:r>
        <w:rPr>
          <w:spacing w:val="-1"/>
        </w:rPr>
        <w:t>元，增加比例为</w:t>
      </w:r>
      <w:r>
        <w:rPr>
          <w:rFonts w:ascii="Times New Roman" w:hAnsi="Times New Roman" w:cs="Times New Roman" w:eastAsia="Times New Roman" w:hint="default"/>
          <w:spacing w:val="-1"/>
        </w:rPr>
        <w:t>115.73%</w:t>
      </w:r>
      <w:r>
        <w:rPr>
          <w:spacing w:val="-1"/>
        </w:rPr>
        <w:t>，主要系收入规模增长引起应收账款增加，相应坏账</w:t>
      </w:r>
      <w:r>
        <w:rPr>
          <w:spacing w:val="-82"/>
        </w:rPr>
        <w:t> </w:t>
      </w:r>
      <w:r>
        <w:rPr>
          <w:spacing w:val="-82"/>
        </w:rPr>
      </w:r>
      <w:r>
        <w:rPr/>
        <w:t>准备计提增加及对部分呆滞存货增加计提存货跌价准备所致。</w:t>
      </w:r>
    </w:p>
    <w:p>
      <w:pPr>
        <w:spacing w:line="240" w:lineRule="auto" w:before="2"/>
        <w:rPr>
          <w:rFonts w:ascii="宋体" w:hAnsi="宋体" w:cs="宋体" w:eastAsia="宋体" w:hint="default"/>
          <w:sz w:val="24"/>
          <w:szCs w:val="24"/>
        </w:rPr>
      </w:pPr>
    </w:p>
    <w:p>
      <w:pPr>
        <w:pStyle w:val="Heading3"/>
        <w:spacing w:line="240" w:lineRule="auto"/>
        <w:ind w:left="154" w:right="1118"/>
        <w:jc w:val="left"/>
        <w:rPr>
          <w:b w:val="0"/>
          <w:bCs w:val="0"/>
        </w:rPr>
      </w:pPr>
      <w:bookmarkStart w:name="40、投资收益" w:id="308"/>
      <w:bookmarkEnd w:id="308"/>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9,181,119.27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2,431,457.04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-146,163.65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-790,332.79</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9,480,377.44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145,548.17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661,582.60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18,660,881.23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2,302,706.85</w:t>
            </w:r>
          </w:p>
        </w:tc>
      </w:tr>
    </w:tbl>
    <w:p>
      <w:pPr>
        <w:pStyle w:val="BodyText"/>
        <w:spacing w:line="357" w:lineRule="auto" w:before="51"/>
        <w:ind w:right="1153"/>
        <w:jc w:val="left"/>
      </w:pPr>
      <w:r>
        <w:rPr/>
        <w:t>其他说明： 投资收益本年数比上年数增加</w:t>
      </w:r>
      <w:r>
        <w:rPr>
          <w:rFonts w:ascii="Times New Roman" w:hAnsi="Times New Roman" w:cs="Times New Roman" w:eastAsia="Times New Roman" w:hint="default"/>
        </w:rPr>
        <w:t>16,358,174.38</w:t>
      </w:r>
      <w:r>
        <w:rPr/>
        <w:t>元，增加比例为</w:t>
      </w:r>
      <w:r>
        <w:rPr>
          <w:rFonts w:ascii="Times New Roman" w:hAnsi="Times New Roman" w:cs="Times New Roman" w:eastAsia="Times New Roman" w:hint="default"/>
        </w:rPr>
        <w:t>710.39%</w:t>
      </w:r>
      <w:r>
        <w:rPr/>
        <w:t>，主要系合营公司利润增加及购买保本理财产品收</w:t>
      </w:r>
    </w:p>
    <w:p>
      <w:pPr>
        <w:pStyle w:val="BodyText"/>
        <w:spacing w:line="201" w:lineRule="exact"/>
        <w:ind w:left="153" w:right="1118"/>
        <w:jc w:val="left"/>
      </w:pPr>
      <w:r>
        <w:rPr/>
        <w:t>益所致。</w:t>
      </w:r>
    </w:p>
    <w:p>
      <w:pPr>
        <w:spacing w:line="240" w:lineRule="auto" w:before="0"/>
        <w:rPr>
          <w:rFonts w:ascii="宋体" w:hAnsi="宋体" w:cs="宋体" w:eastAsia="宋体" w:hint="default"/>
          <w:sz w:val="18"/>
          <w:szCs w:val="18"/>
        </w:rPr>
      </w:pPr>
    </w:p>
    <w:p>
      <w:pPr>
        <w:pStyle w:val="Heading3"/>
        <w:spacing w:line="240" w:lineRule="auto" w:before="124"/>
        <w:ind w:right="1118"/>
        <w:jc w:val="left"/>
        <w:rPr>
          <w:b w:val="0"/>
          <w:bCs w:val="0"/>
        </w:rPr>
      </w:pPr>
      <w:bookmarkStart w:name="41、资产处置收益" w:id="309"/>
      <w:bookmarkEnd w:id="309"/>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-1,959,650.01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2,927,656.82</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42、其他收益" w:id="310"/>
      <w:bookmarkEnd w:id="310"/>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4,201,346.38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1,131,000.43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与收益相关的政府补助转入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研发经费补助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2,856,500.00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328,362.60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43、营业外收入" w:id="311"/>
      <w:bookmarkEnd w:id="311"/>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04"/>
        <w:gridCol w:w="2479"/>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4,867,831.30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10,364,678.88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4,867,831.30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988,425.59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116,089.67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988,425.59</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5,856,256.89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10,480,768.55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5,856,256.89</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3"/>
        <w:gridCol w:w="991"/>
        <w:gridCol w:w="568"/>
        <w:gridCol w:w="566"/>
        <w:gridCol w:w="852"/>
        <w:gridCol w:w="708"/>
        <w:gridCol w:w="1134"/>
        <w:gridCol w:w="1134"/>
        <w:gridCol w:w="1063"/>
      </w:tblGrid>
      <w:tr>
        <w:trPr>
          <w:trHeight w:val="810"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9"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8" w:right="96"/>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61" w:right="59"/>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77"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2"/>
              <w:ind w:left="381" w:right="201"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22"/>
              <w:ind w:left="381" w:right="200"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58"/>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8"/>
              <w:jc w:val="left"/>
              <w:rPr>
                <w:rFonts w:ascii="宋体" w:hAnsi="宋体" w:cs="宋体" w:eastAsia="宋体" w:hint="default"/>
                <w:sz w:val="18"/>
                <w:szCs w:val="18"/>
              </w:rPr>
            </w:pPr>
            <w:r>
              <w:rPr>
                <w:rFonts w:ascii="宋体" w:hAnsi="宋体" w:cs="宋体" w:eastAsia="宋体" w:hint="default"/>
                <w:sz w:val="18"/>
                <w:szCs w:val="18"/>
              </w:rPr>
              <w:t>智能化真空热处理设备的开发 及产业化项目</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460,524.00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81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8"/>
              <w:jc w:val="both"/>
              <w:rPr>
                <w:rFonts w:ascii="宋体" w:hAnsi="宋体" w:cs="宋体" w:eastAsia="宋体" w:hint="default"/>
                <w:sz w:val="18"/>
                <w:szCs w:val="18"/>
              </w:rPr>
            </w:pPr>
            <w:r>
              <w:rPr>
                <w:rFonts w:ascii="宋体" w:hAnsi="宋体" w:cs="宋体" w:eastAsia="宋体" w:hint="default"/>
                <w:sz w:val="18"/>
                <w:szCs w:val="18"/>
              </w:rPr>
              <w:t>精密模具及汽车零件高档热处 理专业化配套加工扩建项目专 项资金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8"/>
              <w:jc w:val="left"/>
              <w:rPr>
                <w:rFonts w:ascii="宋体" w:hAnsi="宋体" w:cs="宋体" w:eastAsia="宋体" w:hint="default"/>
                <w:sz w:val="18"/>
                <w:szCs w:val="18"/>
              </w:rPr>
            </w:pPr>
            <w:r>
              <w:rPr>
                <w:rFonts w:ascii="宋体" w:hAnsi="宋体" w:cs="宋体" w:eastAsia="宋体" w:hint="default"/>
                <w:sz w:val="18"/>
                <w:szCs w:val="18"/>
              </w:rPr>
              <w:t>全新一代等离子渗氮设备研发 及产业化项目</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1,090,909.00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2,093,081.62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创新创牌奖励</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培育科技型中小企业补助资金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547,000.00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工业和信息化转型专项资金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大丰区财政 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年省创新能力建设专项资 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财政创新技改补贴</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609,500.00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中小企业创新转型扶持基金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357,200.00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知识产权专项奖励</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双创</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大丰区人才 工作办公室</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553"/>
        <w:gridCol w:w="991"/>
        <w:gridCol w:w="568"/>
        <w:gridCol w:w="566"/>
        <w:gridCol w:w="852"/>
        <w:gridCol w:w="708"/>
        <w:gridCol w:w="1134"/>
        <w:gridCol w:w="1134"/>
        <w:gridCol w:w="1063"/>
      </w:tblGrid>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创新示范奖</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108,998.78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8"/>
              <w:jc w:val="left"/>
              <w:rPr>
                <w:rFonts w:ascii="宋体" w:hAnsi="宋体" w:cs="宋体" w:eastAsia="宋体" w:hint="default"/>
                <w:sz w:val="18"/>
                <w:szCs w:val="18"/>
              </w:rPr>
            </w:pPr>
            <w:r>
              <w:rPr>
                <w:rFonts w:ascii="宋体" w:hAnsi="宋体" w:cs="宋体" w:eastAsia="宋体" w:hint="default"/>
                <w:sz w:val="18"/>
                <w:szCs w:val="18"/>
              </w:rPr>
              <w:t>工贸科市级商务发展参展品牌 专项资金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盐城市大丰 区财政局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省设服务型制造示范企业补助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盐城市大丰 区财政局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8"/>
              <w:jc w:val="left"/>
              <w:rPr>
                <w:rFonts w:ascii="宋体" w:hAnsi="宋体" w:cs="宋体" w:eastAsia="宋体" w:hint="default"/>
                <w:sz w:val="18"/>
                <w:szCs w:val="18"/>
              </w:rPr>
            </w:pPr>
            <w:r>
              <w:rPr>
                <w:rFonts w:ascii="宋体" w:hAnsi="宋体" w:cs="宋体" w:eastAsia="宋体" w:hint="default"/>
                <w:sz w:val="18"/>
                <w:szCs w:val="18"/>
              </w:rPr>
              <w:t>两化融合管理体系标准达标企 业补助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盐城市大丰 区财政局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对外经贸专项</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市级战略性新兴产业发展 专项资金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工贸科工业信息化转型升级</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8"/>
              <w:jc w:val="left"/>
              <w:rPr>
                <w:rFonts w:ascii="宋体" w:hAnsi="宋体" w:cs="宋体" w:eastAsia="宋体" w:hint="default"/>
                <w:sz w:val="18"/>
                <w:szCs w:val="18"/>
              </w:rPr>
            </w:pPr>
            <w:r>
              <w:rPr>
                <w:rFonts w:ascii="宋体" w:hAnsi="宋体" w:cs="宋体" w:eastAsia="宋体" w:hint="default"/>
                <w:sz w:val="18"/>
                <w:szCs w:val="18"/>
              </w:rPr>
              <w:t>广州开发区经济发展局鼓励商 贸服务业扩大经营奖励金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广州开发区 财政国库</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81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2"/>
              <w:jc w:val="left"/>
              <w:rPr>
                <w:rFonts w:ascii="宋体" w:hAnsi="宋体" w:cs="宋体" w:eastAsia="宋体" w:hint="default"/>
                <w:sz w:val="18"/>
                <w:szCs w:val="18"/>
              </w:rPr>
            </w:pPr>
            <w:r>
              <w:rPr>
                <w:rFonts w:ascii="宋体" w:hAnsi="宋体" w:cs="宋体" w:eastAsia="宋体" w:hint="default"/>
                <w:spacing w:val="-2"/>
                <w:sz w:val="18"/>
                <w:szCs w:val="18"/>
              </w:rPr>
              <w:t>广东省著名商标，广州市著名商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标补助款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both"/>
              <w:rPr>
                <w:rFonts w:ascii="宋体" w:hAnsi="宋体" w:cs="宋体" w:eastAsia="宋体" w:hint="default"/>
                <w:sz w:val="18"/>
                <w:szCs w:val="18"/>
              </w:rPr>
            </w:pPr>
            <w:r>
              <w:rPr>
                <w:rFonts w:ascii="宋体" w:hAnsi="宋体" w:cs="宋体" w:eastAsia="宋体" w:hint="default"/>
                <w:sz w:val="18"/>
                <w:szCs w:val="18"/>
              </w:rPr>
              <w:t>广州开发区 市场和质量 监督管理局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著作权申请登记资助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广州开发区 财政国库</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102,400.00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58"/>
              <w:ind w:left="22"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年度培育科技型中小企业 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both"/>
              <w:rPr>
                <w:rFonts w:ascii="宋体" w:hAnsi="宋体" w:cs="宋体" w:eastAsia="宋体" w:hint="default"/>
                <w:sz w:val="18"/>
                <w:szCs w:val="18"/>
              </w:rPr>
            </w:pPr>
            <w:r>
              <w:rPr>
                <w:rFonts w:ascii="宋体" w:hAnsi="宋体" w:cs="宋体" w:eastAsia="宋体" w:hint="default"/>
                <w:sz w:val="18"/>
                <w:szCs w:val="18"/>
              </w:rPr>
              <w:t>盐城市大丰 区国库集中 支付中心</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年企业转型升级补助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大丰区财政 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高新认定补贴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天河区财政局高新认定补助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年高新认定补贴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6"/>
              <w:jc w:val="left"/>
              <w:rPr>
                <w:rFonts w:ascii="宋体" w:hAnsi="宋体" w:cs="宋体" w:eastAsia="宋体" w:hint="default"/>
                <w:sz w:val="18"/>
                <w:szCs w:val="18"/>
              </w:rPr>
            </w:pPr>
            <w:r>
              <w:rPr>
                <w:rFonts w:ascii="宋体" w:hAnsi="宋体" w:cs="宋体" w:eastAsia="宋体" w:hint="default"/>
                <w:sz w:val="18"/>
                <w:szCs w:val="18"/>
              </w:rPr>
              <w:t>广州市番禺 区财政局</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其他与资产相关政府补助</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331,431.30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158,629.92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3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其他与收益相关政府补助</w:t>
            </w:r>
          </w:p>
        </w:tc>
        <w:tc>
          <w:tcPr>
            <w:tcW w:w="99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453,835.56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4,867,831.30</w:t>
            </w:r>
          </w:p>
        </w:tc>
        <w:tc>
          <w:tcPr>
            <w:tcW w:w="11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10,364,678.88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44、营业外支出" w:id="312"/>
      <w:bookmarkEnd w:id="312"/>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161"/>
        <w:gridCol w:w="2622"/>
      </w:tblGrid>
      <w:tr>
        <w:trPr>
          <w:trHeight w:val="37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3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7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183,729.65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23,735.41</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183,729.65</w:t>
            </w:r>
          </w:p>
        </w:tc>
      </w:tr>
      <w:tr>
        <w:trPr>
          <w:trHeight w:val="37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42,000.00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74,000.00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42,000.00</w:t>
            </w:r>
          </w:p>
        </w:tc>
      </w:tr>
      <w:tr>
        <w:trPr>
          <w:trHeight w:val="37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53,200.00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200,000.00</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53,200.00</w:t>
            </w:r>
          </w:p>
        </w:tc>
      </w:tr>
      <w:tr>
        <w:trPr>
          <w:trHeight w:val="37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769,144.37</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83,527.26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51,728.15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83,527.26</w:t>
            </w:r>
          </w:p>
        </w:tc>
      </w:tr>
      <w:tr>
        <w:trPr>
          <w:trHeight w:val="37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437,875.63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105,600.99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437,875.63</w:t>
            </w:r>
          </w:p>
        </w:tc>
      </w:tr>
      <w:tr>
        <w:trPr>
          <w:trHeight w:val="37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800,332.54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1,224,208.92</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800,332.54</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45、所得税费用" w:id="313"/>
      <w:bookmarkEnd w:id="313"/>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所得税费用表" w:id="314"/>
      <w:bookmarkEnd w:id="31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34,751,777.13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11,634,347.73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-3,138,047.67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361,553.33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31,613,729.46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11,995,901.06</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会计利润与所得税费用调整过程" w:id="315"/>
      <w:bookmarkEnd w:id="31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272,340,893.25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68,085,223.31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-33,299,899.41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-77,253.42</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-5,030,120.31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1,421,576.82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92,762.57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553,156.94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-131,717.04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31,613,729.46</w:t>
            </w:r>
          </w:p>
        </w:tc>
      </w:tr>
    </w:tbl>
    <w:p>
      <w:pPr>
        <w:pStyle w:val="BodyText"/>
        <w:spacing w:line="240" w:lineRule="auto" w:before="51"/>
        <w:ind w:left="514" w:right="1118"/>
        <w:jc w:val="left"/>
      </w:pPr>
      <w:r>
        <w:rPr/>
        <w:t>其他说明</w:t>
      </w:r>
    </w:p>
    <w:p>
      <w:pPr>
        <w:pStyle w:val="BodyText"/>
        <w:spacing w:line="302" w:lineRule="auto" w:before="116"/>
        <w:ind w:left="154" w:right="1205" w:firstLine="360"/>
        <w:jc w:val="left"/>
      </w:pPr>
      <w:r>
        <w:rPr/>
        <w:t>所得税本年数比上年数增加</w:t>
      </w:r>
      <w:r>
        <w:rPr>
          <w:spacing w:val="-48"/>
        </w:rPr>
        <w:t> </w:t>
      </w:r>
      <w:r>
        <w:rPr>
          <w:rFonts w:ascii="Times New Roman" w:hAnsi="Times New Roman" w:cs="Times New Roman" w:eastAsia="Times New Roman" w:hint="default"/>
        </w:rPr>
        <w:t>19,617,828.40</w:t>
      </w:r>
      <w:r>
        <w:rPr>
          <w:rFonts w:ascii="Times New Roman" w:hAnsi="Times New Roman" w:cs="Times New Roman" w:eastAsia="Times New Roman" w:hint="default"/>
          <w:spacing w:val="-2"/>
        </w:rPr>
        <w:t> </w:t>
      </w:r>
      <w:r>
        <w:rPr/>
        <w:t>元，增加比例为</w:t>
      </w:r>
      <w:r>
        <w:rPr>
          <w:spacing w:val="-48"/>
        </w:rPr>
        <w:t> </w:t>
      </w:r>
      <w:r>
        <w:rPr>
          <w:rFonts w:ascii="Times New Roman" w:hAnsi="Times New Roman" w:cs="Times New Roman" w:eastAsia="Times New Roman" w:hint="default"/>
        </w:rPr>
        <w:t>163.54%</w:t>
      </w:r>
      <w:r>
        <w:rPr/>
        <w:t>，主要系本年度合并方欣科技全年，利润总额增长 所致。</w:t>
      </w:r>
    </w:p>
    <w:p>
      <w:pPr>
        <w:spacing w:line="240" w:lineRule="auto" w:before="11"/>
        <w:rPr>
          <w:rFonts w:ascii="宋体" w:hAnsi="宋体" w:cs="宋体" w:eastAsia="宋体" w:hint="default"/>
          <w:sz w:val="23"/>
          <w:szCs w:val="23"/>
        </w:rPr>
      </w:pPr>
    </w:p>
    <w:p>
      <w:pPr>
        <w:pStyle w:val="Heading3"/>
        <w:spacing w:line="240" w:lineRule="auto"/>
        <w:ind w:left="556" w:right="1118"/>
        <w:jc w:val="left"/>
        <w:rPr>
          <w:b w:val="0"/>
          <w:bCs w:val="0"/>
        </w:rPr>
      </w:pPr>
      <w:bookmarkStart w:name="46、现金流量表项目" w:id="316"/>
      <w:bookmarkEnd w:id="316"/>
      <w:r>
        <w:rPr>
          <w:b w:val="0"/>
          <w:bCs w:val="0"/>
        </w:rPr>
      </w:r>
      <w:r>
        <w:rPr>
          <w:rFonts w:ascii="Times New Roman" w:hAnsi="Times New Roman" w:cs="Times New Roman" w:eastAsia="Times New Roman" w:hint="default"/>
        </w:rPr>
        <w:t>46</w:t>
      </w:r>
      <w:r>
        <w:rPr/>
        <w:t>、现金流量表项目</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收到的其他与经营活动有关的现金" w:id="317"/>
      <w:bookmarkEnd w:id="31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9,364,686.21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2,161,388.55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16,974,040.28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7,804,615.96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26,338,726.49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9,966,004.51</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支付的其他与经营活动有关的现金" w:id="318"/>
      <w:bookmarkEnd w:id="31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41,510,377.42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22,065,348.42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29,470,348.59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18,366,249.94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2,580,664.41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4,559,886.30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73,561,390.42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44,991,484.66</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收到的其他与投资活动有关的现金" w:id="319"/>
      <w:bookmarkEnd w:id="31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1,115,500,000.00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4）支付的其他与投资活动有关的现金" w:id="320"/>
      <w:bookmarkEnd w:id="32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2,048,500,000.00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2,048,500,000.00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5）收到的其他与筹资活动有关的现金" w:id="321"/>
      <w:bookmarkEnd w:id="32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47、现金流量表补充资料" w:id="322"/>
      <w:bookmarkEnd w:id="322"/>
      <w:r>
        <w:rPr>
          <w:b w:val="0"/>
          <w:bCs w:val="0"/>
        </w:rPr>
      </w:r>
      <w:r>
        <w:rPr>
          <w:rFonts w:ascii="Times New Roman" w:hAnsi="Times New Roman" w:cs="Times New Roman" w:eastAsia="Times New Roman" w:hint="default"/>
        </w:rPr>
        <w:t>47</w:t>
      </w:r>
      <w:r>
        <w:rPr/>
        <w:t>、现金流量表补充资料</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现金流量表补充资料" w:id="323"/>
      <w:bookmarkEnd w:id="32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7"/>
        <w:gridCol w:w="2138"/>
        <w:gridCol w:w="1913"/>
      </w:tblGrid>
      <w:tr>
        <w:trPr>
          <w:trHeight w:val="37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0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9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240,727,163.79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44,929,009.05</w:t>
            </w:r>
          </w:p>
        </w:tc>
      </w:tr>
      <w:tr>
        <w:trPr>
          <w:trHeight w:val="37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16,299,410.50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7,555,547.44</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r>
        <w:rPr/>
        <w:pict>
          <v:group style="position:absolute;margin-left:334.600006pt;margin-top:127.97998pt;width:103.55pt;height:18.05pt;mso-position-horizontal-relative:page;mso-position-vertical-relative:page;z-index:-986296" coordorigin="6692,2560" coordsize="2071,361">
            <v:shape style="position:absolute;left:6692;top:2560;width:2071;height:361" coordorigin="6692,2560" coordsize="2071,361" path="m6692,2920l8762,2920,8762,2560,6692,2560,6692,2920xe" filled="true" fillcolor="#ffffff" stroked="false">
              <v:path arrowok="t"/>
              <v:fill type="solid"/>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5507"/>
        <w:gridCol w:w="2138"/>
        <w:gridCol w:w="1913"/>
      </w:tblGrid>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29,837,260.13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24,486,767.47</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11,127,181.87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3,445,662.65</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10,412,800.19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2,830,883.67</w:t>
            </w:r>
          </w:p>
        </w:tc>
      </w:tr>
      <w:tr>
        <w:trPr>
          <w:trHeight w:val="371" w:hRule="exact"/>
        </w:trPr>
        <w:tc>
          <w:tcPr>
            <w:tcW w:w="550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23" w:space="0" w:color="FFFFFF"/>
              <w:bottom w:val="single" w:sz="4" w:space="0" w:color="000000"/>
              <w:right w:val="single" w:sz="4" w:space="0" w:color="000000"/>
            </w:tcBorders>
          </w:tcPr>
          <w:p>
            <w:pPr>
              <w:pStyle w:val="TableParagraph"/>
              <w:tabs>
                <w:tab w:pos="1136" w:val="left" w:leader="none"/>
              </w:tabs>
              <w:spacing w:line="240" w:lineRule="auto" w:before="55"/>
              <w:ind w:left="-13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1,959,650.01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-2,927,656.82</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183,729.65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23,735.41</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4,024,215.47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3,290,102.59</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-18,660,881.23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-2,302,706.85</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-2,285,597.18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512,295.43</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w w:val="95"/>
                <w:sz w:val="18"/>
              </w:rPr>
              <w:t>-852,450.49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w w:val="95"/>
                <w:sz w:val="18"/>
              </w:rPr>
              <w:t>-150,742.10</w:t>
            </w:r>
            <w:r>
              <w:rPr>
                <w:rFonts w:ascii="Times New Roman"/>
                <w:sz w:val="18"/>
              </w:rPr>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-9,877,447.06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20,506,522.47</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-177,886,554.10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98,588,896.57</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85,527,093.98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22,905,789.42</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-2,931,000.43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-1,710,062.92</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187,604,575.10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221,984,043.48</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720,564,908.64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1,765,522,890.82</w:t>
            </w:r>
          </w:p>
        </w:tc>
      </w:tr>
      <w:tr>
        <w:trPr>
          <w:trHeight w:val="370"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1,765,522,890.82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191,596,057.06</w:t>
            </w:r>
          </w:p>
        </w:tc>
      </w:tr>
      <w:tr>
        <w:trPr>
          <w:trHeight w:val="371"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-1,044,957,982.18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1,573,926,833.76</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本期支付的取得子公司的现金净额" w:id="324"/>
      <w:bookmarkEnd w:id="32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37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120,040,000.00</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27,940,000.00</w:t>
            </w:r>
          </w:p>
        </w:tc>
      </w:tr>
      <w:tr>
        <w:trPr>
          <w:trHeight w:val="37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浙江金财立信财务管理有限公司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62,100,000.00</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21,008,842.36</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4,733,458.29</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浙江金财立信财务管理有限公司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8,256,308.21</w:t>
            </w:r>
          </w:p>
        </w:tc>
      </w:tr>
      <w:tr>
        <w:trPr>
          <w:trHeight w:val="37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8,019,075.86</w:t>
            </w:r>
          </w:p>
        </w:tc>
      </w:tr>
      <w:tr>
        <w:trPr>
          <w:trHeight w:val="37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99,031,157.64</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3）本期收到的处置子公司的现金净额" w:id="325"/>
      <w:bookmarkEnd w:id="32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37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70"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33,099.87</w:t>
            </w:r>
          </w:p>
        </w:tc>
      </w:tr>
      <w:tr>
        <w:trPr>
          <w:trHeight w:val="370"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37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w w:val="95"/>
                <w:sz w:val="18"/>
              </w:rPr>
              <w:t>-33,099.87</w:t>
            </w:r>
            <w:r>
              <w:rPr>
                <w:rFonts w:ascii="Times New Roman"/>
                <w:sz w:val="18"/>
              </w:rPr>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4）现金和现金等价物的构成" w:id="326"/>
      <w:bookmarkEnd w:id="32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720,564,908.64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1,765,522,890.82</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991,438.58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896,303.77</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718,612,877.32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1,764,626,587.05</w:t>
            </w: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960,592.74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720,564,908.64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1,765,522,890.82</w:t>
            </w:r>
          </w:p>
        </w:tc>
      </w:tr>
    </w:tbl>
    <w:p>
      <w:pPr>
        <w:spacing w:line="240" w:lineRule="auto" w:before="9"/>
        <w:rPr>
          <w:rFonts w:ascii="宋体" w:hAnsi="宋体" w:cs="宋体" w:eastAsia="宋体" w:hint="default"/>
          <w:sz w:val="19"/>
          <w:szCs w:val="19"/>
        </w:rPr>
      </w:pPr>
    </w:p>
    <w:p>
      <w:pPr>
        <w:pStyle w:val="Heading3"/>
        <w:spacing w:line="240" w:lineRule="auto" w:before="38"/>
        <w:ind w:right="1118"/>
        <w:jc w:val="left"/>
        <w:rPr>
          <w:b w:val="0"/>
          <w:bCs w:val="0"/>
        </w:rPr>
      </w:pPr>
      <w:bookmarkStart w:name="48、所有者权益变动表项目注释" w:id="327"/>
      <w:bookmarkEnd w:id="327"/>
      <w:r>
        <w:rPr>
          <w:b w:val="0"/>
          <w:bCs w:val="0"/>
        </w:rPr>
      </w:r>
      <w:r>
        <w:rPr>
          <w:rFonts w:ascii="Times New Roman" w:hAnsi="Times New Roman" w:cs="Times New Roman" w:eastAsia="Times New Roman" w:hint="default"/>
        </w:rPr>
        <w:t>48</w:t>
      </w:r>
      <w:r>
        <w:rPr/>
        <w:t>、所有者权益变动表项目注释</w:t>
      </w:r>
      <w:r>
        <w:rPr>
          <w:b w:val="0"/>
          <w:bCs w:val="0"/>
        </w:rPr>
      </w:r>
    </w:p>
    <w:p>
      <w:pPr>
        <w:spacing w:line="240" w:lineRule="auto" w:before="12"/>
        <w:rPr>
          <w:rFonts w:ascii="宋体" w:hAnsi="宋体" w:cs="宋体" w:eastAsia="宋体" w:hint="default"/>
          <w:b/>
          <w:bCs/>
          <w:sz w:val="26"/>
          <w:szCs w:val="26"/>
        </w:rPr>
      </w:pPr>
    </w:p>
    <w:p>
      <w:pPr>
        <w:pStyle w:val="BodyText"/>
        <w:spacing w:line="338" w:lineRule="auto"/>
        <w:ind w:left="514" w:right="5012"/>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不适用</w:t>
      </w:r>
    </w:p>
    <w:p>
      <w:pPr>
        <w:spacing w:line="240" w:lineRule="auto" w:before="13"/>
        <w:rPr>
          <w:rFonts w:ascii="宋体" w:hAnsi="宋体" w:cs="宋体" w:eastAsia="宋体" w:hint="default"/>
          <w:sz w:val="21"/>
          <w:szCs w:val="21"/>
        </w:rPr>
      </w:pPr>
    </w:p>
    <w:p>
      <w:pPr>
        <w:pStyle w:val="Heading3"/>
        <w:spacing w:line="240" w:lineRule="auto"/>
        <w:ind w:left="556" w:right="1118"/>
        <w:jc w:val="left"/>
        <w:rPr>
          <w:b w:val="0"/>
          <w:bCs w:val="0"/>
        </w:rPr>
      </w:pPr>
      <w:bookmarkStart w:name="49、所有权或使用权受到限制的资产" w:id="328"/>
      <w:bookmarkEnd w:id="328"/>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37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7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2,678,788.57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7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1,215,675.44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370"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2,636,182.36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r>
      <w:tr>
        <w:trPr>
          <w:trHeight w:val="37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6,530,646.37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50、外币货币性项目" w:id="329"/>
      <w:bookmarkEnd w:id="329"/>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外币货币性项目" w:id="330"/>
      <w:bookmarkEnd w:id="3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320" w:right="0"/>
              <w:jc w:val="left"/>
              <w:rPr>
                <w:rFonts w:ascii="Times New Roman" w:hAnsi="Times New Roman" w:cs="Times New Roman" w:eastAsia="Times New Roman" w:hint="default"/>
                <w:sz w:val="18"/>
                <w:szCs w:val="18"/>
              </w:rPr>
            </w:pPr>
            <w:r>
              <w:rPr>
                <w:rFonts w:ascii="Times New Roman"/>
                <w:sz w:val="18"/>
              </w:rPr>
              <w:t>1,858,896.88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2" w:right="0"/>
              <w:jc w:val="left"/>
              <w:rPr>
                <w:rFonts w:ascii="Times New Roman" w:hAnsi="Times New Roman" w:cs="Times New Roman" w:eastAsia="Times New Roman" w:hint="default"/>
                <w:sz w:val="18"/>
                <w:szCs w:val="18"/>
              </w:rPr>
            </w:pPr>
            <w:r>
              <w:rPr>
                <w:rFonts w:ascii="Times New Roman"/>
                <w:sz w:val="18"/>
              </w:rPr>
              <w:t>12,146,403.99</w:t>
            </w:r>
          </w:p>
        </w:tc>
      </w:tr>
    </w:tbl>
    <w:p>
      <w:pPr>
        <w:spacing w:after="0" w:line="240" w:lineRule="auto"/>
        <w:jc w:val="lef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5"/>
        <w:rPr>
          <w:rFonts w:ascii="宋体" w:hAnsi="宋体" w:cs="宋体" w:eastAsia="宋体" w:hint="default"/>
          <w:sz w:val="19"/>
          <w:szCs w:val="19"/>
        </w:rPr>
      </w:pPr>
    </w:p>
    <w:p>
      <w:pPr>
        <w:pStyle w:val="Heading3"/>
        <w:spacing w:line="271" w:lineRule="auto" w:before="38"/>
        <w:ind w:left="153" w:right="1118" w:firstLine="402"/>
        <w:jc w:val="left"/>
        <w:rPr>
          <w:b w:val="0"/>
          <w:bCs w:val="0"/>
        </w:rPr>
      </w:pPr>
      <w:bookmarkStart w:name="（2）境外经营实体说明，包括对于重要的境外经营实体，应披露其境外主要经营地、记账" w:id="331"/>
      <w:bookmarkEnd w:id="331"/>
      <w:r>
        <w:rPr>
          <w:b w:val="0"/>
          <w:bCs w:val="0"/>
        </w:rPr>
      </w:r>
      <w:r>
        <w:rPr>
          <w:spacing w:val="-2"/>
          <w:w w:val="95"/>
        </w:rPr>
        <w:t>（</w:t>
      </w:r>
      <w:r>
        <w:rPr>
          <w:rFonts w:ascii="Times New Roman" w:hAnsi="Times New Roman" w:cs="Times New Roman" w:eastAsia="Times New Roman" w:hint="default"/>
          <w:spacing w:val="-2"/>
          <w:w w:val="95"/>
        </w:rPr>
        <w:t>2</w:t>
      </w:r>
      <w:r>
        <w:rPr>
          <w:spacing w:val="-2"/>
          <w:w w:val="95"/>
        </w:rPr>
        <w:t>）境外经营实体说明，包括对于重要的境外经营实体，应披露其境外主要经营地、记账本位币及选择依</w:t>
      </w:r>
      <w:r>
        <w:rPr>
          <w:spacing w:val="-44"/>
          <w:w w:val="95"/>
        </w:rPr>
        <w:t> </w:t>
      </w:r>
      <w:r>
        <w:rPr>
          <w:spacing w:val="-44"/>
          <w:w w:val="95"/>
        </w:rPr>
      </w:r>
      <w:r>
        <w:rPr/>
        <w:t>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51、其他" w:id="332"/>
      <w:bookmarkEnd w:id="332"/>
      <w:r>
        <w:rPr>
          <w:b w:val="0"/>
          <w:bCs w:val="0"/>
        </w:rPr>
      </w:r>
      <w:r>
        <w:rPr>
          <w:rFonts w:ascii="Times New Roman" w:hAnsi="Times New Roman" w:cs="Times New Roman" w:eastAsia="Times New Roman" w:hint="default"/>
        </w:rPr>
        <w:t>51</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left="0" w:right="8449"/>
        <w:jc w:val="center"/>
        <w:rPr>
          <w:b w:val="0"/>
          <w:bCs w:val="0"/>
        </w:rPr>
      </w:pPr>
      <w:bookmarkStart w:name="八、合并范围的变更" w:id="333"/>
      <w:bookmarkEnd w:id="333"/>
      <w:r>
        <w:rPr>
          <w:b w:val="0"/>
          <w:bCs w:val="0"/>
        </w:rPr>
      </w:r>
      <w:r>
        <w:rPr/>
        <w:t>八、合并范围的变更</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left="556" w:right="1118"/>
        <w:jc w:val="left"/>
        <w:rPr>
          <w:b w:val="0"/>
          <w:bCs w:val="0"/>
        </w:rPr>
      </w:pPr>
      <w:bookmarkStart w:name="1、非同一控制下企业合并" w:id="334"/>
      <w:bookmarkEnd w:id="33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本期发生的非同一控制下企业合并" w:id="335"/>
      <w:bookmarkEnd w:id="33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850"/>
        <w:gridCol w:w="1134"/>
        <w:gridCol w:w="852"/>
        <w:gridCol w:w="924"/>
        <w:gridCol w:w="1063"/>
        <w:gridCol w:w="989"/>
        <w:gridCol w:w="1135"/>
        <w:gridCol w:w="1062"/>
      </w:tblGrid>
      <w:tr>
        <w:trPr>
          <w:trHeight w:val="8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472" w:right="109"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41" w:right="59" w:hanging="181"/>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76" w:right="9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218" w:right="39"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0"/>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7"/>
              <w:jc w:val="left"/>
              <w:rPr>
                <w:rFonts w:ascii="宋体" w:hAnsi="宋体" w:cs="宋体" w:eastAsia="宋体" w:hint="default"/>
                <w:sz w:val="18"/>
                <w:szCs w:val="18"/>
              </w:rPr>
            </w:pPr>
            <w:r>
              <w:rPr>
                <w:rFonts w:ascii="宋体" w:hAnsi="宋体" w:cs="宋体" w:eastAsia="宋体" w:hint="default"/>
                <w:sz w:val="18"/>
                <w:szCs w:val="18"/>
              </w:rPr>
              <w:t>浙江金财立信财务 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11</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4"/>
              <w:jc w:val="left"/>
              <w:rPr>
                <w:rFonts w:ascii="宋体" w:hAnsi="宋体" w:cs="宋体" w:eastAsia="宋体" w:hint="default"/>
                <w:sz w:val="18"/>
                <w:szCs w:val="18"/>
              </w:rPr>
            </w:pPr>
            <w:r>
              <w:rPr>
                <w:rFonts w:ascii="宋体" w:hAnsi="宋体" w:cs="宋体" w:eastAsia="宋体" w:hint="default"/>
                <w:sz w:val="18"/>
                <w:szCs w:val="18"/>
              </w:rPr>
              <w:t>股权转让协 议约定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2,420,344.52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1,819,726.65</w:t>
            </w: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7"/>
              <w:jc w:val="left"/>
              <w:rPr>
                <w:rFonts w:ascii="宋体" w:hAnsi="宋体" w:cs="宋体" w:eastAsia="宋体" w:hint="default"/>
                <w:sz w:val="18"/>
                <w:szCs w:val="18"/>
              </w:rPr>
            </w:pPr>
            <w:r>
              <w:rPr>
                <w:rFonts w:ascii="宋体" w:hAnsi="宋体" w:cs="宋体" w:eastAsia="宋体" w:hint="default"/>
                <w:sz w:val="18"/>
                <w:szCs w:val="18"/>
              </w:rPr>
              <w:t>北京方欣恒利科技 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4"/>
              <w:jc w:val="left"/>
              <w:rPr>
                <w:rFonts w:ascii="宋体" w:hAnsi="宋体" w:cs="宋体" w:eastAsia="宋体" w:hint="default"/>
                <w:sz w:val="18"/>
                <w:szCs w:val="18"/>
              </w:rPr>
            </w:pPr>
            <w:r>
              <w:rPr>
                <w:rFonts w:ascii="宋体" w:hAnsi="宋体" w:cs="宋体" w:eastAsia="宋体" w:hint="default"/>
                <w:sz w:val="18"/>
                <w:szCs w:val="18"/>
              </w:rPr>
              <w:t>股权转让协 议约定</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7"/>
              <w:jc w:val="left"/>
              <w:rPr>
                <w:rFonts w:ascii="宋体" w:hAnsi="宋体" w:cs="宋体" w:eastAsia="宋体" w:hint="default"/>
                <w:sz w:val="18"/>
                <w:szCs w:val="18"/>
              </w:rPr>
            </w:pPr>
            <w:r>
              <w:rPr>
                <w:rFonts w:ascii="宋体" w:hAnsi="宋体" w:cs="宋体" w:eastAsia="宋体" w:hint="default"/>
                <w:sz w:val="18"/>
                <w:szCs w:val="18"/>
              </w:rPr>
              <w:t>上海宝华威热处理 设备有限公司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4"/>
              <w:jc w:val="left"/>
              <w:rPr>
                <w:rFonts w:ascii="宋体" w:hAnsi="宋体" w:cs="宋体" w:eastAsia="宋体" w:hint="default"/>
                <w:sz w:val="18"/>
                <w:szCs w:val="18"/>
              </w:rPr>
            </w:pPr>
            <w:r>
              <w:rPr>
                <w:rFonts w:ascii="宋体" w:hAnsi="宋体" w:cs="宋体" w:eastAsia="宋体" w:hint="default"/>
                <w:sz w:val="18"/>
                <w:szCs w:val="18"/>
              </w:rPr>
              <w:t>股权转让协 议约定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45,436,011.95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5,413,447.55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合并成本及商誉" w:id="336"/>
      <w:bookmarkEnd w:id="33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104"/>
        <w:gridCol w:w="1561"/>
        <w:gridCol w:w="1416"/>
        <w:gridCol w:w="1488"/>
      </w:tblGrid>
      <w:tr>
        <w:trPr>
          <w:trHeight w:val="715"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34" w:right="54" w:hanging="180"/>
              <w:jc w:val="left"/>
              <w:rPr>
                <w:rFonts w:ascii="宋体" w:hAnsi="宋体" w:cs="宋体" w:eastAsia="宋体" w:hint="default"/>
                <w:sz w:val="18"/>
                <w:szCs w:val="18"/>
              </w:rPr>
            </w:pPr>
            <w:r>
              <w:rPr>
                <w:rFonts w:ascii="宋体" w:hAnsi="宋体" w:cs="宋体" w:eastAsia="宋体" w:hint="default"/>
                <w:sz w:val="18"/>
                <w:szCs w:val="18"/>
              </w:rPr>
              <w:t>浙江金财立信财务 管理有限公司</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53" w:right="71" w:hanging="180"/>
              <w:jc w:val="left"/>
              <w:rPr>
                <w:rFonts w:ascii="宋体" w:hAnsi="宋体" w:cs="宋体" w:eastAsia="宋体" w:hint="default"/>
                <w:sz w:val="18"/>
                <w:szCs w:val="18"/>
              </w:rPr>
            </w:pPr>
            <w:r>
              <w:rPr>
                <w:rFonts w:ascii="宋体" w:hAnsi="宋体" w:cs="宋体" w:eastAsia="宋体" w:hint="default"/>
                <w:sz w:val="18"/>
                <w:szCs w:val="18"/>
              </w:rPr>
              <w:t>北京方欣恒利科 技有限公司</w:t>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9" w:right="107"/>
              <w:jc w:val="left"/>
              <w:rPr>
                <w:rFonts w:ascii="宋体" w:hAnsi="宋体" w:cs="宋体" w:eastAsia="宋体" w:hint="default"/>
                <w:sz w:val="18"/>
                <w:szCs w:val="18"/>
              </w:rPr>
            </w:pPr>
            <w:r>
              <w:rPr>
                <w:rFonts w:ascii="宋体" w:hAnsi="宋体" w:cs="宋体" w:eastAsia="宋体" w:hint="default"/>
                <w:sz w:val="18"/>
                <w:szCs w:val="18"/>
              </w:rPr>
              <w:t>上海宝华威热处 理设备有限公司</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27,940,000.00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4,501,070.24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4,569,510.69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24,263,307.45</w:t>
            </w:r>
          </w:p>
        </w:tc>
      </w:tr>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71,998,929.76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86,430,489.31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3,676,692.55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被购买方于购买日可辨认资产、负债" w:id="337"/>
      <w:bookmarkEnd w:id="33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487"/>
        <w:gridCol w:w="1379"/>
        <w:gridCol w:w="1367"/>
        <w:gridCol w:w="1367"/>
        <w:gridCol w:w="1367"/>
        <w:gridCol w:w="1368"/>
        <w:gridCol w:w="1367"/>
      </w:tblGrid>
      <w:tr>
        <w:trPr>
          <w:trHeight w:val="402" w:hRule="exact"/>
        </w:trPr>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46"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浙江金财立信财务管理有限公司</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北京方欣恒利科技有限公司</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上海宝华威热处理设备有限公司</w:t>
            </w:r>
          </w:p>
        </w:tc>
      </w:tr>
      <w:tr>
        <w:trPr>
          <w:trHeight w:val="402" w:hRule="exact"/>
        </w:trPr>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16,364,779.13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16,364,779.13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11,596,074.86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11,596,074.86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74,936,397.58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74,936,397.58</w:t>
            </w:r>
          </w:p>
        </w:tc>
      </w:tr>
      <w:tr>
        <w:trPr>
          <w:trHeight w:val="402" w:hRule="exact"/>
        </w:trPr>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8,256,308.21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8,256,308.21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8,019,075.86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8,019,075.86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4,733,458.29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4,733,458.29</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509"/>
        <w:gridCol w:w="1367"/>
        <w:gridCol w:w="1367"/>
        <w:gridCol w:w="1367"/>
        <w:gridCol w:w="1367"/>
        <w:gridCol w:w="1368"/>
        <w:gridCol w:w="1367"/>
      </w:tblGrid>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2,328,976.06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2,328,976.06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990,306.83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990,306.83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12,117,373.80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12,117,373.80</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28,287.18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28,287.18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33,174,498.66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33,174,498.66</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240,285.81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240,285.81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504,044.89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504,044.89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9,197,763.83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9,197,763.83</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102,945.57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102,945.57</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1,912,591.54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1,912,591.54</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223,517.02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223,517.02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4,316,233.05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4,316,233.05</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3,025,673.78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3,025,673.78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1,673,496.20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1,673,496.20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4,095,767.44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4,095,767.44</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2,483,142.30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2,483,142.30</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135,654.26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135,654.26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2,802,623.10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2,802,623.10</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7,539,151.21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7,539,151.21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5,068,202.44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5,068,202.44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41,126,408.88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41,126,408.88</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390,094.82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7,526,086.23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7,526,086.23</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3,565,934.23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3,565,934.23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2,398,213.33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2,398,213.33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22,698,234.95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22,698,234.95</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396,270.84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396,270.84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785,358.40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785,358.40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191,965.31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191,965.31</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1,093,209.31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1,093,209.31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1,492,192.89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1,492,192.89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206,865.69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206,865.69</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2,483,736.83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2,483,736.83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8,245,022.36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8,245,022.36</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2,258,234.34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2,258,234.34</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8,825,627.92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8,825,627.92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6,527,872.42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6,527,872.42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33,809,988.70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33,809,988.70</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4,324,557.68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4,324,557.68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1,958,361.73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1,958,361.73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9,546,681.25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9,546,681.25</w:t>
            </w:r>
          </w:p>
        </w:tc>
      </w:tr>
      <w:tr>
        <w:trPr>
          <w:trHeight w:val="402" w:hRule="exact"/>
        </w:trPr>
        <w:tc>
          <w:tcPr>
            <w:tcW w:w="1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4,501,070.24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4,501,070.24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4,569,510.69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4,569,510.69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24,263,307.45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24,263,307.45</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4）购买日之前持有的股权按照公允价值重新计量产生的利得或损失" w:id="338"/>
      <w:bookmarkEnd w:id="33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1118"/>
        <w:jc w:val="left"/>
      </w:pPr>
      <w:r>
        <w:rPr/>
        <w:t>是否存在通过多次交易分步实现企业合并且在报告期内取得控制权的交易</w:t>
      </w:r>
    </w:p>
    <w:p>
      <w:pPr>
        <w:pStyle w:val="BodyText"/>
        <w:spacing w:line="240" w:lineRule="auto" w:before="117"/>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2、处置子公司" w:id="339"/>
      <w:bookmarkEnd w:id="339"/>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687" w:footer="979" w:top="114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left="514"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3815"/>
            <w:col w:w="246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24"/>
      </w:tblGrid>
      <w:tr>
        <w:trPr>
          <w:trHeight w:val="225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5"/>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5"/>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5"/>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5"/>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4"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0"/>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4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1"/>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244"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77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2" w:right="90"/>
              <w:jc w:val="center"/>
              <w:rPr>
                <w:rFonts w:ascii="宋体" w:hAnsi="宋体" w:cs="宋体" w:eastAsia="宋体" w:hint="default"/>
                <w:sz w:val="18"/>
                <w:szCs w:val="18"/>
              </w:rPr>
            </w:pPr>
            <w:r>
              <w:rPr>
                <w:rFonts w:ascii="宋体" w:hAnsi="宋体" w:cs="宋体" w:eastAsia="宋体" w:hint="default"/>
                <w:sz w:val="18"/>
                <w:szCs w:val="18"/>
              </w:rPr>
              <w:t>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29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61"/>
              <w:jc w:val="both"/>
              <w:rPr>
                <w:rFonts w:ascii="宋体" w:hAnsi="宋体" w:cs="宋体" w:eastAsia="宋体" w:hint="default"/>
                <w:sz w:val="18"/>
                <w:szCs w:val="18"/>
              </w:rPr>
            </w:pPr>
            <w:r>
              <w:rPr>
                <w:rFonts w:ascii="宋体" w:hAnsi="宋体" w:cs="宋体" w:eastAsia="宋体" w:hint="default"/>
                <w:sz w:val="18"/>
                <w:szCs w:val="18"/>
              </w:rPr>
              <w:t>北京丰 东建通 工业炉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61"/>
              <w:jc w:val="left"/>
              <w:rPr>
                <w:rFonts w:ascii="宋体" w:hAnsi="宋体" w:cs="宋体" w:eastAsia="宋体" w:hint="default"/>
                <w:sz w:val="18"/>
                <w:szCs w:val="18"/>
              </w:rPr>
            </w:pPr>
            <w:r>
              <w:rPr>
                <w:rFonts w:ascii="宋体" w:hAnsi="宋体" w:cs="宋体" w:eastAsia="宋体" w:hint="default"/>
                <w:sz w:val="18"/>
                <w:szCs w:val="18"/>
              </w:rPr>
              <w:t>转让协 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-146,163</w:t>
            </w:r>
          </w:p>
          <w:p>
            <w:pPr>
              <w:pStyle w:val="TableParagraph"/>
              <w:spacing w:line="240" w:lineRule="auto" w:before="33"/>
              <w:ind w:left="477" w:right="0"/>
              <w:jc w:val="lef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633"/>
        <w:jc w:val="left"/>
      </w:pPr>
      <w:r>
        <w:rPr/>
        <w:t>其他说明： 是否存在通过多次交易分步处置对子公司投资且在本期丧失控制权的情形</w:t>
      </w:r>
    </w:p>
    <w:p>
      <w:pPr>
        <w:pStyle w:val="BodyText"/>
        <w:spacing w:line="240" w:lineRule="auto" w:before="26"/>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3、其他原因的合并范围变动" w:id="340"/>
      <w:bookmarkEnd w:id="340"/>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0"/>
        <w:rPr>
          <w:rFonts w:ascii="宋体" w:hAnsi="宋体" w:cs="宋体" w:eastAsia="宋体" w:hint="default"/>
          <w:b/>
          <w:bCs/>
          <w:sz w:val="27"/>
          <w:szCs w:val="27"/>
        </w:rPr>
      </w:pPr>
    </w:p>
    <w:p>
      <w:pPr>
        <w:pStyle w:val="BodyText"/>
        <w:spacing w:line="357" w:lineRule="auto"/>
        <w:ind w:right="3553"/>
        <w:jc w:val="left"/>
      </w:pPr>
      <w:r>
        <w:rPr/>
        <w:t>说明其他原因导致的合并范围变动（如，新设子公司、清算子公司等）及其相关情况： 无</w:t>
      </w:r>
    </w:p>
    <w:p>
      <w:pPr>
        <w:spacing w:line="240" w:lineRule="auto" w:before="12"/>
        <w:rPr>
          <w:rFonts w:ascii="宋体" w:hAnsi="宋体" w:cs="宋体" w:eastAsia="宋体" w:hint="default"/>
          <w:sz w:val="20"/>
          <w:szCs w:val="20"/>
        </w:rPr>
      </w:pPr>
    </w:p>
    <w:p>
      <w:pPr>
        <w:pStyle w:val="Heading3"/>
        <w:spacing w:line="240" w:lineRule="auto"/>
        <w:ind w:right="1118"/>
        <w:jc w:val="left"/>
        <w:rPr>
          <w:b w:val="0"/>
          <w:bCs w:val="0"/>
        </w:rPr>
      </w:pPr>
      <w:bookmarkStart w:name="4、其他" w:id="341"/>
      <w:bookmarkEnd w:id="341"/>
      <w:r>
        <w:rPr>
          <w:b w:val="0"/>
          <w:bCs w:val="0"/>
        </w:rPr>
      </w:r>
      <w:r>
        <w:rPr>
          <w:rFonts w:ascii="Times New Roman" w:hAnsi="Times New Roman" w:cs="Times New Roman" w:eastAsia="Times New Roman" w:hint="default"/>
        </w:rPr>
        <w:t>4</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left="0" w:right="7968"/>
        <w:jc w:val="center"/>
        <w:rPr>
          <w:b w:val="0"/>
          <w:bCs w:val="0"/>
        </w:rPr>
      </w:pPr>
      <w:bookmarkStart w:name="九、在其他主体中的权益" w:id="342"/>
      <w:bookmarkEnd w:id="342"/>
      <w:r>
        <w:rPr>
          <w:b w:val="0"/>
          <w:bCs w:val="0"/>
        </w:rPr>
      </w:r>
      <w:r>
        <w:rPr/>
        <w:t>九、在其他主体中的权益</w:t>
      </w:r>
      <w:r>
        <w:rPr>
          <w:b w:val="0"/>
          <w:bCs w:val="0"/>
        </w:rPr>
      </w:r>
    </w:p>
    <w:p>
      <w:pPr>
        <w:spacing w:line="240" w:lineRule="auto" w:before="5"/>
        <w:rPr>
          <w:rFonts w:ascii="宋体" w:hAnsi="宋体" w:cs="宋体" w:eastAsia="宋体" w:hint="default"/>
          <w:b/>
          <w:bCs/>
          <w:sz w:val="25"/>
          <w:szCs w:val="25"/>
        </w:rPr>
      </w:pPr>
    </w:p>
    <w:p>
      <w:pPr>
        <w:pStyle w:val="Heading3"/>
        <w:spacing w:line="240" w:lineRule="auto"/>
        <w:ind w:right="1118"/>
        <w:jc w:val="left"/>
        <w:rPr>
          <w:b w:val="0"/>
          <w:bCs w:val="0"/>
        </w:rPr>
      </w:pPr>
      <w:bookmarkStart w:name="1、在子公司中的权益" w:id="343"/>
      <w:bookmarkEnd w:id="34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企业集团的构成" w:id="344"/>
      <w:bookmarkEnd w:id="34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276"/>
        <w:gridCol w:w="1134"/>
        <w:gridCol w:w="743"/>
        <w:gridCol w:w="816"/>
        <w:gridCol w:w="1916"/>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7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8"/>
        <w:rPr>
          <w:rFonts w:ascii="宋体" w:hAnsi="宋体" w:cs="宋体" w:eastAsia="宋体" w:hint="default"/>
          <w:b/>
          <w:bCs/>
          <w:sz w:val="19"/>
          <w:szCs w:val="19"/>
        </w:rPr>
      </w:pPr>
    </w:p>
    <w:p>
      <w:pPr>
        <w:pStyle w:val="Heading3"/>
        <w:spacing w:line="240" w:lineRule="auto" w:before="38"/>
        <w:ind w:right="1118"/>
        <w:jc w:val="left"/>
        <w:rPr>
          <w:b w:val="0"/>
          <w:bCs w:val="0"/>
        </w:rPr>
      </w:pPr>
      <w:bookmarkStart w:name="2、在子公司的所有者权益份额发生变化且仍控制子公司的交易" w:id="345"/>
      <w:bookmarkEnd w:id="34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556" w:right="1118"/>
        <w:jc w:val="left"/>
        <w:rPr>
          <w:b w:val="0"/>
          <w:bCs w:val="0"/>
        </w:rPr>
      </w:pPr>
      <w:bookmarkStart w:name="（1）在子公司所有者权益份额发生变化的情况说明" w:id="346"/>
      <w:bookmarkEnd w:id="34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154"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月，本公司将持有的子公司重庆丰东</w:t>
      </w:r>
      <w:r>
        <w:rPr>
          <w:spacing w:val="-48"/>
        </w:rPr>
        <w:t> </w:t>
      </w:r>
      <w:r>
        <w:rPr>
          <w:rFonts w:ascii="Times New Roman" w:hAnsi="Times New Roman" w:cs="Times New Roman" w:eastAsia="Times New Roman" w:hint="default"/>
        </w:rPr>
        <w:t>31.15%</w:t>
      </w:r>
      <w:r>
        <w:rPr/>
        <w:t>的股权转让给重庆政瀚机械有限公司，转让完成后本公司对重庆 丰东的持股比例由</w:t>
      </w:r>
      <w:r>
        <w:rPr>
          <w:spacing w:val="-45"/>
        </w:rPr>
        <w:t> </w:t>
      </w:r>
      <w:r>
        <w:rPr>
          <w:rFonts w:ascii="Times New Roman" w:hAnsi="Times New Roman" w:cs="Times New Roman" w:eastAsia="Times New Roman" w:hint="default"/>
        </w:rPr>
        <w:t>91.15%</w:t>
      </w:r>
      <w:r>
        <w:rPr/>
        <w:t>变更为</w:t>
      </w:r>
      <w:r>
        <w:rPr>
          <w:spacing w:val="-45"/>
        </w:rPr>
        <w:t> </w:t>
      </w:r>
      <w:r>
        <w:rPr>
          <w:rFonts w:ascii="Times New Roman" w:hAnsi="Times New Roman" w:cs="Times New Roman" w:eastAsia="Times New Roman" w:hint="default"/>
          <w:spacing w:val="-6"/>
        </w:rPr>
        <w:t>60%</w:t>
      </w:r>
      <w:r>
        <w:rPr>
          <w:spacing w:val="-6"/>
        </w:rPr>
        <w:t>。</w:t>
      </w:r>
      <w:r>
        <w:rPr>
          <w:rFonts w:ascii="Times New Roman" w:hAnsi="Times New Roman" w:cs="Times New Roman" w:eastAsia="Times New Roman" w:hint="default"/>
          <w:spacing w:val="-6"/>
        </w:rPr>
        <w:t>2017</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5 </w:t>
      </w:r>
      <w:r>
        <w:rPr>
          <w:spacing w:val="-3"/>
        </w:rPr>
        <w:t>月，本公司将所持有的重庆丰东</w:t>
      </w:r>
      <w:r>
        <w:rPr>
          <w:spacing w:val="-45"/>
        </w:rPr>
        <w:t> </w:t>
      </w:r>
      <w:r>
        <w:rPr>
          <w:rFonts w:ascii="Times New Roman" w:hAnsi="Times New Roman" w:cs="Times New Roman" w:eastAsia="Times New Roman" w:hint="default"/>
        </w:rPr>
        <w:t>60.00%</w:t>
      </w:r>
      <w:r>
        <w:rPr/>
        <w:t>的股权投资划转至江苏丰东热技术 有限公司。</w:t>
      </w:r>
    </w:p>
    <w:p>
      <w:pPr>
        <w:spacing w:line="240" w:lineRule="auto" w:before="0"/>
        <w:rPr>
          <w:rFonts w:ascii="宋体" w:hAnsi="宋体" w:cs="宋体" w:eastAsia="宋体" w:hint="default"/>
          <w:sz w:val="24"/>
          <w:szCs w:val="24"/>
        </w:rPr>
      </w:pPr>
    </w:p>
    <w:p>
      <w:pPr>
        <w:pStyle w:val="Heading3"/>
        <w:spacing w:line="240" w:lineRule="auto"/>
        <w:ind w:left="556" w:right="1118"/>
        <w:jc w:val="left"/>
        <w:rPr>
          <w:b w:val="0"/>
          <w:bCs w:val="0"/>
        </w:rPr>
      </w:pPr>
      <w:bookmarkStart w:name="（2）交易对于少数股东权益及归属于母公司所有者权益的影响" w:id="347"/>
      <w:bookmarkEnd w:id="34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9d9d9">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9d9d9">
                <v:path arrowok="t"/>
              </v:shape>
            </v:group>
            <v:group style="position:absolute;left:32;top:16;width:4729;height:392" coordorigin="32,16" coordsize="4729,392">
              <v:shape style="position:absolute;left:32;top:16;width:4729;height:392" coordorigin="32,16" coordsize="4729,392" path="m32,407l4761,407,4761,16,32,16,32,407xe" filled="true" fillcolor="#d9d9d9"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d9d9d9">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9d9d9">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479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重庆丰东</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8,594,903.87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8,594,903.87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-594,903.87</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-594,903.87</w:t>
            </w:r>
            <w:r>
              <w:rPr>
                <w:rFonts w:ascii="Times New Roman"/>
                <w:sz w:val="18"/>
              </w:rPr>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在合营安排或联营企业中的权益" w:id="348"/>
      <w:bookmarkEnd w:id="34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重要的合营企业或联营企业" w:id="349"/>
      <w:bookmarkEnd w:id="34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277"/>
        <w:gridCol w:w="991"/>
        <w:gridCol w:w="851"/>
        <w:gridCol w:w="708"/>
        <w:gridCol w:w="1492"/>
      </w:tblGrid>
      <w:tr>
        <w:trPr>
          <w:trHeight w:val="329" w:hRule="exact"/>
        </w:trPr>
        <w:tc>
          <w:tcPr>
            <w:tcW w:w="29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49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1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92"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2"/>
              <w:ind w:left="111" w:right="108"/>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80" w:hRule="exact"/>
        </w:trPr>
        <w:tc>
          <w:tcPr>
            <w:tcW w:w="297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4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广东广州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40.00%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7"/>
        <w:rPr>
          <w:rFonts w:ascii="宋体" w:hAnsi="宋体" w:cs="宋体" w:eastAsia="宋体" w:hint="default"/>
          <w:b/>
          <w:bCs/>
          <w:sz w:val="19"/>
          <w:szCs w:val="19"/>
        </w:rPr>
      </w:pPr>
    </w:p>
    <w:p>
      <w:pPr>
        <w:pStyle w:val="Heading3"/>
        <w:spacing w:line="240" w:lineRule="auto" w:before="38"/>
        <w:ind w:right="1118"/>
        <w:jc w:val="left"/>
        <w:rPr>
          <w:b w:val="0"/>
          <w:bCs w:val="0"/>
        </w:rPr>
      </w:pPr>
      <w:bookmarkStart w:name="（2）重要合营企业的主要财务信息" w:id="350"/>
      <w:bookmarkEnd w:id="35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80"/>
        <w:gridCol w:w="1572"/>
        <w:gridCol w:w="1559"/>
        <w:gridCol w:w="1559"/>
        <w:gridCol w:w="1490"/>
      </w:tblGrid>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73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0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8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5"/>
              <w:ind w:left="323"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23" w:right="0"/>
              <w:jc w:val="left"/>
              <w:rPr>
                <w:rFonts w:ascii="宋体" w:hAnsi="宋体" w:cs="宋体" w:eastAsia="宋体" w:hint="default"/>
                <w:sz w:val="18"/>
                <w:szCs w:val="18"/>
              </w:rPr>
            </w:pPr>
            <w:r>
              <w:rPr>
                <w:rFonts w:ascii="宋体" w:hAnsi="宋体" w:cs="宋体" w:eastAsia="宋体" w:hint="default"/>
                <w:sz w:val="18"/>
                <w:szCs w:val="18"/>
              </w:rPr>
              <w:t>石川岛丰东</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23" w:right="0"/>
              <w:jc w:val="left"/>
              <w:rPr>
                <w:rFonts w:ascii="宋体" w:hAnsi="宋体" w:cs="宋体" w:eastAsia="宋体" w:hint="default"/>
                <w:sz w:val="18"/>
                <w:szCs w:val="18"/>
              </w:rPr>
            </w:pPr>
            <w:r>
              <w:rPr>
                <w:rFonts w:ascii="宋体" w:hAnsi="宋体" w:cs="宋体" w:eastAsia="宋体" w:hint="default"/>
                <w:sz w:val="18"/>
                <w:szCs w:val="18"/>
              </w:rPr>
              <w:t>盐城高周波</w:t>
            </w:r>
          </w:p>
        </w:tc>
        <w:tc>
          <w:tcPr>
            <w:tcW w:w="1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290" w:right="0"/>
              <w:jc w:val="left"/>
              <w:rPr>
                <w:rFonts w:ascii="宋体" w:hAnsi="宋体" w:cs="宋体" w:eastAsia="宋体" w:hint="default"/>
                <w:sz w:val="18"/>
                <w:szCs w:val="18"/>
              </w:rPr>
            </w:pPr>
            <w:r>
              <w:rPr>
                <w:rFonts w:ascii="宋体" w:hAnsi="宋体" w:cs="宋体" w:eastAsia="宋体" w:hint="default"/>
                <w:sz w:val="18"/>
                <w:szCs w:val="18"/>
              </w:rPr>
              <w:t>石川岛丰东</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89,201,336.20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51,343,869.06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77,034,557.12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44,515,476.67</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36,467,003.92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7,463,759.46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25,523,167.02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1,799,611.83</w:t>
            </w:r>
          </w:p>
        </w:tc>
      </w:tr>
      <w:tr>
        <w:trPr>
          <w:trHeight w:val="37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77,663,374.92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14,266,972.68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83,142,360.07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15,048,957.90</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166,864,711.12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65,610,841.74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160,176,917.19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59,564,434.57</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38,963,177.42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31,994,968.18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38,716,566.13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29,049,115.97</w:t>
            </w:r>
          </w:p>
        </w:tc>
      </w:tr>
      <w:tr>
        <w:trPr>
          <w:trHeight w:val="37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38,963,177.42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31,994,968.18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38,716,566.13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29,049,115.97</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127,901,533.70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33,615,873.56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121,460,351.06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30,515,318.60</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63,950,766.85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16,807,936.78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60,730,175.53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15,257,659.30</w:t>
            </w:r>
          </w:p>
        </w:tc>
      </w:tr>
      <w:tr>
        <w:trPr>
          <w:trHeight w:val="37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572"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-1,430,167.80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-2,169,625.92</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63,950,766.85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15,377,768.98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60,730,175.53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13,088,033.38</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75,928,006.89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53,401,667.05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54,464,958.03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31,078,525.87</w:t>
            </w:r>
          </w:p>
        </w:tc>
      </w:tr>
      <w:tr>
        <w:trPr>
          <w:trHeight w:val="37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679,999.44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w w:val="95"/>
                <w:sz w:val="18"/>
              </w:rPr>
              <w:t>-59,739.53</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1,873,237.75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323,400.85</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w w:val="95"/>
                <w:sz w:val="18"/>
              </w:rPr>
              <w:t>-162,944.46</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1,120,157.92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35,613.45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455,337.98</w:t>
            </w:r>
          </w:p>
        </w:tc>
      </w:tr>
      <w:tr>
        <w:trPr>
          <w:trHeight w:val="370"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6,441,182.64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3,100,554.96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-4,272,798.33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1,124,396.95</w:t>
            </w:r>
          </w:p>
        </w:tc>
      </w:tr>
      <w:tr>
        <w:trPr>
          <w:trHeight w:val="37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6,441,182.64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3,100,554.96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-4,272,798.33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1,124,396.95</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5"/>
        <w:rPr>
          <w:rFonts w:ascii="宋体" w:hAnsi="宋体" w:cs="宋体" w:eastAsia="宋体" w:hint="default"/>
          <w:sz w:val="19"/>
          <w:szCs w:val="19"/>
        </w:rPr>
      </w:pPr>
    </w:p>
    <w:p>
      <w:pPr>
        <w:pStyle w:val="Heading3"/>
        <w:spacing w:line="240" w:lineRule="auto" w:before="38"/>
        <w:ind w:left="154" w:right="1118"/>
        <w:jc w:val="left"/>
        <w:rPr>
          <w:b w:val="0"/>
          <w:bCs w:val="0"/>
        </w:rPr>
      </w:pPr>
      <w:bookmarkStart w:name="（3）重要联营企业的主要财务信息" w:id="351"/>
      <w:bookmarkEnd w:id="35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广州丰东</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广州丰东</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33,700,802.19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22,971,030.11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31,695,068.69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33,092,159.91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65,395,870.88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56,063,190.02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8,008,043.06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6,388,029.72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2,508,093.73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2,085,685.00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10,516,136.79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8,473,714.72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54,879,734.09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47,589,475.30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21,951,893.64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19,035,790.12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-1,238,426.30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-345,742.46</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20,713,467.34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18,690,047.66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64,506,498.21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47,020,766.51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11,290,258.79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9,741,366.80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11,290,258.79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9,741,366.80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2,204,680.00</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4）与合营企业或联营企业投资相关的或有负债" w:id="352"/>
      <w:bookmarkEnd w:id="352"/>
      <w:r>
        <w:rPr>
          <w:b w:val="0"/>
          <w:bCs w:val="0"/>
        </w:rPr>
      </w:r>
      <w:r>
        <w:rPr/>
        <w:t>（</w:t>
      </w:r>
      <w:r>
        <w:rPr>
          <w:rFonts w:ascii="Times New Roman" w:hAnsi="Times New Roman" w:cs="Times New Roman" w:eastAsia="Times New Roman" w:hint="default"/>
        </w:rPr>
        <w:t>4</w:t>
      </w:r>
      <w:r>
        <w:rPr/>
        <w:t>）与合营企业或联营企业投资相关的或有负债</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4、其他" w:id="353"/>
      <w:bookmarkEnd w:id="353"/>
      <w:r>
        <w:rPr>
          <w:b w:val="0"/>
          <w:bCs w:val="0"/>
        </w:rPr>
      </w:r>
      <w:r>
        <w:rPr>
          <w:rFonts w:ascii="Times New Roman" w:hAnsi="Times New Roman" w:cs="Times New Roman" w:eastAsia="Times New Roman" w:hint="default"/>
        </w:rPr>
        <w:t>4</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与金融工具相关的风险" w:id="354"/>
      <w:bookmarkEnd w:id="35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132" w:firstLine="360"/>
        <w:jc w:val="both"/>
      </w:pPr>
      <w:r>
        <w:rPr>
          <w:spacing w:val="-2"/>
        </w:rPr>
        <w:t>本公司风险管理的目标是在风险与收益间取得平衡，采取有效措施将风险对公司经营业绩的影响降至最低水平，使股东</w:t>
      </w:r>
      <w:r>
        <w:rPr/>
        <w:t> </w:t>
      </w:r>
      <w:r>
        <w:rPr>
          <w:spacing w:val="-2"/>
        </w:rPr>
        <w:t>及其他利益相关者的利益最大化。基于这样的目的，本公司的风险管理策略是通过对各种不确定因素进行分析与确认，建立</w:t>
      </w:r>
      <w:r>
        <w:rPr>
          <w:spacing w:val="-66"/>
        </w:rPr>
        <w:t> </w:t>
      </w:r>
      <w:r>
        <w:rPr>
          <w:spacing w:val="-66"/>
        </w:rPr>
      </w:r>
      <w:r>
        <w:rPr/>
        <w:t>健全全面风险管理体系，培育良好的风险管理文化，及对各种风险进行跟踪监督，将风险控制在限定的范围内。</w:t>
      </w:r>
    </w:p>
    <w:p>
      <w:pPr>
        <w:pStyle w:val="BodyText"/>
        <w:spacing w:line="319" w:lineRule="auto" w:before="55"/>
        <w:ind w:left="153" w:right="1043" w:firstLine="360"/>
        <w:jc w:val="both"/>
      </w:pPr>
      <w:r>
        <w:rPr/>
        <w:t>本公司金融工具产生的风险主要包括信用风险、流动风险及市场风险。本公司董事会已审议并批准《风险管理办法》， 确保及时有效地进行风险管理。</w:t>
      </w:r>
    </w:p>
    <w:p>
      <w:pPr>
        <w:pStyle w:val="BodyText"/>
        <w:spacing w:line="352" w:lineRule="auto" w:before="58"/>
        <w:ind w:right="4093"/>
        <w:jc w:val="left"/>
      </w:pPr>
      <w:r>
        <w:rPr/>
        <w:t>本公司的金融工具包括：应收款项、应付款项、可供出售金融资产等。 </w:t>
      </w:r>
      <w:r>
        <w:rPr>
          <w:rFonts w:ascii="Times New Roman" w:hAnsi="Times New Roman" w:cs="Times New Roman" w:eastAsia="Times New Roman" w:hint="default"/>
        </w:rPr>
        <w:t>1</w:t>
      </w:r>
      <w:r>
        <w:rPr/>
        <w:t>、信用风险 信用风险，是指金融工具的一方不履行义务，造成另一方发生财务损失的风险。 本公司对信用风险的管理目标、政策和程序、计量风险的方法：</w:t>
      </w:r>
    </w:p>
    <w:p>
      <w:pPr>
        <w:pStyle w:val="BodyText"/>
        <w:spacing w:line="316" w:lineRule="auto" w:before="30"/>
        <w:ind w:left="154" w:right="1133" w:firstLine="360"/>
        <w:jc w:val="both"/>
      </w:pPr>
      <w:r>
        <w:rPr>
          <w:spacing w:val="-2"/>
        </w:rPr>
        <w:t>本公司的信用风险主要来源于银行存款、应收账款。本公司的银行存款基本存放于信用评级较高的银行，不存在重大风</w:t>
      </w:r>
      <w:r>
        <w:rPr/>
        <w:t> </w:t>
      </w:r>
      <w:r>
        <w:rPr>
          <w:spacing w:val="-2"/>
        </w:rPr>
        <w:t>险。公司客户主要为信用等级较高的客户，故由于赊销引起的信用风险也较低。本公司营销与财务部门定期与不定期对应收</w:t>
      </w:r>
    </w:p>
    <w:p>
      <w:pPr>
        <w:spacing w:after="0" w:line="316" w:lineRule="auto"/>
        <w:jc w:val="both"/>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240" w:lineRule="auto" w:before="44"/>
        <w:ind w:left="154" w:right="1118"/>
        <w:jc w:val="left"/>
      </w:pPr>
      <w:r>
        <w:rPr/>
        <w:t>款余额进行监控，以确保本公司不面临重大坏账风险。</w:t>
      </w:r>
    </w:p>
    <w:p>
      <w:pPr>
        <w:pStyle w:val="BodyText"/>
        <w:spacing w:line="348" w:lineRule="auto" w:before="116"/>
        <w:ind w:right="2833"/>
        <w:jc w:val="left"/>
      </w:pPr>
      <w:r>
        <w:rPr>
          <w:rFonts w:ascii="Times New Roman" w:hAnsi="Times New Roman" w:cs="Times New Roman" w:eastAsia="Times New Roman" w:hint="default"/>
        </w:rPr>
        <w:t>2</w:t>
      </w:r>
      <w:r>
        <w:rPr/>
        <w:t>、流动性风险 流动性风险，是指在履行以交付现金或其他金融资产的方式结算的义务时发生资金短缺的风险。 本公司对流动性风险的管理目标、政策和程序、计量风险的方法：</w:t>
      </w:r>
    </w:p>
    <w:p>
      <w:pPr>
        <w:pStyle w:val="BodyText"/>
        <w:spacing w:line="319" w:lineRule="auto" w:before="34"/>
        <w:ind w:left="153" w:right="1132" w:firstLine="360"/>
        <w:jc w:val="both"/>
      </w:pPr>
      <w:r>
        <w:rPr>
          <w:spacing w:val="-2"/>
        </w:rPr>
        <w:t>为控制该项风险，本公司优化融资结构，采用长、短期借款，保持融资持续性与灵活性间的平衡。本公司总部财务部持</w:t>
      </w:r>
      <w:r>
        <w:rPr/>
        <w:t> </w:t>
      </w:r>
      <w:r>
        <w:rPr>
          <w:spacing w:val="-2"/>
        </w:rPr>
        <w:t>续监控各子公司的现金流，协调集团内各子公司的资金储备，同时本公司与多家银行取得授信客户以满足各期资金需求和资</w:t>
      </w:r>
      <w:r>
        <w:rPr>
          <w:spacing w:val="-64"/>
        </w:rPr>
        <w:t> </w:t>
      </w:r>
      <w:r>
        <w:rPr>
          <w:spacing w:val="-64"/>
        </w:rPr>
      </w:r>
      <w:r>
        <w:rPr/>
        <w:t>本开支。</w:t>
      </w:r>
    </w:p>
    <w:p>
      <w:pPr>
        <w:pStyle w:val="BodyText"/>
        <w:spacing w:line="338" w:lineRule="auto" w:before="58"/>
        <w:ind w:right="1118"/>
        <w:jc w:val="left"/>
      </w:pPr>
      <w:r>
        <w:rPr>
          <w:rFonts w:ascii="Times New Roman" w:hAnsi="Times New Roman" w:cs="Times New Roman" w:eastAsia="Times New Roman" w:hint="default"/>
        </w:rPr>
        <w:t>3</w:t>
      </w:r>
      <w:r>
        <w:rPr/>
        <w:t>、市场风险 </w:t>
      </w:r>
      <w:r>
        <w:rPr>
          <w:spacing w:val="-2"/>
        </w:rPr>
        <w:t>金融工具的市场风险，是指金融工具的公允价值或未来现金流量因市场价格变动而发生波动的风险，包括汇率风险、利</w:t>
      </w:r>
    </w:p>
    <w:p>
      <w:pPr>
        <w:pStyle w:val="BodyText"/>
        <w:spacing w:line="357" w:lineRule="auto" w:before="4"/>
        <w:ind w:right="5353" w:hanging="360"/>
        <w:jc w:val="left"/>
      </w:pPr>
      <w:r>
        <w:rPr/>
        <w:t>率风险和其他价格风险。 本公司对市场风险的管理目标、政策和程序、计量风险的方法：</w:t>
      </w:r>
    </w:p>
    <w:p>
      <w:pPr>
        <w:pStyle w:val="BodyText"/>
        <w:spacing w:line="309" w:lineRule="auto" w:before="28"/>
        <w:ind w:left="153" w:right="1130" w:firstLine="360"/>
        <w:jc w:val="both"/>
      </w:pPr>
      <w:r>
        <w:rPr>
          <w:spacing w:val="-1"/>
        </w:rPr>
        <w:t>本公司对市场风险的管理目标为通过将市场风险控制在企业可以</w:t>
      </w:r>
      <w:r>
        <w:rPr>
          <w:rFonts w:ascii="Times New Roman" w:hAnsi="Times New Roman" w:cs="Times New Roman" w:eastAsia="Times New Roman" w:hint="default"/>
          <w:spacing w:val="-1"/>
        </w:rPr>
        <w:t>(</w:t>
      </w:r>
      <w:r>
        <w:rPr>
          <w:spacing w:val="-1"/>
        </w:rPr>
        <w:t>或愿意</w:t>
      </w:r>
      <w:r>
        <w:rPr>
          <w:rFonts w:ascii="Times New Roman" w:hAnsi="Times New Roman" w:cs="Times New Roman" w:eastAsia="Times New Roman" w:hint="default"/>
          <w:spacing w:val="-1"/>
        </w:rPr>
        <w:t>)</w:t>
      </w:r>
      <w:r>
        <w:rPr>
          <w:spacing w:val="-1"/>
        </w:rPr>
        <w:t>承受的合理范围内，</w:t>
      </w:r>
      <w:hyperlink r:id="rId21">
        <w:r>
          <w:rPr>
            <w:spacing w:val="-1"/>
          </w:rPr>
          <w:t>实现经风险调整的收益率</w:t>
        </w:r>
      </w:hyperlink>
      <w:r>
        <w:rPr/>
        <w:t> </w:t>
      </w:r>
      <w:r>
        <w:rPr>
          <w:spacing w:val="-2"/>
        </w:rPr>
        <w:t>的最大化。在确认对公司有显著影响的市场风险因素以后，对各种风险因素进行度量，并运用多种手段和工具对各种市场风</w:t>
      </w:r>
      <w:r>
        <w:rPr>
          <w:spacing w:val="-66"/>
        </w:rPr>
        <w:t> </w:t>
      </w:r>
      <w:r>
        <w:rPr>
          <w:spacing w:val="-66"/>
        </w:rPr>
      </w:r>
      <w:r>
        <w:rPr/>
        <w:t>险加以定量管理。</w:t>
      </w:r>
    </w:p>
    <w:p>
      <w:pPr>
        <w:pStyle w:val="BodyText"/>
        <w:spacing w:line="338" w:lineRule="auto" w:before="64"/>
        <w:ind w:right="1118"/>
        <w:jc w:val="left"/>
      </w:pPr>
      <w:r>
        <w:rPr/>
        <w:t>（</w:t>
      </w:r>
      <w:r>
        <w:rPr>
          <w:rFonts w:ascii="Times New Roman" w:hAnsi="Times New Roman" w:cs="Times New Roman" w:eastAsia="Times New Roman" w:hint="default"/>
        </w:rPr>
        <w:t>1</w:t>
      </w:r>
      <w:r>
        <w:rPr/>
        <w:t>）汇率风险 </w:t>
      </w:r>
      <w:r>
        <w:rPr>
          <w:spacing w:val="-2"/>
        </w:rPr>
        <w:t>汇率风险，是指金融工具的公允价值或未来现金流量因外汇汇率变动而发生波动的风险。汇率风险可源于以记账本位币</w:t>
      </w:r>
    </w:p>
    <w:p>
      <w:pPr>
        <w:pStyle w:val="BodyText"/>
        <w:spacing w:line="360" w:lineRule="auto" w:before="4"/>
        <w:ind w:left="514" w:right="1647" w:hanging="360"/>
        <w:jc w:val="left"/>
      </w:pPr>
      <w:r>
        <w:rPr/>
        <w:t>之外的外币进行计价的金融工具。 假设在其他条件不变的情况下，美元对人民币汇率上升或下降</w:t>
      </w:r>
      <w:r>
        <w:rPr>
          <w:rFonts w:ascii="Times New Roman" w:hAnsi="Times New Roman" w:cs="Times New Roman" w:eastAsia="Times New Roman" w:hint="default"/>
        </w:rPr>
        <w:t>10%</w:t>
      </w:r>
      <w:r>
        <w:rPr/>
        <w:t>，则可能影响本公司本期的净利润</w:t>
      </w:r>
      <w:r>
        <w:rPr>
          <w:rFonts w:ascii="Times New Roman" w:hAnsi="Times New Roman" w:cs="Times New Roman" w:eastAsia="Times New Roman" w:hint="default"/>
        </w:rPr>
        <w:t>0.78</w:t>
      </w:r>
      <w:r>
        <w:rPr/>
        <w:t>万元。</w:t>
      </w:r>
    </w:p>
    <w:p>
      <w:pPr>
        <w:pStyle w:val="BodyText"/>
        <w:spacing w:line="338" w:lineRule="auto" w:before="2"/>
        <w:ind w:right="1118"/>
        <w:jc w:val="left"/>
      </w:pPr>
      <w:r>
        <w:rPr/>
        <w:t>（</w:t>
      </w:r>
      <w:r>
        <w:rPr>
          <w:rFonts w:ascii="Times New Roman" w:hAnsi="Times New Roman" w:cs="Times New Roman" w:eastAsia="Times New Roman" w:hint="default"/>
        </w:rPr>
        <w:t>2</w:t>
      </w:r>
      <w:r>
        <w:rPr/>
        <w:t>）利率风险 </w:t>
      </w:r>
      <w:r>
        <w:rPr>
          <w:spacing w:val="-2"/>
        </w:rPr>
        <w:t>利率风险，是指金融工具的公允价值或未来现金流量因市场利率变动而发生波动的风险。利率风险可源于已确认的计息</w:t>
      </w:r>
    </w:p>
    <w:p>
      <w:pPr>
        <w:pStyle w:val="BodyText"/>
        <w:spacing w:line="340" w:lineRule="auto" w:before="4"/>
        <w:ind w:left="514" w:right="6539" w:hanging="360"/>
        <w:jc w:val="left"/>
      </w:pPr>
      <w:r>
        <w:rPr/>
        <w:t>金融工具和未确认的金融工具</w:t>
      </w:r>
      <w:r>
        <w:rPr>
          <w:rFonts w:ascii="Times New Roman" w:hAnsi="Times New Roman" w:cs="Times New Roman" w:eastAsia="Times New Roman" w:hint="default"/>
        </w:rPr>
        <w:t>(</w:t>
      </w:r>
      <w:r>
        <w:rPr/>
        <w:t>如某些贷款承诺</w:t>
      </w:r>
      <w:r>
        <w:rPr>
          <w:rFonts w:ascii="Times New Roman" w:hAnsi="Times New Roman" w:cs="Times New Roman" w:eastAsia="Times New Roman" w:hint="default"/>
        </w:rPr>
        <w:t>)</w:t>
      </w:r>
      <w:r>
        <w:rPr/>
        <w:t>。 本公司的借款利率情况：年利率</w:t>
      </w:r>
      <w:r>
        <w:rPr>
          <w:rFonts w:ascii="Times New Roman" w:hAnsi="Times New Roman" w:cs="Times New Roman" w:eastAsia="Times New Roman" w:hint="default"/>
        </w:rPr>
        <w:t>4.35%-4.5675%</w:t>
      </w:r>
      <w:r>
        <w:rPr/>
        <w:t>。</w:t>
      </w:r>
    </w:p>
    <w:p>
      <w:pPr>
        <w:pStyle w:val="BodyText"/>
        <w:spacing w:line="240" w:lineRule="auto" w:before="18"/>
        <w:ind w:left="514" w:right="1118"/>
        <w:jc w:val="left"/>
      </w:pPr>
      <w:r>
        <w:rPr/>
        <w:t>假设在其他条件不变的情况下，借款利率上升或下降</w:t>
      </w:r>
      <w:r>
        <w:rPr>
          <w:rFonts w:ascii="Times New Roman" w:hAnsi="Times New Roman" w:cs="Times New Roman" w:eastAsia="Times New Roman" w:hint="default"/>
        </w:rPr>
        <w:t>10%</w:t>
      </w:r>
      <w:r>
        <w:rPr/>
        <w:t>，则可能影响本公司本期的净利润</w:t>
      </w:r>
      <w:r>
        <w:rPr>
          <w:rFonts w:ascii="Times New Roman" w:hAnsi="Times New Roman" w:cs="Times New Roman" w:eastAsia="Times New Roman" w:hint="default"/>
        </w:rPr>
        <w:t>40.16</w:t>
      </w:r>
      <w:r>
        <w:rPr/>
        <w:t>万元。</w:t>
      </w:r>
    </w:p>
    <w:p>
      <w:pPr>
        <w:pStyle w:val="BodyText"/>
        <w:spacing w:line="338" w:lineRule="auto" w:before="102"/>
        <w:ind w:left="514" w:right="1118"/>
        <w:jc w:val="left"/>
      </w:pPr>
      <w:r>
        <w:rPr/>
        <w:t>（</w:t>
      </w:r>
      <w:r>
        <w:rPr>
          <w:rFonts w:ascii="Times New Roman" w:hAnsi="Times New Roman" w:cs="Times New Roman" w:eastAsia="Times New Roman" w:hint="default"/>
        </w:rPr>
        <w:t>3</w:t>
      </w:r>
      <w:r>
        <w:rPr/>
        <w:t>）其他价格风险 </w:t>
      </w:r>
      <w:r>
        <w:rPr>
          <w:spacing w:val="-2"/>
        </w:rPr>
        <w:t>其他价格风险，是指汇率风险和利率风险以外的市场价格变动而发生波动的风险，无论这些变动是由于与单项金融工具</w:t>
      </w:r>
    </w:p>
    <w:p>
      <w:pPr>
        <w:pStyle w:val="BodyText"/>
        <w:spacing w:line="319" w:lineRule="auto" w:before="2"/>
        <w:ind w:left="154" w:right="1118"/>
        <w:jc w:val="left"/>
      </w:pPr>
      <w:r>
        <w:rPr>
          <w:spacing w:val="-2"/>
        </w:rPr>
        <w:t>或其发行方有关的因素而引起的，还是由于与市场内交易的所有类似金融工具有关的因素而引起的。其他价格风险可源于商</w:t>
      </w:r>
      <w:r>
        <w:rPr>
          <w:spacing w:val="-64"/>
        </w:rPr>
        <w:t> </w:t>
      </w:r>
      <w:r>
        <w:rPr>
          <w:spacing w:val="-64"/>
        </w:rPr>
      </w:r>
      <w:r>
        <w:rPr/>
        <w:t>品价格或权益工具价格等的变化。</w:t>
      </w:r>
    </w:p>
    <w:p>
      <w:pPr>
        <w:spacing w:line="240" w:lineRule="auto" w:before="6"/>
        <w:rPr>
          <w:rFonts w:ascii="宋体" w:hAnsi="宋体" w:cs="宋体" w:eastAsia="宋体" w:hint="default"/>
          <w:sz w:val="20"/>
          <w:szCs w:val="20"/>
        </w:rPr>
      </w:pPr>
    </w:p>
    <w:p>
      <w:pPr>
        <w:pStyle w:val="Heading2"/>
        <w:spacing w:line="240" w:lineRule="auto"/>
        <w:ind w:left="154" w:right="1118"/>
        <w:jc w:val="left"/>
        <w:rPr>
          <w:b w:val="0"/>
          <w:bCs w:val="0"/>
        </w:rPr>
      </w:pPr>
      <w:bookmarkStart w:name="十一、公允价值的披露" w:id="355"/>
      <w:bookmarkEnd w:id="355"/>
      <w:r>
        <w:rPr>
          <w:b w:val="0"/>
          <w:bCs w:val="0"/>
        </w:rPr>
      </w:r>
      <w:r>
        <w:rPr/>
        <w:t>十一、公允价值的披露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118"/>
        <w:jc w:val="left"/>
      </w:pPr>
      <w:r>
        <w:rPr/>
        <w:t>不适用</w:t>
      </w:r>
    </w:p>
    <w:p>
      <w:pPr>
        <w:spacing w:line="240" w:lineRule="auto" w:before="13"/>
        <w:rPr>
          <w:rFonts w:ascii="宋体" w:hAnsi="宋体" w:cs="宋体" w:eastAsia="宋体" w:hint="default"/>
          <w:sz w:val="24"/>
          <w:szCs w:val="24"/>
        </w:rPr>
      </w:pPr>
    </w:p>
    <w:p>
      <w:pPr>
        <w:pStyle w:val="Heading2"/>
        <w:spacing w:line="240" w:lineRule="auto"/>
        <w:ind w:left="154" w:right="1118"/>
        <w:jc w:val="left"/>
        <w:rPr>
          <w:b w:val="0"/>
          <w:bCs w:val="0"/>
        </w:rPr>
      </w:pPr>
      <w:bookmarkStart w:name="十二、关联方及关联交易" w:id="356"/>
      <w:bookmarkEnd w:id="356"/>
      <w:r>
        <w:rPr>
          <w:b w:val="0"/>
          <w:bCs w:val="0"/>
        </w:rPr>
      </w:r>
      <w:r>
        <w:rPr/>
        <w:t>十二、关联方及关联交易</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556" w:right="1118"/>
        <w:jc w:val="left"/>
        <w:rPr>
          <w:b w:val="0"/>
          <w:bCs w:val="0"/>
        </w:rPr>
      </w:pPr>
      <w:bookmarkStart w:name="1、本企业的母公司情况" w:id="357"/>
      <w:bookmarkEnd w:id="357"/>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687"/>
        <w:gridCol w:w="1276"/>
        <w:gridCol w:w="992"/>
        <w:gridCol w:w="991"/>
        <w:gridCol w:w="1277"/>
        <w:gridCol w:w="1344"/>
      </w:tblGrid>
      <w:tr>
        <w:trPr>
          <w:trHeight w:val="570"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2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93" w:right="91"/>
              <w:jc w:val="left"/>
              <w:rPr>
                <w:rFonts w:ascii="宋体" w:hAnsi="宋体" w:cs="宋体" w:eastAsia="宋体" w:hint="default"/>
                <w:sz w:val="18"/>
                <w:szCs w:val="18"/>
              </w:rPr>
            </w:pPr>
            <w:r>
              <w:rPr>
                <w:rFonts w:ascii="宋体" w:hAnsi="宋体" w:cs="宋体" w:eastAsia="宋体" w:hint="default"/>
                <w:sz w:val="18"/>
                <w:szCs w:val="18"/>
              </w:rPr>
              <w:t>母公司对本企 业的持股比例</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26" w:right="36"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61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江苏权健东润投资管理有限公司</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（以下简称“东润投资”）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江苏大丰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46"/>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19.75%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19.75%</w:t>
            </w:r>
          </w:p>
        </w:tc>
      </w:tr>
    </w:tbl>
    <w:p>
      <w:pPr>
        <w:pStyle w:val="BodyText"/>
        <w:spacing w:line="360" w:lineRule="auto" w:before="51"/>
        <w:ind w:left="514" w:right="8052"/>
        <w:jc w:val="left"/>
      </w:pPr>
      <w:r>
        <w:rPr/>
        <w:t>本企业的母公司情况的说明 本企业最终控制方是朱文明。</w:t>
      </w:r>
    </w:p>
    <w:p>
      <w:pPr>
        <w:spacing w:after="0" w:line="360" w:lineRule="auto"/>
        <w:jc w:val="left"/>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spacing w:line="559" w:lineRule="auto" w:before="38"/>
        <w:ind w:left="514" w:right="6837" w:firstLine="42"/>
        <w:jc w:val="left"/>
        <w:rPr>
          <w:rFonts w:ascii="宋体" w:hAnsi="宋体" w:cs="宋体" w:eastAsia="宋体" w:hint="default"/>
          <w:sz w:val="20"/>
          <w:szCs w:val="20"/>
        </w:rPr>
      </w:pPr>
      <w:bookmarkStart w:name="2、本企业的子公司情况" w:id="358"/>
      <w:bookmarkEnd w:id="358"/>
      <w:r>
        <w:rPr/>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b/>
          <w:bCs/>
          <w:w w:val="99"/>
          <w:sz w:val="20"/>
          <w:szCs w:val="20"/>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59"/>
      <w:bookmarkEnd w:id="359"/>
      <w:r>
        <w:rPr>
          <w:rFonts w:ascii="宋体" w:hAnsi="宋体" w:cs="宋体" w:eastAsia="宋体" w:hint="default"/>
          <w:sz w:val="18"/>
          <w:szCs w:val="18"/>
        </w:rPr>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、本企业合营和联营企业情况</w:t>
      </w:r>
      <w:r>
        <w:rPr>
          <w:rFonts w:ascii="宋体" w:hAnsi="宋体" w:cs="宋体" w:eastAsia="宋体" w:hint="default"/>
          <w:b/>
          <w:bCs/>
          <w:w w:val="99"/>
          <w:sz w:val="20"/>
          <w:szCs w:val="20"/>
        </w:rPr>
        <w:t> </w:t>
      </w: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bookmarkStart w:name="4、其他关联方情况" w:id="360"/>
      <w:bookmarkEnd w:id="360"/>
      <w:r>
        <w:rPr>
          <w:rFonts w:ascii="宋体" w:hAnsi="宋体" w:cs="宋体" w:eastAsia="宋体" w:hint="default"/>
          <w:sz w:val="18"/>
          <w:szCs w:val="18"/>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、其他关联方情况</w:t>
      </w:r>
      <w:r>
        <w:rPr>
          <w:rFonts w:ascii="宋体" w:hAnsi="宋体" w:cs="宋体" w:eastAsia="宋体" w:hint="default"/>
          <w:sz w:val="20"/>
          <w:szCs w:val="20"/>
        </w:rPr>
      </w:r>
    </w:p>
    <w:p>
      <w:pPr>
        <w:spacing w:line="240" w:lineRule="auto" w:before="7"/>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4"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9.60%</w:t>
            </w:r>
            <w:r>
              <w:rPr>
                <w:rFonts w:ascii="宋体" w:hAnsi="宋体" w:cs="宋体" w:eastAsia="宋体" w:hint="default"/>
                <w:sz w:val="18"/>
                <w:szCs w:val="18"/>
              </w:rPr>
              <w:t>股份的股东</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ISI 18%</w:t>
            </w:r>
            <w:r>
              <w:rPr>
                <w:rFonts w:ascii="宋体" w:hAnsi="宋体" w:cs="宋体" w:eastAsia="宋体" w:hint="default"/>
                <w:sz w:val="18"/>
                <w:szCs w:val="18"/>
              </w:rPr>
              <w:t>的股权，本公司董事王毅先生兼任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ISI </w:t>
            </w:r>
            <w:r>
              <w:rPr>
                <w:rFonts w:ascii="宋体" w:hAnsi="宋体" w:cs="宋体" w:eastAsia="宋体" w:hint="default"/>
                <w:sz w:val="18"/>
                <w:szCs w:val="18"/>
              </w:rPr>
              <w:t>理事</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本公司董事长朱文明先生、副董事长徐正军先生为该合伙企业合伙人</w:t>
            </w:r>
          </w:p>
        </w:tc>
      </w:tr>
    </w:tbl>
    <w:p>
      <w:pPr>
        <w:spacing w:line="240" w:lineRule="auto" w:before="8"/>
        <w:rPr>
          <w:rFonts w:ascii="宋体" w:hAnsi="宋体" w:cs="宋体" w:eastAsia="宋体" w:hint="default"/>
          <w:b/>
          <w:bCs/>
          <w:sz w:val="19"/>
          <w:szCs w:val="19"/>
        </w:rPr>
      </w:pPr>
    </w:p>
    <w:p>
      <w:pPr>
        <w:pStyle w:val="Heading3"/>
        <w:spacing w:line="240" w:lineRule="auto" w:before="38"/>
        <w:ind w:right="1118"/>
        <w:jc w:val="left"/>
        <w:rPr>
          <w:b w:val="0"/>
          <w:bCs w:val="0"/>
        </w:rPr>
      </w:pPr>
      <w:bookmarkStart w:name="5、关联交易情况" w:id="361"/>
      <w:bookmarkEnd w:id="3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5"/>
          <w:szCs w:val="25"/>
        </w:rPr>
      </w:pPr>
    </w:p>
    <w:p>
      <w:pPr>
        <w:pStyle w:val="Heading3"/>
        <w:spacing w:line="240" w:lineRule="auto"/>
        <w:ind w:left="556" w:right="1118"/>
        <w:jc w:val="left"/>
        <w:rPr>
          <w:b w:val="0"/>
          <w:bCs w:val="0"/>
        </w:rPr>
      </w:pPr>
      <w:bookmarkStart w:name="（1）购销商品、提供和接受劳务的关联交易" w:id="362"/>
      <w:bookmarkEnd w:id="3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514" w:right="111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560"/>
        <w:gridCol w:w="1276"/>
        <w:gridCol w:w="1134"/>
        <w:gridCol w:w="992"/>
        <w:gridCol w:w="1205"/>
      </w:tblGrid>
      <w:tr>
        <w:trPr>
          <w:trHeight w:val="570"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3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381" w:right="111" w:hanging="270"/>
              <w:jc w:val="left"/>
              <w:rPr>
                <w:rFonts w:ascii="宋体" w:hAnsi="宋体" w:cs="宋体" w:eastAsia="宋体" w:hint="default"/>
                <w:sz w:val="18"/>
                <w:szCs w:val="18"/>
              </w:rPr>
            </w:pPr>
            <w:r>
              <w:rPr>
                <w:rFonts w:ascii="宋体" w:hAnsi="宋体" w:cs="宋体" w:eastAsia="宋体" w:hint="default"/>
                <w:sz w:val="18"/>
                <w:szCs w:val="18"/>
              </w:rPr>
              <w:t>获批的交易 额度</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130" w:right="131"/>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4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7,332,810.24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4,174,984.09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技术受让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337,023.99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301,906.95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362,162.16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355,555.86</w:t>
            </w:r>
          </w:p>
        </w:tc>
      </w:tr>
      <w:tr>
        <w:trPr>
          <w:trHeight w:val="330"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44,040,959.50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22,677,061.72</w:t>
            </w:r>
          </w:p>
        </w:tc>
      </w:tr>
      <w:tr>
        <w:trPr>
          <w:trHeight w:val="33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pacing w:val="-1"/>
                <w:sz w:val="18"/>
              </w:rPr>
              <w:t>2,574,063.65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1844"/>
        <w:gridCol w:w="2268"/>
        <w:gridCol w:w="1913"/>
      </w:tblGrid>
      <w:tr>
        <w:trPr>
          <w:trHeight w:val="370"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37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26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136,885.77</w:t>
            </w:r>
          </w:p>
        </w:tc>
      </w:tr>
      <w:tr>
        <w:trPr>
          <w:trHeight w:val="37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1,246,593.40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451,780.86</w:t>
            </w:r>
          </w:p>
        </w:tc>
      </w:tr>
      <w:tr>
        <w:trPr>
          <w:trHeight w:val="371"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7,606,837.63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75,213.68</w:t>
            </w:r>
          </w:p>
        </w:tc>
      </w:tr>
      <w:tr>
        <w:trPr>
          <w:trHeight w:val="37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1,876,448.35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1,359,853.75</w:t>
            </w:r>
          </w:p>
        </w:tc>
      </w:tr>
      <w:tr>
        <w:trPr>
          <w:trHeight w:val="37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35,880.34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1,452.99</w:t>
            </w:r>
          </w:p>
        </w:tc>
      </w:tr>
      <w:tr>
        <w:trPr>
          <w:trHeight w:val="371"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4,738,945.14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1,994,352.85</w:t>
            </w:r>
          </w:p>
        </w:tc>
      </w:tr>
      <w:tr>
        <w:trPr>
          <w:trHeight w:val="37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销售配件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1,210,695.78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2,256,170.60</w:t>
            </w:r>
          </w:p>
        </w:tc>
      </w:tr>
      <w:tr>
        <w:trPr>
          <w:trHeight w:val="370"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5,468,787.00</w:t>
            </w:r>
          </w:p>
        </w:tc>
      </w:tr>
      <w:tr>
        <w:trPr>
          <w:trHeight w:val="371"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142,857.12</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5"/>
        <w:rPr>
          <w:rFonts w:ascii="宋体" w:hAnsi="宋体" w:cs="宋体" w:eastAsia="宋体" w:hint="default"/>
          <w:sz w:val="19"/>
          <w:szCs w:val="19"/>
        </w:rPr>
      </w:pPr>
    </w:p>
    <w:p>
      <w:pPr>
        <w:pStyle w:val="Heading3"/>
        <w:spacing w:line="240" w:lineRule="auto" w:before="38"/>
        <w:ind w:right="1118"/>
        <w:jc w:val="left"/>
        <w:rPr>
          <w:b w:val="0"/>
          <w:bCs w:val="0"/>
        </w:rPr>
      </w:pPr>
      <w:bookmarkStart w:name="（2）关联租赁情况" w:id="363"/>
      <w:bookmarkEnd w:id="363"/>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18"/>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2268"/>
        <w:gridCol w:w="1844"/>
        <w:gridCol w:w="1913"/>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142,857.12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7"/>
        <w:gridCol w:w="2126"/>
        <w:gridCol w:w="1844"/>
        <w:gridCol w:w="1913"/>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2,574,063.65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6、关联方应收应付款项" w:id="364"/>
      <w:bookmarkEnd w:id="36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56" w:right="1118"/>
        <w:jc w:val="left"/>
        <w:rPr>
          <w:b w:val="0"/>
          <w:bCs w:val="0"/>
        </w:rPr>
      </w:pPr>
      <w:bookmarkStart w:name="（1）应收项目" w:id="365"/>
      <w:bookmarkEnd w:id="36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3651"/>
        <w:gridCol w:w="1134"/>
        <w:gridCol w:w="993"/>
        <w:gridCol w:w="1134"/>
        <w:gridCol w:w="1061"/>
      </w:tblGrid>
      <w:tr>
        <w:trPr>
          <w:trHeight w:val="370"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70"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3651"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998,923.07</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14,445.00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1,485,857.67</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1,432,413.08</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3,144,579.23</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6,658,688.05</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4,299.12</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株式会社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ISI</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546,878.70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1,371,461.16</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5,553,217.00</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10,237,920.00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广东益东金财资产管理中心（有限合伙）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1,714,326.45</w:t>
            </w:r>
          </w:p>
        </w:tc>
        <w:tc>
          <w:tcPr>
            <w:tcW w:w="9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应付项目" w:id="366"/>
      <w:bookmarkEnd w:id="36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3138"/>
        <w:gridCol w:w="2126"/>
        <w:gridCol w:w="191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1,320,087.41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1,823,057.50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4,929,020.00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5,031,000.00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15,302,613.39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7,436,138.00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2,015,290.77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5,508,254.00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江苏石川岛丰东真空技术有限公司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140,000.00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12"/>
        <w:rPr>
          <w:rFonts w:ascii="宋体" w:hAnsi="宋体" w:cs="宋体" w:eastAsia="宋体" w:hint="default"/>
          <w:sz w:val="17"/>
          <w:szCs w:val="17"/>
        </w:rPr>
      </w:pPr>
    </w:p>
    <w:p>
      <w:pPr>
        <w:pStyle w:val="Heading2"/>
        <w:spacing w:line="240" w:lineRule="auto" w:before="26"/>
        <w:ind w:left="154" w:right="0"/>
        <w:jc w:val="both"/>
        <w:rPr>
          <w:b w:val="0"/>
          <w:bCs w:val="0"/>
        </w:rPr>
      </w:pPr>
      <w:bookmarkStart w:name="十三、股份支付" w:id="367"/>
      <w:bookmarkEnd w:id="367"/>
      <w:r>
        <w:rPr>
          <w:b w:val="0"/>
          <w:bCs w:val="0"/>
        </w:rPr>
      </w:r>
      <w:r>
        <w:rPr/>
        <w:t>十三、股份支付</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股份支付总体情况" w:id="368"/>
      <w:bookmarkEnd w:id="368"/>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2、以权益结算的股份支付情况" w:id="369"/>
      <w:bookmarkEnd w:id="36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3、以现金结算的股份支付情况" w:id="370"/>
      <w:bookmarkEnd w:id="37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2"/>
        <w:rPr>
          <w:rFonts w:ascii="宋体" w:hAnsi="宋体" w:cs="宋体" w:eastAsia="宋体" w:hint="default"/>
          <w:b/>
          <w:bCs/>
          <w:sz w:val="26"/>
          <w:szCs w:val="26"/>
        </w:rPr>
      </w:pPr>
    </w:p>
    <w:p>
      <w:pPr>
        <w:spacing w:line="559" w:lineRule="auto" w:before="0"/>
        <w:ind w:left="514" w:right="75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71"/>
      <w:bookmarkEnd w:id="371"/>
      <w:r>
        <w:rPr>
          <w:rFonts w:ascii="宋体" w:hAnsi="宋体" w:cs="宋体" w:eastAsia="宋体" w:hint="default"/>
          <w:sz w:val="18"/>
          <w:szCs w:val="18"/>
        </w:rPr>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、股份支付的修改、终止情况</w:t>
      </w:r>
      <w:r>
        <w:rPr>
          <w:rFonts w:ascii="宋体" w:hAnsi="宋体" w:cs="宋体" w:eastAsia="宋体" w:hint="default"/>
          <w:b/>
          <w:bCs/>
          <w:w w:val="99"/>
          <w:sz w:val="20"/>
          <w:szCs w:val="20"/>
        </w:rPr>
        <w:t> </w:t>
      </w:r>
      <w:r>
        <w:rPr>
          <w:rFonts w:ascii="宋体" w:hAnsi="宋体" w:cs="宋体" w:eastAsia="宋体" w:hint="default"/>
          <w:sz w:val="18"/>
          <w:szCs w:val="18"/>
        </w:rPr>
        <w:t>无</w:t>
      </w:r>
    </w:p>
    <w:p>
      <w:pPr>
        <w:pStyle w:val="Heading3"/>
        <w:spacing w:line="240" w:lineRule="auto" w:before="122"/>
        <w:ind w:left="556" w:right="1118"/>
        <w:jc w:val="left"/>
        <w:rPr>
          <w:b w:val="0"/>
          <w:bCs w:val="0"/>
        </w:rPr>
      </w:pPr>
      <w:bookmarkStart w:name="5、其他" w:id="372"/>
      <w:bookmarkEnd w:id="372"/>
      <w:r>
        <w:rPr>
          <w:b w:val="0"/>
          <w:bCs w:val="0"/>
        </w:rPr>
      </w:r>
      <w:r>
        <w:rPr>
          <w:rFonts w:ascii="Times New Roman" w:hAnsi="Times New Roman" w:cs="Times New Roman" w:eastAsia="Times New Roman" w:hint="default"/>
        </w:rPr>
        <w:t>5</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4"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十四、承诺及或有事项" w:id="373"/>
      <w:bookmarkEnd w:id="373"/>
      <w:r>
        <w:rPr>
          <w:b w:val="0"/>
          <w:bCs w:val="0"/>
        </w:rPr>
      </w:r>
      <w:r>
        <w:rPr/>
        <w:t>十四、承诺及或有事项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left="556" w:right="1118"/>
        <w:jc w:val="left"/>
        <w:rPr>
          <w:b w:val="0"/>
          <w:bCs w:val="0"/>
        </w:rPr>
      </w:pPr>
      <w:bookmarkStart w:name="1、重要承诺事项" w:id="374"/>
      <w:bookmarkEnd w:id="374"/>
      <w:r>
        <w:rPr>
          <w:b w:val="0"/>
          <w:bCs w:val="0"/>
        </w:rPr>
      </w:r>
      <w:r>
        <w:rPr>
          <w:rFonts w:ascii="Times New Roman" w:hAnsi="Times New Roman" w:cs="Times New Roman" w:eastAsia="Times New Roman" w:hint="default"/>
        </w:rPr>
        <w:t>1</w:t>
      </w:r>
      <w:r>
        <w:rPr/>
        <w:t>、重要承诺事项</w:t>
      </w:r>
      <w:r>
        <w:rPr>
          <w:b w:val="0"/>
          <w:bCs w:val="0"/>
        </w:rPr>
      </w:r>
    </w:p>
    <w:p>
      <w:pPr>
        <w:pStyle w:val="BodyText"/>
        <w:spacing w:line="432" w:lineRule="exact" w:before="36"/>
        <w:ind w:left="514" w:right="1122"/>
        <w:jc w:val="left"/>
      </w:pPr>
      <w:r>
        <w:rPr/>
        <w:t>资产负债表日存在的重要承诺 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日召开的第四届董事会第十次会议审议通过了《关于与清华大学五道口金融学院签订战略合作暨对外</w:t>
      </w:r>
    </w:p>
    <w:p>
      <w:pPr>
        <w:pStyle w:val="BodyText"/>
        <w:spacing w:line="300" w:lineRule="auto" w:before="15"/>
        <w:ind w:left="153" w:right="1131"/>
        <w:jc w:val="both"/>
      </w:pPr>
      <w:r>
        <w:rPr>
          <w:spacing w:val="-2"/>
        </w:rPr>
        <w:t>捐赠协议的议案》，并于同日与清华大学五道口金融学院（以下简称</w:t>
      </w:r>
      <w:r>
        <w:rPr>
          <w:rFonts w:ascii="Times New Roman" w:hAnsi="Times New Roman" w:cs="Times New Roman" w:eastAsia="Times New Roman" w:hint="default"/>
          <w:spacing w:val="-2"/>
        </w:rPr>
        <w:t>“</w:t>
      </w:r>
      <w:r>
        <w:rPr>
          <w:spacing w:val="-2"/>
        </w:rPr>
        <w:t>清华五道口</w:t>
      </w:r>
      <w:r>
        <w:rPr>
          <w:rFonts w:ascii="Times New Roman" w:hAnsi="Times New Roman" w:cs="Times New Roman" w:eastAsia="Times New Roman" w:hint="default"/>
          <w:spacing w:val="-2"/>
        </w:rPr>
        <w:t>”</w:t>
      </w:r>
      <w:r>
        <w:rPr>
          <w:spacing w:val="-2"/>
        </w:rPr>
        <w:t>）签订了《战略合作备忘录》，与清华大</w:t>
      </w:r>
      <w:r>
        <w:rPr>
          <w:spacing w:val="-46"/>
        </w:rPr>
        <w:t> </w:t>
      </w:r>
      <w:r>
        <w:rPr>
          <w:spacing w:val="-46"/>
        </w:rPr>
      </w:r>
      <w:r>
        <w:rPr/>
        <w:t>学教育基金会签署了《捐赠协议书》，该合作期限为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日。公司承诺捐赠总额为</w:t>
      </w:r>
      <w:r>
        <w:rPr>
          <w:rFonts w:ascii="Times New Roman" w:hAnsi="Times New Roman" w:cs="Times New Roman" w:eastAsia="Times New Roman" w:hint="default"/>
        </w:rPr>
        <w:t>3,000</w:t>
      </w:r>
      <w:r>
        <w:rPr/>
        <w:t>万元人民 币，分五年支付，每年捐赠</w:t>
      </w:r>
      <w:r>
        <w:rPr>
          <w:rFonts w:ascii="Times New Roman" w:hAnsi="Times New Roman" w:cs="Times New Roman" w:eastAsia="Times New Roman" w:hint="default"/>
        </w:rPr>
        <w:t>600</w:t>
      </w:r>
      <w:r>
        <w:rPr/>
        <w:t>万元人民币。</w:t>
      </w:r>
    </w:p>
    <w:p>
      <w:pPr>
        <w:pStyle w:val="BodyText"/>
        <w:spacing w:line="300" w:lineRule="auto" w:before="131"/>
        <w:ind w:left="153" w:right="1118" w:firstLine="360"/>
        <w:jc w:val="left"/>
      </w:pPr>
      <w:r>
        <w:rPr>
          <w:spacing w:val="-5"/>
        </w:rPr>
        <w:t>公司子公司方欣科技与广东益东金财资产管理中心（有限合伙）签订《租赁合同》，向其租赁办公楼，建筑面积</w:t>
      </w:r>
      <w:r>
        <w:rPr>
          <w:rFonts w:ascii="Times New Roman" w:hAnsi="Times New Roman" w:cs="Times New Roman" w:eastAsia="Times New Roman" w:hint="default"/>
          <w:spacing w:val="-5"/>
        </w:rPr>
        <w:t>11,428.84</w:t>
      </w:r>
      <w:r>
        <w:rPr>
          <w:rFonts w:ascii="Times New Roman" w:hAnsi="Times New Roman" w:cs="Times New Roman" w:eastAsia="Times New Roman" w:hint="default"/>
        </w:rPr>
        <w:t> </w:t>
      </w:r>
      <w:r>
        <w:rPr/>
        <w:t>平方米，租赁期限为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日。各年租金如下：</w:t>
      </w:r>
    </w:p>
    <w:p>
      <w:pPr>
        <w:spacing w:line="240" w:lineRule="auto" w:before="5"/>
        <w:rPr>
          <w:rFonts w:ascii="宋体" w:hAnsi="宋体" w:cs="宋体" w:eastAsia="宋体" w:hint="default"/>
          <w:sz w:val="9"/>
          <w:szCs w:val="9"/>
        </w:rPr>
      </w:pPr>
    </w:p>
    <w:tbl>
      <w:tblPr>
        <w:tblW w:w="0" w:type="auto"/>
        <w:jc w:val="left"/>
        <w:tblInd w:w="502" w:type="dxa"/>
        <w:tblLayout w:type="fixed"/>
        <w:tblCellMar>
          <w:top w:w="0" w:type="dxa"/>
          <w:left w:w="0" w:type="dxa"/>
          <w:bottom w:w="0" w:type="dxa"/>
          <w:right w:w="0" w:type="dxa"/>
        </w:tblCellMar>
        <w:tblLook w:val="01E0"/>
      </w:tblPr>
      <w:tblGrid>
        <w:gridCol w:w="1149"/>
        <w:gridCol w:w="4806"/>
        <w:gridCol w:w="2978"/>
      </w:tblGrid>
      <w:tr>
        <w:trPr>
          <w:trHeight w:val="310" w:hRule="exact"/>
        </w:trPr>
        <w:tc>
          <w:tcPr>
            <w:tcW w:w="114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806"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租赁日期</w:t>
            </w:r>
          </w:p>
        </w:tc>
        <w:tc>
          <w:tcPr>
            <w:tcW w:w="297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租金（元）</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6,857,305.80</w:t>
            </w:r>
          </w:p>
        </w:tc>
      </w:tr>
      <w:tr>
        <w:trPr>
          <w:trHeight w:val="311"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2</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8,722,492.98</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3</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9,245,842.56</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4</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9,800,593.11</w:t>
            </w:r>
          </w:p>
        </w:tc>
      </w:tr>
      <w:tr>
        <w:trPr>
          <w:trHeight w:val="311"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5</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10,388,628.70</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6</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11,011,946.42</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7</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11,672,663.20</w:t>
            </w:r>
          </w:p>
        </w:tc>
      </w:tr>
      <w:tr>
        <w:trPr>
          <w:trHeight w:val="311"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8</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12,373,023.00</w:t>
            </w:r>
          </w:p>
        </w:tc>
      </w:tr>
      <w:tr>
        <w:trPr>
          <w:trHeight w:val="310"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8"/>
                <w:szCs w:val="18"/>
              </w:rPr>
            </w:pPr>
            <w:r>
              <w:rPr>
                <w:rFonts w:ascii="Times New Roman"/>
                <w:sz w:val="18"/>
              </w:rPr>
              <w:t>9</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sz w:val="18"/>
              </w:rPr>
              <w:t>13,115,404.37</w:t>
            </w:r>
          </w:p>
        </w:tc>
      </w:tr>
      <w:tr>
        <w:trPr>
          <w:trHeight w:val="311" w:hRule="exact"/>
        </w:trPr>
        <w:tc>
          <w:tcPr>
            <w:tcW w:w="1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10</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-2027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13,902,328.64</w:t>
            </w:r>
          </w:p>
        </w:tc>
      </w:tr>
    </w:tbl>
    <w:p>
      <w:pPr>
        <w:spacing w:after="0" w:line="240" w:lineRule="auto"/>
        <w:jc w:val="center"/>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3"/>
        <w:rPr>
          <w:rFonts w:ascii="宋体" w:hAnsi="宋体" w:cs="宋体" w:eastAsia="宋体" w:hint="default"/>
          <w:sz w:val="20"/>
          <w:szCs w:val="20"/>
        </w:rPr>
      </w:pPr>
    </w:p>
    <w:p>
      <w:pPr>
        <w:pStyle w:val="BodyText"/>
        <w:spacing w:line="300" w:lineRule="auto" w:before="44"/>
        <w:ind w:left="154" w:right="1122"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日，方欣科技下属公司广州浪潮创新计算机科技服务有限公司与广州农业科技开发研究基地签订《租赁合 同》，向其租赁办公楼，占地面</w:t>
      </w:r>
      <w:r>
        <w:rPr>
          <w:rFonts w:ascii="Times New Roman" w:hAnsi="Times New Roman" w:cs="Times New Roman" w:eastAsia="Times New Roman" w:hint="default"/>
        </w:rPr>
        <w:t>1,090.40</w:t>
      </w:r>
      <w:r>
        <w:rPr/>
        <w:t>平方米，租赁期自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日止，每年租金</w:t>
      </w:r>
      <w:r>
        <w:rPr>
          <w:rFonts w:ascii="Times New Roman" w:hAnsi="Times New Roman" w:cs="Times New Roman" w:eastAsia="Times New Roman" w:hint="default"/>
        </w:rPr>
        <w:t>392,544.00</w:t>
      </w:r>
      <w:r>
        <w:rPr/>
        <w:t>元。</w:t>
      </w:r>
    </w:p>
    <w:p>
      <w:pPr>
        <w:pStyle w:val="BodyText"/>
        <w:spacing w:line="302" w:lineRule="auto" w:before="51"/>
        <w:ind w:left="153" w:right="1123"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月，方欣科技下属子公司金财互联数据服务有限公司与福建天创投资发展有限公司签订《房屋租赁合同》，向 其租赁办公楼，建筑面积</w:t>
      </w:r>
      <w:r>
        <w:rPr>
          <w:rFonts w:ascii="Times New Roman" w:hAnsi="Times New Roman" w:cs="Times New Roman" w:eastAsia="Times New Roman" w:hint="default"/>
        </w:rPr>
        <w:t>950.51</w:t>
      </w:r>
      <w:r>
        <w:rPr/>
        <w:t>平方米，租赁期自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日止，各年租金为</w:t>
      </w:r>
      <w:r>
        <w:rPr>
          <w:rFonts w:ascii="Times New Roman" w:hAnsi="Times New Roman" w:cs="Times New Roman" w:eastAsia="Times New Roman" w:hint="default"/>
        </w:rPr>
        <w:t>1,050,841.44</w:t>
      </w:r>
      <w:r>
        <w:rPr/>
        <w:t>元、 </w:t>
      </w:r>
      <w:r>
        <w:rPr>
          <w:rFonts w:ascii="Times New Roman" w:hAnsi="Times New Roman" w:cs="Times New Roman" w:eastAsia="Times New Roman" w:hint="default"/>
        </w:rPr>
        <w:t>1,103,348.88</w:t>
      </w:r>
      <w:r>
        <w:rPr/>
        <w:t>元、</w:t>
      </w:r>
      <w:r>
        <w:rPr>
          <w:rFonts w:ascii="Times New Roman" w:hAnsi="Times New Roman" w:cs="Times New Roman" w:eastAsia="Times New Roman" w:hint="default"/>
        </w:rPr>
        <w:t>1,158,253.92</w:t>
      </w:r>
      <w:r>
        <w:rPr/>
        <w:t>元及</w:t>
      </w:r>
      <w:r>
        <w:rPr>
          <w:rFonts w:ascii="Times New Roman" w:hAnsi="Times New Roman" w:cs="Times New Roman" w:eastAsia="Times New Roman" w:hint="default"/>
        </w:rPr>
        <w:t>1,216,169.28</w:t>
      </w:r>
      <w:r>
        <w:rPr/>
        <w:t>元。</w:t>
      </w:r>
    </w:p>
    <w:p>
      <w:pPr>
        <w:pStyle w:val="BodyText"/>
        <w:spacing w:line="302" w:lineRule="auto" w:before="50"/>
        <w:ind w:left="154" w:right="112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日，丰东热技术下属子公司青岛丰东与蓝兆胜签订《租赁合同》，向其租赁厂房、办公楼、生活楼及其他 附属设施，占地面积</w:t>
      </w:r>
      <w:r>
        <w:rPr>
          <w:rFonts w:ascii="Times New Roman" w:hAnsi="Times New Roman" w:cs="Times New Roman" w:eastAsia="Times New Roman" w:hint="default"/>
        </w:rPr>
        <w:t>3000</w:t>
      </w:r>
      <w:r>
        <w:rPr/>
        <w:t>平方米，租赁期限</w:t>
      </w:r>
      <w:r>
        <w:rPr>
          <w:rFonts w:ascii="Times New Roman" w:hAnsi="Times New Roman" w:cs="Times New Roman" w:eastAsia="Times New Roman" w:hint="default"/>
        </w:rPr>
        <w:t>3</w:t>
      </w:r>
      <w:r>
        <w:rPr/>
        <w:t>年，自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日止，每年租金</w:t>
      </w:r>
      <w:r>
        <w:rPr>
          <w:rFonts w:ascii="Times New Roman" w:hAnsi="Times New Roman" w:cs="Times New Roman" w:eastAsia="Times New Roman" w:hint="default"/>
        </w:rPr>
        <w:t>22</w:t>
      </w:r>
      <w:r>
        <w:rPr/>
        <w:t>万元。</w:t>
      </w:r>
    </w:p>
    <w:p>
      <w:pPr>
        <w:pStyle w:val="BodyText"/>
        <w:spacing w:line="300" w:lineRule="auto" w:before="49"/>
        <w:ind w:left="153"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日，丰东热技术下属子公司重庆丰东与重庆市超祥商贸有限公司签订《房屋租赁合同》，向其租用厂房及办</w:t>
      </w:r>
      <w:r>
        <w:rPr/>
        <w:t> 公楼房屋的建筑面积为</w:t>
      </w:r>
      <w:r>
        <w:rPr>
          <w:rFonts w:ascii="Times New Roman" w:hAnsi="Times New Roman" w:cs="Times New Roman" w:eastAsia="Times New Roman" w:hint="default"/>
        </w:rPr>
        <w:t>5763</w:t>
      </w:r>
      <w:r>
        <w:rPr/>
        <w:t>平方米，租金标准为每平方米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13.5</w:t>
      </w:r>
      <w:r>
        <w:rPr/>
        <w:t>元；租用辅助房屋的面积为</w:t>
      </w:r>
      <w:r>
        <w:rPr>
          <w:rFonts w:ascii="Times New Roman" w:hAnsi="Times New Roman" w:cs="Times New Roman" w:eastAsia="Times New Roman" w:hint="default"/>
        </w:rPr>
        <w:t>562</w:t>
      </w:r>
      <w:r>
        <w:rPr/>
        <w:t>平方米，租金标准为每平 方米</w:t>
      </w:r>
      <w:r>
        <w:rPr>
          <w:rFonts w:ascii="Times New Roman" w:hAnsi="Times New Roman" w:cs="Times New Roman" w:eastAsia="Times New Roman" w:hint="default"/>
        </w:rPr>
        <w:t>/</w:t>
      </w:r>
      <w:r>
        <w:rPr/>
        <w:t>每月</w:t>
      </w:r>
      <w:r>
        <w:rPr>
          <w:rFonts w:ascii="Times New Roman" w:hAnsi="Times New Roman" w:cs="Times New Roman" w:eastAsia="Times New Roman" w:hint="default"/>
        </w:rPr>
        <w:t>7</w:t>
      </w:r>
      <w:r>
        <w:rPr/>
        <w:t>元。自起租日起至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日租金不变。</w:t>
      </w:r>
    </w:p>
    <w:p>
      <w:pPr>
        <w:pStyle w:val="BodyText"/>
        <w:spacing w:line="240" w:lineRule="auto" w:before="52"/>
        <w:ind w:right="1118"/>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日止，除上述承诺事项外公司未发生其他影响本财务报表阅读和理解的重大承诺事项。</w:t>
      </w:r>
    </w:p>
    <w:p>
      <w:pPr>
        <w:spacing w:line="240" w:lineRule="auto" w:before="6"/>
        <w:rPr>
          <w:rFonts w:ascii="宋体" w:hAnsi="宋体" w:cs="宋体" w:eastAsia="宋体" w:hint="default"/>
          <w:sz w:val="26"/>
          <w:szCs w:val="26"/>
        </w:rPr>
      </w:pPr>
    </w:p>
    <w:p>
      <w:pPr>
        <w:pStyle w:val="Heading3"/>
        <w:spacing w:line="240" w:lineRule="auto"/>
        <w:ind w:left="556" w:right="1118"/>
        <w:jc w:val="left"/>
        <w:rPr>
          <w:b w:val="0"/>
          <w:bCs w:val="0"/>
        </w:rPr>
      </w:pPr>
      <w:bookmarkStart w:name="2、或有事项" w:id="375"/>
      <w:bookmarkEnd w:id="37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left="556" w:right="1118"/>
        <w:jc w:val="left"/>
        <w:rPr>
          <w:b w:val="0"/>
          <w:bCs w:val="0"/>
        </w:rPr>
      </w:pPr>
      <w:bookmarkStart w:name="（1）资产负债表日存在的重要或有事项" w:id="376"/>
      <w:bookmarkEnd w:id="37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18"/>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日止，公司未发生影响本财务报表阅读和理解的或有事项。</w:t>
      </w:r>
    </w:p>
    <w:p>
      <w:pPr>
        <w:spacing w:line="240" w:lineRule="auto" w:before="8"/>
        <w:rPr>
          <w:rFonts w:ascii="宋体" w:hAnsi="宋体" w:cs="宋体" w:eastAsia="宋体" w:hint="default"/>
          <w:sz w:val="26"/>
          <w:szCs w:val="26"/>
        </w:rPr>
      </w:pPr>
    </w:p>
    <w:p>
      <w:pPr>
        <w:pStyle w:val="Heading3"/>
        <w:spacing w:line="240" w:lineRule="auto"/>
        <w:ind w:left="556" w:right="1118"/>
        <w:jc w:val="left"/>
        <w:rPr>
          <w:b w:val="0"/>
          <w:bCs w:val="0"/>
        </w:rPr>
      </w:pPr>
      <w:bookmarkStart w:name="（2）公司没有需要披露的重要或有事项，也应予以说明" w:id="377"/>
      <w:bookmarkEnd w:id="37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24"/>
        <w:ind w:left="556" w:right="1118"/>
        <w:jc w:val="left"/>
        <w:rPr>
          <w:b w:val="0"/>
          <w:bCs w:val="0"/>
        </w:rPr>
      </w:pPr>
      <w:bookmarkStart w:name="3、其他" w:id="378"/>
      <w:bookmarkEnd w:id="378"/>
      <w:r>
        <w:rPr>
          <w:b w:val="0"/>
          <w:bCs w:val="0"/>
        </w:rPr>
      </w:r>
      <w:r>
        <w:rPr>
          <w:rFonts w:ascii="Times New Roman" w:hAnsi="Times New Roman" w:cs="Times New Roman" w:eastAsia="Times New Roman" w:hint="default"/>
        </w:rPr>
        <w:t>3</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300" w:lineRule="auto"/>
        <w:ind w:left="153" w:right="1130" w:firstLine="360"/>
        <w:jc w:val="both"/>
      </w:pPr>
      <w:r>
        <w:rPr>
          <w:rFonts w:ascii="Times New Roman" w:hAnsi="Times New Roman" w:cs="Times New Roman" w:eastAsia="Times New Roman" w:hint="default"/>
          <w:spacing w:val="-1"/>
        </w:rPr>
        <w:t>3.1</w:t>
      </w: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日止，丰东热技术下属子公司盐城丰东特种炉业有限公司将位于大丰区经济开发区昌平路</w:t>
      </w:r>
      <w:r>
        <w:rPr>
          <w:rFonts w:ascii="Times New Roman" w:hAnsi="Times New Roman" w:cs="Times New Roman" w:eastAsia="Times New Roman" w:hint="default"/>
          <w:spacing w:val="-1"/>
        </w:rPr>
        <w:t>7</w:t>
      </w:r>
      <w:r>
        <w:rPr>
          <w:spacing w:val="-1"/>
        </w:rPr>
        <w:t>号的</w:t>
      </w:r>
      <w:r>
        <w:rPr/>
        <w:t> </w:t>
      </w:r>
      <w:r>
        <w:rPr>
          <w:spacing w:val="-2"/>
        </w:rPr>
        <w:t>自有房产及土地使用权，抵押给江苏大丰农村商业银行，取得期末</w:t>
      </w:r>
      <w:r>
        <w:rPr>
          <w:rFonts w:ascii="Times New Roman" w:hAnsi="Times New Roman" w:cs="Times New Roman" w:eastAsia="Times New Roman" w:hint="default"/>
          <w:spacing w:val="-2"/>
        </w:rPr>
        <w:t>600</w:t>
      </w:r>
      <w:r>
        <w:rPr>
          <w:spacing w:val="-2"/>
        </w:rPr>
        <w:t>万元流动资金抵押担保借款，抵押期限为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11"/>
        </w:rPr>
        <w:t> </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w:t>
      </w:r>
    </w:p>
    <w:p>
      <w:pPr>
        <w:pStyle w:val="BodyText"/>
        <w:spacing w:line="240" w:lineRule="auto" w:before="51"/>
        <w:ind w:left="514" w:right="1118"/>
        <w:jc w:val="left"/>
      </w:pPr>
      <w:r>
        <w:rPr>
          <w:rFonts w:ascii="Times New Roman" w:hAnsi="Times New Roman" w:cs="Times New Roman" w:eastAsia="Times New Roman" w:hint="default"/>
        </w:rPr>
        <w:t>3.2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日止，公司持股</w:t>
      </w:r>
      <w:r>
        <w:rPr>
          <w:rFonts w:ascii="Times New Roman" w:hAnsi="Times New Roman" w:cs="Times New Roman" w:eastAsia="Times New Roman" w:hint="default"/>
        </w:rPr>
        <w:t>5%</w:t>
      </w:r>
      <w:r>
        <w:rPr/>
        <w:t>以上股东所持股份质押情况如下：</w:t>
      </w:r>
    </w:p>
    <w:p>
      <w:pPr>
        <w:spacing w:line="240" w:lineRule="auto" w:before="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134"/>
        <w:gridCol w:w="1275"/>
        <w:gridCol w:w="1134"/>
        <w:gridCol w:w="1985"/>
        <w:gridCol w:w="1277"/>
        <w:gridCol w:w="828"/>
      </w:tblGrid>
      <w:tr>
        <w:trPr>
          <w:trHeight w:val="509" w:hRule="exact"/>
        </w:trPr>
        <w:tc>
          <w:tcPr>
            <w:tcW w:w="99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92" w:lineRule="auto" w:before="27"/>
              <w:ind w:left="35" w:right="36"/>
              <w:jc w:val="left"/>
              <w:rPr>
                <w:rFonts w:ascii="宋体" w:hAnsi="宋体" w:cs="宋体" w:eastAsia="宋体" w:hint="default"/>
                <w:sz w:val="15"/>
                <w:szCs w:val="15"/>
              </w:rPr>
            </w:pPr>
            <w:r>
              <w:rPr>
                <w:rFonts w:ascii="宋体" w:hAnsi="宋体" w:cs="宋体" w:eastAsia="宋体" w:hint="default"/>
                <w:sz w:val="15"/>
                <w:szCs w:val="15"/>
              </w:rPr>
              <w:t>是否为第一大股 东及一致行动人</w:t>
            </w:r>
          </w:p>
        </w:tc>
        <w:tc>
          <w:tcPr>
            <w:tcW w:w="113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right="200"/>
              <w:jc w:val="right"/>
              <w:rPr>
                <w:rFonts w:ascii="宋体" w:hAnsi="宋体" w:cs="宋体" w:eastAsia="宋体" w:hint="default"/>
                <w:sz w:val="18"/>
                <w:szCs w:val="18"/>
              </w:rPr>
            </w:pPr>
            <w:r>
              <w:rPr>
                <w:rFonts w:ascii="宋体" w:hAnsi="宋体" w:cs="宋体" w:eastAsia="宋体" w:hint="default"/>
                <w:sz w:val="18"/>
                <w:szCs w:val="18"/>
              </w:rPr>
              <w:t>质押股数</w:t>
            </w:r>
          </w:p>
        </w:tc>
        <w:tc>
          <w:tcPr>
            <w:tcW w:w="127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质押开始日期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right="110"/>
              <w:jc w:val="right"/>
              <w:rPr>
                <w:rFonts w:ascii="宋体" w:hAnsi="宋体" w:cs="宋体" w:eastAsia="宋体" w:hint="default"/>
                <w:sz w:val="18"/>
                <w:szCs w:val="18"/>
              </w:rPr>
            </w:pPr>
            <w:r>
              <w:rPr>
                <w:rFonts w:ascii="宋体" w:hAnsi="宋体" w:cs="宋体" w:eastAsia="宋体" w:hint="default"/>
                <w:sz w:val="18"/>
                <w:szCs w:val="18"/>
              </w:rPr>
              <w:t>质押到期日</w:t>
            </w:r>
          </w:p>
        </w:tc>
        <w:tc>
          <w:tcPr>
            <w:tcW w:w="1985"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127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4" w:lineRule="auto"/>
              <w:ind w:left="92" w:right="92"/>
              <w:jc w:val="left"/>
              <w:rPr>
                <w:rFonts w:ascii="宋体" w:hAnsi="宋体" w:cs="宋体" w:eastAsia="宋体" w:hint="default"/>
                <w:sz w:val="18"/>
                <w:szCs w:val="18"/>
              </w:rPr>
            </w:pPr>
            <w:r>
              <w:rPr>
                <w:rFonts w:ascii="宋体" w:hAnsi="宋体" w:cs="宋体" w:eastAsia="宋体" w:hint="default"/>
                <w:sz w:val="18"/>
                <w:szCs w:val="18"/>
              </w:rPr>
              <w:t>质押股份占其 所持股份比例</w:t>
            </w:r>
          </w:p>
        </w:tc>
        <w:tc>
          <w:tcPr>
            <w:tcW w:w="8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9"/>
              <w:jc w:val="right"/>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2016/12/14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1" w:right="0"/>
              <w:jc w:val="left"/>
              <w:rPr>
                <w:rFonts w:ascii="Times New Roman" w:hAnsi="Times New Roman" w:cs="Times New Roman" w:eastAsia="Times New Roman" w:hint="default"/>
                <w:sz w:val="18"/>
                <w:szCs w:val="18"/>
              </w:rPr>
            </w:pPr>
            <w:r>
              <w:rPr>
                <w:rFonts w:ascii="Times New Roman"/>
                <w:sz w:val="18"/>
              </w:rPr>
              <w:t>2019/8/2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627" w:right="87" w:hanging="540"/>
              <w:jc w:val="left"/>
              <w:rPr>
                <w:rFonts w:ascii="宋体" w:hAnsi="宋体" w:cs="宋体" w:eastAsia="宋体" w:hint="default"/>
                <w:sz w:val="18"/>
                <w:szCs w:val="18"/>
              </w:rPr>
            </w:pPr>
            <w:r>
              <w:rPr>
                <w:rFonts w:ascii="宋体" w:hAnsi="宋体" w:cs="宋体" w:eastAsia="宋体" w:hint="default"/>
                <w:sz w:val="18"/>
                <w:szCs w:val="18"/>
              </w:rPr>
              <w:t>招商银行股份有限公司 苏州分行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24.77%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徐正军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69"/>
              <w:jc w:val="right"/>
              <w:rPr>
                <w:rFonts w:ascii="宋体" w:hAnsi="宋体" w:cs="宋体" w:eastAsia="宋体" w:hint="default"/>
                <w:sz w:val="18"/>
                <w:szCs w:val="18"/>
              </w:rPr>
            </w:pPr>
            <w:r>
              <w:rPr>
                <w:rFonts w:ascii="Times New Roman" w:hAnsi="Times New Roman" w:cs="Times New Roman" w:eastAsia="Times New Roman" w:hint="default"/>
                <w:sz w:val="18"/>
                <w:szCs w:val="18"/>
              </w:rPr>
              <w:t>5,448</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4"/>
              <w:jc w:val="right"/>
              <w:rPr>
                <w:rFonts w:ascii="Times New Roman" w:hAnsi="Times New Roman" w:cs="Times New Roman" w:eastAsia="Times New Roman" w:hint="default"/>
                <w:sz w:val="18"/>
                <w:szCs w:val="18"/>
              </w:rPr>
            </w:pPr>
            <w:r>
              <w:rPr>
                <w:rFonts w:ascii="Times New Roman"/>
                <w:sz w:val="18"/>
              </w:rPr>
              <w:t>2019/12/6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258</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2017/1/9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41" w:right="0"/>
              <w:jc w:val="left"/>
              <w:rPr>
                <w:rFonts w:ascii="Times New Roman" w:hAnsi="Times New Roman" w:cs="Times New Roman" w:eastAsia="Times New Roman" w:hint="default"/>
                <w:sz w:val="18"/>
                <w:szCs w:val="18"/>
              </w:rPr>
            </w:pPr>
            <w:r>
              <w:rPr>
                <w:rFonts w:ascii="Times New Roman"/>
                <w:sz w:val="18"/>
              </w:rPr>
              <w:t>2020/1/8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807" w:right="87" w:hanging="720"/>
              <w:jc w:val="left"/>
              <w:rPr>
                <w:rFonts w:ascii="宋体" w:hAnsi="宋体" w:cs="宋体" w:eastAsia="宋体" w:hint="default"/>
                <w:sz w:val="18"/>
                <w:szCs w:val="18"/>
              </w:rPr>
            </w:pPr>
            <w:r>
              <w:rPr>
                <w:rFonts w:ascii="宋体" w:hAnsi="宋体" w:cs="宋体" w:eastAsia="宋体" w:hint="default"/>
                <w:sz w:val="18"/>
                <w:szCs w:val="18"/>
              </w:rPr>
              <w:t>国泰君安证券股份有限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3.10%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9"/>
              <w:jc w:val="right"/>
              <w:rPr>
                <w:rFonts w:ascii="宋体" w:hAnsi="宋体" w:cs="宋体" w:eastAsia="宋体" w:hint="default"/>
                <w:sz w:val="18"/>
                <w:szCs w:val="18"/>
              </w:rPr>
            </w:pPr>
            <w:r>
              <w:rPr>
                <w:rFonts w:ascii="Times New Roman" w:hAnsi="Times New Roman" w:cs="Times New Roman" w:eastAsia="Times New Roman" w:hint="default"/>
                <w:sz w:val="18"/>
                <w:szCs w:val="18"/>
              </w:rPr>
              <w:t>127.7</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2017/1/11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4"/>
              <w:jc w:val="right"/>
              <w:rPr>
                <w:rFonts w:ascii="Times New Roman" w:hAnsi="Times New Roman" w:cs="Times New Roman" w:eastAsia="Times New Roman" w:hint="default"/>
                <w:sz w:val="18"/>
                <w:szCs w:val="18"/>
              </w:rPr>
            </w:pPr>
            <w:r>
              <w:rPr>
                <w:rFonts w:ascii="Times New Roman"/>
                <w:sz w:val="18"/>
              </w:rPr>
              <w:t>2020/1/10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807" w:right="87" w:hanging="720"/>
              <w:jc w:val="left"/>
              <w:rPr>
                <w:rFonts w:ascii="宋体" w:hAnsi="宋体" w:cs="宋体" w:eastAsia="宋体" w:hint="default"/>
                <w:sz w:val="18"/>
                <w:szCs w:val="18"/>
              </w:rPr>
            </w:pPr>
            <w:r>
              <w:rPr>
                <w:rFonts w:ascii="宋体" w:hAnsi="宋体" w:cs="宋体" w:eastAsia="宋体" w:hint="default"/>
                <w:sz w:val="18"/>
                <w:szCs w:val="18"/>
              </w:rPr>
              <w:t>国泰君安证券股份有限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1.55%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王金根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2"/>
              <w:jc w:val="right"/>
              <w:rPr>
                <w:rFonts w:ascii="宋体" w:hAnsi="宋体" w:cs="宋体" w:eastAsia="宋体" w:hint="default"/>
                <w:sz w:val="18"/>
                <w:szCs w:val="18"/>
              </w:rPr>
            </w:pPr>
            <w:r>
              <w:rPr>
                <w:rFonts w:ascii="Times New Roman" w:hAnsi="Times New Roman" w:cs="Times New Roman" w:eastAsia="Times New Roman" w:hint="default"/>
                <w:sz w:val="18"/>
                <w:szCs w:val="18"/>
              </w:rPr>
              <w:t>330.98</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2017/1/24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4"/>
              <w:jc w:val="right"/>
              <w:rPr>
                <w:rFonts w:ascii="Times New Roman" w:hAnsi="Times New Roman" w:cs="Times New Roman" w:eastAsia="Times New Roman" w:hint="default"/>
                <w:sz w:val="18"/>
                <w:szCs w:val="18"/>
              </w:rPr>
            </w:pPr>
            <w:r>
              <w:rPr>
                <w:rFonts w:ascii="Times New Roman"/>
                <w:sz w:val="18"/>
              </w:rPr>
              <w:t>2019/1/15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807" w:right="87" w:hanging="720"/>
              <w:jc w:val="left"/>
              <w:rPr>
                <w:rFonts w:ascii="宋体" w:hAnsi="宋体" w:cs="宋体" w:eastAsia="宋体" w:hint="default"/>
                <w:sz w:val="18"/>
                <w:szCs w:val="18"/>
              </w:rPr>
            </w:pPr>
            <w:r>
              <w:rPr>
                <w:rFonts w:ascii="宋体" w:hAnsi="宋体" w:cs="宋体" w:eastAsia="宋体" w:hint="default"/>
                <w:sz w:val="18"/>
                <w:szCs w:val="18"/>
              </w:rPr>
              <w:t>中国中投证券有限责任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9.71%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王金根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2"/>
              <w:jc w:val="right"/>
              <w:rPr>
                <w:rFonts w:ascii="宋体" w:hAnsi="宋体" w:cs="宋体" w:eastAsia="宋体" w:hint="default"/>
                <w:sz w:val="18"/>
                <w:szCs w:val="18"/>
              </w:rPr>
            </w:pPr>
            <w:r>
              <w:rPr>
                <w:rFonts w:ascii="Times New Roman" w:hAnsi="Times New Roman" w:cs="Times New Roman" w:eastAsia="Times New Roman" w:hint="default"/>
                <w:sz w:val="18"/>
                <w:szCs w:val="18"/>
              </w:rPr>
              <w:t>728.49</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2017/3/6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94"/>
              <w:jc w:val="right"/>
              <w:rPr>
                <w:rFonts w:ascii="Times New Roman" w:hAnsi="Times New Roman" w:cs="Times New Roman" w:eastAsia="Times New Roman" w:hint="default"/>
                <w:sz w:val="18"/>
                <w:szCs w:val="18"/>
              </w:rPr>
            </w:pPr>
            <w:r>
              <w:rPr>
                <w:rFonts w:ascii="Times New Roman"/>
                <w:sz w:val="18"/>
              </w:rPr>
              <w:t>2019/1/15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807" w:right="87" w:hanging="720"/>
              <w:jc w:val="left"/>
              <w:rPr>
                <w:rFonts w:ascii="宋体" w:hAnsi="宋体" w:cs="宋体" w:eastAsia="宋体" w:hint="default"/>
                <w:sz w:val="18"/>
                <w:szCs w:val="18"/>
              </w:rPr>
            </w:pPr>
            <w:r>
              <w:rPr>
                <w:rFonts w:ascii="宋体" w:hAnsi="宋体" w:cs="宋体" w:eastAsia="宋体" w:hint="default"/>
                <w:sz w:val="18"/>
                <w:szCs w:val="18"/>
              </w:rPr>
              <w:t>中国中投证券有限责任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21.38%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69"/>
              <w:jc w:val="right"/>
              <w:rPr>
                <w:rFonts w:ascii="宋体" w:hAnsi="宋体" w:cs="宋体" w:eastAsia="宋体" w:hint="default"/>
                <w:sz w:val="18"/>
                <w:szCs w:val="18"/>
              </w:rPr>
            </w:pPr>
            <w:r>
              <w:rPr>
                <w:rFonts w:ascii="Times New Roman" w:hAnsi="Times New Roman" w:cs="Times New Roman" w:eastAsia="Times New Roman" w:hint="default"/>
                <w:sz w:val="18"/>
                <w:szCs w:val="18"/>
              </w:rPr>
              <w:t>64.30</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2017/3/9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41" w:right="0"/>
              <w:jc w:val="left"/>
              <w:rPr>
                <w:rFonts w:ascii="Times New Roman" w:hAnsi="Times New Roman" w:cs="Times New Roman" w:eastAsia="Times New Roman" w:hint="default"/>
                <w:sz w:val="18"/>
                <w:szCs w:val="18"/>
              </w:rPr>
            </w:pPr>
            <w:r>
              <w:rPr>
                <w:rFonts w:ascii="Times New Roman"/>
                <w:sz w:val="18"/>
              </w:rPr>
              <w:t>2020/3/6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807" w:right="87" w:hanging="720"/>
              <w:jc w:val="left"/>
              <w:rPr>
                <w:rFonts w:ascii="宋体" w:hAnsi="宋体" w:cs="宋体" w:eastAsia="宋体" w:hint="default"/>
                <w:sz w:val="18"/>
                <w:szCs w:val="18"/>
              </w:rPr>
            </w:pPr>
            <w:r>
              <w:rPr>
                <w:rFonts w:ascii="宋体" w:hAnsi="宋体" w:cs="宋体" w:eastAsia="宋体" w:hint="default"/>
                <w:sz w:val="18"/>
                <w:szCs w:val="18"/>
              </w:rPr>
              <w:t>国泰君安证券股份有限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sz w:val="18"/>
              </w:rPr>
              <w:t>0.66%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9"/>
              <w:jc w:val="right"/>
              <w:rPr>
                <w:rFonts w:ascii="宋体" w:hAnsi="宋体" w:cs="宋体" w:eastAsia="宋体" w:hint="default"/>
                <w:sz w:val="18"/>
                <w:szCs w:val="18"/>
              </w:rPr>
            </w:pPr>
            <w:r>
              <w:rPr>
                <w:rFonts w:ascii="Times New Roman" w:hAnsi="Times New Roman" w:cs="Times New Roman" w:eastAsia="Times New Roman" w:hint="default"/>
                <w:sz w:val="18"/>
                <w:szCs w:val="18"/>
              </w:rPr>
              <w:t>1,023</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2017/11/17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50"/>
              <w:jc w:val="right"/>
              <w:rPr>
                <w:rFonts w:ascii="Times New Roman" w:hAnsi="Times New Roman" w:cs="Times New Roman" w:eastAsia="Times New Roman" w:hint="default"/>
                <w:sz w:val="18"/>
                <w:szCs w:val="18"/>
              </w:rPr>
            </w:pPr>
            <w:r>
              <w:rPr>
                <w:rFonts w:ascii="Times New Roman"/>
                <w:sz w:val="18"/>
              </w:rPr>
              <w:t>2022/11/19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267" w:right="87" w:hanging="180"/>
              <w:jc w:val="left"/>
              <w:rPr>
                <w:rFonts w:ascii="宋体" w:hAnsi="宋体" w:cs="宋体" w:eastAsia="宋体" w:hint="default"/>
                <w:sz w:val="18"/>
                <w:szCs w:val="18"/>
              </w:rPr>
            </w:pPr>
            <w:r>
              <w:rPr>
                <w:rFonts w:ascii="宋体" w:hAnsi="宋体" w:cs="宋体" w:eastAsia="宋体" w:hint="default"/>
                <w:sz w:val="18"/>
                <w:szCs w:val="18"/>
              </w:rPr>
              <w:t>苏州工业园区国有资产 控股发展有限公司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25.40%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徐正军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9"/>
              <w:jc w:val="right"/>
              <w:rPr>
                <w:rFonts w:ascii="宋体" w:hAnsi="宋体" w:cs="宋体" w:eastAsia="宋体" w:hint="default"/>
                <w:sz w:val="18"/>
                <w:szCs w:val="18"/>
              </w:rPr>
            </w:pPr>
            <w:r>
              <w:rPr>
                <w:rFonts w:ascii="Times New Roman" w:hAnsi="Times New Roman" w:cs="Times New Roman" w:eastAsia="Times New Roman" w:hint="default"/>
                <w:sz w:val="18"/>
                <w:szCs w:val="18"/>
              </w:rPr>
              <w:t>1,023</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2017/11/17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50"/>
              <w:jc w:val="right"/>
              <w:rPr>
                <w:rFonts w:ascii="Times New Roman" w:hAnsi="Times New Roman" w:cs="Times New Roman" w:eastAsia="Times New Roman" w:hint="default"/>
                <w:sz w:val="18"/>
                <w:szCs w:val="18"/>
              </w:rPr>
            </w:pPr>
            <w:r>
              <w:rPr>
                <w:rFonts w:ascii="Times New Roman"/>
                <w:sz w:val="18"/>
              </w:rPr>
              <w:t>2022/11/19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267" w:right="87" w:hanging="180"/>
              <w:jc w:val="left"/>
              <w:rPr>
                <w:rFonts w:ascii="宋体" w:hAnsi="宋体" w:cs="宋体" w:eastAsia="宋体" w:hint="default"/>
                <w:sz w:val="18"/>
                <w:szCs w:val="18"/>
              </w:rPr>
            </w:pPr>
            <w:r>
              <w:rPr>
                <w:rFonts w:ascii="宋体" w:hAnsi="宋体" w:cs="宋体" w:eastAsia="宋体" w:hint="default"/>
                <w:sz w:val="18"/>
                <w:szCs w:val="18"/>
              </w:rPr>
              <w:t>苏州工业园区国有资产 控股发展有限公司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12.77%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bl>
    <w:p>
      <w:pPr>
        <w:spacing w:after="0" w:line="240" w:lineRule="auto"/>
        <w:jc w:val="center"/>
        <w:rPr>
          <w:rFonts w:ascii="宋体" w:hAnsi="宋体" w:cs="宋体" w:eastAsia="宋体" w:hint="default"/>
          <w:sz w:val="18"/>
          <w:szCs w:val="18"/>
        </w:rPr>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134"/>
        <w:gridCol w:w="1275"/>
        <w:gridCol w:w="1134"/>
        <w:gridCol w:w="1985"/>
        <w:gridCol w:w="1277"/>
        <w:gridCol w:w="828"/>
      </w:tblGrid>
      <w:tr>
        <w:trPr>
          <w:trHeight w:val="5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2017/12/14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2019/12/13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807" w:right="87" w:hanging="720"/>
              <w:jc w:val="left"/>
              <w:rPr>
                <w:rFonts w:ascii="宋体" w:hAnsi="宋体" w:cs="宋体" w:eastAsia="宋体" w:hint="default"/>
                <w:sz w:val="18"/>
                <w:szCs w:val="18"/>
              </w:rPr>
            </w:pPr>
            <w:r>
              <w:rPr>
                <w:rFonts w:ascii="宋体" w:hAnsi="宋体" w:cs="宋体" w:eastAsia="宋体" w:hint="default"/>
                <w:sz w:val="18"/>
                <w:szCs w:val="18"/>
              </w:rPr>
              <w:t>国泰君安证券股份有限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00" w:right="0"/>
              <w:jc w:val="left"/>
              <w:rPr>
                <w:rFonts w:ascii="Times New Roman" w:hAnsi="Times New Roman" w:cs="Times New Roman" w:eastAsia="Times New Roman" w:hint="default"/>
                <w:sz w:val="18"/>
                <w:szCs w:val="18"/>
              </w:rPr>
            </w:pPr>
            <w:r>
              <w:rPr>
                <w:rFonts w:ascii="Times New Roman"/>
                <w:sz w:val="18"/>
              </w:rPr>
              <w:t>0.77%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融资</w:t>
            </w:r>
          </w:p>
        </w:tc>
      </w:tr>
      <w:tr>
        <w:trPr>
          <w:trHeight w:val="3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东润投资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2020/1/23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55" w:right="0"/>
              <w:jc w:val="left"/>
              <w:rPr>
                <w:rFonts w:ascii="Times New Roman" w:hAnsi="Times New Roman" w:cs="Times New Roman" w:eastAsia="Times New Roman" w:hint="default"/>
                <w:sz w:val="18"/>
                <w:szCs w:val="18"/>
              </w:rPr>
            </w:pPr>
            <w:r>
              <w:rPr>
                <w:rFonts w:ascii="Times New Roman"/>
                <w:sz w:val="18"/>
              </w:rPr>
              <w:t>10.32%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融资</w:t>
            </w:r>
          </w:p>
        </w:tc>
      </w:tr>
    </w:tbl>
    <w:p>
      <w:pPr>
        <w:pStyle w:val="BodyText"/>
        <w:spacing w:line="240" w:lineRule="auto" w:before="51"/>
        <w:ind w:left="514" w:right="1118"/>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日止，除上述重要事项外公司未发生其他影响本财务报表阅读和理解的其他重要事项。</w:t>
      </w:r>
    </w:p>
    <w:p>
      <w:pPr>
        <w:spacing w:line="240" w:lineRule="auto" w:before="1"/>
        <w:rPr>
          <w:rFonts w:ascii="宋体" w:hAnsi="宋体" w:cs="宋体" w:eastAsia="宋体" w:hint="default"/>
          <w:sz w:val="24"/>
          <w:szCs w:val="24"/>
        </w:rPr>
      </w:pPr>
    </w:p>
    <w:p>
      <w:pPr>
        <w:pStyle w:val="Heading2"/>
        <w:spacing w:line="240" w:lineRule="auto"/>
        <w:ind w:right="1118"/>
        <w:jc w:val="left"/>
        <w:rPr>
          <w:b w:val="0"/>
          <w:bCs w:val="0"/>
        </w:rPr>
      </w:pPr>
      <w:bookmarkStart w:name="十五、资产负债表日后事项" w:id="379"/>
      <w:bookmarkEnd w:id="379"/>
      <w:r>
        <w:rPr>
          <w:b w:val="0"/>
          <w:bCs w:val="0"/>
        </w:rPr>
      </w:r>
      <w:r>
        <w:rPr/>
        <w:t>十五、资产负债表日后事项</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利润分配情况" w:id="380"/>
      <w:bookmarkEnd w:id="38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24,537,092.65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24,537,092.65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其他资产负债表日后事项说明" w:id="381"/>
      <w:bookmarkEnd w:id="381"/>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1118"/>
        <w:jc w:val="left"/>
      </w:pPr>
      <w:r>
        <w:rPr/>
        <w:t>截至本财务报表签发日，公司持股</w:t>
      </w:r>
      <w:r>
        <w:rPr>
          <w:rFonts w:ascii="Times New Roman" w:hAnsi="Times New Roman" w:cs="Times New Roman" w:eastAsia="Times New Roman" w:hint="default"/>
        </w:rPr>
        <w:t>5%</w:t>
      </w:r>
      <w:r>
        <w:rPr/>
        <w:t>以上股东所持股份新增质押情况如下：</w:t>
      </w:r>
    </w:p>
    <w:p>
      <w:pPr>
        <w:spacing w:line="240" w:lineRule="auto" w:before="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80"/>
        <w:gridCol w:w="1080"/>
        <w:gridCol w:w="1080"/>
        <w:gridCol w:w="1341"/>
        <w:gridCol w:w="1080"/>
        <w:gridCol w:w="1240"/>
        <w:gridCol w:w="1660"/>
        <w:gridCol w:w="1080"/>
      </w:tblGrid>
      <w:tr>
        <w:trPr>
          <w:trHeight w:val="653" w:hRule="exact"/>
        </w:trPr>
        <w:tc>
          <w:tcPr>
            <w:tcW w:w="10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381" w:lineRule="auto" w:before="44"/>
              <w:ind w:left="9" w:right="8"/>
              <w:jc w:val="left"/>
              <w:rPr>
                <w:rFonts w:ascii="宋体" w:hAnsi="宋体" w:cs="宋体" w:eastAsia="宋体" w:hint="default"/>
                <w:sz w:val="15"/>
                <w:szCs w:val="15"/>
              </w:rPr>
            </w:pPr>
            <w:r>
              <w:rPr>
                <w:rFonts w:ascii="宋体" w:hAnsi="宋体" w:cs="宋体" w:eastAsia="宋体" w:hint="default"/>
                <w:sz w:val="15"/>
                <w:szCs w:val="15"/>
              </w:rPr>
              <w:t>是否为第一大股 东及一致行动人</w:t>
            </w:r>
          </w:p>
        </w:tc>
        <w:tc>
          <w:tcPr>
            <w:tcW w:w="10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4"/>
              <w:jc w:val="right"/>
              <w:rPr>
                <w:rFonts w:ascii="宋体" w:hAnsi="宋体" w:cs="宋体" w:eastAsia="宋体" w:hint="default"/>
                <w:sz w:val="18"/>
                <w:szCs w:val="18"/>
              </w:rPr>
            </w:pPr>
            <w:r>
              <w:rPr>
                <w:rFonts w:ascii="宋体" w:hAnsi="宋体" w:cs="宋体" w:eastAsia="宋体" w:hint="default"/>
                <w:sz w:val="18"/>
                <w:szCs w:val="18"/>
              </w:rPr>
              <w:t>质押股数</w:t>
            </w:r>
          </w:p>
        </w:tc>
        <w:tc>
          <w:tcPr>
            <w:tcW w:w="134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质押开始日期</w:t>
            </w:r>
          </w:p>
        </w:tc>
        <w:tc>
          <w:tcPr>
            <w:tcW w:w="10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质押到期日</w:t>
            </w:r>
          </w:p>
        </w:tc>
        <w:tc>
          <w:tcPr>
            <w:tcW w:w="124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质权人</w:t>
            </w:r>
          </w:p>
        </w:tc>
        <w:tc>
          <w:tcPr>
            <w:tcW w:w="166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316" w:lineRule="auto" w:before="20"/>
              <w:ind w:left="554" w:right="15" w:hanging="541"/>
              <w:jc w:val="left"/>
              <w:rPr>
                <w:rFonts w:ascii="宋体" w:hAnsi="宋体" w:cs="宋体" w:eastAsia="宋体" w:hint="default"/>
                <w:sz w:val="18"/>
                <w:szCs w:val="18"/>
              </w:rPr>
            </w:pPr>
            <w:r>
              <w:rPr>
                <w:rFonts w:ascii="宋体" w:hAnsi="宋体" w:cs="宋体" w:eastAsia="宋体" w:hint="default"/>
                <w:sz w:val="18"/>
                <w:szCs w:val="18"/>
              </w:rPr>
              <w:t>质押股份占其所持股 份比例</w:t>
            </w:r>
          </w:p>
        </w:tc>
        <w:tc>
          <w:tcPr>
            <w:tcW w:w="1080"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用途</w:t>
            </w:r>
          </w:p>
        </w:tc>
      </w:tr>
      <w:tr>
        <w:trPr>
          <w:trHeight w:val="65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东润投资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40"/>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2020/3/9</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4" w:right="73"/>
              <w:jc w:val="left"/>
              <w:rPr>
                <w:rFonts w:ascii="宋体" w:hAnsi="宋体" w:cs="宋体" w:eastAsia="宋体" w:hint="default"/>
                <w:sz w:val="18"/>
                <w:szCs w:val="18"/>
              </w:rPr>
            </w:pPr>
            <w:r>
              <w:rPr>
                <w:rFonts w:ascii="宋体" w:hAnsi="宋体" w:cs="宋体" w:eastAsia="宋体" w:hint="default"/>
                <w:sz w:val="18"/>
                <w:szCs w:val="18"/>
              </w:rPr>
              <w:t>申万宏源西部 证券有限公司</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10.32%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融资</w:t>
            </w:r>
          </w:p>
        </w:tc>
      </w:tr>
    </w:tbl>
    <w:p>
      <w:pPr>
        <w:pStyle w:val="BodyText"/>
        <w:spacing w:line="300" w:lineRule="auto" w:before="51"/>
        <w:ind w:left="153" w:right="1114" w:firstLine="360"/>
        <w:jc w:val="left"/>
      </w:pPr>
      <w:r>
        <w:rPr/>
        <w:t>除上述事项外，截至本财务报表签发日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，本公司未发生其他影响本财务报表阅读和理解的重大资产负 债表日后事项。</w:t>
      </w:r>
    </w:p>
    <w:p>
      <w:pPr>
        <w:spacing w:line="240" w:lineRule="auto" w:before="7"/>
        <w:rPr>
          <w:rFonts w:ascii="宋体" w:hAnsi="宋体" w:cs="宋体" w:eastAsia="宋体" w:hint="default"/>
          <w:sz w:val="21"/>
          <w:szCs w:val="21"/>
        </w:rPr>
      </w:pPr>
    </w:p>
    <w:p>
      <w:pPr>
        <w:pStyle w:val="Heading2"/>
        <w:spacing w:line="240" w:lineRule="auto"/>
        <w:ind w:right="1118"/>
        <w:jc w:val="left"/>
        <w:rPr>
          <w:b w:val="0"/>
          <w:bCs w:val="0"/>
        </w:rPr>
      </w:pPr>
      <w:bookmarkStart w:name="十六、其他重要事项" w:id="382"/>
      <w:bookmarkEnd w:id="382"/>
      <w:r>
        <w:rPr>
          <w:b w:val="0"/>
          <w:bCs w:val="0"/>
        </w:rPr>
      </w:r>
      <w:r>
        <w:rPr/>
        <w:t>十六、其他重要事项</w:t>
      </w:r>
      <w:r>
        <w:rPr>
          <w:b w:val="0"/>
          <w:bCs w:val="0"/>
        </w:rPr>
      </w:r>
    </w:p>
    <w:p>
      <w:pPr>
        <w:spacing w:line="240" w:lineRule="auto" w:before="6"/>
        <w:rPr>
          <w:rFonts w:ascii="宋体" w:hAnsi="宋体" w:cs="宋体" w:eastAsia="宋体" w:hint="default"/>
          <w:b/>
          <w:bCs/>
          <w:sz w:val="25"/>
          <w:szCs w:val="25"/>
        </w:rPr>
      </w:pPr>
    </w:p>
    <w:p>
      <w:pPr>
        <w:pStyle w:val="Heading3"/>
        <w:spacing w:line="240" w:lineRule="auto"/>
        <w:ind w:right="1118"/>
        <w:jc w:val="left"/>
        <w:rPr>
          <w:b w:val="0"/>
          <w:bCs w:val="0"/>
        </w:rPr>
      </w:pPr>
      <w:bookmarkStart w:name="1、分部信息" w:id="383"/>
      <w:bookmarkEnd w:id="383"/>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报告分部的确定依据与会计政策" w:id="384"/>
      <w:bookmarkEnd w:id="38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left="153" w:right="1118" w:firstLine="360"/>
        <w:jc w:val="left"/>
      </w:pPr>
      <w:r>
        <w:rPr>
          <w:spacing w:val="-2"/>
        </w:rPr>
        <w:t>本公司根据产品所属的细分行业，以内部组织结构、管理要求、内部报告制度为依据确定经营分部，以经营分部为基础</w:t>
      </w:r>
      <w:r>
        <w:rPr/>
        <w:t> 确定报告分部。经营分部，是指公司内同时满足下列条件的组成部分：</w:t>
      </w:r>
    </w:p>
    <w:p>
      <w:pPr>
        <w:pStyle w:val="BodyText"/>
        <w:spacing w:line="343" w:lineRule="auto" w:before="58"/>
        <w:ind w:right="2293"/>
        <w:jc w:val="left"/>
      </w:pPr>
      <w:r>
        <w:rPr>
          <w:rFonts w:ascii="Times New Roman" w:hAnsi="Times New Roman" w:cs="Times New Roman" w:eastAsia="Times New Roman" w:hint="default"/>
        </w:rPr>
        <w:t>a.</w:t>
      </w:r>
      <w:r>
        <w:rPr/>
        <w:t>该组成部分能够在日常活动中产生收入、发生费用； </w:t>
      </w:r>
      <w:r>
        <w:rPr>
          <w:rFonts w:ascii="Times New Roman" w:hAnsi="Times New Roman" w:cs="Times New Roman" w:eastAsia="Times New Roman" w:hint="default"/>
        </w:rPr>
        <w:t>b.</w:t>
      </w:r>
      <w:r>
        <w:rPr/>
        <w:t>公司管理层能够定期评价该组成部分的经营成果，以决定向其配置资源、评价其业绩； </w:t>
      </w:r>
      <w:r>
        <w:rPr>
          <w:rFonts w:ascii="Times New Roman" w:hAnsi="Times New Roman" w:cs="Times New Roman" w:eastAsia="Times New Roman" w:hint="default"/>
        </w:rPr>
        <w:t>c.</w:t>
      </w:r>
      <w:r>
        <w:rPr/>
        <w:t>公司能够取得该组成部分的财务状况、经营成果和现金流量等有关会计信息。 如果两个或多个分部存在相似经济特征且同时在以下方面具有相同或相似性的，可以合并为一个分部： </w:t>
      </w:r>
      <w:r>
        <w:rPr>
          <w:rFonts w:ascii="Times New Roman" w:hAnsi="Times New Roman" w:cs="Times New Roman" w:eastAsia="Times New Roman" w:hint="default"/>
        </w:rPr>
        <w:t>a.</w:t>
      </w:r>
      <w:r>
        <w:rPr/>
        <w:t>各单项产品或劳务的性质；</w:t>
      </w:r>
    </w:p>
    <w:p>
      <w:pPr>
        <w:pStyle w:val="BodyText"/>
        <w:spacing w:line="338" w:lineRule="auto" w:before="16"/>
        <w:ind w:right="7918"/>
        <w:jc w:val="left"/>
      </w:pPr>
      <w:r>
        <w:rPr>
          <w:rFonts w:ascii="Times New Roman" w:hAnsi="Times New Roman" w:cs="Times New Roman" w:eastAsia="Times New Roman" w:hint="default"/>
        </w:rPr>
        <w:t>b.</w:t>
      </w:r>
      <w:r>
        <w:rPr/>
        <w:t>生产过程的性质； </w:t>
      </w:r>
      <w:r>
        <w:rPr>
          <w:rFonts w:ascii="Times New Roman" w:hAnsi="Times New Roman" w:cs="Times New Roman" w:eastAsia="Times New Roman" w:hint="default"/>
        </w:rPr>
        <w:t>c.</w:t>
      </w:r>
      <w:r>
        <w:rPr/>
        <w:t>产品或劳务的客户类型； </w:t>
      </w:r>
      <w:r>
        <w:rPr>
          <w:rFonts w:ascii="Times New Roman" w:hAnsi="Times New Roman" w:cs="Times New Roman" w:eastAsia="Times New Roman" w:hint="default"/>
        </w:rPr>
        <w:t>d.</w:t>
      </w:r>
      <w:r>
        <w:rPr/>
        <w:t>销售产品或提供劳务的方式；</w:t>
      </w:r>
    </w:p>
    <w:p>
      <w:pPr>
        <w:pStyle w:val="BodyText"/>
        <w:spacing w:line="240" w:lineRule="auto" w:before="20"/>
        <w:ind w:right="1118"/>
        <w:jc w:val="left"/>
      </w:pPr>
      <w:r>
        <w:rPr>
          <w:rFonts w:ascii="Times New Roman" w:hAnsi="Times New Roman" w:cs="Times New Roman" w:eastAsia="Times New Roman" w:hint="default"/>
        </w:rPr>
        <w:t>e.</w:t>
      </w:r>
      <w:r>
        <w:rPr/>
        <w:t>生产产品及提供劳务受法律、行政法规的影响。</w:t>
      </w:r>
    </w:p>
    <w:p>
      <w:pPr>
        <w:spacing w:after="0" w:line="240" w:lineRule="auto"/>
        <w:jc w:val="left"/>
        <w:sectPr>
          <w:footerReference w:type="default" r:id="rId22"/>
          <w:pgSz w:w="11910" w:h="16840"/>
          <w:pgMar w:footer="979" w:header="687" w:top="1140" w:bottom="1160" w:left="980" w:right="0"/>
          <w:pgNumType w:start="150"/>
        </w:sectPr>
      </w:pPr>
    </w:p>
    <w:p>
      <w:pPr>
        <w:spacing w:line="240" w:lineRule="auto" w:before="4"/>
        <w:rPr>
          <w:rFonts w:ascii="宋体" w:hAnsi="宋体" w:cs="宋体" w:eastAsia="宋体" w:hint="default"/>
          <w:sz w:val="19"/>
          <w:szCs w:val="19"/>
        </w:rPr>
      </w:pPr>
    </w:p>
    <w:p>
      <w:pPr>
        <w:pStyle w:val="Heading3"/>
        <w:spacing w:line="240" w:lineRule="auto" w:before="38"/>
        <w:ind w:left="595" w:right="0"/>
        <w:jc w:val="left"/>
        <w:rPr>
          <w:b w:val="0"/>
          <w:bCs w:val="0"/>
        </w:rPr>
      </w:pPr>
      <w:bookmarkStart w:name="（2）报告分部的财务信息" w:id="385"/>
      <w:bookmarkEnd w:id="38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002"/>
        <w:gridCol w:w="1565"/>
        <w:gridCol w:w="1554"/>
        <w:gridCol w:w="1554"/>
        <w:gridCol w:w="1554"/>
        <w:gridCol w:w="1554"/>
      </w:tblGrid>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49"/>
              <w:jc w:val="right"/>
              <w:rPr>
                <w:rFonts w:ascii="宋体" w:hAnsi="宋体" w:cs="宋体" w:eastAsia="宋体" w:hint="default"/>
                <w:sz w:val="18"/>
                <w:szCs w:val="18"/>
              </w:rPr>
            </w:pPr>
            <w:r>
              <w:rPr>
                <w:rFonts w:ascii="宋体" w:hAnsi="宋体" w:cs="宋体" w:eastAsia="宋体" w:hint="default"/>
                <w:sz w:val="18"/>
                <w:szCs w:val="18"/>
              </w:rPr>
              <w:t>互联财务业务部分</w:t>
            </w:r>
          </w:p>
        </w:tc>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设备业务分部</w:t>
            </w:r>
          </w:p>
        </w:tc>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加工业务分部</w:t>
            </w:r>
          </w:p>
        </w:tc>
        <w:tc>
          <w:tcPr>
            <w:tcW w:w="15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505,662,615.09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372,542,936.58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181,592,256.22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-62,055,540.42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997,742,267.47</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207,636,682.90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273,516,692.89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123,866,022.10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-62,521,837.41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542,497,560.48</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56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101,096,839.83</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68,910,100.13</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24,155,153.43</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-4,960,599.01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189,201,494.38</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归属于母公司净利润</w:t>
            </w:r>
          </w:p>
        </w:tc>
        <w:tc>
          <w:tcPr>
            <w:tcW w:w="156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172,931,662.78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46,615,846.70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25,058,594.11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-14,131,944.88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230,474,158.71</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6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1,866,042,656.98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5,057,267,255.98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258,285,825.69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-2,388,176,566.32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4,793,419,172.33</w:t>
            </w:r>
          </w:p>
        </w:tc>
      </w:tr>
      <w:tr>
        <w:trPr>
          <w:trHeight w:val="402"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6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287,395,690.38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564,295,620.50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50,018,076.14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-149,542,658.74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752,166,728.28</w:t>
            </w:r>
          </w:p>
        </w:tc>
      </w:tr>
      <w:tr>
        <w:trPr>
          <w:trHeight w:val="403"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归属于母公司权益</w:t>
            </w:r>
          </w:p>
        </w:tc>
        <w:tc>
          <w:tcPr>
            <w:tcW w:w="1565"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1,570,867,601.64</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4,492,971,635.48</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208,267,749.55</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-2,340,354,647.91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3,931,752,338.76</w:t>
            </w:r>
          </w:p>
        </w:tc>
      </w:tr>
    </w:tbl>
    <w:p>
      <w:pPr>
        <w:spacing w:line="240" w:lineRule="auto" w:before="2"/>
        <w:rPr>
          <w:rFonts w:ascii="宋体" w:hAnsi="宋体" w:cs="宋体" w:eastAsia="宋体" w:hint="default"/>
          <w:sz w:val="18"/>
          <w:szCs w:val="18"/>
        </w:rPr>
      </w:pPr>
    </w:p>
    <w:p>
      <w:pPr>
        <w:pStyle w:val="Heading2"/>
        <w:spacing w:line="240" w:lineRule="auto" w:before="26"/>
        <w:ind w:left="194" w:right="0"/>
        <w:jc w:val="left"/>
        <w:rPr>
          <w:b w:val="0"/>
          <w:bCs w:val="0"/>
        </w:rPr>
      </w:pPr>
      <w:bookmarkStart w:name="十七、母公司财务报表主要项目注释" w:id="386"/>
      <w:bookmarkEnd w:id="386"/>
      <w:r>
        <w:rPr>
          <w:b w:val="0"/>
          <w:bCs w:val="0"/>
        </w:rPr>
      </w:r>
      <w:r>
        <w:rPr/>
        <w:t>十七、母公司财务报表主要项目注释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left="595" w:right="0"/>
        <w:jc w:val="left"/>
        <w:rPr>
          <w:b w:val="0"/>
          <w:bCs w:val="0"/>
        </w:rPr>
      </w:pPr>
      <w:bookmarkStart w:name="1、应收账款" w:id="387"/>
      <w:bookmarkEnd w:id="38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595" w:right="0"/>
        <w:jc w:val="left"/>
        <w:rPr>
          <w:b w:val="0"/>
          <w:bCs w:val="0"/>
        </w:rPr>
      </w:pPr>
      <w:bookmarkStart w:name="（1）应收账款分类披露" w:id="388"/>
      <w:bookmarkEnd w:id="38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0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26"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30"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5"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21" w:hRule="exact"/>
        </w:trPr>
        <w:tc>
          <w:tcPr>
            <w:tcW w:w="1611" w:type="dxa"/>
            <w:vMerge w:val="restart"/>
            <w:tcBorders>
              <w:top w:val="nil" w:sz="6" w:space="0" w:color="auto"/>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57"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7"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9"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1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52" w:space="0" w:color="D2D2D2"/>
              <w:left w:val="single" w:sz="13" w:space="0" w:color="D2D2D2"/>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203,428.</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57</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18,907.8</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184,520.7</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3"/>
              <w:ind w:left="35" w:right="0"/>
              <w:jc w:val="left"/>
              <w:rPr>
                <w:rFonts w:ascii="Times New Roman" w:hAnsi="Times New Roman" w:cs="Times New Roman" w:eastAsia="Times New Roman" w:hint="default"/>
                <w:sz w:val="18"/>
                <w:szCs w:val="18"/>
              </w:rPr>
            </w:pPr>
            <w:r>
              <w:rPr>
                <w:rFonts w:ascii="Times New Roman"/>
                <w:sz w:val="18"/>
              </w:rPr>
              <w:t>102,207</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,128.66</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98.82%</w:t>
            </w:r>
          </w:p>
        </w:tc>
        <w:tc>
          <w:tcPr>
            <w:tcW w:w="813"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8,633,136</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.91</w:t>
            </w:r>
          </w:p>
        </w:tc>
        <w:tc>
          <w:tcPr>
            <w:tcW w:w="93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93,573,991.</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75</w:t>
            </w:r>
          </w:p>
        </w:tc>
      </w:tr>
      <w:tr>
        <w:trPr>
          <w:trHeight w:val="810"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1,220,7</w:t>
            </w:r>
          </w:p>
          <w:p>
            <w:pPr>
              <w:pStyle w:val="TableParagraph"/>
              <w:spacing w:line="240" w:lineRule="auto" w:before="34"/>
              <w:ind w:left="192" w:right="0"/>
              <w:jc w:val="center"/>
              <w:rPr>
                <w:rFonts w:ascii="Times New Roman" w:hAnsi="Times New Roman" w:cs="Times New Roman" w:eastAsia="Times New Roman" w:hint="default"/>
                <w:sz w:val="18"/>
                <w:szCs w:val="18"/>
              </w:rPr>
            </w:pPr>
            <w:r>
              <w:rPr>
                <w:rFonts w:ascii="Times New Roman"/>
                <w:sz w:val="18"/>
              </w:rPr>
              <w:t>23.75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1,220,723</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25"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13" w:space="0" w:color="D2D2D2"/>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203,428.</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18,907.8</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184,520.7</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63"/>
              <w:ind w:left="35" w:right="0"/>
              <w:jc w:val="left"/>
              <w:rPr>
                <w:rFonts w:ascii="Times New Roman" w:hAnsi="Times New Roman" w:cs="Times New Roman" w:eastAsia="Times New Roman" w:hint="default"/>
                <w:sz w:val="18"/>
                <w:szCs w:val="18"/>
              </w:rPr>
            </w:pPr>
            <w:r>
              <w:rPr>
                <w:rFonts w:ascii="Times New Roman"/>
                <w:sz w:val="18"/>
              </w:rPr>
              <w:t>103,427</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,852.41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9,853,860</w:t>
            </w:r>
          </w:p>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z w:val="18"/>
              </w:rPr>
              <w:t>.66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pacing w:val="-1"/>
                <w:sz w:val="18"/>
              </w:rPr>
              <w:t>93,573,991.</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75</w:t>
            </w:r>
          </w:p>
        </w:tc>
      </w:tr>
      <w:tr>
        <w:trPr>
          <w:trHeight w:val="445"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6"/>
          <w:szCs w:val="6"/>
        </w:rPr>
      </w:pPr>
    </w:p>
    <w:p>
      <w:pPr>
        <w:pStyle w:val="BodyText"/>
        <w:spacing w:line="240" w:lineRule="auto" w:before="44"/>
        <w:ind w:left="554" w:right="0"/>
        <w:jc w:val="left"/>
      </w:pPr>
      <w:r>
        <w:rPr/>
        <w:t>期末单项金额重大并单项计提坏账准备的应收账款：</w:t>
      </w:r>
    </w:p>
    <w:p>
      <w:pPr>
        <w:pStyle w:val="BodyText"/>
        <w:spacing w:line="240" w:lineRule="auto" w:before="117"/>
        <w:ind w:left="5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687" w:footer="979" w:top="1140" w:bottom="1160" w:left="940" w:right="0"/>
        </w:sectPr>
      </w:pPr>
    </w:p>
    <w:p>
      <w:pPr>
        <w:pStyle w:val="BodyText"/>
        <w:spacing w:line="240" w:lineRule="auto" w:before="44"/>
        <w:ind w:left="553" w:right="-19"/>
        <w:jc w:val="left"/>
      </w:pPr>
      <w:r>
        <w:rPr/>
        <w:t>组合中，按账龄分析法计提坏账准备的应收账款：</w:t>
      </w:r>
    </w:p>
    <w:p>
      <w:pPr>
        <w:pStyle w:val="BodyText"/>
        <w:spacing w:line="240" w:lineRule="auto" w:before="117"/>
        <w:ind w:left="5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53" w:right="0"/>
        <w:jc w:val="left"/>
      </w:pPr>
      <w:r>
        <w:rPr/>
        <w:t>单位： 元</w:t>
      </w:r>
    </w:p>
    <w:p>
      <w:pPr>
        <w:spacing w:after="0" w:line="240" w:lineRule="auto"/>
        <w:jc w:val="left"/>
        <w:sectPr>
          <w:type w:val="continuous"/>
          <w:pgSz w:w="11910" w:h="16840"/>
          <w:pgMar w:top="1060" w:bottom="1160" w:left="940" w:right="0"/>
          <w:cols w:num="2" w:equalWidth="0">
            <w:col w:w="4515" w:space="3955"/>
            <w:col w:w="2500"/>
          </w:cols>
        </w:sectPr>
      </w:pPr>
    </w:p>
    <w:p>
      <w:pPr>
        <w:spacing w:line="240" w:lineRule="auto" w:before="1"/>
        <w:rPr>
          <w:rFonts w:ascii="宋体" w:hAnsi="宋体" w:cs="宋体" w:eastAsia="宋体" w:hint="default"/>
          <w:sz w:val="8"/>
          <w:szCs w:val="8"/>
        </w:rPr>
      </w:pPr>
    </w:p>
    <w:tbl>
      <w:tblPr>
        <w:tblW w:w="0" w:type="auto"/>
        <w:jc w:val="left"/>
        <w:tblInd w:w="200" w:type="dxa"/>
        <w:tblLayout w:type="fixed"/>
        <w:tblCellMar>
          <w:top w:w="0" w:type="dxa"/>
          <w:left w:w="0" w:type="dxa"/>
          <w:bottom w:w="0" w:type="dxa"/>
          <w:right w:w="0" w:type="dxa"/>
        </w:tblCellMar>
        <w:tblLook w:val="01E0"/>
      </w:tblPr>
      <w:tblGrid>
        <w:gridCol w:w="2476"/>
        <w:gridCol w:w="2301"/>
        <w:gridCol w:w="2391"/>
        <w:gridCol w:w="2390"/>
      </w:tblGrid>
      <w:tr>
        <w:trPr>
          <w:trHeight w:val="190"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5"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96"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65"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70"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left="1446" w:right="0"/>
              <w:jc w:val="left"/>
              <w:rPr>
                <w:rFonts w:ascii="Times New Roman" w:hAnsi="Times New Roman" w:cs="Times New Roman" w:eastAsia="Times New Roman" w:hint="default"/>
                <w:sz w:val="18"/>
                <w:szCs w:val="18"/>
              </w:rPr>
            </w:pPr>
            <w:r>
              <w:rPr>
                <w:rFonts w:ascii="Times New Roman"/>
                <w:sz w:val="18"/>
              </w:rPr>
              <w:t>142,782.13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713.91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0.50%</w:t>
            </w:r>
          </w:p>
        </w:tc>
      </w:tr>
      <w:tr>
        <w:trPr>
          <w:trHeight w:val="37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4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37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w:t>
            </w:r>
          </w:p>
        </w:tc>
      </w:tr>
      <w:tr>
        <w:trPr>
          <w:trHeight w:val="37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60,646.44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18,193.93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30.00%</w:t>
            </w:r>
          </w:p>
        </w:tc>
      </w:tr>
      <w:tr>
        <w:trPr>
          <w:trHeight w:val="37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50.00%</w:t>
            </w:r>
          </w:p>
        </w:tc>
      </w:tr>
      <w:tr>
        <w:trPr>
          <w:trHeight w:val="370"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71"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203,428.57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18,907.84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9.29%</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组合中，采用余额百分比法计提坏账准备的应收账款：</w:t>
      </w:r>
    </w:p>
    <w:p>
      <w:pPr>
        <w:spacing w:line="240" w:lineRule="auto" w:before="12"/>
        <w:rPr>
          <w:rFonts w:ascii="宋体" w:hAnsi="宋体" w:cs="宋体" w:eastAsia="宋体" w:hint="default"/>
          <w:sz w:val="14"/>
          <w:szCs w:val="14"/>
        </w:rPr>
      </w:pPr>
    </w:p>
    <w:p>
      <w:pPr>
        <w:pStyle w:val="BodyText"/>
        <w:spacing w:line="240" w:lineRule="auto"/>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2）本期计提、收回或转回的坏账准备情况" w:id="389"/>
      <w:bookmarkEnd w:id="38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514" w:right="1118"/>
        <w:jc w:val="left"/>
      </w:pPr>
      <w:r>
        <w:rPr/>
        <w:t>本期计提坏账准备金额</w:t>
      </w:r>
      <w:r>
        <w:rPr>
          <w:spacing w:val="-46"/>
        </w:rPr>
        <w:t> </w:t>
      </w:r>
      <w:r>
        <w:rPr>
          <w:rFonts w:ascii="Times New Roman" w:hAnsi="Times New Roman" w:cs="Times New Roman" w:eastAsia="Times New Roman" w:hint="default"/>
        </w:rPr>
        <w:t>18,907.84</w:t>
      </w:r>
      <w:r>
        <w:rPr>
          <w:rFonts w:ascii="Times New Roman" w:hAnsi="Times New Roman" w:cs="Times New Roman" w:eastAsia="Times New Roman" w:hint="default"/>
          <w:spacing w:val="-1"/>
        </w:rPr>
        <w:t> </w:t>
      </w:r>
      <w:r>
        <w:rPr/>
        <w:t>元，转出坏账准备金额为</w:t>
      </w:r>
      <w:r>
        <w:rPr>
          <w:spacing w:val="-46"/>
        </w:rPr>
        <w:t> </w:t>
      </w:r>
      <w:r>
        <w:rPr>
          <w:rFonts w:ascii="Times New Roman" w:hAnsi="Times New Roman" w:cs="Times New Roman" w:eastAsia="Times New Roman" w:hint="default"/>
        </w:rPr>
        <w:t>9,853,860.66</w:t>
      </w:r>
      <w:r>
        <w:rPr>
          <w:rFonts w:ascii="Times New Roman" w:hAnsi="Times New Roman" w:cs="Times New Roman" w:eastAsia="Times New Roman" w:hint="default"/>
          <w:spacing w:val="-2"/>
        </w:rPr>
        <w:t> </w:t>
      </w:r>
      <w:r>
        <w:rPr/>
        <w:t>元。</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3）本期实际核销的应收账款情况" w:id="390"/>
      <w:bookmarkEnd w:id="39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t>本期实际核销的应收账款金额为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6"/>
          <w:szCs w:val="26"/>
        </w:rPr>
      </w:pPr>
    </w:p>
    <w:p>
      <w:pPr>
        <w:pStyle w:val="Heading3"/>
        <w:spacing w:line="240" w:lineRule="auto"/>
        <w:ind w:left="556" w:right="1118"/>
        <w:jc w:val="left"/>
        <w:rPr>
          <w:b w:val="0"/>
          <w:bCs w:val="0"/>
        </w:rPr>
      </w:pPr>
      <w:bookmarkStart w:name="（4）按欠款方归集的期末余额前五名的应收账款情况" w:id="391"/>
      <w:bookmarkEnd w:id="39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290" w:type="dxa"/>
        <w:tblLayout w:type="fixed"/>
        <w:tblCellMar>
          <w:top w:w="0" w:type="dxa"/>
          <w:left w:w="0" w:type="dxa"/>
          <w:bottom w:w="0" w:type="dxa"/>
          <w:right w:w="0" w:type="dxa"/>
        </w:tblCellMar>
        <w:tblLook w:val="01E0"/>
      </w:tblPr>
      <w:tblGrid>
        <w:gridCol w:w="1871"/>
        <w:gridCol w:w="1871"/>
        <w:gridCol w:w="1871"/>
        <w:gridCol w:w="1871"/>
        <w:gridCol w:w="1871"/>
      </w:tblGrid>
      <w:tr>
        <w:trPr>
          <w:trHeight w:val="390" w:hRule="exact"/>
        </w:trPr>
        <w:tc>
          <w:tcPr>
            <w:tcW w:w="187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5"/>
              <w:ind w:left="57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7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7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7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71"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65"/>
              <w:ind w:left="120" w:right="0"/>
              <w:jc w:val="left"/>
              <w:rPr>
                <w:rFonts w:ascii="宋体" w:hAnsi="宋体" w:cs="宋体" w:eastAsia="宋体" w:hint="default"/>
                <w:sz w:val="18"/>
                <w:szCs w:val="18"/>
              </w:rPr>
            </w:pPr>
            <w:r>
              <w:rPr>
                <w:rFonts w:ascii="宋体" w:hAnsi="宋体" w:cs="宋体" w:eastAsia="宋体" w:hint="default"/>
                <w:sz w:val="18"/>
                <w:szCs w:val="18"/>
              </w:rPr>
              <w:t>占应收账款总额比例</w:t>
            </w:r>
          </w:p>
        </w:tc>
      </w:tr>
      <w:tr>
        <w:trPr>
          <w:trHeight w:val="390"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Times New Roman" w:hAnsi="Times New Roman" w:cs="Times New Roman" w:eastAsia="Times New Roman" w:hint="default"/>
                <w:sz w:val="18"/>
                <w:szCs w:val="18"/>
              </w:rPr>
            </w:pPr>
            <w:r>
              <w:rPr>
                <w:rFonts w:ascii="Times New Roman"/>
                <w:sz w:val="18"/>
              </w:rPr>
              <w:t>114,800.00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56.43%</w:t>
            </w:r>
          </w:p>
        </w:tc>
      </w:tr>
      <w:tr>
        <w:trPr>
          <w:trHeight w:val="390"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Times New Roman" w:hAnsi="Times New Roman" w:cs="Times New Roman" w:eastAsia="Times New Roman" w:hint="default"/>
                <w:sz w:val="18"/>
                <w:szCs w:val="18"/>
              </w:rPr>
            </w:pPr>
            <w:r>
              <w:rPr>
                <w:rFonts w:ascii="Times New Roman"/>
                <w:sz w:val="18"/>
              </w:rPr>
              <w:t>64,759.09</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部分</w:t>
            </w: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31.83%</w:t>
            </w:r>
          </w:p>
        </w:tc>
      </w:tr>
      <w:tr>
        <w:trPr>
          <w:trHeight w:val="390"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Times New Roman" w:hAnsi="Times New Roman" w:cs="Times New Roman" w:eastAsia="Times New Roman" w:hint="default"/>
                <w:sz w:val="18"/>
                <w:szCs w:val="18"/>
              </w:rPr>
            </w:pPr>
            <w:r>
              <w:rPr>
                <w:rFonts w:ascii="Times New Roman"/>
                <w:sz w:val="18"/>
              </w:rPr>
              <w:t>15,695.00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7.72%</w:t>
            </w:r>
          </w:p>
        </w:tc>
      </w:tr>
      <w:tr>
        <w:trPr>
          <w:trHeight w:val="390"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Times New Roman" w:hAnsi="Times New Roman" w:cs="Times New Roman" w:eastAsia="Times New Roman" w:hint="default"/>
                <w:sz w:val="18"/>
                <w:szCs w:val="18"/>
              </w:rPr>
            </w:pPr>
            <w:r>
              <w:rPr>
                <w:rFonts w:ascii="Times New Roman"/>
                <w:sz w:val="18"/>
              </w:rPr>
              <w:t>4,900.00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2.41%</w:t>
            </w:r>
          </w:p>
        </w:tc>
      </w:tr>
      <w:tr>
        <w:trPr>
          <w:trHeight w:val="390"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Times New Roman" w:hAnsi="Times New Roman" w:cs="Times New Roman" w:eastAsia="Times New Roman" w:hint="default"/>
                <w:sz w:val="18"/>
                <w:szCs w:val="18"/>
              </w:rPr>
            </w:pPr>
            <w:r>
              <w:rPr>
                <w:rFonts w:ascii="Times New Roman"/>
                <w:sz w:val="18"/>
              </w:rPr>
              <w:t>3,274.48</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1.61%</w:t>
            </w:r>
          </w:p>
        </w:tc>
      </w:tr>
      <w:tr>
        <w:trPr>
          <w:trHeight w:val="391" w:hRule="exact"/>
        </w:trPr>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
              <w:jc w:val="right"/>
              <w:rPr>
                <w:rFonts w:ascii="Times New Roman" w:hAnsi="Times New Roman" w:cs="Times New Roman" w:eastAsia="Times New Roman" w:hint="default"/>
                <w:sz w:val="18"/>
                <w:szCs w:val="18"/>
              </w:rPr>
            </w:pPr>
            <w:r>
              <w:rPr>
                <w:rFonts w:ascii="Times New Roman"/>
                <w:sz w:val="18"/>
              </w:rPr>
              <w:t>203,428.57</w:t>
            </w:r>
          </w:p>
        </w:tc>
        <w:tc>
          <w:tcPr>
            <w:tcW w:w="1871" w:type="dxa"/>
            <w:tcBorders>
              <w:top w:val="single" w:sz="4" w:space="0" w:color="000000"/>
              <w:left w:val="single" w:sz="4" w:space="0" w:color="000000"/>
              <w:bottom w:val="single" w:sz="4" w:space="0" w:color="000000"/>
              <w:right w:val="single" w:sz="4" w:space="0" w:color="000000"/>
            </w:tcBorders>
          </w:tcPr>
          <w:p>
            <w:pP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2、其他应收款" w:id="392"/>
      <w:bookmarkEnd w:id="39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right="1118"/>
        <w:jc w:val="left"/>
        <w:rPr>
          <w:b w:val="0"/>
          <w:bCs w:val="0"/>
        </w:rPr>
      </w:pPr>
      <w:bookmarkStart w:name="（1）其他应收款分类披露" w:id="393"/>
      <w:bookmarkEnd w:id="39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25"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30"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65"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20" w:hRule="exact"/>
        </w:trPr>
        <w:tc>
          <w:tcPr>
            <w:tcW w:w="1635" w:type="dxa"/>
            <w:vMerge w:val="restart"/>
            <w:tcBorders>
              <w:top w:val="nil" w:sz="6" w:space="0" w:color="auto"/>
              <w:left w:val="single" w:sz="4" w:space="0" w:color="000000"/>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197"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nil" w:sz="6" w:space="0" w:color="auto"/>
              <w:left w:val="single" w:sz="23" w:space="0" w:color="D2D2D2"/>
              <w:bottom w:val="nil" w:sz="6" w:space="0" w:color="auto"/>
              <w:right w:val="single" w:sz="23" w:space="0" w:color="D2D2D2"/>
            </w:tcBorders>
          </w:tcPr>
          <w:p>
            <w:pPr>
              <w:pStyle w:val="TableParagraph"/>
              <w:spacing w:line="157" w:lineRule="exact"/>
              <w:ind w:left="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7"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52" w:space="0" w:color="D2D2D2"/>
              <w:left w:val="single" w:sz="13" w:space="0" w:color="D2D2D2"/>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50,582.0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52" w:space="0" w:color="D2D2D2"/>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50,582.07</w:t>
            </w:r>
          </w:p>
        </w:tc>
        <w:tc>
          <w:tcPr>
            <w:tcW w:w="654"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124"/>
              <w:ind w:left="35" w:right="0"/>
              <w:jc w:val="left"/>
              <w:rPr>
                <w:rFonts w:ascii="Times New Roman" w:hAnsi="Times New Roman" w:cs="Times New Roman" w:eastAsia="Times New Roman" w:hint="default"/>
                <w:sz w:val="18"/>
                <w:szCs w:val="18"/>
              </w:rPr>
            </w:pPr>
            <w:r>
              <w:rPr>
                <w:rFonts w:ascii="Times New Roman"/>
                <w:sz w:val="18"/>
              </w:rPr>
              <w:t>216,410</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,649.67</w:t>
            </w:r>
          </w:p>
        </w:tc>
        <w:tc>
          <w:tcPr>
            <w:tcW w:w="76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99.90%</w:t>
            </w:r>
          </w:p>
        </w:tc>
        <w:tc>
          <w:tcPr>
            <w:tcW w:w="813"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92,630.78</w:t>
            </w:r>
          </w:p>
        </w:tc>
        <w:tc>
          <w:tcPr>
            <w:tcW w:w="93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216,318,01</w:t>
            </w:r>
          </w:p>
          <w:p>
            <w:pPr>
              <w:pStyle w:val="TableParagraph"/>
              <w:spacing w:line="240" w:lineRule="auto" w:before="34"/>
              <w:ind w:left="584" w:right="0"/>
              <w:jc w:val="left"/>
              <w:rPr>
                <w:rFonts w:ascii="Times New Roman" w:hAnsi="Times New Roman" w:cs="Times New Roman" w:eastAsia="Times New Roman" w:hint="default"/>
                <w:sz w:val="18"/>
                <w:szCs w:val="18"/>
              </w:rPr>
            </w:pPr>
            <w:r>
              <w:rPr>
                <w:rFonts w:ascii="Times New Roman"/>
                <w:sz w:val="18"/>
              </w:rPr>
              <w:t>8.89</w:t>
            </w:r>
          </w:p>
        </w:tc>
      </w:tr>
      <w:tr>
        <w:trPr>
          <w:trHeight w:val="81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218,605</w:t>
            </w:r>
          </w:p>
          <w:p>
            <w:pPr>
              <w:pStyle w:val="TableParagraph"/>
              <w:spacing w:line="240" w:lineRule="auto" w:before="34"/>
              <w:ind w:left="395" w:right="0"/>
              <w:jc w:val="left"/>
              <w:rPr>
                <w:rFonts w:ascii="Times New Roman" w:hAnsi="Times New Roman" w:cs="Times New Roman" w:eastAsia="Times New Roman" w:hint="default"/>
                <w:sz w:val="18"/>
                <w:szCs w:val="18"/>
              </w:rPr>
            </w:pPr>
            <w:r>
              <w:rPr>
                <w:rFonts w:ascii="Times New Roman"/>
                <w:sz w:val="18"/>
              </w:rPr>
              <w:t>.98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218,605.9</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57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18"/>
                <w:szCs w:val="18"/>
              </w:rPr>
            </w:pPr>
            <w:r>
              <w:rPr>
                <w:rFonts w:ascii="Times New Roman"/>
                <w:sz w:val="18"/>
              </w:rPr>
              <w:t>50,582.0</w:t>
            </w:r>
          </w:p>
          <w:p>
            <w:pPr>
              <w:pStyle w:val="TableParagraph"/>
              <w:spacing w:line="240" w:lineRule="auto" w:before="34"/>
              <w:ind w:right="23"/>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50,582.07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 w:right="0"/>
              <w:jc w:val="left"/>
              <w:rPr>
                <w:rFonts w:ascii="Times New Roman" w:hAnsi="Times New Roman" w:cs="Times New Roman" w:eastAsia="Times New Roman" w:hint="default"/>
                <w:sz w:val="18"/>
                <w:szCs w:val="18"/>
              </w:rPr>
            </w:pPr>
            <w:r>
              <w:rPr>
                <w:rFonts w:ascii="Times New Roman"/>
                <w:sz w:val="18"/>
              </w:rPr>
              <w:t>216,629</w:t>
            </w:r>
          </w:p>
          <w:p>
            <w:pPr>
              <w:pStyle w:val="TableParagraph"/>
              <w:spacing w:line="240" w:lineRule="auto" w:before="34"/>
              <w:ind w:left="80" w:right="0"/>
              <w:jc w:val="left"/>
              <w:rPr>
                <w:rFonts w:ascii="Times New Roman" w:hAnsi="Times New Roman" w:cs="Times New Roman" w:eastAsia="Times New Roman" w:hint="default"/>
                <w:sz w:val="18"/>
                <w:szCs w:val="18"/>
              </w:rPr>
            </w:pPr>
            <w:r>
              <w:rPr>
                <w:rFonts w:ascii="Times New Roman"/>
                <w:sz w:val="18"/>
              </w:rPr>
              <w:t>,255.65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z w:val="18"/>
              </w:rPr>
              <w:t>311,236.7</w:t>
            </w:r>
          </w:p>
          <w:p>
            <w:pPr>
              <w:pStyle w:val="TableParagraph"/>
              <w:spacing w:line="240" w:lineRule="auto" w:before="34"/>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8" w:right="0"/>
              <w:jc w:val="left"/>
              <w:rPr>
                <w:rFonts w:ascii="Times New Roman" w:hAnsi="Times New Roman" w:cs="Times New Roman" w:eastAsia="Times New Roman" w:hint="default"/>
                <w:sz w:val="18"/>
                <w:szCs w:val="18"/>
              </w:rPr>
            </w:pPr>
            <w:r>
              <w:rPr>
                <w:rFonts w:ascii="Times New Roman"/>
                <w:sz w:val="18"/>
              </w:rPr>
              <w:t>216,318,01</w:t>
            </w:r>
          </w:p>
          <w:p>
            <w:pPr>
              <w:pStyle w:val="TableParagraph"/>
              <w:spacing w:line="240" w:lineRule="auto" w:before="34"/>
              <w:ind w:left="584" w:right="0"/>
              <w:jc w:val="left"/>
              <w:rPr>
                <w:rFonts w:ascii="Times New Roman" w:hAnsi="Times New Roman" w:cs="Times New Roman" w:eastAsia="Times New Roman" w:hint="default"/>
                <w:sz w:val="18"/>
                <w:szCs w:val="18"/>
              </w:rPr>
            </w:pPr>
            <w:r>
              <w:rPr>
                <w:rFonts w:ascii="Times New Roman"/>
                <w:sz w:val="18"/>
              </w:rPr>
              <w:t>8.89</w:t>
            </w:r>
          </w:p>
        </w:tc>
      </w:tr>
    </w:tbl>
    <w:p>
      <w:pPr>
        <w:spacing w:line="240" w:lineRule="auto" w:before="9"/>
        <w:rPr>
          <w:rFonts w:ascii="宋体" w:hAnsi="宋体" w:cs="宋体" w:eastAsia="宋体" w:hint="default"/>
          <w:sz w:val="6"/>
          <w:szCs w:val="6"/>
        </w:rPr>
      </w:pPr>
    </w:p>
    <w:p>
      <w:pPr>
        <w:pStyle w:val="BodyText"/>
        <w:spacing w:line="240" w:lineRule="auto" w:before="44"/>
        <w:ind w:left="514" w:right="1118"/>
        <w:jc w:val="left"/>
      </w:pPr>
      <w:r>
        <w:rPr/>
        <w:t>期末单项金额重大并单项计提坏账准备的其他应收款：</w:t>
      </w:r>
    </w:p>
    <w:p>
      <w:pPr>
        <w:pStyle w:val="BodyText"/>
        <w:spacing w:line="415" w:lineRule="auto" w:before="117"/>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35" w:lineRule="exact"/>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right="1118"/>
        <w:jc w:val="left"/>
      </w:pPr>
      <w:r>
        <w:rPr/>
        <w:t>组合中，采用余额百分比法计提坏账准备的其他应收款：</w:t>
      </w:r>
    </w:p>
    <w:p>
      <w:pPr>
        <w:pStyle w:val="BodyText"/>
        <w:spacing w:line="415" w:lineRule="auto" w:before="117"/>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34" w:lineRule="exact"/>
        <w:ind w:left="514"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29"/>
        <w:gridCol w:w="1928"/>
        <w:gridCol w:w="1928"/>
        <w:gridCol w:w="1929"/>
        <w:gridCol w:w="1927"/>
      </w:tblGrid>
      <w:tr>
        <w:trPr>
          <w:trHeight w:val="406" w:hRule="exact"/>
        </w:trPr>
        <w:tc>
          <w:tcPr>
            <w:tcW w:w="192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6"/>
              <w:ind w:left="328"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6"/>
              <w:ind w:left="5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8"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9"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2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23" w:hRule="exact"/>
        </w:trPr>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备用金、押金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92" w:right="0"/>
              <w:jc w:val="left"/>
              <w:rPr>
                <w:rFonts w:ascii="Times New Roman" w:hAnsi="Times New Roman" w:cs="Times New Roman" w:eastAsia="Times New Roman" w:hint="default"/>
                <w:sz w:val="18"/>
                <w:szCs w:val="18"/>
              </w:rPr>
            </w:pPr>
            <w:r>
              <w:rPr>
                <w:rFonts w:ascii="Times New Roman"/>
                <w:sz w:val="18"/>
              </w:rPr>
              <w:t>50,582.07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员工</w:t>
            </w:r>
          </w:p>
        </w:tc>
      </w:tr>
    </w:tbl>
    <w:p>
      <w:pPr>
        <w:spacing w:line="240" w:lineRule="auto" w:before="8"/>
        <w:rPr>
          <w:rFonts w:ascii="宋体" w:hAnsi="宋体" w:cs="宋体" w:eastAsia="宋体" w:hint="default"/>
          <w:sz w:val="19"/>
          <w:szCs w:val="19"/>
        </w:rPr>
      </w:pPr>
    </w:p>
    <w:p>
      <w:pPr>
        <w:pStyle w:val="Heading3"/>
        <w:spacing w:line="240" w:lineRule="auto" w:before="38"/>
        <w:ind w:right="1118"/>
        <w:jc w:val="left"/>
        <w:rPr>
          <w:b w:val="0"/>
          <w:bCs w:val="0"/>
        </w:rPr>
      </w:pPr>
      <w:bookmarkStart w:name="（2）本期计提、收回或转回的坏账准备情况" w:id="394"/>
      <w:bookmarkEnd w:id="39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14" w:right="1118"/>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元，本期转出坏账准备金额</w:t>
      </w:r>
      <w:r>
        <w:rPr>
          <w:spacing w:val="-46"/>
        </w:rPr>
        <w:t> </w:t>
      </w:r>
      <w:r>
        <w:rPr>
          <w:rFonts w:ascii="Times New Roman" w:hAnsi="Times New Roman" w:cs="Times New Roman" w:eastAsia="Times New Roman" w:hint="default"/>
        </w:rPr>
        <w:t>311,236.76</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6"/>
          <w:szCs w:val="26"/>
        </w:rPr>
      </w:pPr>
    </w:p>
    <w:p>
      <w:pPr>
        <w:pStyle w:val="Heading3"/>
        <w:spacing w:line="240" w:lineRule="auto"/>
        <w:ind w:left="556" w:right="1118"/>
        <w:jc w:val="left"/>
        <w:rPr>
          <w:b w:val="0"/>
          <w:bCs w:val="0"/>
        </w:rPr>
      </w:pPr>
      <w:bookmarkStart w:name="（3）本期实际核销的其他应收款情况" w:id="395"/>
      <w:bookmarkEnd w:id="39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left="514" w:right="1118"/>
        <w:jc w:val="left"/>
      </w:pPr>
      <w:r>
        <w:rPr/>
        <w:t>本报告期内无实际核销的其他应收款情况。</w:t>
      </w:r>
    </w:p>
    <w:p>
      <w:pPr>
        <w:spacing w:line="240" w:lineRule="auto" w:before="0"/>
        <w:rPr>
          <w:rFonts w:ascii="宋体" w:hAnsi="宋体" w:cs="宋体" w:eastAsia="宋体" w:hint="default"/>
          <w:sz w:val="18"/>
          <w:szCs w:val="18"/>
        </w:rPr>
      </w:pPr>
    </w:p>
    <w:p>
      <w:pPr>
        <w:pStyle w:val="Heading3"/>
        <w:spacing w:line="240" w:lineRule="auto" w:before="126"/>
        <w:ind w:left="556" w:right="1118"/>
        <w:jc w:val="left"/>
        <w:rPr>
          <w:b w:val="0"/>
          <w:bCs w:val="0"/>
        </w:rPr>
      </w:pPr>
      <w:bookmarkStart w:name="（4）其他应收款按款项性质分类情况" w:id="396"/>
      <w:bookmarkEnd w:id="39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370"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70"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40,582.07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674,820.11</w:t>
            </w:r>
          </w:p>
        </w:tc>
      </w:tr>
      <w:tr>
        <w:trPr>
          <w:trHeight w:val="370"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4,691,689.78</w:t>
            </w:r>
          </w:p>
        </w:tc>
      </w:tr>
      <w:tr>
        <w:trPr>
          <w:trHeight w:val="371"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208,345,448.62</w:t>
            </w:r>
          </w:p>
        </w:tc>
      </w:tr>
      <w:tr>
        <w:trPr>
          <w:trHeight w:val="370"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2,917,297.14</w:t>
            </w:r>
          </w:p>
        </w:tc>
      </w:tr>
      <w:tr>
        <w:trPr>
          <w:trHeight w:val="37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50,582.07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216,629,255.65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5）按欠款方归集的期末余额前五名的其他应收款情况" w:id="397"/>
      <w:bookmarkEnd w:id="39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65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3"/>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7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39.54%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19.77%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9"/>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7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19.77%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10,000.00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19.77%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4"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582.07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50,582.07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3、长期股权投资" w:id="398"/>
      <w:bookmarkEnd w:id="39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4"/>
        <w:gridCol w:w="1417"/>
        <w:gridCol w:w="994"/>
        <w:gridCol w:w="1416"/>
        <w:gridCol w:w="1419"/>
        <w:gridCol w:w="974"/>
        <w:gridCol w:w="1367"/>
      </w:tblGrid>
      <w:tr>
        <w:trPr>
          <w:trHeight w:val="206"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vMerge/>
            <w:tcBorders>
              <w:left w:val="single" w:sz="4" w:space="0" w:color="000000"/>
              <w:bottom w:val="single" w:sz="4" w:space="0" w:color="000000"/>
              <w:right w:val="single" w:sz="4" w:space="0" w:color="000000"/>
            </w:tcBorders>
            <w:shd w:val="clear" w:color="auto" w:fill="D2D2D2"/>
          </w:tcPr>
          <w:p>
            <w:pPr/>
          </w:p>
        </w:tc>
        <w:tc>
          <w:tcPr>
            <w:tcW w:w="3760"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4"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3,507,207,899.42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2,610,401,537.58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2,609,981,537.58</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7" w:type="dxa"/>
            <w:tcBorders>
              <w:top w:val="single" w:sz="4" w:space="0" w:color="000000"/>
              <w:left w:val="single" w:sz="9"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92,508,256.57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92,508,256.57</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3,507,207,899.42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2,702,909,794.15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420,000.00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2,702,489,794.15</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1）对子公司投资" w:id="399"/>
      <w:bookmarkEnd w:id="39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417"/>
        <w:gridCol w:w="1276"/>
        <w:gridCol w:w="1418"/>
        <w:gridCol w:w="851"/>
        <w:gridCol w:w="778"/>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江苏丰东热技术有限公司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647,207,899.42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647,207,899.42</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6,106,214.82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6,106,214.82</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江苏丰东热处理及表面改性工 程技术研究有限公司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2,499,353.40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2,499,353.40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2,805,505.10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2,805,505.10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重庆丰东热处理工程有限公司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22,362,578.21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22,362,578.21</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47,442,150.05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47,442,150.05</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天津丰东热处理有限公司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46,409,935.00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46,409,935.00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上海丰东热处理工程有限公司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61,880,000.00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北京丰东建通工业炉科技有限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潍坊丰东热处理有限公司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盐城丰东祺耀工业炉有限公司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广州鑫润丰东热处理有限公司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5"/>
              <w:jc w:val="left"/>
              <w:rPr>
                <w:rFonts w:ascii="宋体" w:hAnsi="宋体" w:cs="宋体" w:eastAsia="宋体" w:hint="default"/>
                <w:sz w:val="18"/>
                <w:szCs w:val="18"/>
              </w:rPr>
            </w:pPr>
            <w:r>
              <w:rPr>
                <w:rFonts w:ascii="宋体" w:hAnsi="宋体" w:cs="宋体" w:eastAsia="宋体" w:hint="default"/>
                <w:sz w:val="18"/>
                <w:szCs w:val="18"/>
              </w:rPr>
              <w:t>常州鑫润丰东热处理工程有限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6,145,801.00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6,145,801.00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2,610,401,537.58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1,107,207,899.42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210,401,537.58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3,507,207,899.42</w:t>
            </w:r>
          </w:p>
        </w:tc>
        <w:tc>
          <w:tcPr>
            <w:tcW w:w="85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687" w:footer="979" w:top="1140" w:bottom="1160" w:left="980" w:right="0"/>
        </w:sectPr>
      </w:pPr>
    </w:p>
    <w:p>
      <w:pPr>
        <w:spacing w:line="240" w:lineRule="auto" w:before="4"/>
        <w:rPr>
          <w:rFonts w:ascii="宋体" w:hAnsi="宋体" w:cs="宋体" w:eastAsia="宋体" w:hint="default"/>
          <w:sz w:val="19"/>
          <w:szCs w:val="19"/>
        </w:rPr>
      </w:pPr>
    </w:p>
    <w:p>
      <w:pPr>
        <w:pStyle w:val="Heading3"/>
        <w:spacing w:line="240" w:lineRule="auto" w:before="38"/>
        <w:ind w:right="1118"/>
        <w:jc w:val="left"/>
        <w:rPr>
          <w:b w:val="0"/>
          <w:bCs w:val="0"/>
        </w:rPr>
      </w:pPr>
      <w:bookmarkStart w:name="（2）对联营、合营企业投资" w:id="400"/>
      <w:bookmarkEnd w:id="40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568"/>
        <w:gridCol w:w="1134"/>
        <w:gridCol w:w="992"/>
        <w:gridCol w:w="708"/>
        <w:gridCol w:w="568"/>
        <w:gridCol w:w="851"/>
        <w:gridCol w:w="568"/>
        <w:gridCol w:w="566"/>
        <w:gridCol w:w="568"/>
        <w:gridCol w:w="641"/>
      </w:tblGrid>
      <w:tr>
        <w:trPr>
          <w:trHeight w:val="33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3"/>
                <w:szCs w:val="23"/>
              </w:rPr>
            </w:pPr>
          </w:p>
          <w:p>
            <w:pPr>
              <w:pStyle w:val="TableParagraph"/>
              <w:spacing w:line="244" w:lineRule="auto"/>
              <w:ind w:left="98" w:right="97"/>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4"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81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42"/>
              <w:ind w:left="99" w:right="9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40" w:right="41"/>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79" w:right="7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99" w:right="9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60"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2"/>
              <w:ind w:left="98" w:right="9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8"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330"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left"/>
              <w:rPr>
                <w:rFonts w:ascii="宋体" w:hAnsi="宋体" w:cs="宋体" w:eastAsia="宋体" w:hint="default"/>
                <w:sz w:val="18"/>
                <w:szCs w:val="18"/>
              </w:rPr>
            </w:pPr>
            <w:r>
              <w:rPr>
                <w:rFonts w:ascii="宋体" w:hAnsi="宋体" w:cs="宋体" w:eastAsia="宋体" w:hint="default"/>
                <w:sz w:val="18"/>
                <w:szCs w:val="18"/>
              </w:rPr>
              <w:t>盐城高周波热 炼有限公司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60,730,175.53</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61,115,852.32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385,676.79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both"/>
              <w:rPr>
                <w:rFonts w:ascii="宋体" w:hAnsi="宋体" w:cs="宋体" w:eastAsia="宋体" w:hint="default"/>
                <w:sz w:val="18"/>
                <w:szCs w:val="18"/>
              </w:rPr>
            </w:pPr>
            <w:r>
              <w:rPr>
                <w:rFonts w:ascii="宋体" w:hAnsi="宋体" w:cs="宋体" w:eastAsia="宋体" w:hint="default"/>
                <w:sz w:val="18"/>
                <w:szCs w:val="18"/>
              </w:rPr>
              <w:t>江苏石川岛丰 东真空技术有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13,088,033.38</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13,158,415.09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70,381.71</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73,818,208.91</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2" w:right="0"/>
              <w:jc w:val="center"/>
              <w:rPr>
                <w:rFonts w:ascii="Times New Roman" w:hAnsi="Times New Roman" w:cs="Times New Roman" w:eastAsia="Times New Roman" w:hint="default"/>
                <w:sz w:val="18"/>
                <w:szCs w:val="18"/>
              </w:rPr>
            </w:pPr>
            <w:r>
              <w:rPr>
                <w:rFonts w:ascii="Times New Roman"/>
                <w:sz w:val="18"/>
              </w:rPr>
              <w:t>74,274,267.41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18"/>
                <w:szCs w:val="18"/>
              </w:rPr>
            </w:pPr>
            <w:r>
              <w:rPr>
                <w:rFonts w:ascii="Times New Roman"/>
                <w:sz w:val="18"/>
              </w:rPr>
              <w:t>456,058.50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61"/>
              <w:jc w:val="left"/>
              <w:rPr>
                <w:rFonts w:ascii="宋体" w:hAnsi="宋体" w:cs="宋体" w:eastAsia="宋体" w:hint="default"/>
                <w:sz w:val="18"/>
                <w:szCs w:val="18"/>
              </w:rPr>
            </w:pPr>
            <w:r>
              <w:rPr>
                <w:rFonts w:ascii="宋体" w:hAnsi="宋体" w:cs="宋体" w:eastAsia="宋体" w:hint="default"/>
                <w:sz w:val="18"/>
                <w:szCs w:val="18"/>
              </w:rPr>
              <w:t>广州丰东热炼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18,690,047.66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18,683,514.21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-6,533.45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18,690,047.66</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18,683,514.21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-6,533.45</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92,508,256.57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92,957,781.62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449,525.05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4、营业收入和营业成本" w:id="401"/>
      <w:bookmarkEnd w:id="40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190"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79"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91"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44,247,930.35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28,957,988.84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157,896,109.73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126,909,570.52</w:t>
            </w:r>
          </w:p>
        </w:tc>
      </w:tr>
      <w:tr>
        <w:trPr>
          <w:trHeight w:val="370"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16,023,855.22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11,766,987.94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39,665,738.81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27,594,839.27</w:t>
            </w:r>
          </w:p>
        </w:tc>
      </w:tr>
      <w:tr>
        <w:trPr>
          <w:trHeight w:val="37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60,271,785.57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40,724,976.78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197,561,848.54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154,504,409.79</w:t>
            </w:r>
          </w:p>
        </w:tc>
      </w:tr>
    </w:tbl>
    <w:p>
      <w:pPr>
        <w:spacing w:line="240" w:lineRule="auto" w:before="7"/>
        <w:rPr>
          <w:rFonts w:ascii="宋体" w:hAnsi="宋体" w:cs="宋体" w:eastAsia="宋体" w:hint="default"/>
          <w:sz w:val="19"/>
          <w:szCs w:val="19"/>
        </w:rPr>
      </w:pPr>
    </w:p>
    <w:p>
      <w:pPr>
        <w:pStyle w:val="Heading3"/>
        <w:spacing w:line="240" w:lineRule="auto" w:before="38"/>
        <w:ind w:right="1118"/>
        <w:jc w:val="left"/>
        <w:rPr>
          <w:b w:val="0"/>
          <w:bCs w:val="0"/>
        </w:rPr>
      </w:pPr>
      <w:bookmarkStart w:name="5、投资收益" w:id="402"/>
      <w:bookmarkEnd w:id="40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37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7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14,058,000.00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8,960,000.00</w:t>
            </w:r>
          </w:p>
        </w:tc>
      </w:tr>
      <w:tr>
        <w:trPr>
          <w:trHeight w:val="37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z w:val="18"/>
              </w:rPr>
              <w:t>449,525.05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2,582,197.45</w:t>
            </w:r>
          </w:p>
        </w:tc>
      </w:tr>
      <w:tr>
        <w:trPr>
          <w:trHeight w:val="37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-6,142,285.37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w w:val="95"/>
                <w:sz w:val="18"/>
              </w:rPr>
              <w:t>-901,347.25</w:t>
            </w:r>
            <w:r>
              <w:rPr>
                <w:rFonts w:ascii="Times New Roman"/>
                <w:sz w:val="18"/>
              </w:rPr>
            </w:r>
          </w:p>
        </w:tc>
      </w:tr>
      <w:tr>
        <w:trPr>
          <w:trHeight w:val="370"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短期银行保本理财产品收益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8,703,923.31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17,069,162.99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10,640,850.20</w:t>
            </w:r>
          </w:p>
        </w:tc>
      </w:tr>
    </w:tbl>
    <w:p>
      <w:pPr>
        <w:spacing w:line="240" w:lineRule="auto" w:before="9"/>
        <w:rPr>
          <w:rFonts w:ascii="宋体" w:hAnsi="宋体" w:cs="宋体" w:eastAsia="宋体" w:hint="default"/>
          <w:sz w:val="19"/>
          <w:szCs w:val="19"/>
        </w:rPr>
      </w:pPr>
    </w:p>
    <w:p>
      <w:pPr>
        <w:pStyle w:val="Heading3"/>
        <w:spacing w:line="240" w:lineRule="auto" w:before="38"/>
        <w:ind w:right="1118"/>
        <w:jc w:val="left"/>
        <w:rPr>
          <w:b w:val="0"/>
          <w:bCs w:val="0"/>
        </w:rPr>
      </w:pPr>
      <w:bookmarkStart w:name="6、其他" w:id="403"/>
      <w:bookmarkEnd w:id="403"/>
      <w:r>
        <w:rPr>
          <w:b w:val="0"/>
          <w:bCs w:val="0"/>
        </w:rPr>
      </w: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4" w:right="1118"/>
        <w:jc w:val="left"/>
      </w:pPr>
      <w:r>
        <w:rPr/>
        <w:t>无</w:t>
      </w:r>
    </w:p>
    <w:p>
      <w:pPr>
        <w:spacing w:after="0" w:line="240" w:lineRule="auto"/>
        <w:jc w:val="left"/>
        <w:sectPr>
          <w:pgSz w:w="11910" w:h="16840"/>
          <w:pgMar w:header="687" w:footer="979" w:top="1140" w:bottom="1160" w:left="980" w:right="0"/>
        </w:sectPr>
      </w:pPr>
    </w:p>
    <w:p>
      <w:pPr>
        <w:spacing w:line="240" w:lineRule="auto" w:before="12"/>
        <w:rPr>
          <w:rFonts w:ascii="宋体" w:hAnsi="宋体" w:cs="宋体" w:eastAsia="宋体" w:hint="default"/>
          <w:sz w:val="17"/>
          <w:szCs w:val="17"/>
        </w:rPr>
      </w:pPr>
    </w:p>
    <w:p>
      <w:pPr>
        <w:pStyle w:val="Heading2"/>
        <w:spacing w:line="240" w:lineRule="auto" w:before="26"/>
        <w:ind w:left="154" w:right="1118"/>
        <w:jc w:val="left"/>
        <w:rPr>
          <w:b w:val="0"/>
          <w:bCs w:val="0"/>
        </w:rPr>
      </w:pPr>
      <w:bookmarkStart w:name="十八、补充资料" w:id="404"/>
      <w:bookmarkEnd w:id="404"/>
      <w:r>
        <w:rPr>
          <w:b w:val="0"/>
          <w:bCs w:val="0"/>
        </w:rPr>
      </w:r>
      <w:r>
        <w:rPr/>
        <w:t>十八、补充资料</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118"/>
        <w:jc w:val="left"/>
        <w:rPr>
          <w:b w:val="0"/>
          <w:bCs w:val="0"/>
        </w:rPr>
      </w:pPr>
      <w:bookmarkStart w:name="1、当期非经常性损益明细表" w:id="405"/>
      <w:bookmarkEnd w:id="40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29"/>
        <w:gridCol w:w="1276"/>
        <w:gridCol w:w="4466"/>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-2,289,543.31</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8"/>
              <w:jc w:val="center"/>
              <w:rPr>
                <w:rFonts w:ascii="宋体" w:hAnsi="宋体" w:cs="宋体" w:eastAsia="宋体" w:hint="default"/>
                <w:sz w:val="18"/>
                <w:szCs w:val="18"/>
              </w:rPr>
            </w:pPr>
            <w:r>
              <w:rPr>
                <w:rFonts w:ascii="宋体" w:hAnsi="宋体" w:cs="宋体" w:eastAsia="宋体" w:hint="default"/>
                <w:sz w:val="18"/>
                <w:szCs w:val="18"/>
              </w:rPr>
              <w:t>主要系丰东热技术下属公司南京丰东处置生产线损失。</w:t>
            </w:r>
          </w:p>
        </w:tc>
      </w:tr>
      <w:tr>
        <w:trPr>
          <w:trHeight w:val="125" w:hRule="exact"/>
        </w:trPr>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13" w:space="0" w:color="D2D2D2"/>
              <w:right w:val="single" w:sz="4"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86" w:right="0"/>
              <w:jc w:val="left"/>
              <w:rPr>
                <w:rFonts w:ascii="Times New Roman" w:hAnsi="Times New Roman" w:cs="Times New Roman" w:eastAsia="Times New Roman" w:hint="default"/>
                <w:sz w:val="18"/>
                <w:szCs w:val="18"/>
              </w:rPr>
            </w:pPr>
            <w:r>
              <w:rPr>
                <w:rFonts w:ascii="Times New Roman"/>
                <w:sz w:val="18"/>
              </w:rPr>
              <w:t>1,878,303.61</w:t>
            </w:r>
          </w:p>
        </w:tc>
        <w:tc>
          <w:tcPr>
            <w:tcW w:w="4466" w:type="dxa"/>
            <w:vMerge w:val="restart"/>
            <w:tcBorders>
              <w:top w:val="single" w:sz="4" w:space="0" w:color="000000"/>
              <w:left w:val="single" w:sz="4" w:space="0" w:color="000000"/>
              <w:right w:val="single" w:sz="4" w:space="0" w:color="000000"/>
            </w:tcBorders>
          </w:tcPr>
          <w:p>
            <w:pPr>
              <w:pStyle w:val="TableParagraph"/>
              <w:spacing w:line="244" w:lineRule="auto" w:before="21"/>
              <w:ind w:left="22" w:right="110"/>
              <w:jc w:val="left"/>
              <w:rPr>
                <w:rFonts w:ascii="宋体" w:hAnsi="宋体" w:cs="宋体" w:eastAsia="宋体" w:hint="default"/>
                <w:sz w:val="18"/>
                <w:szCs w:val="18"/>
              </w:rPr>
            </w:pPr>
            <w:r>
              <w:rPr>
                <w:rFonts w:ascii="宋体" w:hAnsi="宋体" w:cs="宋体" w:eastAsia="宋体" w:hint="default"/>
                <w:sz w:val="18"/>
                <w:szCs w:val="18"/>
              </w:rPr>
              <w:t>主要系丰东热技术下属公司重庆丰东收到福利企业增值 税返还。</w:t>
            </w:r>
          </w:p>
        </w:tc>
      </w:tr>
      <w:tr>
        <w:trPr>
          <w:trHeight w:val="385" w:hRule="exact"/>
        </w:trPr>
        <w:tc>
          <w:tcPr>
            <w:tcW w:w="382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276" w:type="dxa"/>
            <w:vMerge/>
            <w:tcBorders>
              <w:left w:val="single" w:sz="13" w:space="0" w:color="D2D2D2"/>
              <w:bottom w:val="single" w:sz="4" w:space="0" w:color="000000"/>
              <w:right w:val="single" w:sz="4" w:space="0" w:color="000000"/>
            </w:tcBorders>
          </w:tcPr>
          <w:p>
            <w:pPr/>
          </w:p>
        </w:tc>
        <w:tc>
          <w:tcPr>
            <w:tcW w:w="4466" w:type="dxa"/>
            <w:vMerge/>
            <w:tcBorders>
              <w:left w:val="single" w:sz="4" w:space="0" w:color="000000"/>
              <w:bottom w:val="single" w:sz="4" w:space="0" w:color="000000"/>
              <w:right w:val="single" w:sz="4" w:space="0" w:color="000000"/>
            </w:tcBorders>
          </w:tcPr>
          <w:p>
            <w:pPr/>
          </w:p>
        </w:tc>
      </w:tr>
      <w:tr>
        <w:trPr>
          <w:trHeight w:val="545" w:hRule="exact"/>
        </w:trPr>
        <w:tc>
          <w:tcPr>
            <w:tcW w:w="3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01" w:right="0"/>
              <w:jc w:val="left"/>
              <w:rPr>
                <w:rFonts w:ascii="Times New Roman" w:hAnsi="Times New Roman" w:cs="Times New Roman" w:eastAsia="Times New Roman" w:hint="default"/>
                <w:sz w:val="18"/>
                <w:szCs w:val="18"/>
              </w:rPr>
            </w:pPr>
            <w:r>
              <w:rPr>
                <w:rFonts w:ascii="Times New Roman"/>
                <w:sz w:val="18"/>
              </w:rPr>
              <w:t>15,697,298.54</w:t>
            </w:r>
          </w:p>
        </w:tc>
        <w:tc>
          <w:tcPr>
            <w:tcW w:w="4466" w:type="dxa"/>
            <w:vMerge w:val="restart"/>
            <w:tcBorders>
              <w:top w:val="single" w:sz="4" w:space="0" w:color="000000"/>
              <w:left w:val="single" w:sz="4" w:space="0" w:color="000000"/>
              <w:right w:val="single" w:sz="4" w:space="0" w:color="000000"/>
            </w:tcBorders>
          </w:tcPr>
          <w:p>
            <w:pPr>
              <w:pStyle w:val="TableParagraph"/>
              <w:spacing w:line="240" w:lineRule="exact" w:before="99"/>
              <w:ind w:left="22" w:right="20"/>
              <w:jc w:val="left"/>
              <w:rPr>
                <w:rFonts w:ascii="宋体" w:hAnsi="宋体" w:cs="宋体" w:eastAsia="宋体" w:hint="default"/>
                <w:sz w:val="18"/>
                <w:szCs w:val="18"/>
              </w:rPr>
            </w:pPr>
            <w:r>
              <w:rPr>
                <w:rFonts w:ascii="宋体" w:hAnsi="宋体" w:cs="宋体" w:eastAsia="宋体" w:hint="default"/>
                <w:sz w:val="18"/>
                <w:szCs w:val="18"/>
              </w:rPr>
              <w:t>本报告期内计入当期损益的政府补助中，其中： </w:t>
            </w:r>
            <w:r>
              <w:rPr>
                <w:rFonts w:ascii="Times New Roman" w:hAnsi="Times New Roman" w:cs="Times New Roman" w:eastAsia="Times New Roman" w:hint="default"/>
                <w:sz w:val="18"/>
                <w:szCs w:val="18"/>
              </w:rPr>
              <w:t>4,720,000.00 </w:t>
            </w:r>
            <w:r>
              <w:rPr>
                <w:rFonts w:ascii="宋体" w:hAnsi="宋体" w:cs="宋体" w:eastAsia="宋体" w:hint="default"/>
                <w:sz w:val="18"/>
                <w:szCs w:val="18"/>
              </w:rPr>
              <w:t>元为财政贴息收入；</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元为真空热 处理设备智能化研发和远程服务系统信息平台建设专项 资金；</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元为热处理设备智能化和远程服务系 统提升创新专项资金；</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市级战略性 </w:t>
            </w:r>
            <w:r>
              <w:rPr>
                <w:rFonts w:ascii="宋体" w:hAnsi="宋体" w:cs="宋体" w:eastAsia="宋体" w:hint="default"/>
                <w:spacing w:val="-3"/>
                <w:sz w:val="18"/>
                <w:szCs w:val="18"/>
              </w:rPr>
              <w:t>新兴产业发展专项资金；</w:t>
            </w:r>
            <w:r>
              <w:rPr>
                <w:rFonts w:ascii="Times New Roman" w:hAnsi="Times New Roman" w:cs="Times New Roman" w:eastAsia="Times New Roman" w:hint="default"/>
                <w:spacing w:val="-3"/>
                <w:sz w:val="18"/>
                <w:szCs w:val="18"/>
              </w:rPr>
              <w:t>500,000.00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元为工贸科工业信息</w:t>
            </w:r>
            <w:r>
              <w:rPr>
                <w:rFonts w:ascii="宋体" w:hAnsi="宋体" w:cs="宋体" w:eastAsia="宋体" w:hint="default"/>
                <w:spacing w:val="-86"/>
                <w:sz w:val="18"/>
                <w:szCs w:val="18"/>
              </w:rPr>
              <w:t> </w:t>
            </w:r>
            <w:r>
              <w:rPr>
                <w:rFonts w:ascii="宋体" w:hAnsi="宋体" w:cs="宋体" w:eastAsia="宋体" w:hint="default"/>
                <w:sz w:val="18"/>
                <w:szCs w:val="18"/>
              </w:rPr>
              <w:t>化转型升级奖励；</w:t>
            </w:r>
            <w:r>
              <w:rPr>
                <w:rFonts w:ascii="Times New Roman" w:hAnsi="Times New Roman" w:cs="Times New Roman" w:eastAsia="Times New Roman" w:hint="default"/>
                <w:sz w:val="18"/>
                <w:szCs w:val="18"/>
              </w:rPr>
              <w:t>2,675,200.00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元为研发经费补助。</w:t>
            </w:r>
          </w:p>
        </w:tc>
      </w:tr>
      <w:tr>
        <w:trPr>
          <w:trHeight w:val="800" w:hRule="exact"/>
        </w:trPr>
        <w:tc>
          <w:tcPr>
            <w:tcW w:w="38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关，按照国家统一标准定额或定量享受的政府补 助除外）</w:t>
            </w:r>
          </w:p>
        </w:tc>
        <w:tc>
          <w:tcPr>
            <w:tcW w:w="1276" w:type="dxa"/>
            <w:vMerge/>
            <w:tcBorders>
              <w:left w:val="single" w:sz="9" w:space="0" w:color="D2D2D2"/>
              <w:right w:val="single" w:sz="4" w:space="0" w:color="000000"/>
            </w:tcBorders>
          </w:tcPr>
          <w:p>
            <w:pPr/>
          </w:p>
        </w:tc>
        <w:tc>
          <w:tcPr>
            <w:tcW w:w="4466" w:type="dxa"/>
            <w:vMerge/>
            <w:tcBorders>
              <w:left w:val="single" w:sz="4" w:space="0" w:color="000000"/>
              <w:right w:val="single" w:sz="4" w:space="0" w:color="000000"/>
            </w:tcBorders>
          </w:tcPr>
          <w:p>
            <w:pPr/>
          </w:p>
        </w:tc>
      </w:tr>
      <w:tr>
        <w:trPr>
          <w:trHeight w:val="485" w:hRule="exact"/>
        </w:trPr>
        <w:tc>
          <w:tcPr>
            <w:tcW w:w="38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4466" w:type="dxa"/>
            <w:vMerge/>
            <w:tcBorders>
              <w:left w:val="single" w:sz="4" w:space="0" w:color="000000"/>
              <w:bottom w:val="single" w:sz="4" w:space="0" w:color="000000"/>
              <w:right w:val="single" w:sz="4" w:space="0" w:color="000000"/>
            </w:tcBorders>
          </w:tcPr>
          <w:p>
            <w:pPr/>
          </w:p>
        </w:tc>
      </w:tr>
      <w:tr>
        <w:trPr>
          <w:trHeight w:val="1290"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1"/>
              <w:ind w:left="22" w:right="2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9,480,377.44</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111"/>
              <w:jc w:val="left"/>
              <w:rPr>
                <w:rFonts w:ascii="宋体" w:hAnsi="宋体" w:cs="宋体" w:eastAsia="宋体" w:hint="default"/>
                <w:sz w:val="18"/>
                <w:szCs w:val="18"/>
              </w:rPr>
            </w:pPr>
            <w:r>
              <w:rPr>
                <w:rFonts w:ascii="宋体" w:hAnsi="宋体" w:cs="宋体" w:eastAsia="宋体" w:hint="default"/>
                <w:sz w:val="18"/>
                <w:szCs w:val="18"/>
              </w:rPr>
              <w:t>主要系报告期内公司使用暂时闲置募集资金和自有资金 购买银行保本理财产品取得的利息收入。</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371,822.70</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5,539,701.10</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518,346.79</w:t>
            </w:r>
          </w:p>
        </w:tc>
        <w:tc>
          <w:tcPr>
            <w:tcW w:w="44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19,080,211.09</w:t>
            </w:r>
          </w:p>
        </w:tc>
        <w:tc>
          <w:tcPr>
            <w:tcW w:w="4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对公司根据《公开发行证券的公司信息披露解释性公告第</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2" w:lineRule="auto" w:before="63"/>
        <w:ind w:left="153" w:right="1118"/>
        <w:jc w:val="left"/>
      </w:pPr>
      <w:r>
        <w:rPr>
          <w:spacing w:val="-2"/>
        </w:rPr>
        <w:t>把《公开发行证券的公司信息披露解释性公告第</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spacing w:val="-88"/>
        </w:rPr>
        <w:t> </w:t>
      </w:r>
      <w:r>
        <w:rPr>
          <w:spacing w:val="-88"/>
        </w:rPr>
      </w:r>
      <w:r>
        <w:rPr/>
        <w:t>目，应说明原因。</w:t>
      </w:r>
    </w:p>
    <w:p>
      <w:pPr>
        <w:pStyle w:val="BodyText"/>
        <w:spacing w:line="240" w:lineRule="auto" w:before="69"/>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40" w:lineRule="auto"/>
        <w:ind w:right="1118"/>
        <w:jc w:val="left"/>
        <w:rPr>
          <w:b w:val="0"/>
          <w:bCs w:val="0"/>
        </w:rPr>
      </w:pPr>
      <w:bookmarkStart w:name="2、净资产收益率及每股收益" w:id="406"/>
      <w:bookmarkEnd w:id="40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r>
      <w:tr>
        <w:trPr>
          <w:trHeight w:val="650"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55"/>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r>
    </w:tbl>
    <w:p>
      <w:pPr>
        <w:spacing w:after="0" w:line="240" w:lineRule="auto"/>
        <w:jc w:val="right"/>
        <w:rPr>
          <w:rFonts w:ascii="Times New Roman" w:hAnsi="Times New Roman" w:cs="Times New Roman" w:eastAsia="Times New Roman" w:hint="default"/>
          <w:sz w:val="18"/>
          <w:szCs w:val="18"/>
        </w:rPr>
        <w:sectPr>
          <w:pgSz w:w="11910" w:h="16840"/>
          <w:pgMar w:header="687" w:footer="979" w:top="1140" w:bottom="1160" w:left="980" w:right="0"/>
        </w:sectPr>
      </w:pPr>
    </w:p>
    <w:p>
      <w:pPr>
        <w:spacing w:line="240" w:lineRule="auto" w:before="5"/>
        <w:rPr>
          <w:rFonts w:ascii="宋体" w:hAnsi="宋体" w:cs="宋体" w:eastAsia="宋体" w:hint="default"/>
          <w:b/>
          <w:bCs/>
          <w:sz w:val="19"/>
          <w:szCs w:val="19"/>
        </w:rPr>
      </w:pPr>
    </w:p>
    <w:p>
      <w:pPr>
        <w:pStyle w:val="Heading3"/>
        <w:spacing w:line="240" w:lineRule="auto" w:before="38"/>
        <w:ind w:right="1118"/>
        <w:jc w:val="left"/>
        <w:rPr>
          <w:b w:val="0"/>
          <w:bCs w:val="0"/>
        </w:rPr>
      </w:pPr>
      <w:bookmarkStart w:name="3、境内外会计准则下会计数据差异" w:id="407"/>
      <w:bookmarkEnd w:id="40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3"/>
        <w:spacing w:line="240" w:lineRule="auto"/>
        <w:ind w:right="1118"/>
        <w:jc w:val="left"/>
        <w:rPr>
          <w:b w:val="0"/>
          <w:bCs w:val="0"/>
        </w:rPr>
      </w:pPr>
      <w:bookmarkStart w:name="（1）同时按照国际会计准则与按中国会计准则披露的财务报告中净利润和净资产差异情况" w:id="408"/>
      <w:bookmarkEnd w:id="40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26"/>
          <w:szCs w:val="26"/>
        </w:rPr>
      </w:pPr>
    </w:p>
    <w:p>
      <w:pPr>
        <w:pStyle w:val="Heading3"/>
        <w:spacing w:line="240" w:lineRule="auto"/>
        <w:ind w:right="1118"/>
        <w:jc w:val="left"/>
        <w:rPr>
          <w:b w:val="0"/>
          <w:bCs w:val="0"/>
        </w:rPr>
      </w:pPr>
      <w:bookmarkStart w:name="（2）同时按照境外会计准则与按中国会计准则披露的财务报告中净利润和净资产差异情况" w:id="409"/>
      <w:bookmarkEnd w:id="40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6"/>
        <w:rPr>
          <w:rFonts w:ascii="宋体" w:hAnsi="宋体" w:cs="宋体" w:eastAsia="宋体" w:hint="default"/>
          <w:sz w:val="26"/>
          <w:szCs w:val="26"/>
        </w:rPr>
      </w:pPr>
    </w:p>
    <w:p>
      <w:pPr>
        <w:pStyle w:val="Heading3"/>
        <w:spacing w:line="271" w:lineRule="auto"/>
        <w:ind w:left="153" w:right="1118" w:firstLine="402"/>
        <w:jc w:val="left"/>
        <w:rPr>
          <w:b w:val="0"/>
          <w:bCs w:val="0"/>
        </w:rPr>
      </w:pPr>
      <w:bookmarkStart w:name="（3）境内外会计准则下会计数据差异原因说明，对已经境外审计机构审计的数据进行差异" w:id="410"/>
      <w:bookmarkEnd w:id="410"/>
      <w:r>
        <w:rPr>
          <w:b w:val="0"/>
          <w:bCs w:val="0"/>
        </w:rPr>
      </w:r>
      <w:r>
        <w:rPr>
          <w:spacing w:val="-2"/>
          <w:w w:val="95"/>
        </w:rPr>
        <w:t>（</w:t>
      </w:r>
      <w:r>
        <w:rPr>
          <w:rFonts w:ascii="Times New Roman" w:hAnsi="Times New Roman" w:cs="Times New Roman" w:eastAsia="Times New Roman" w:hint="default"/>
          <w:spacing w:val="-2"/>
          <w:w w:val="95"/>
        </w:rPr>
        <w:t>3</w:t>
      </w:r>
      <w:r>
        <w:rPr>
          <w:spacing w:val="-2"/>
          <w:w w:val="95"/>
        </w:rPr>
        <w:t>）境内外会计准则下会计数据差异原因说明，对已经境外审计机构审计的数据进行差异调节的，应注明</w:t>
      </w:r>
      <w:r>
        <w:rPr>
          <w:spacing w:val="-42"/>
          <w:w w:val="95"/>
        </w:rPr>
        <w:t> </w:t>
      </w:r>
      <w:r>
        <w:rPr>
          <w:spacing w:val="-42"/>
          <w:w w:val="95"/>
        </w:rPr>
      </w:r>
      <w:r>
        <w:rPr/>
        <w:t>该境外机构的名称</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left="556" w:right="1118"/>
        <w:jc w:val="left"/>
        <w:rPr>
          <w:b w:val="0"/>
          <w:bCs w:val="0"/>
        </w:rPr>
      </w:pPr>
      <w:bookmarkStart w:name="4、其他" w:id="411"/>
      <w:bookmarkEnd w:id="411"/>
      <w:r>
        <w:rPr>
          <w:b w:val="0"/>
          <w:bCs w:val="0"/>
        </w:rPr>
      </w:r>
      <w:r>
        <w:rPr>
          <w:rFonts w:ascii="Times New Roman" w:hAnsi="Times New Roman" w:cs="Times New Roman" w:eastAsia="Times New Roman" w:hint="default"/>
        </w:rPr>
        <w:t>4</w:t>
      </w:r>
      <w:r>
        <w:rPr/>
        <w:t>、其他</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514" w:right="1118"/>
        <w:jc w:val="left"/>
      </w:pPr>
      <w:r>
        <w:rPr/>
        <w:t>无</w:t>
      </w:r>
    </w:p>
    <w:p>
      <w:pPr>
        <w:spacing w:after="0" w:line="240" w:lineRule="auto"/>
        <w:jc w:val="left"/>
        <w:sectPr>
          <w:pgSz w:w="11910" w:h="16840"/>
          <w:pgMar w:header="687" w:footer="979" w:top="114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1"/>
        <w:spacing w:line="240" w:lineRule="auto"/>
        <w:ind w:left="3286" w:right="1118"/>
        <w:jc w:val="left"/>
        <w:rPr>
          <w:b w:val="0"/>
          <w:bCs w:val="0"/>
        </w:rPr>
      </w:pPr>
      <w:bookmarkStart w:name="第十二节 备查文件目录" w:id="412"/>
      <w:bookmarkEnd w:id="412"/>
      <w:r>
        <w:rPr>
          <w:b w:val="0"/>
          <w:bCs w:val="0"/>
        </w:rPr>
      </w:r>
      <w:bookmarkStart w:name="_bookmark11" w:id="413"/>
      <w:bookmarkEnd w:id="413"/>
      <w:r>
        <w:rPr>
          <w:b w:val="0"/>
          <w:bCs w:val="0"/>
        </w:rPr>
      </w:r>
      <w:r>
        <w:rPr/>
        <w:t>第十二节</w:t>
      </w:r>
      <w:r>
        <w:rPr>
          <w:spacing w:val="-8"/>
        </w:rPr>
        <w:t> </w:t>
      </w:r>
      <w:r>
        <w:rPr/>
        <w:t>备查文件目录</w:t>
      </w:r>
      <w:r>
        <w:rPr>
          <w:b w:val="0"/>
          <w:bCs w:val="0"/>
        </w:rPr>
      </w:r>
    </w:p>
    <w:p>
      <w:pPr>
        <w:pStyle w:val="Heading2"/>
        <w:spacing w:line="780" w:lineRule="atLeast" w:before="138"/>
        <w:ind w:left="636" w:right="1118"/>
        <w:jc w:val="left"/>
        <w:rPr>
          <w:b w:val="0"/>
          <w:bCs w:val="0"/>
        </w:rPr>
      </w:pPr>
      <w:r>
        <w:rPr/>
        <w:t>一、载有公司董事长朱文明先生签名的</w:t>
      </w:r>
      <w:r>
        <w:rPr>
          <w:rFonts w:ascii="Times New Roman" w:hAnsi="Times New Roman" w:cs="Times New Roman" w:eastAsia="Times New Roman" w:hint="default"/>
        </w:rPr>
        <w:t>2017</w:t>
      </w:r>
      <w:r>
        <w:rPr/>
        <w:t>年年度报告。</w:t>
      </w:r>
      <w:r>
        <w:rPr>
          <w:w w:val="99"/>
        </w:rPr>
        <w:t> </w:t>
      </w:r>
      <w:r>
        <w:rPr>
          <w:w w:val="95"/>
        </w:rPr>
        <w:t>二、载有公司法定代表人朱文明先生、主管会计工作负责人及会计机构负责人褚文兰女</w:t>
      </w:r>
      <w:r>
        <w:rPr>
          <w:b w:val="0"/>
          <w:bCs w:val="0"/>
        </w:rPr>
      </w:r>
    </w:p>
    <w:p>
      <w:pPr>
        <w:pStyle w:val="Heading2"/>
        <w:spacing w:line="240" w:lineRule="auto" w:before="85"/>
        <w:ind w:right="1118"/>
        <w:jc w:val="left"/>
        <w:rPr>
          <w:b w:val="0"/>
          <w:bCs w:val="0"/>
        </w:rPr>
      </w:pPr>
      <w:r>
        <w:rPr/>
        <w:t>士签名并盖章的财务报表。</w:t>
      </w:r>
      <w:r>
        <w:rPr>
          <w:b w:val="0"/>
          <w:bCs w:val="0"/>
        </w:rPr>
      </w:r>
    </w:p>
    <w:p>
      <w:pPr>
        <w:spacing w:line="240" w:lineRule="auto" w:before="0"/>
        <w:rPr>
          <w:rFonts w:ascii="宋体" w:hAnsi="宋体" w:cs="宋体" w:eastAsia="宋体" w:hint="default"/>
          <w:b/>
          <w:bCs/>
          <w:sz w:val="24"/>
          <w:szCs w:val="24"/>
        </w:rPr>
      </w:pPr>
    </w:p>
    <w:p>
      <w:pPr>
        <w:pStyle w:val="Heading2"/>
        <w:spacing w:line="304" w:lineRule="auto" w:before="172"/>
        <w:ind w:right="1118" w:firstLine="482"/>
        <w:jc w:val="left"/>
        <w:rPr>
          <w:b w:val="0"/>
          <w:bCs w:val="0"/>
        </w:rPr>
      </w:pPr>
      <w:r>
        <w:rPr>
          <w:w w:val="95"/>
        </w:rPr>
        <w:t>三、载有众华会计师事务所（特殊普通合伙）盖章、注册会计师冯家俊先生、钟美玲女</w:t>
      </w:r>
      <w:r>
        <w:rPr>
          <w:w w:val="99"/>
        </w:rPr>
        <w:t> </w:t>
      </w:r>
      <w:r>
        <w:rPr/>
        <w:t>士签名并盖章的公司</w:t>
      </w:r>
      <w:r>
        <w:rPr>
          <w:rFonts w:ascii="Times New Roman" w:hAnsi="Times New Roman" w:cs="Times New Roman" w:eastAsia="Times New Roman" w:hint="default"/>
        </w:rPr>
        <w:t>2017</w:t>
      </w:r>
      <w:r>
        <w:rPr/>
        <w:t>年度审计报告原件。</w:t>
      </w:r>
      <w:r>
        <w:rPr>
          <w:b w:val="0"/>
          <w:bCs w:val="0"/>
        </w:rPr>
      </w:r>
    </w:p>
    <w:p>
      <w:pPr>
        <w:spacing w:line="240" w:lineRule="auto" w:before="4"/>
        <w:rPr>
          <w:rFonts w:ascii="宋体" w:hAnsi="宋体" w:cs="宋体" w:eastAsia="宋体" w:hint="default"/>
          <w:b/>
          <w:bCs/>
          <w:sz w:val="30"/>
          <w:szCs w:val="30"/>
        </w:rPr>
      </w:pPr>
    </w:p>
    <w:p>
      <w:pPr>
        <w:pStyle w:val="Heading2"/>
        <w:spacing w:line="304" w:lineRule="auto"/>
        <w:ind w:right="1118" w:firstLine="482"/>
        <w:jc w:val="left"/>
        <w:rPr>
          <w:b w:val="0"/>
          <w:bCs w:val="0"/>
        </w:rPr>
      </w:pPr>
      <w:r>
        <w:rPr>
          <w:w w:val="95"/>
        </w:rPr>
        <w:t>四、报告期内在中国证券监督管理委员会指定报纸上公开披露过的所有公司文件的正本</w:t>
      </w:r>
      <w:r>
        <w:rPr>
          <w:w w:val="99"/>
        </w:rPr>
        <w:t> </w:t>
      </w:r>
      <w:r>
        <w:rPr/>
        <w:t>及公告的原稿。</w:t>
      </w:r>
      <w:r>
        <w:rPr>
          <w:b w:val="0"/>
          <w:bCs w:val="0"/>
        </w:rPr>
      </w:r>
    </w:p>
    <w:p>
      <w:pPr>
        <w:spacing w:line="240" w:lineRule="auto" w:before="3"/>
        <w:rPr>
          <w:rFonts w:ascii="宋体" w:hAnsi="宋体" w:cs="宋体" w:eastAsia="宋体" w:hint="default"/>
          <w:b/>
          <w:bCs/>
          <w:sz w:val="32"/>
          <w:szCs w:val="32"/>
        </w:rPr>
      </w:pPr>
    </w:p>
    <w:p>
      <w:pPr>
        <w:spacing w:before="0"/>
        <w:ind w:left="730" w:right="1118" w:firstLine="0"/>
        <w:jc w:val="left"/>
        <w:rPr>
          <w:rFonts w:ascii="宋体" w:hAnsi="宋体" w:cs="宋体" w:eastAsia="宋体" w:hint="default"/>
          <w:sz w:val="24"/>
          <w:szCs w:val="24"/>
        </w:rPr>
      </w:pPr>
      <w:r>
        <w:rPr>
          <w:rFonts w:ascii="宋体" w:hAnsi="宋体" w:cs="宋体" w:eastAsia="宋体" w:hint="default"/>
          <w:sz w:val="24"/>
          <w:szCs w:val="24"/>
        </w:rPr>
        <w:t>以上文件的原件备置于公司证券部备查。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7"/>
          <w:szCs w:val="17"/>
        </w:rPr>
      </w:pPr>
    </w:p>
    <w:p>
      <w:pPr>
        <w:pStyle w:val="Heading2"/>
        <w:spacing w:line="424" w:lineRule="auto"/>
        <w:ind w:left="6360" w:right="1118" w:firstLine="361"/>
        <w:jc w:val="left"/>
        <w:rPr>
          <w:b w:val="0"/>
          <w:bCs w:val="0"/>
        </w:rPr>
      </w:pPr>
      <w:r>
        <w:rPr/>
        <w:t>法定代表人：朱文明</w:t>
      </w:r>
      <w:r>
        <w:rPr>
          <w:w w:val="99"/>
        </w:rPr>
        <w:t> </w:t>
      </w:r>
      <w:r>
        <w:rPr>
          <w:w w:val="95"/>
        </w:rPr>
        <w:t>金财互联控股股份有限公司</w:t>
      </w:r>
      <w:r>
        <w:rPr>
          <w:b w:val="0"/>
          <w:bCs w:val="0"/>
        </w:rPr>
      </w:r>
    </w:p>
    <w:p>
      <w:pPr>
        <w:pStyle w:val="Heading2"/>
        <w:spacing w:line="240" w:lineRule="auto" w:before="56"/>
        <w:ind w:left="6747" w:right="1118"/>
        <w:jc w:val="left"/>
        <w:rPr>
          <w:b w:val="0"/>
          <w:bCs w:val="0"/>
        </w:rPr>
      </w:pPr>
      <w:r>
        <w:rPr/>
        <w:t>二</w:t>
      </w:r>
      <w:r>
        <w:rPr>
          <w:rFonts w:ascii="Times New Roman" w:hAnsi="Times New Roman" w:cs="Times New Roman" w:eastAsia="Times New Roman" w:hint="default"/>
        </w:rPr>
        <w:t>O</w:t>
      </w:r>
      <w:r>
        <w:rPr/>
        <w:t>一八年四月十九日</w:t>
      </w:r>
      <w:r>
        <w:rPr>
          <w:b w:val="0"/>
          <w:bCs w:val="0"/>
        </w:rPr>
      </w:r>
    </w:p>
    <w:sectPr>
      <w:pgSz w:w="11910" w:h="16840"/>
      <w:pgMar w:header="687" w:footer="979" w:top="114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7136" type="#_x0000_t75" stroked="false">
          <v:imagedata r:id="rId1" o:title=""/>
        </v:shape>
      </w:pict>
    </w:r>
    <w:r>
      <w:rPr/>
      <w:pict>
        <v:shape style="position:absolute;margin-left:533.179993pt;margin-top:795.517944pt;width:6.5pt;height:11pt;mso-position-horizontal-relative:page;mso-position-vertical-relative:page;z-index:-987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7088" type="#_x0000_t75" stroked="false">
          <v:imagedata r:id="rId1" o:title=""/>
        </v:shape>
      </w:pict>
    </w:r>
    <w:r>
      <w:rPr/>
      <w:pict>
        <v:shape style="position:absolute;margin-left:527.679993pt;margin-top:781.957947pt;width:13pt;height:11pt;mso-position-horizontal-relative:page;mso-position-vertical-relative:page;z-index:-987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6992" type="#_x0000_t75" stroked="false">
          <v:imagedata r:id="rId1" o:title=""/>
        </v:shape>
      </w:pict>
    </w:r>
    <w:r>
      <w:rPr/>
      <w:pict>
        <v:shape style="position:absolute;margin-left:524.179993pt;margin-top:781.957947pt;width:15.5pt;height:11pt;mso-position-horizontal-relative:page;mso-position-vertical-relative:page;z-index:-986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6944" type="#_x0000_t75" stroked="false">
          <v:imagedata r:id="rId1" o:title=""/>
        </v:shape>
      </w:pict>
    </w:r>
    <w:r>
      <w:rPr/>
      <w:pict>
        <v:shape style="position:absolute;margin-left:523.179993pt;margin-top:781.957947pt;width:17.5pt;height:11pt;mso-position-horizontal-relative:page;mso-position-vertical-relative:page;z-index:-986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86896" type="#_x0000_t75" stroked="false">
          <v:imagedata r:id="rId1" o:title=""/>
        </v:shape>
      </w:pict>
    </w:r>
    <w:r>
      <w:rPr/>
      <w:pict>
        <v:shape style="position:absolute;margin-left:523.179993pt;margin-top:781.957947pt;width:17.5pt;height:11pt;mso-position-horizontal-relative:page;mso-position-vertical-relative:page;z-index:-986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87160" type="#_x0000_t202" filled="false" stroked="false">
          <v:textbox inset="0,0,0,0">
            <w:txbxContent>
              <w:p>
                <w:pPr>
                  <w:pStyle w:val="BodyText"/>
                  <w:spacing w:line="214" w:lineRule="exact"/>
                  <w:ind w:left="20" w:right="0"/>
                  <w:jc w:val="left"/>
                </w:pPr>
                <w:r>
                  <w:rPr/>
                  <w:t>金财互联控股股份有限公司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84pt;margin-top:34.350983pt;width:485.7pt;height:22.8pt;mso-position-horizontal-relative:page;mso-position-vertical-relative:page;z-index:-987040" coordorigin="1097,687" coordsize="9714,456">
          <v:group style="position:absolute;left:1104;top:1112;width:9700;height:2" coordorigin="1104,1112" coordsize="9700,2">
            <v:shape style="position:absolute;left:1104;top:1112;width:9700;height:2" coordorigin="1104,1112" coordsize="9700,0" path="m1104,1112l10804,1112e" filled="false" stroked="true" strokeweight=".72pt" strokecolor="#000000">
              <v:path arrowok="t"/>
            </v:shape>
            <v:shape style="position:absolute;left:1185;top:687;width:1474;height:456" type="#_x0000_t75" stroked="false">
              <v:imagedata r:id="rId1" o:title=""/>
            </v:shape>
          </v:group>
          <w10:wrap type="none"/>
        </v:group>
      </w:pict>
    </w:r>
    <w:r>
      <w:rPr/>
      <w:pict>
        <v:shape style="position:absolute;margin-left:344.220001pt;margin-top:42.865608pt;width:195.5pt;height:11.5pt;mso-position-horizontal-relative:page;mso-position-vertical-relative:page;z-index:-987016" type="#_x0000_t202" filled="false" stroked="false">
          <v:textbox inset="0,0,0,0">
            <w:txbxContent>
              <w:p>
                <w:pPr>
                  <w:pStyle w:val="BodyText"/>
                  <w:spacing w:line="214" w:lineRule="exact"/>
                  <w:ind w:left="20" w:right="0"/>
                  <w:jc w:val="left"/>
                </w:pPr>
                <w:r>
                  <w:rPr/>
                  <w:t>金财互联控股股份有限公司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7"/>
      <w:ind w:left="153"/>
    </w:pPr>
    <w:rPr>
      <w:rFonts w:ascii="宋体" w:hAnsi="宋体" w:eastAsia="宋体"/>
      <w:b/>
      <w:bCs/>
      <w:sz w:val="24"/>
      <w:szCs w:val="24"/>
    </w:rPr>
  </w:style>
  <w:style w:styleId="BodyText" w:type="paragraph">
    <w:name w:val="Body Text"/>
    <w:basedOn w:val="Normal"/>
    <w:uiPriority w:val="1"/>
    <w:qFormat/>
    <w:pPr>
      <w:ind w:left="51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555"/>
      <w:outlineLvl w:val="3"/>
    </w:pPr>
    <w:rPr>
      <w:rFonts w:ascii="宋体" w:hAnsi="宋体" w:eastAsia="宋体"/>
      <w:b/>
      <w:bCs/>
      <w:sz w:val="20"/>
      <w:szCs w:val="20"/>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foresee.com.cn/" TargetMode="External"/><Relationship Id="rId11" Type="http://schemas.openxmlformats.org/officeDocument/2006/relationships/hyperlink" Target="http://www.fengdong.com/" TargetMode="External"/><Relationship Id="rId12" Type="http://schemas.openxmlformats.org/officeDocument/2006/relationships/hyperlink" Target="mailto:JCHL@jc-interconnect.com" TargetMode="External"/><Relationship Id="rId13" Type="http://schemas.openxmlformats.org/officeDocument/2006/relationships/hyperlink" Target="mailto:fengdong@fengdong.com" TargetMode="External"/><Relationship Id="rId14" Type="http://schemas.openxmlformats.org/officeDocument/2006/relationships/hyperlink" Target="http://www.cninfo.com.cn/" TargetMode="External"/><Relationship Id="rId15" Type="http://schemas.openxmlformats.org/officeDocument/2006/relationships/hyperlink" Target="http://www.cninfo.com.cn/information/c" TargetMode="External"/><Relationship Id="rId16" Type="http://schemas.openxmlformats.org/officeDocument/2006/relationships/hyperlink" Target="http://www/" TargetMode="External"/><Relationship Id="rId17" Type="http://schemas.openxmlformats.org/officeDocument/2006/relationships/image" Target="media/image3.png"/><Relationship Id="rId18" Type="http://schemas.openxmlformats.org/officeDocument/2006/relationships/hyperlink" Target="http://www.cninfo.com.cn/cninfo-n"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hyperlink" Target="http://wiki.mbalib.com/wiki/%E6%94%B6%E7%9B%8A%E7%8E%87" TargetMode="Externa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金财互联控股股份有限公司</dc:creator>
  <dc:title>金财互联控股股份有限公司2017年年度报告全文</dc:title>
  <dcterms:created xsi:type="dcterms:W3CDTF">2020-05-02T22:40:46Z</dcterms:created>
  <dcterms:modified xsi:type="dcterms:W3CDTF">2020-05-02T22:40:46Z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