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3.900002pt;margin-top:20.999983pt;width:486.65pt;height:28.75pt;mso-position-horizontal-relative:page;mso-position-vertical-relative:page;z-index:-1028488" coordorigin="1078,420" coordsize="9733,575">
            <v:shape style="position:absolute;left:1078;top:420;width:1498;height:575" type="#_x0000_t75" stroked="false">
              <v:imagedata r:id="rId7" o:title=""/>
            </v:shape>
            <v:group style="position:absolute;left:1104;top:961;width:9700;height:2" coordorigin="1104,961" coordsize="9700,2">
              <v:shape style="position:absolute;left:1104;top:961;width:9700;height:2" coordorigin="1104,961" coordsize="9700,0" path="m1104,961l10804,961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spacing w:line="460" w:lineRule="exact" w:before="0"/>
        <w:ind w:left="0" w:right="957" w:firstLine="0"/>
        <w:jc w:val="center"/>
        <w:rPr>
          <w:rFonts w:ascii="宋体" w:hAnsi="宋体" w:cs="宋体" w:eastAsia="宋体" w:hint="default"/>
          <w:sz w:val="36"/>
          <w:szCs w:val="36"/>
        </w:rPr>
      </w:pPr>
      <w:r>
        <w:rPr>
          <w:rFonts w:ascii="宋体" w:hAnsi="宋体" w:cs="宋体" w:eastAsia="宋体" w:hint="default"/>
          <w:b/>
          <w:bCs/>
          <w:sz w:val="36"/>
          <w:szCs w:val="36"/>
        </w:rPr>
        <w:t>金财互联控股股份有限公司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5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5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60" w:right="0"/>
        </w:sectPr>
      </w:pPr>
    </w:p>
    <w:p>
      <w:pPr>
        <w:spacing w:line="240" w:lineRule="auto" w:before="0"/>
        <w:rPr>
          <w:rFonts w:ascii="宋体" w:hAnsi="宋体" w:cs="宋体" w:eastAsia="宋体" w:hint="default"/>
          <w:b/>
          <w:bCs/>
          <w:sz w:val="20"/>
          <w:szCs w:val="20"/>
        </w:rPr>
      </w:pPr>
      <w:r>
        <w:rPr/>
        <w:pict>
          <v:group style="position:absolute;margin-left:53.900002pt;margin-top:27.549982pt;width:486.65pt;height:28.75pt;mso-position-horizontal-relative:page;mso-position-vertical-relative:page;z-index:1048" coordorigin="1078,551" coordsize="9733,575">
            <v:shape style="position:absolute;left:1078;top:551;width:1498;height:575" type="#_x0000_t75" stroked="false">
              <v:imagedata r:id="rId7" o:title=""/>
            </v:shape>
            <v:group style="position:absolute;left:1104;top:1092;width:9700;height:2" coordorigin="1104,1092" coordsize="9700,2">
              <v:shape style="position:absolute;left:1104;top:1092;width:9700;height:2" coordorigin="1104,1092" coordsize="9700,0" path="m1104,1092l10804,1092e" filled="false" stroked="true" strokeweight=".72pt" strokecolor="#000000">
                <v:path arrowok="t"/>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2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7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7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公司负责人朱文明、主管会计工作负责人褚文兰及会计机构负责人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褚文兰声明：保证年度报告中财务报告的真实、准确、完整。</w:t>
      </w:r>
      <w:r>
        <w:rPr>
          <w:rFonts w:ascii="宋体" w:hAnsi="宋体" w:cs="宋体" w:eastAsia="宋体" w:hint="default"/>
          <w:sz w:val="28"/>
          <w:szCs w:val="28"/>
        </w:rPr>
      </w:r>
    </w:p>
    <w:p>
      <w:pPr>
        <w:spacing w:before="147"/>
        <w:ind w:left="73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69" w:type="dxa"/>
        <w:tblLayout w:type="fixed"/>
        <w:tblCellMar>
          <w:top w:w="0" w:type="dxa"/>
          <w:left w:w="0" w:type="dxa"/>
          <w:bottom w:w="0" w:type="dxa"/>
          <w:right w:w="0" w:type="dxa"/>
        </w:tblCellMar>
        <w:tblLook w:val="01E0"/>
      </w:tblPr>
      <w:tblGrid>
        <w:gridCol w:w="2936"/>
        <w:gridCol w:w="2211"/>
        <w:gridCol w:w="2212"/>
        <w:gridCol w:w="2210"/>
      </w:tblGrid>
      <w:tr>
        <w:trPr>
          <w:trHeight w:val="449"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5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朱小军</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公务</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向建华</w:t>
            </w:r>
          </w:p>
        </w:tc>
      </w:tr>
    </w:tbl>
    <w:p>
      <w:pPr>
        <w:spacing w:line="240" w:lineRule="auto" w:before="2"/>
        <w:rPr>
          <w:rFonts w:ascii="宋体" w:hAnsi="宋体" w:cs="宋体" w:eastAsia="宋体" w:hint="default"/>
          <w:b/>
          <w:bCs/>
          <w:sz w:val="13"/>
          <w:szCs w:val="13"/>
        </w:rPr>
      </w:pPr>
    </w:p>
    <w:p>
      <w:pPr>
        <w:spacing w:line="393" w:lineRule="auto" w:before="13"/>
        <w:ind w:left="174"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本报告期不存在在生产经营状况、财务状况和持续盈利能力方面有严重不</w:t>
      </w:r>
      <w:r>
        <w:rPr>
          <w:rFonts w:ascii="宋体" w:hAnsi="宋体" w:cs="宋体" w:eastAsia="宋体" w:hint="default"/>
          <w:b/>
          <w:bCs/>
          <w:w w:val="99"/>
          <w:sz w:val="28"/>
          <w:szCs w:val="28"/>
        </w:rPr>
        <w:t> </w:t>
      </w:r>
      <w:r>
        <w:rPr>
          <w:rFonts w:ascii="宋体" w:hAnsi="宋体" w:cs="宋体" w:eastAsia="宋体" w:hint="default"/>
          <w:b/>
          <w:bCs/>
          <w:spacing w:val="3"/>
          <w:sz w:val="28"/>
          <w:szCs w:val="28"/>
        </w:rPr>
        <w:t>利影响的风险因素。对于公司经营中的相关风险分析，详见本报告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w:t>
      </w:r>
      <w:r>
        <w:rPr>
          <w:rFonts w:ascii="宋体" w:hAnsi="宋体" w:cs="宋体" w:eastAsia="宋体" w:hint="default"/>
          <w:b/>
          <w:bCs/>
          <w:spacing w:val="-28"/>
          <w:sz w:val="28"/>
          <w:szCs w:val="28"/>
        </w:rPr>
        <w:t> </w:t>
      </w:r>
      <w:r>
        <w:rPr>
          <w:rFonts w:ascii="宋体" w:hAnsi="宋体" w:cs="宋体" w:eastAsia="宋体" w:hint="default"/>
          <w:b/>
          <w:bCs/>
          <w:sz w:val="28"/>
          <w:szCs w:val="28"/>
        </w:rPr>
        <w:t>经</w:t>
      </w:r>
      <w:r>
        <w:rPr>
          <w:rFonts w:ascii="宋体" w:hAnsi="宋体" w:cs="宋体" w:eastAsia="宋体" w:hint="default"/>
          <w:b/>
          <w:bCs/>
          <w:w w:val="99"/>
          <w:sz w:val="28"/>
          <w:szCs w:val="28"/>
        </w:rPr>
        <w:t> </w:t>
      </w:r>
      <w:r>
        <w:rPr>
          <w:rFonts w:ascii="宋体" w:hAnsi="宋体" w:cs="宋体" w:eastAsia="宋体" w:hint="default"/>
          <w:b/>
          <w:bCs/>
          <w:sz w:val="28"/>
          <w:szCs w:val="28"/>
        </w:rPr>
        <w:t>营情况讨论与分析</w:t>
      </w:r>
      <w:r>
        <w:rPr>
          <w:rFonts w:ascii="宋体" w:hAnsi="宋体" w:cs="宋体" w:eastAsia="宋体" w:hint="default"/>
          <w:b/>
          <w:bCs/>
          <w:spacing w:val="-28"/>
          <w:sz w:val="28"/>
          <w:szCs w:val="28"/>
        </w:rPr>
        <w:t> </w:t>
      </w:r>
      <w:r>
        <w:rPr>
          <w:rFonts w:ascii="宋体" w:hAnsi="宋体" w:cs="宋体" w:eastAsia="宋体" w:hint="default"/>
          <w:b/>
          <w:bCs/>
          <w:spacing w:val="-7"/>
          <w:sz w:val="28"/>
          <w:szCs w:val="28"/>
        </w:rPr>
        <w:t>九、公司未来发展的展望（五）可能面临的风险及应对措施</w:t>
      </w:r>
      <w:r>
        <w:rPr>
          <w:rFonts w:ascii="Times New Roman" w:hAnsi="Times New Roman" w:cs="Times New Roman" w:eastAsia="Times New Roman" w:hint="default"/>
          <w:b/>
          <w:bCs/>
          <w:spacing w:val="-7"/>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部分。</w:t>
      </w:r>
      <w:r>
        <w:rPr>
          <w:rFonts w:ascii="宋体" w:hAnsi="宋体" w:cs="宋体" w:eastAsia="宋体" w:hint="default"/>
          <w:sz w:val="28"/>
          <w:szCs w:val="28"/>
        </w:rPr>
      </w:r>
    </w:p>
    <w:p>
      <w:pPr>
        <w:spacing w:before="178"/>
        <w:ind w:left="736" w:right="0" w:firstLine="0"/>
        <w:jc w:val="left"/>
        <w:rPr>
          <w:rFonts w:ascii="宋体" w:hAnsi="宋体" w:cs="宋体" w:eastAsia="宋体" w:hint="default"/>
          <w:sz w:val="28"/>
          <w:szCs w:val="28"/>
        </w:rPr>
      </w:pPr>
      <w:r>
        <w:rPr>
          <w:rFonts w:ascii="宋体" w:hAnsi="宋体" w:cs="宋体" w:eastAsia="宋体" w:hint="default"/>
          <w:b/>
          <w:bCs/>
          <w:sz w:val="28"/>
          <w:szCs w:val="28"/>
        </w:rPr>
        <w:t>公司计划本报告期不派发现金红利，不送红股，不以公积金转增股本。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60" w:right="0"/>
          <w:pgNumType w:start="2"/>
        </w:sectPr>
      </w:pPr>
    </w:p>
    <w:p>
      <w:pPr>
        <w:spacing w:line="240" w:lineRule="auto" w:before="0"/>
        <w:rPr>
          <w:rFonts w:ascii="宋体" w:hAnsi="宋体" w:cs="宋体" w:eastAsia="宋体" w:hint="default"/>
          <w:b/>
          <w:bCs/>
          <w:sz w:val="20"/>
          <w:szCs w:val="20"/>
        </w:rPr>
      </w:pPr>
      <w:r>
        <w:rPr/>
        <w:pict>
          <v:group style="position:absolute;margin-left:53.900002pt;margin-top:27.549982pt;width:486.65pt;height:28.75pt;mso-position-horizontal-relative:page;mso-position-vertical-relative:page;z-index:1072" coordorigin="1078,551" coordsize="9733,575">
            <v:shape style="position:absolute;left:1078;top:551;width:1498;height:575" type="#_x0000_t75" stroked="false">
              <v:imagedata r:id="rId7" o:title=""/>
            </v:shape>
            <v:group style="position:absolute;left:1104;top:1092;width:9700;height:2" coordorigin="1104,1092" coordsize="9700,2">
              <v:shape style="position:absolute;left:1104;top:1092;width:9700;height:2" coordorigin="1104,1092" coordsize="9700,0" path="m1104,1092l10804,1092e" filled="false" stroked="true" strokeweight=".72pt" strokecolor="#000000">
                <v:path arrowok="t"/>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03" w:val="left" w:leader="none"/>
        </w:tabs>
        <w:spacing w:before="125"/>
        <w:ind w:left="0" w:right="95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802" w:val="right" w:leader="dot"/>
            </w:tabs>
            <w:spacing w:line="240" w:lineRule="auto" w:before="899"/>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802" w:val="right" w:leader="dot"/>
            </w:tabs>
            <w:spacing w:line="240" w:lineRule="auto" w:before="268"/>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80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156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6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25"/>
          <w:szCs w:val="25"/>
        </w:rPr>
      </w:pPr>
    </w:p>
    <w:p>
      <w:pPr>
        <w:tabs>
          <w:tab w:pos="803" w:val="left" w:leader="none"/>
        </w:tabs>
        <w:spacing w:before="0"/>
        <w:ind w:left="0" w:right="957"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3273"/>
        <w:gridCol w:w="544"/>
        <w:gridCol w:w="5753"/>
      </w:tblGrid>
      <w:tr>
        <w:trPr>
          <w:trHeight w:val="37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公司、本公司、金财互联</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金财互联控股股份有限公司（系江苏丰东热技术股份有限公司更名）</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方欣科技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本公司全资子公司方欣科技有限公司</w:t>
            </w:r>
          </w:p>
        </w:tc>
      </w:tr>
      <w:tr>
        <w:trPr>
          <w:trHeight w:val="371"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丰东热技术</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本公司全资子公司江苏丰东热技术有限公司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浙江金财</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方欣科技下属公司浙江金财立信财务管理有限公司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方欣恒利</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方欣科技下属公司北京方欣恒利科技有限公司</w:t>
            </w:r>
          </w:p>
        </w:tc>
      </w:tr>
      <w:tr>
        <w:trPr>
          <w:trHeight w:val="371"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益东金财</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方欣科技下属公司广东益东金财资产管理中心（有限合伙）</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青岛金财</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方欣科技下属公司青岛高新金财信息科技有限公司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上海宝华威</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丰东热技术下属公司上海宝华威热处理设备有限公司</w:t>
            </w:r>
          </w:p>
        </w:tc>
      </w:tr>
      <w:tr>
        <w:trPr>
          <w:trHeight w:val="371"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丰东热技术下属公司南京丰东热处理工程有限公司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丰东热技术下属公司天津丰东热处理有限公司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丰东热技术下属公司盐城丰东特种炉业有限公司</w:t>
            </w:r>
          </w:p>
        </w:tc>
      </w:tr>
      <w:tr>
        <w:trPr>
          <w:trHeight w:val="371"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丰东热技术下属公司上海丰东热处理工程有限公司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丰东热技术下属公司常州鑫润丰东热处理工程有限公司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潍坊丰东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丰东热技术下属公司潍坊丰东热处理有限公司</w:t>
            </w:r>
          </w:p>
        </w:tc>
      </w:tr>
      <w:tr>
        <w:trPr>
          <w:trHeight w:val="371"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烟台丰东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丰东热技术下属公司烟台丰东热技术有限公司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青岛热工</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丰东热技术下属公司青岛丰东热工技术有限公司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丰东热技术合营公司盐城高周波热炼有限公司</w:t>
            </w:r>
          </w:p>
        </w:tc>
      </w:tr>
      <w:tr>
        <w:trPr>
          <w:trHeight w:val="371"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丰东热技术合营公司江苏石川岛丰东真空技术有限公司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广州丰东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丰东热技术联营公司广州丰东热炼有限公司</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东润投资</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本公司控股股东江苏东润金财投资管理有限公司</w:t>
            </w:r>
          </w:p>
        </w:tc>
      </w:tr>
      <w:tr>
        <w:trPr>
          <w:trHeight w:val="371"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民生方欣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号计划</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本公司股东民生证券</w:t>
            </w:r>
            <w:r>
              <w:rPr>
                <w:rFonts w:ascii="Times New Roman" w:hAnsi="Times New Roman" w:cs="Times New Roman" w:eastAsia="Times New Roman" w:hint="default"/>
                <w:sz w:val="18"/>
                <w:szCs w:val="18"/>
              </w:rPr>
              <w:t>-</w:t>
            </w: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w:t>
            </w:r>
            <w:r>
              <w:rPr>
                <w:rFonts w:ascii="宋体" w:hAnsi="宋体" w:cs="宋体" w:eastAsia="宋体" w:hint="default"/>
                <w:sz w:val="18"/>
                <w:szCs w:val="18"/>
              </w:rPr>
              <w:t>民生方欣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号集合资产管理计划</w:t>
            </w:r>
          </w:p>
        </w:tc>
      </w:tr>
      <w:tr>
        <w:trPr>
          <w:trHeight w:val="370"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71" w:hRule="exact"/>
        </w:trPr>
        <w:tc>
          <w:tcPr>
            <w:tcW w:w="327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7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headerReference w:type="default" r:id="rId9"/>
          <w:pgSz w:w="11910" w:h="16840"/>
          <w:pgMar w:header="551" w:footer="979" w:top="1120" w:bottom="1160" w:left="9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1"/>
        <w:spacing w:line="240" w:lineRule="auto"/>
        <w:ind w:left="266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3"/>
        <w:rPr>
          <w:rFonts w:ascii="宋体" w:hAnsi="宋体" w:cs="宋体" w:eastAsia="宋体" w:hint="default"/>
          <w:b/>
          <w:bCs/>
          <w:sz w:val="21"/>
          <w:szCs w:val="21"/>
        </w:rPr>
      </w:pPr>
    </w:p>
    <w:tbl>
      <w:tblPr>
        <w:tblW w:w="0" w:type="auto"/>
        <w:jc w:val="left"/>
        <w:tblInd w:w="169" w:type="dxa"/>
        <w:tblLayout w:type="fixed"/>
        <w:tblCellMar>
          <w:top w:w="0" w:type="dxa"/>
          <w:left w:w="0" w:type="dxa"/>
          <w:bottom w:w="0" w:type="dxa"/>
          <w:right w:w="0" w:type="dxa"/>
        </w:tblCellMar>
        <w:tblLook w:val="01E0"/>
      </w:tblPr>
      <w:tblGrid>
        <w:gridCol w:w="2273"/>
        <w:gridCol w:w="2418"/>
        <w:gridCol w:w="2387"/>
        <w:gridCol w:w="2492"/>
      </w:tblGrid>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18"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金财互联</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4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002530</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金财互联控股股份有限公司</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金财互联</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sz w:val="18"/>
              </w:rPr>
              <w:t>JC Finance&amp;Tax Interconnect Holdings</w:t>
            </w:r>
            <w:r>
              <w:rPr>
                <w:rFonts w:ascii="Times New Roman"/>
                <w:spacing w:val="-21"/>
                <w:sz w:val="18"/>
              </w:rPr>
              <w:t> </w:t>
            </w:r>
            <w:r>
              <w:rPr>
                <w:rFonts w:ascii="Times New Roman"/>
                <w:sz w:val="18"/>
              </w:rPr>
              <w:t>Ltd.</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朱文明</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盐城市大丰区经济开发区南翔西路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sz w:val="18"/>
              </w:rPr>
              <w:t>224100</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sz w:val="18"/>
                <w:szCs w:val="18"/>
              </w:rPr>
              <w:t>盐城市大丰区经济开发区南翔西路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sz w:val="18"/>
              </w:rPr>
              <w:t>224100</w:t>
            </w:r>
          </w:p>
        </w:tc>
      </w:tr>
      <w:tr>
        <w:trPr>
          <w:trHeight w:val="3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left="28" w:right="0"/>
              <w:jc w:val="left"/>
              <w:rPr>
                <w:rFonts w:ascii="Times New Roman" w:hAnsi="Times New Roman" w:cs="Times New Roman" w:eastAsia="Times New Roman" w:hint="default"/>
                <w:sz w:val="18"/>
                <w:szCs w:val="18"/>
              </w:rPr>
            </w:pPr>
            <w:hyperlink r:id="rId10">
              <w:r>
                <w:rPr>
                  <w:rFonts w:ascii="Times New Roman"/>
                  <w:sz w:val="18"/>
                </w:rPr>
                <w:t>www.foresee.com.cn</w:t>
              </w:r>
            </w:hyperlink>
            <w:r>
              <w:rPr>
                <w:rFonts w:ascii="Times New Roman"/>
                <w:sz w:val="18"/>
              </w:rPr>
              <w:t>  </w:t>
            </w:r>
            <w:r>
              <w:rPr>
                <w:rFonts w:ascii="Times New Roman"/>
                <w:spacing w:val="14"/>
                <w:sz w:val="18"/>
              </w:rPr>
              <w:t> </w:t>
            </w:r>
            <w:r>
              <w:rPr>
                <w:rFonts w:ascii="Times New Roman"/>
                <w:spacing w:val="14"/>
                <w:sz w:val="18"/>
              </w:rPr>
            </w:r>
            <w:hyperlink r:id="rId11">
              <w:r>
                <w:rPr>
                  <w:rFonts w:ascii="Times New Roman"/>
                  <w:sz w:val="18"/>
                </w:rPr>
                <w:t>www.fengdong.com</w:t>
              </w:r>
            </w:hyperlink>
          </w:p>
        </w:tc>
      </w:tr>
      <w:tr>
        <w:trPr>
          <w:trHeight w:val="37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left="28" w:right="0"/>
              <w:jc w:val="left"/>
              <w:rPr>
                <w:rFonts w:ascii="Times New Roman" w:hAnsi="Times New Roman" w:cs="Times New Roman" w:eastAsia="Times New Roman" w:hint="default"/>
                <w:sz w:val="18"/>
                <w:szCs w:val="18"/>
              </w:rPr>
            </w:pPr>
            <w:hyperlink r:id="rId12">
              <w:r>
                <w:rPr>
                  <w:rFonts w:ascii="Times New Roman"/>
                  <w:sz w:val="18"/>
                </w:rPr>
                <w:t>JCHL@jc-interconnect.com</w:t>
              </w:r>
            </w:hyperlink>
          </w:p>
        </w:tc>
      </w:tr>
    </w:tbl>
    <w:p>
      <w:pPr>
        <w:spacing w:line="240" w:lineRule="auto" w:before="7"/>
        <w:rPr>
          <w:rFonts w:ascii="宋体" w:hAnsi="宋体" w:cs="宋体" w:eastAsia="宋体" w:hint="default"/>
          <w:b/>
          <w:bCs/>
          <w:sz w:val="21"/>
          <w:szCs w:val="21"/>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2246"/>
        <w:gridCol w:w="3698"/>
        <w:gridCol w:w="3615"/>
      </w:tblGrid>
      <w:tr>
        <w:trPr>
          <w:trHeight w:val="330"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30"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盐城市大丰区经济开发区南翔西路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0515-83282838</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0515-83282843</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hyperlink r:id="rId12">
              <w:r>
                <w:rPr>
                  <w:rFonts w:ascii="Times New Roman"/>
                  <w:sz w:val="18"/>
                </w:rPr>
                <w:t>JCHL@jc-interconnect.com</w:t>
              </w:r>
            </w:hyperlink>
          </w:p>
        </w:tc>
        <w:tc>
          <w:tcPr>
            <w:tcW w:w="3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21"/>
          <w:szCs w:val="21"/>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4678"/>
        <w:gridCol w:w="4890"/>
      </w:tblGrid>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7"/>
        <w:rPr>
          <w:rFonts w:ascii="宋体" w:hAnsi="宋体" w:cs="宋体" w:eastAsia="宋体" w:hint="default"/>
          <w:b/>
          <w:bCs/>
          <w:sz w:val="21"/>
          <w:szCs w:val="21"/>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2268"/>
        <w:gridCol w:w="7300"/>
      </w:tblGrid>
      <w:tr>
        <w:trPr>
          <w:trHeight w:val="33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91320900608684500T</w:t>
            </w:r>
          </w:p>
        </w:tc>
      </w:tr>
    </w:tbl>
    <w:p>
      <w:pPr>
        <w:spacing w:after="0" w:line="240" w:lineRule="auto"/>
        <w:jc w:val="lef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b/>
          <w:bCs/>
          <w:sz w:val="22"/>
          <w:szCs w:val="22"/>
        </w:rPr>
      </w:pPr>
    </w:p>
    <w:p>
      <w:pPr>
        <w:pStyle w:val="BodyText"/>
        <w:spacing w:line="240" w:lineRule="auto"/>
        <w:ind w:left="0" w:right="1140"/>
        <w:jc w:val="right"/>
      </w:pPr>
      <w:r>
        <w:rPr/>
        <w:pict>
          <v:shape style="position:absolute;margin-left:56.459999pt;margin-top:.651704pt;width:479.2pt;height:143.5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7300"/>
                  </w:tblGrid>
                  <w:tr>
                    <w:trPr>
                      <w:trHeight w:val="229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4" w:lineRule="auto"/>
                          <w:ind w:left="22" w:right="75"/>
                          <w:jc w:val="left"/>
                          <w:rPr>
                            <w:rFonts w:ascii="宋体" w:hAnsi="宋体" w:cs="宋体" w:eastAsia="宋体" w:hint="default"/>
                            <w:sz w:val="18"/>
                            <w:szCs w:val="18"/>
                          </w:rPr>
                        </w:pPr>
                        <w:r>
                          <w:rPr>
                            <w:rFonts w:ascii="宋体" w:hAnsi="宋体" w:cs="宋体" w:eastAsia="宋体" w:hint="default"/>
                            <w:sz w:val="18"/>
                            <w:szCs w:val="18"/>
                          </w:rPr>
                          <w:t>公司上市以来主营业务的变 化情况（如有）</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5"/>
                          <w:ind w:left="22" w:right="67"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年第一次临时股东大会审议，通过了《关于增加公司经营范围的议案》</w:t>
                        </w:r>
                        <w:r>
                          <w:rPr>
                            <w:rFonts w:ascii="宋体" w:hAnsi="宋体" w:cs="宋体" w:eastAsia="宋体" w:hint="default"/>
                            <w:spacing w:val="-90"/>
                            <w:sz w:val="18"/>
                            <w:szCs w:val="18"/>
                          </w:rPr>
                          <w:t> </w:t>
                        </w:r>
                        <w:r>
                          <w:rPr>
                            <w:rFonts w:ascii="宋体" w:hAnsi="宋体" w:cs="宋体" w:eastAsia="宋体" w:hint="default"/>
                            <w:sz w:val="18"/>
                            <w:szCs w:val="18"/>
                          </w:rPr>
                          <w:t>同意公司经营范围中增加</w:t>
                        </w:r>
                        <w:r>
                          <w:rPr>
                            <w:rFonts w:ascii="Times New Roman" w:hAnsi="Times New Roman" w:cs="Times New Roman" w:eastAsia="Times New Roman" w:hint="default"/>
                            <w:sz w:val="18"/>
                            <w:szCs w:val="18"/>
                          </w:rPr>
                          <w:t>“</w:t>
                        </w:r>
                        <w:r>
                          <w:rPr>
                            <w:rFonts w:ascii="宋体" w:hAnsi="宋体" w:cs="宋体" w:eastAsia="宋体" w:hint="default"/>
                            <w:sz w:val="18"/>
                            <w:szCs w:val="18"/>
                          </w:rPr>
                          <w:t>设备租赁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；增加后公司经营范围为：开发、生产热处理设备及其 辅助设备并销售本公司自产产品；承接金属零件的热处理加工业务；提供热处理设备的保修 维修服务；提供专业热处理技术咨询服务；设备租赁。</w:t>
                        </w:r>
                      </w:p>
                      <w:p>
                        <w:pPr>
                          <w:pStyle w:val="TableParagraph"/>
                          <w:spacing w:line="242" w:lineRule="auto" w:before="44"/>
                          <w:ind w:left="22" w:right="22"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4"/>
                            <w:sz w:val="18"/>
                            <w:szCs w:val="18"/>
                          </w:rPr>
                          <w:t>年第三次临时股东大会审议，通过了《关于修订公司章程的议案》，同意</w:t>
                        </w:r>
                        <w:r>
                          <w:rPr>
                            <w:rFonts w:ascii="宋体" w:hAnsi="宋体" w:cs="宋体" w:eastAsia="宋体" w:hint="default"/>
                            <w:sz w:val="18"/>
                            <w:szCs w:val="18"/>
                          </w:rPr>
                          <w:t> 变更公司名称、证券简称以及经营范围，变更后的经营范围为：实业投资；股权投资；投资 咨询；资产管理；税务服务；财务、税务咨询服务；互联网软、硬件产品研发、销售、技术 服务、系统集成服务；数据服务；金属材料热处理及表面改性设备的技术开发、技术咨询、 制造、销售及维修服务；房屋、设备租赁。</w:t>
                        </w:r>
                      </w:p>
                    </w:tc>
                  </w:tr>
                  <w:tr>
                    <w:trPr>
                      <w:trHeight w:val="57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8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4537"/>
        <w:gridCol w:w="5032"/>
      </w:tblGrid>
      <w:tr>
        <w:trPr>
          <w:trHeight w:val="330"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330"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330" w:hRule="exact"/>
        </w:trPr>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冯家俊、赵海蓉</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公司聘请的报告期内履行持续督导职责的保荐机构</w:t>
      </w:r>
    </w:p>
    <w:p>
      <w:pPr>
        <w:pStyle w:val="BodyText"/>
        <w:spacing w:line="415" w:lineRule="auto" w:before="117"/>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35" w:lineRule="exact"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2"/>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13"/>
          <w:szCs w:val="13"/>
        </w:rPr>
      </w:pPr>
    </w:p>
    <w:p>
      <w:pPr>
        <w:pStyle w:val="BodyText"/>
        <w:spacing w:line="357" w:lineRule="auto" w:before="0"/>
        <w:ind w:right="8772"/>
        <w:jc w:val="left"/>
      </w:pPr>
      <w:r>
        <w:rPr/>
        <w:t>追溯调整或重述原因 同一控制下企业合并</w:t>
      </w:r>
    </w:p>
    <w:p>
      <w:pPr>
        <w:spacing w:line="240" w:lineRule="auto" w:before="6"/>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962"/>
        <w:gridCol w:w="1429"/>
        <w:gridCol w:w="1276"/>
        <w:gridCol w:w="1418"/>
        <w:gridCol w:w="993"/>
        <w:gridCol w:w="1277"/>
        <w:gridCol w:w="1274"/>
      </w:tblGrid>
      <w:tr>
        <w:trPr>
          <w:trHeight w:val="145"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
        </w:tc>
        <w:tc>
          <w:tcPr>
            <w:tcW w:w="26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310" w:right="40"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5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8"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26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3" w:type="dxa"/>
            <w:vMerge/>
            <w:tcBorders>
              <w:left w:val="single" w:sz="4" w:space="0" w:color="000000"/>
              <w:right w:val="single" w:sz="4" w:space="0" w:color="000000"/>
            </w:tcBorders>
            <w:shd w:val="clear" w:color="auto" w:fill="D2D2D2"/>
          </w:tcPr>
          <w:p>
            <w:pPr/>
          </w:p>
        </w:tc>
        <w:tc>
          <w:tcPr>
            <w:tcW w:w="25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21" w:hRule="exact"/>
        </w:trPr>
        <w:tc>
          <w:tcPr>
            <w:tcW w:w="1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4" w:type="dxa"/>
            <w:gridSpan w:val="2"/>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2551" w:type="dxa"/>
            <w:gridSpan w:val="2"/>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25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7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6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6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35"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8"/>
              <w:ind w:right="23"/>
              <w:jc w:val="right"/>
              <w:rPr>
                <w:rFonts w:ascii="Times New Roman" w:hAnsi="Times New Roman" w:cs="Times New Roman" w:eastAsia="Times New Roman" w:hint="default"/>
                <w:sz w:val="18"/>
                <w:szCs w:val="18"/>
              </w:rPr>
            </w:pPr>
            <w:r>
              <w:rPr>
                <w:rFonts w:ascii="Times New Roman"/>
                <w:spacing w:val="-1"/>
                <w:sz w:val="18"/>
              </w:rPr>
              <w:t>1,264,089,833.20</w:t>
            </w:r>
          </w:p>
        </w:tc>
        <w:tc>
          <w:tcPr>
            <w:tcW w:w="1276"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997,742,267.47</w:t>
            </w:r>
          </w:p>
        </w:tc>
        <w:tc>
          <w:tcPr>
            <w:tcW w:w="1418"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997,742,267.47</w:t>
            </w:r>
          </w:p>
        </w:tc>
        <w:tc>
          <w:tcPr>
            <w:tcW w:w="993"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26.70%</w:t>
            </w:r>
          </w:p>
        </w:tc>
        <w:tc>
          <w:tcPr>
            <w:tcW w:w="1277"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483,838,717.65</w:t>
            </w:r>
          </w:p>
        </w:tc>
        <w:tc>
          <w:tcPr>
            <w:tcW w:w="1274"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483,838,717.65</w:t>
            </w:r>
          </w:p>
        </w:tc>
      </w:tr>
      <w:tr>
        <w:trPr>
          <w:trHeight w:val="57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39"/>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291,043,046.39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230,474,158.71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227,912,897.73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46,556,799.86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46,556,799.86</w:t>
            </w:r>
          </w:p>
        </w:tc>
      </w:tr>
      <w:tr>
        <w:trPr>
          <w:trHeight w:val="81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40"/>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271,559,818.27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211,393,947.62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211,393,947.62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38,531,604.64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38,531,604.64</w:t>
            </w:r>
          </w:p>
        </w:tc>
      </w:tr>
      <w:tr>
        <w:trPr>
          <w:trHeight w:val="57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39"/>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119,448,073.51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187,604,575.10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192,849,329.60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221,984,043.48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221,984,043.48</w:t>
            </w:r>
          </w:p>
        </w:tc>
      </w:tr>
      <w:tr>
        <w:trPr>
          <w:trHeight w:val="33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27.59%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0.06</w:t>
            </w:r>
          </w:p>
        </w:tc>
      </w:tr>
      <w:tr>
        <w:trPr>
          <w:trHeight w:val="33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27.59%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0.06</w:t>
            </w:r>
          </w:p>
        </w:tc>
      </w:tr>
      <w:tr>
        <w:trPr>
          <w:trHeight w:val="12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24" w:right="0"/>
              <w:jc w:val="left"/>
              <w:rPr>
                <w:rFonts w:ascii="Times New Roman" w:hAnsi="Times New Roman" w:cs="Times New Roman" w:eastAsia="Times New Roman" w:hint="default"/>
                <w:sz w:val="18"/>
                <w:szCs w:val="18"/>
              </w:rPr>
            </w:pPr>
            <w:r>
              <w:rPr>
                <w:rFonts w:ascii="Times New Roman"/>
                <w:sz w:val="18"/>
              </w:rPr>
              <w:t>7.04%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6.04%</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21" w:right="0"/>
              <w:jc w:val="left"/>
              <w:rPr>
                <w:rFonts w:ascii="Times New Roman" w:hAnsi="Times New Roman" w:cs="Times New Roman" w:eastAsia="Times New Roman" w:hint="default"/>
                <w:sz w:val="18"/>
                <w:szCs w:val="18"/>
              </w:rPr>
            </w:pPr>
            <w:r>
              <w:rPr>
                <w:rFonts w:ascii="Times New Roman"/>
                <w:sz w:val="18"/>
              </w:rPr>
              <w:t>5.73%</w:t>
            </w:r>
          </w:p>
        </w:tc>
        <w:tc>
          <w:tcPr>
            <w:tcW w:w="993" w:type="dxa"/>
            <w:vMerge w:val="restart"/>
            <w:tcBorders>
              <w:top w:val="single" w:sz="4" w:space="0" w:color="000000"/>
              <w:left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p>
            <w:pPr>
              <w:pStyle w:val="TableParagraph"/>
              <w:spacing w:line="231" w:lineRule="exact"/>
              <w:ind w:left="418" w:right="0"/>
              <w:jc w:val="left"/>
              <w:rPr>
                <w:rFonts w:ascii="宋体" w:hAnsi="宋体" w:cs="宋体" w:eastAsia="宋体" w:hint="default"/>
                <w:sz w:val="18"/>
                <w:szCs w:val="18"/>
              </w:rPr>
            </w:pPr>
            <w:r>
              <w:rPr>
                <w:rFonts w:ascii="宋体" w:hAnsi="宋体" w:cs="宋体" w:eastAsia="宋体" w:hint="default"/>
                <w:sz w:val="18"/>
                <w:szCs w:val="18"/>
              </w:rPr>
              <w:t>百分点</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4.84%</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76" w:right="0"/>
              <w:jc w:val="left"/>
              <w:rPr>
                <w:rFonts w:ascii="Times New Roman" w:hAnsi="Times New Roman" w:cs="Times New Roman" w:eastAsia="Times New Roman" w:hint="default"/>
                <w:sz w:val="18"/>
                <w:szCs w:val="18"/>
              </w:rPr>
            </w:pPr>
            <w:r>
              <w:rPr>
                <w:rFonts w:ascii="Times New Roman"/>
                <w:sz w:val="18"/>
              </w:rPr>
              <w:t>4.84%</w:t>
            </w:r>
          </w:p>
        </w:tc>
      </w:tr>
      <w:tr>
        <w:trPr>
          <w:trHeight w:val="445"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29"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80" w:type="dxa"/>
        <w:tblLayout w:type="fixed"/>
        <w:tblCellMar>
          <w:top w:w="0" w:type="dxa"/>
          <w:left w:w="0" w:type="dxa"/>
          <w:bottom w:w="0" w:type="dxa"/>
          <w:right w:w="0" w:type="dxa"/>
        </w:tblCellMar>
        <w:tblLook w:val="01E0"/>
      </w:tblPr>
      <w:tblGrid>
        <w:gridCol w:w="1974"/>
        <w:gridCol w:w="1417"/>
        <w:gridCol w:w="1419"/>
        <w:gridCol w:w="1276"/>
        <w:gridCol w:w="993"/>
        <w:gridCol w:w="1277"/>
        <w:gridCol w:w="1274"/>
      </w:tblGrid>
      <w:tr>
        <w:trPr>
          <w:trHeight w:val="125" w:hRule="exact"/>
        </w:trPr>
        <w:tc>
          <w:tcPr>
            <w:tcW w:w="1974"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26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130" w:right="40"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5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2"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26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3" w:type="dxa"/>
            <w:vMerge/>
            <w:tcBorders>
              <w:left w:val="single" w:sz="4" w:space="0" w:color="000000"/>
              <w:right w:val="single" w:sz="4" w:space="0" w:color="000000"/>
            </w:tcBorders>
            <w:shd w:val="clear" w:color="auto" w:fill="D2D2D2"/>
          </w:tcPr>
          <w:p>
            <w:pPr/>
          </w:p>
        </w:tc>
        <w:tc>
          <w:tcPr>
            <w:tcW w:w="25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87"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before="21"/>
              <w:ind w:right="806"/>
              <w:jc w:val="right"/>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5" w:lineRule="exact" w:before="2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2551" w:type="dxa"/>
            <w:gridSpan w:val="2"/>
            <w:vMerge/>
            <w:tcBorders>
              <w:left w:val="single" w:sz="4" w:space="0" w:color="000000"/>
              <w:bottom w:val="single" w:sz="4" w:space="0" w:color="000000"/>
              <w:right w:val="single" w:sz="4" w:space="0" w:color="000000"/>
            </w:tcBorders>
            <w:shd w:val="clear" w:color="auto" w:fill="D2D2D2"/>
          </w:tcPr>
          <w:p>
            <w:pPr/>
          </w:p>
        </w:tc>
      </w:tr>
      <w:tr>
        <w:trPr>
          <w:trHeight w:val="456"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36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63"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870"/>
              <w:jc w:val="right"/>
              <w:rPr>
                <w:rFonts w:ascii="宋体" w:hAnsi="宋体" w:cs="宋体" w:eastAsia="宋体" w:hint="default"/>
                <w:sz w:val="18"/>
                <w:szCs w:val="18"/>
              </w:rPr>
            </w:pPr>
            <w:r>
              <w:rPr>
                <w:rFonts w:ascii="宋体" w:hAnsi="宋体" w:cs="宋体" w:eastAsia="宋体" w:hint="default"/>
                <w:sz w:val="18"/>
                <w:szCs w:val="18"/>
              </w:rPr>
              <w:t>总资产（元）</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6"/>
                <w:szCs w:val="16"/>
              </w:rPr>
            </w:pPr>
            <w:r>
              <w:rPr>
                <w:rFonts w:ascii="Times New Roman"/>
                <w:spacing w:val="-1"/>
                <w:sz w:val="16"/>
              </w:rPr>
              <w:t>5,187,982,725.39</w:t>
            </w:r>
          </w:p>
        </w:tc>
        <w:tc>
          <w:tcPr>
            <w:tcW w:w="1419" w:type="dxa"/>
            <w:tcBorders>
              <w:top w:val="single" w:sz="30" w:space="0" w:color="D2D2D2"/>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6"/>
                <w:szCs w:val="16"/>
              </w:rPr>
            </w:pPr>
            <w:r>
              <w:rPr>
                <w:rFonts w:ascii="Times New Roman"/>
                <w:spacing w:val="-1"/>
                <w:sz w:val="16"/>
              </w:rPr>
              <w:t>4,793,419,172.33</w:t>
            </w:r>
          </w:p>
        </w:tc>
        <w:tc>
          <w:tcPr>
            <w:tcW w:w="1276" w:type="dxa"/>
            <w:tcBorders>
              <w:top w:val="single" w:sz="30" w:space="0" w:color="D2D2D2"/>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6"/>
                <w:szCs w:val="16"/>
              </w:rPr>
            </w:pPr>
            <w:r>
              <w:rPr>
                <w:rFonts w:ascii="Times New Roman"/>
                <w:spacing w:val="-1"/>
                <w:sz w:val="16"/>
              </w:rPr>
              <w:t>5,027,209,019.64</w:t>
            </w:r>
          </w:p>
        </w:tc>
        <w:tc>
          <w:tcPr>
            <w:tcW w:w="993" w:type="dxa"/>
            <w:tcBorders>
              <w:top w:val="single" w:sz="30" w:space="0" w:color="D2D2D2"/>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6"/>
                <w:szCs w:val="16"/>
              </w:rPr>
            </w:pPr>
            <w:r>
              <w:rPr>
                <w:rFonts w:ascii="Times New Roman"/>
                <w:w w:val="95"/>
                <w:sz w:val="16"/>
              </w:rPr>
              <w:t>3.20%</w:t>
            </w:r>
            <w:r>
              <w:rPr>
                <w:rFonts w:ascii="Times New Roman"/>
                <w:sz w:val="16"/>
              </w:rPr>
            </w:r>
          </w:p>
        </w:tc>
        <w:tc>
          <w:tcPr>
            <w:tcW w:w="1277" w:type="dxa"/>
            <w:tcBorders>
              <w:top w:val="single" w:sz="30" w:space="0" w:color="D2D2D2"/>
              <w:left w:val="single" w:sz="4" w:space="0" w:color="000000"/>
              <w:bottom w:val="single" w:sz="4" w:space="0" w:color="000000"/>
              <w:right w:val="single" w:sz="4" w:space="0" w:color="000000"/>
            </w:tcBorders>
          </w:tcPr>
          <w:p>
            <w:pPr>
              <w:pStyle w:val="TableParagraph"/>
              <w:spacing w:line="240" w:lineRule="auto" w:before="82"/>
              <w:ind w:left="107" w:right="0"/>
              <w:jc w:val="center"/>
              <w:rPr>
                <w:rFonts w:ascii="Times New Roman" w:hAnsi="Times New Roman" w:cs="Times New Roman" w:eastAsia="Times New Roman" w:hint="default"/>
                <w:sz w:val="16"/>
                <w:szCs w:val="16"/>
              </w:rPr>
            </w:pPr>
            <w:r>
              <w:rPr>
                <w:rFonts w:ascii="Times New Roman"/>
                <w:sz w:val="16"/>
              </w:rPr>
              <w:t>4,277,110,591.30</w:t>
            </w:r>
          </w:p>
        </w:tc>
        <w:tc>
          <w:tcPr>
            <w:tcW w:w="1274" w:type="dxa"/>
            <w:tcBorders>
              <w:top w:val="single" w:sz="30" w:space="0" w:color="D2D2D2"/>
              <w:left w:val="single" w:sz="4" w:space="0" w:color="000000"/>
              <w:bottom w:val="single" w:sz="4" w:space="0" w:color="000000"/>
              <w:right w:val="single" w:sz="4" w:space="0" w:color="000000"/>
            </w:tcBorders>
          </w:tcPr>
          <w:p>
            <w:pPr>
              <w:pStyle w:val="TableParagraph"/>
              <w:spacing w:line="240" w:lineRule="auto" w:before="82"/>
              <w:ind w:left="102" w:right="0"/>
              <w:jc w:val="center"/>
              <w:rPr>
                <w:rFonts w:ascii="Times New Roman" w:hAnsi="Times New Roman" w:cs="Times New Roman" w:eastAsia="Times New Roman" w:hint="default"/>
                <w:sz w:val="16"/>
                <w:szCs w:val="16"/>
              </w:rPr>
            </w:pPr>
            <w:r>
              <w:rPr>
                <w:rFonts w:ascii="Times New Roman"/>
                <w:sz w:val="16"/>
              </w:rPr>
              <w:t>4,277,110,591.30</w:t>
            </w:r>
          </w:p>
        </w:tc>
      </w:tr>
      <w:tr>
        <w:trPr>
          <w:trHeight w:val="5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50"/>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4,181,261,490.23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3,931,752,338.76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4,029,191,077.78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3.77%</w:t>
            </w:r>
            <w:r>
              <w:rPr>
                <w:rFonts w:ascii="Times New Roman"/>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center"/>
              <w:rPr>
                <w:rFonts w:ascii="Times New Roman" w:hAnsi="Times New Roman" w:cs="Times New Roman" w:eastAsia="Times New Roman" w:hint="default"/>
                <w:sz w:val="16"/>
                <w:szCs w:val="16"/>
              </w:rPr>
            </w:pPr>
            <w:r>
              <w:rPr>
                <w:rFonts w:ascii="Times New Roman"/>
                <w:sz w:val="16"/>
              </w:rPr>
              <w:t>3,701,873,083.92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7" w:right="0"/>
              <w:jc w:val="center"/>
              <w:rPr>
                <w:rFonts w:ascii="Times New Roman" w:hAnsi="Times New Roman" w:cs="Times New Roman" w:eastAsia="Times New Roman" w:hint="default"/>
                <w:sz w:val="16"/>
                <w:szCs w:val="16"/>
              </w:rPr>
            </w:pPr>
            <w:r>
              <w:rPr>
                <w:rFonts w:ascii="Times New Roman"/>
                <w:sz w:val="16"/>
              </w:rPr>
              <w:t>3,701,873,083.92</w:t>
            </w:r>
          </w:p>
        </w:tc>
      </w:tr>
    </w:tbl>
    <w:p>
      <w:pPr>
        <w:pStyle w:val="BodyText"/>
        <w:spacing w:line="319" w:lineRule="auto" w:before="91"/>
        <w:ind w:left="174" w:right="0" w:firstLine="360"/>
        <w:jc w:val="left"/>
      </w:pPr>
      <w:r>
        <w:rPr>
          <w:spacing w:val="-2"/>
        </w:rPr>
        <w:t>注：报告期内，公司因资本公积转增股本而增加公司总股本但不影响股东权益金额，对近三年的基本每股收益和稀释每</w:t>
      </w:r>
      <w:r>
        <w:rPr/>
        <w:t> 股收益按最新股本调整填报。</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pStyle w:val="BodyText"/>
        <w:spacing w:line="338" w:lineRule="auto" w:before="158"/>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pStyle w:val="Heading3"/>
        <w:spacing w:line="240" w:lineRule="auto" w:before="153"/>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pStyle w:val="BodyText"/>
        <w:spacing w:line="340" w:lineRule="auto" w:before="158"/>
        <w:ind w:right="2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33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3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201,663,799.96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264,697,104.50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321,685,704.58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476,043,224.16</w:t>
            </w:r>
          </w:p>
        </w:tc>
      </w:tr>
      <w:tr>
        <w:trPr>
          <w:trHeight w:val="33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22,269,751.00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60,007,349.16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93,496,154.70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115,269,791.53</w:t>
            </w:r>
          </w:p>
        </w:tc>
      </w:tr>
      <w:tr>
        <w:trPr>
          <w:trHeight w:val="57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21,319,306.67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48,383,862.08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88,965,014.33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112,891,635.19</w:t>
            </w:r>
          </w:p>
        </w:tc>
      </w:tr>
      <w:tr>
        <w:trPr>
          <w:trHeight w:val="33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-106,681,950.59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23,533,272.72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7,411,309.00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195,185,442.38</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pStyle w:val="Heading2"/>
        <w:spacing w:line="240" w:lineRule="auto" w:before="122"/>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672"/>
        <w:gridCol w:w="1146"/>
        <w:gridCol w:w="1134"/>
        <w:gridCol w:w="1134"/>
        <w:gridCol w:w="3544"/>
      </w:tblGrid>
      <w:tr>
        <w:trPr>
          <w:trHeight w:val="330"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11"/>
              <w:jc w:val="left"/>
              <w:rPr>
                <w:rFonts w:ascii="宋体" w:hAnsi="宋体" w:cs="宋体" w:eastAsia="宋体" w:hint="default"/>
                <w:sz w:val="18"/>
                <w:szCs w:val="18"/>
              </w:rPr>
            </w:pPr>
            <w:r>
              <w:rPr>
                <w:rFonts w:ascii="宋体" w:hAnsi="宋体" w:cs="宋体" w:eastAsia="宋体" w:hint="default"/>
                <w:spacing w:val="-5"/>
                <w:sz w:val="18"/>
                <w:szCs w:val="18"/>
              </w:rPr>
              <w:t>非流动资产处置损益（包括已计提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资产减值准备的冲销部分）</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-2,048,655.81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-2,289,543.31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2,113,588.62</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主要系丰东热技术固定资产清理损失。</w:t>
            </w:r>
          </w:p>
        </w:tc>
      </w:tr>
      <w:tr>
        <w:trPr>
          <w:trHeight w:val="5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12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 收返还、减免</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1,704,350.05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1,878,303.61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1,967,440.60</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系重庆丰东收到福利企业增值税返还</w:t>
            </w:r>
          </w:p>
          <w:p>
            <w:pPr>
              <w:pStyle w:val="TableParagraph"/>
              <w:spacing w:line="240" w:lineRule="auto" w:before="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1,704,350.05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57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11" w:right="11"/>
              <w:jc w:val="left"/>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业务密切相关，按照国家统一标准</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11,431,801.57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15,697,298.54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8,397,238.28</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主要构成为：</w:t>
            </w:r>
          </w:p>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、互联网财税板块：</w:t>
            </w:r>
            <w:r>
              <w:rPr>
                <w:rFonts w:ascii="Times New Roman" w:hAnsi="Times New Roman" w:cs="Times New Roman" w:eastAsia="Times New Roman" w:hint="default"/>
                <w:sz w:val="18"/>
                <w:szCs w:val="18"/>
              </w:rPr>
              <w:t>1,770,000.00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元为黄埔</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2694"/>
        <w:gridCol w:w="1134"/>
        <w:gridCol w:w="1134"/>
        <w:gridCol w:w="1134"/>
        <w:gridCol w:w="3544"/>
      </w:tblGrid>
      <w:tr>
        <w:trPr>
          <w:trHeight w:val="605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39"/>
              <w:jc w:val="right"/>
              <w:rPr>
                <w:rFonts w:ascii="宋体" w:hAnsi="宋体" w:cs="宋体" w:eastAsia="宋体" w:hint="default"/>
                <w:sz w:val="18"/>
                <w:szCs w:val="18"/>
              </w:rPr>
            </w:pPr>
            <w:r>
              <w:rPr>
                <w:rFonts w:ascii="宋体" w:hAnsi="宋体" w:cs="宋体" w:eastAsia="宋体" w:hint="default"/>
                <w:sz w:val="18"/>
                <w:szCs w:val="18"/>
              </w:rPr>
              <w:t>定额或定量享受的政府补助除外）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z w:val="18"/>
                <w:szCs w:val="18"/>
              </w:rPr>
              <w:t>区商务局拨付的促进现代服务业政策经营贡 </w:t>
            </w:r>
            <w:r>
              <w:rPr>
                <w:rFonts w:ascii="宋体" w:hAnsi="宋体" w:cs="宋体" w:eastAsia="宋体" w:hint="default"/>
                <w:spacing w:val="-6"/>
                <w:sz w:val="18"/>
                <w:szCs w:val="18"/>
              </w:rPr>
              <w:t>献奖；</w:t>
            </w:r>
            <w:r>
              <w:rPr>
                <w:rFonts w:ascii="Times New Roman" w:hAnsi="Times New Roman" w:cs="Times New Roman" w:eastAsia="Times New Roman" w:hint="default"/>
                <w:spacing w:val="-6"/>
                <w:sz w:val="18"/>
                <w:szCs w:val="18"/>
              </w:rPr>
              <w:t>700,000.00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元为广州市科技创新委员会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年度对方欣科技高企认定奖励；</w:t>
            </w:r>
          </w:p>
          <w:p>
            <w:pPr>
              <w:pStyle w:val="TableParagraph"/>
              <w:spacing w:line="240" w:lineRule="exact"/>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645,000.00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元为广州市工业和信息化委员会 财局基于国产基础软件的企业在线管理平台</w:t>
            </w:r>
          </w:p>
          <w:p>
            <w:pPr>
              <w:pStyle w:val="TableParagraph"/>
              <w:spacing w:line="240" w:lineRule="exact"/>
              <w:ind w:left="22" w:right="23"/>
              <w:jc w:val="left"/>
              <w:rPr>
                <w:rFonts w:ascii="宋体" w:hAnsi="宋体" w:cs="宋体" w:eastAsia="宋体" w:hint="default"/>
                <w:sz w:val="18"/>
                <w:szCs w:val="18"/>
              </w:rPr>
            </w:pPr>
            <w:r>
              <w:rPr>
                <w:rFonts w:ascii="宋体" w:hAnsi="宋体" w:cs="宋体" w:eastAsia="宋体" w:hint="default"/>
                <w:spacing w:val="-4"/>
                <w:sz w:val="18"/>
                <w:szCs w:val="18"/>
              </w:rPr>
              <w:t>建设项目补贴；</w:t>
            </w:r>
            <w:r>
              <w:rPr>
                <w:rFonts w:ascii="Times New Roman" w:hAnsi="Times New Roman" w:cs="Times New Roman" w:eastAsia="Times New Roman" w:hint="default"/>
                <w:spacing w:val="-4"/>
                <w:sz w:val="18"/>
                <w:szCs w:val="18"/>
              </w:rPr>
              <w:t>507,500.00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元为广州市番禺区 科技工业商务和信息化局对广东浪潮</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 研发加计扣除补贴。 </w:t>
            </w:r>
            <w:r>
              <w:rPr>
                <w:rFonts w:ascii="Times New Roman" w:hAnsi="Times New Roman" w:cs="Times New Roman" w:eastAsia="Times New Roman" w:hint="default"/>
                <w:sz w:val="18"/>
                <w:szCs w:val="18"/>
              </w:rPr>
              <w:t>2</w:t>
            </w:r>
            <w:r>
              <w:rPr>
                <w:rFonts w:ascii="宋体" w:hAnsi="宋体" w:cs="宋体" w:eastAsia="宋体" w:hint="default"/>
                <w:sz w:val="18"/>
                <w:szCs w:val="18"/>
              </w:rPr>
              <w:t>、热处理板块：</w:t>
            </w:r>
            <w:r>
              <w:rPr>
                <w:rFonts w:ascii="Times New Roman" w:hAnsi="Times New Roman" w:cs="Times New Roman" w:eastAsia="Times New Roman" w:hint="default"/>
                <w:sz w:val="18"/>
                <w:szCs w:val="18"/>
              </w:rPr>
              <w:t>2,813,350.00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元为柘林镇财 </w:t>
            </w:r>
            <w:r>
              <w:rPr>
                <w:rFonts w:ascii="宋体" w:hAnsi="宋体" w:cs="宋体" w:eastAsia="宋体" w:hint="default"/>
                <w:spacing w:val="-4"/>
                <w:sz w:val="18"/>
                <w:szCs w:val="18"/>
              </w:rPr>
              <w:t>政所土地减量搬迁款；</w:t>
            </w:r>
            <w:r>
              <w:rPr>
                <w:rFonts w:ascii="Times New Roman" w:hAnsi="Times New Roman" w:cs="Times New Roman" w:eastAsia="Times New Roman" w:hint="default"/>
                <w:spacing w:val="-4"/>
                <w:sz w:val="18"/>
                <w:szCs w:val="18"/>
              </w:rPr>
              <w:t>500,000.00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元为江苏省</w:t>
            </w:r>
            <w:r>
              <w:rPr>
                <w:rFonts w:ascii="宋体" w:hAnsi="宋体" w:cs="宋体" w:eastAsia="宋体" w:hint="default"/>
                <w:spacing w:val="-88"/>
                <w:sz w:val="18"/>
                <w:szCs w:val="18"/>
              </w:rPr>
              <w:t> </w:t>
            </w:r>
            <w:r>
              <w:rPr>
                <w:rFonts w:ascii="宋体" w:hAnsi="宋体" w:cs="宋体" w:eastAsia="宋体" w:hint="default"/>
                <w:sz w:val="18"/>
                <w:szCs w:val="18"/>
              </w:rPr>
              <w:t>工业和信息化厅拨付的国家级技术创新示范 </w:t>
            </w:r>
            <w:r>
              <w:rPr>
                <w:rFonts w:ascii="宋体" w:hAnsi="宋体" w:cs="宋体" w:eastAsia="宋体" w:hint="default"/>
                <w:spacing w:val="-5"/>
                <w:sz w:val="18"/>
                <w:szCs w:val="18"/>
              </w:rPr>
              <w:t>企业奖励；</w:t>
            </w:r>
            <w:r>
              <w:rPr>
                <w:rFonts w:ascii="Times New Roman" w:hAnsi="Times New Roman" w:cs="Times New Roman" w:eastAsia="Times New Roman" w:hint="default"/>
                <w:spacing w:val="-5"/>
                <w:sz w:val="18"/>
                <w:szCs w:val="18"/>
              </w:rPr>
              <w:t>500,000.00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元为盐城市大丰区科学 </w:t>
            </w:r>
            <w:r>
              <w:rPr>
                <w:rFonts w:ascii="宋体" w:hAnsi="宋体" w:cs="宋体" w:eastAsia="宋体" w:hint="default"/>
                <w:spacing w:val="-1"/>
                <w:sz w:val="18"/>
                <w:szCs w:val="18"/>
              </w:rPr>
              <w:t>技术局对国家级实验室奖补资金；</w:t>
            </w:r>
            <w:r>
              <w:rPr>
                <w:rFonts w:ascii="Times New Roman" w:hAnsi="Times New Roman" w:cs="Times New Roman" w:eastAsia="Times New Roman" w:hint="default"/>
                <w:spacing w:val="-1"/>
                <w:sz w:val="18"/>
                <w:szCs w:val="18"/>
              </w:rPr>
              <w:t>200,000.00</w:t>
            </w:r>
            <w:r>
              <w:rPr>
                <w:rFonts w:ascii="Times New Roman" w:hAnsi="Times New Roman" w:cs="Times New Roman" w:eastAsia="Times New Roman" w:hint="default"/>
                <w:sz w:val="18"/>
                <w:szCs w:val="18"/>
              </w:rPr>
              <w:t> </w:t>
            </w:r>
            <w:r>
              <w:rPr>
                <w:rFonts w:ascii="宋体" w:hAnsi="宋体" w:cs="宋体" w:eastAsia="宋体" w:hint="default"/>
                <w:sz w:val="18"/>
                <w:szCs w:val="18"/>
              </w:rPr>
              <w:t>元为盐城市大丰区国库集中支付中心拨付工 </w:t>
            </w:r>
            <w:r>
              <w:rPr>
                <w:rFonts w:ascii="宋体" w:hAnsi="宋体" w:cs="宋体" w:eastAsia="宋体" w:hint="default"/>
                <w:spacing w:val="-4"/>
                <w:sz w:val="18"/>
                <w:szCs w:val="18"/>
              </w:rPr>
              <w:t>贸科对外合作和投资补贴；</w:t>
            </w:r>
            <w:r>
              <w:rPr>
                <w:rFonts w:ascii="Times New Roman" w:hAnsi="Times New Roman" w:cs="Times New Roman" w:eastAsia="Times New Roman" w:hint="default"/>
                <w:spacing w:val="-4"/>
                <w:sz w:val="18"/>
                <w:szCs w:val="18"/>
              </w:rPr>
              <w:t>241,000.00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元为大</w:t>
            </w:r>
            <w:r>
              <w:rPr>
                <w:rFonts w:ascii="宋体" w:hAnsi="宋体" w:cs="宋体" w:eastAsia="宋体" w:hint="default"/>
                <w:spacing w:val="-86"/>
                <w:sz w:val="18"/>
                <w:szCs w:val="18"/>
              </w:rPr>
              <w:t> </w:t>
            </w:r>
            <w:r>
              <w:rPr>
                <w:rFonts w:ascii="宋体" w:hAnsi="宋体" w:cs="宋体" w:eastAsia="宋体" w:hint="default"/>
                <w:sz w:val="18"/>
                <w:szCs w:val="18"/>
              </w:rPr>
              <w:t>丰区国库集中支付中心拨付盐城市大丰区科 </w:t>
            </w:r>
            <w:r>
              <w:rPr>
                <w:rFonts w:ascii="宋体" w:hAnsi="宋体" w:cs="宋体" w:eastAsia="宋体" w:hint="default"/>
                <w:spacing w:val="-4"/>
                <w:sz w:val="18"/>
                <w:szCs w:val="18"/>
              </w:rPr>
              <w:t>技聚力创新奖励；</w:t>
            </w:r>
            <w:r>
              <w:rPr>
                <w:rFonts w:ascii="Times New Roman" w:hAnsi="Times New Roman" w:cs="Times New Roman" w:eastAsia="Times New Roman" w:hint="default"/>
                <w:spacing w:val="-4"/>
                <w:sz w:val="18"/>
                <w:szCs w:val="18"/>
              </w:rPr>
              <w:t>200,000.00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元为盐城市财政 局和盐城市发展和改革委员会拨付的江苏省 战略性新兴产业创新示范企业奖励； </w:t>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元为盐城市工业和信息化局拨付 的江苏省服务型制造示范企业奖励； </w:t>
            </w:r>
            <w:r>
              <w:rPr>
                <w:rFonts w:ascii="Times New Roman" w:hAnsi="Times New Roman" w:cs="Times New Roman" w:eastAsia="Times New Roman" w:hint="default"/>
                <w:sz w:val="18"/>
                <w:szCs w:val="18"/>
              </w:rPr>
              <w:t>154,000.00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元为盐城市大丰区科学技术局拨 付盐城推进聚力创新十条政策奖励； </w:t>
            </w:r>
            <w:r>
              <w:rPr>
                <w:rFonts w:ascii="Times New Roman" w:hAnsi="Times New Roman" w:cs="Times New Roman" w:eastAsia="Times New Roman" w:hint="default"/>
                <w:sz w:val="18"/>
                <w:szCs w:val="18"/>
              </w:rPr>
              <w:t>150,000.00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元为江苏省人力资源和社会保障 厅拨付的双创资金。</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 司期初至合并日的当期净损益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-3,814,589.33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-2,561,260.98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31"/>
              <w:jc w:val="left"/>
              <w:rPr>
                <w:rFonts w:ascii="宋体" w:hAnsi="宋体" w:cs="宋体" w:eastAsia="宋体" w:hint="default"/>
                <w:sz w:val="18"/>
                <w:szCs w:val="18"/>
              </w:rPr>
            </w:pPr>
            <w:r>
              <w:rPr>
                <w:rFonts w:ascii="宋体" w:hAnsi="宋体" w:cs="宋体" w:eastAsia="宋体" w:hint="default"/>
                <w:sz w:val="18"/>
                <w:szCs w:val="18"/>
              </w:rPr>
              <w:t>系同一控制下合并益东金财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 净利润。</w:t>
            </w:r>
          </w:p>
        </w:tc>
      </w:tr>
      <w:tr>
        <w:trPr>
          <w:trHeight w:val="153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 </w:t>
            </w:r>
            <w:r>
              <w:rPr>
                <w:rFonts w:ascii="宋体" w:hAnsi="宋体" w:cs="宋体" w:eastAsia="宋体" w:hint="default"/>
                <w:spacing w:val="-5"/>
                <w:sz w:val="18"/>
                <w:szCs w:val="18"/>
              </w:rPr>
              <w:t>效套期保值业务外，持有交易性金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融资产、交易性金融负债产生的公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允价值变动损益，以及处置交易性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金融资产、交易性金融负债和可供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出售金融资产取得的投资收益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26,544,933.59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9,480,377.44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89"/>
              <w:jc w:val="both"/>
              <w:rPr>
                <w:rFonts w:ascii="宋体" w:hAnsi="宋体" w:cs="宋体" w:eastAsia="宋体" w:hint="default"/>
                <w:sz w:val="18"/>
                <w:szCs w:val="18"/>
              </w:rPr>
            </w:pPr>
            <w:r>
              <w:rPr>
                <w:rFonts w:ascii="宋体" w:hAnsi="宋体" w:cs="宋体" w:eastAsia="宋体" w:hint="default"/>
                <w:sz w:val="18"/>
                <w:szCs w:val="18"/>
              </w:rPr>
              <w:t>主要系报告期内公司使用部分暂时闲置募集 资金和自有资金购买银行、券商保本、低风 险理财产品取得的利息收入。</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 入和支出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-7,041,453.24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371,822.70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-1,084,383.84</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9"/>
              <w:jc w:val="left"/>
              <w:rPr>
                <w:rFonts w:ascii="宋体" w:hAnsi="宋体" w:cs="宋体" w:eastAsia="宋体" w:hint="default"/>
                <w:sz w:val="18"/>
                <w:szCs w:val="18"/>
              </w:rPr>
            </w:pPr>
            <w:r>
              <w:rPr>
                <w:rFonts w:ascii="宋体" w:hAnsi="宋体" w:cs="宋体" w:eastAsia="宋体" w:hint="default"/>
                <w:sz w:val="18"/>
                <w:szCs w:val="18"/>
              </w:rPr>
              <w:t>主要系向清华大学教育基金会五道口金融科 技发展基金捐赠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3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5,681,239.02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5,539,701.10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2,126,124.59</w:t>
            </w:r>
          </w:p>
        </w:tc>
        <w:tc>
          <w:tcPr>
            <w:tcW w:w="354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39"/>
              <w:jc w:val="righ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1,611,919.69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518,346.79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1,242,563.85</w:t>
            </w:r>
          </w:p>
        </w:tc>
        <w:tc>
          <w:tcPr>
            <w:tcW w:w="354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19,483,228.12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16,518,950.11</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63"/>
              <w:ind w:right="16"/>
              <w:jc w:val="right"/>
              <w:rPr>
                <w:rFonts w:ascii="Times New Roman" w:hAnsi="Times New Roman" w:cs="Times New Roman" w:eastAsia="Times New Roman" w:hint="default"/>
                <w:sz w:val="18"/>
                <w:szCs w:val="18"/>
              </w:rPr>
            </w:pPr>
            <w:r>
              <w:rPr>
                <w:rFonts w:ascii="Times New Roman"/>
                <w:spacing w:val="-1"/>
                <w:sz w:val="18"/>
              </w:rPr>
              <w:t>8,025,195.22</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240" w:lineRule="auto"/>
        <w:ind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3"/>
        <w:ind w:left="174" w:right="1117"/>
        <w:jc w:val="left"/>
      </w:pPr>
      <w:r>
        <w:rPr>
          <w:spacing w:val="-2"/>
        </w:rPr>
        <w:t>把《公开发行证券的公司信息披露解释性公告第</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300" w:lineRule="auto" w:before="0"/>
        <w:ind w:left="174" w:right="1115" w:firstLine="360"/>
        <w:jc w:val="left"/>
      </w:pPr>
      <w:r>
        <w:rPr/>
        <w:t>公司报告期不存在将根据《公开发行证券的公司信息披露解释性公告第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0"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46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4"/>
        <w:rPr>
          <w:rFonts w:ascii="宋体" w:hAnsi="宋体" w:cs="宋体" w:eastAsia="宋体" w:hint="default"/>
          <w:b/>
          <w:bCs/>
          <w:sz w:val="42"/>
          <w:szCs w:val="42"/>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0"/>
        <w:rPr>
          <w:rFonts w:ascii="宋体" w:hAnsi="宋体" w:cs="宋体" w:eastAsia="宋体" w:hint="default"/>
          <w:b/>
          <w:bCs/>
          <w:sz w:val="26"/>
          <w:szCs w:val="26"/>
        </w:rPr>
      </w:pPr>
    </w:p>
    <w:p>
      <w:pPr>
        <w:pStyle w:val="BodyText"/>
        <w:spacing w:line="357" w:lineRule="auto" w:before="0"/>
        <w:ind w:right="733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338"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报告期内，公司进一步深耕互联网财税服务，促进业务升级，打造核心竞争力；同时继续巩固传统热处理业务，奠定行</w:t>
      </w:r>
    </w:p>
    <w:p>
      <w:pPr>
        <w:pStyle w:val="BodyText"/>
        <w:spacing w:line="240" w:lineRule="auto" w:before="4"/>
        <w:ind w:left="174" w:right="0"/>
        <w:jc w:val="both"/>
      </w:pPr>
      <w:r>
        <w:rPr/>
        <w:t>业龙头地位。</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bookmarkStart w:name="1、互联网财税业务" w:id="19"/>
      <w:bookmarkEnd w:id="19"/>
      <w:r>
        <w:rPr>
          <w:b w:val="0"/>
          <w:bCs w:val="0"/>
        </w:rPr>
      </w:r>
      <w:r>
        <w:rPr>
          <w:rFonts w:ascii="Times New Roman" w:hAnsi="Times New Roman" w:cs="Times New Roman" w:eastAsia="Times New Roman" w:hint="default"/>
        </w:rPr>
        <w:t>1</w:t>
      </w:r>
      <w:r>
        <w:rPr/>
        <w:t>、互联网财税业务</w:t>
      </w:r>
      <w:r>
        <w:rPr>
          <w:b w:val="0"/>
          <w:bCs w:val="0"/>
        </w:rPr>
      </w:r>
    </w:p>
    <w:p>
      <w:pPr>
        <w:pStyle w:val="Heading4"/>
        <w:spacing w:line="240" w:lineRule="auto" w:before="150"/>
        <w:ind w:right="0"/>
        <w:jc w:val="left"/>
        <w:rPr>
          <w:b w:val="0"/>
          <w:bCs w:val="0"/>
        </w:rPr>
      </w:pPr>
      <w:bookmarkStart w:name="（1）主要业务" w:id="20"/>
      <w:bookmarkEnd w:id="20"/>
      <w:r>
        <w:rPr>
          <w:b w:val="0"/>
          <w:bCs w:val="0"/>
        </w:rPr>
      </w:r>
      <w:r>
        <w:rPr/>
        <w:t>（</w:t>
      </w:r>
      <w:r>
        <w:rPr>
          <w:rFonts w:ascii="Times New Roman" w:hAnsi="Times New Roman" w:cs="Times New Roman" w:eastAsia="Times New Roman" w:hint="default"/>
        </w:rPr>
        <w:t>1</w:t>
      </w:r>
      <w:r>
        <w:rPr/>
        <w:t>）主要业务</w:t>
      </w:r>
      <w:r>
        <w:rPr>
          <w:b w:val="0"/>
          <w:bCs w:val="0"/>
        </w:rPr>
      </w:r>
    </w:p>
    <w:p>
      <w:pPr>
        <w:pStyle w:val="BodyText"/>
        <w:spacing w:line="309" w:lineRule="auto" w:before="147"/>
        <w:ind w:left="174" w:right="1032" w:firstLine="360"/>
        <w:jc w:val="left"/>
      </w:pPr>
      <w:r>
        <w:rPr/>
        <w:t>互联网财税业务是上市公司旗下，以数据和技术驱动的“新财税”综合服务平台。利用</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多年涉税基础服务积累的海 量用户资源和技术能力，通过数据和技术赋能线下财税服务机构和专业人士，实现在线连接和财税行业的数字化转型升级， 面向中小企业和家庭个人“合规、降负、增利”的新财税服务需求，提供更专业、更优质、更高性价比的</w:t>
      </w:r>
      <w:r>
        <w:rPr>
          <w:rFonts w:ascii="Times New Roman" w:hAnsi="Times New Roman" w:cs="Times New Roman" w:eastAsia="Times New Roman" w:hint="default"/>
        </w:rPr>
        <w:t>“</w:t>
      </w:r>
      <w:r>
        <w:rPr/>
        <w:t>新财税</w:t>
      </w:r>
      <w:r>
        <w:rPr>
          <w:rFonts w:ascii="Times New Roman" w:hAnsi="Times New Roman" w:cs="Times New Roman" w:eastAsia="Times New Roman" w:hint="default"/>
        </w:rPr>
        <w:t>”</w:t>
      </w:r>
      <w:r>
        <w:rPr/>
        <w:t>体验。</w:t>
      </w:r>
    </w:p>
    <w:p>
      <w:pPr>
        <w:pStyle w:val="BodyText"/>
        <w:spacing w:line="381" w:lineRule="auto" w:before="127"/>
        <w:ind w:right="0" w:firstLine="1"/>
        <w:jc w:val="left"/>
      </w:pPr>
      <w:bookmarkStart w:name="（2）主要产品及用途" w:id="21"/>
      <w:bookmarkEnd w:id="21"/>
      <w:r>
        <w:rPr/>
      </w: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）主要产品及用途</w:t>
      </w:r>
      <w:r>
        <w:rPr>
          <w:rFonts w:ascii="宋体" w:hAnsi="宋体" w:cs="宋体" w:eastAsia="宋体" w:hint="default"/>
          <w:b/>
          <w:bCs/>
          <w:w w:val="99"/>
        </w:rPr>
        <w:t> </w:t>
      </w:r>
      <w:r>
        <w:rPr>
          <w:spacing w:val="-2"/>
        </w:rPr>
        <w:t>公司的主要产品包括三大系列：面向税务局的金税系列、面向企业和家庭个人的金财系列以及系统集成服务，其中金税</w:t>
      </w:r>
    </w:p>
    <w:p>
      <w:pPr>
        <w:pStyle w:val="BodyText"/>
        <w:spacing w:line="207" w:lineRule="exact" w:before="0"/>
        <w:ind w:left="174" w:right="0"/>
        <w:jc w:val="both"/>
      </w:pPr>
      <w:r>
        <w:rPr/>
        <w:t>和金财系列产品总体围绕着打造“新财税”综合服务平台及数字化运营这一战略目标协同发展。</w:t>
      </w:r>
    </w:p>
    <w:p>
      <w:pPr>
        <w:pStyle w:val="BodyText"/>
        <w:spacing w:line="316" w:lineRule="auto" w:before="116"/>
        <w:ind w:left="174" w:right="1028" w:firstLine="361"/>
        <w:jc w:val="left"/>
      </w:pPr>
      <w:r>
        <w:rPr>
          <w:rFonts w:ascii="宋体" w:hAnsi="宋体" w:cs="宋体" w:eastAsia="宋体" w:hint="default"/>
          <w:b/>
          <w:bCs/>
        </w:rPr>
        <w:t>金税系列产品</w:t>
      </w:r>
      <w:r>
        <w:rPr>
          <w:rFonts w:ascii="宋体" w:hAnsi="宋体" w:cs="宋体" w:eastAsia="宋体" w:hint="default"/>
          <w:b/>
          <w:bCs/>
          <w:spacing w:val="88"/>
        </w:rPr>
        <w:t> </w:t>
      </w:r>
      <w:r>
        <w:rPr/>
        <w:t>通过面向税务局提供服务于纳税人的互联网多端产品，主要产品包括：实名办税与涉税风险监控系统、 </w:t>
      </w:r>
      <w:r>
        <w:rPr>
          <w:spacing w:val="-2"/>
        </w:rPr>
        <w:t>智慧电子税务局等。依托方欣科技数十年税务领域服务的积累，基于云计算技术、大数据技术和人工智能算法等，具备为纳</w:t>
      </w:r>
      <w:r>
        <w:rPr>
          <w:spacing w:val="-65"/>
        </w:rPr>
        <w:t> </w:t>
      </w:r>
      <w:r>
        <w:rPr>
          <w:spacing w:val="-65"/>
        </w:rPr>
      </w:r>
      <w:r>
        <w:rPr/>
        <w:t>税人提供便捷的互联网办税与综合服务能力，为税务干部提供高效的服务管理与风险管控能力，相关产品已经覆盖</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个省</w:t>
      </w:r>
    </w:p>
    <w:p>
      <w:pPr>
        <w:pStyle w:val="BodyText"/>
        <w:spacing w:line="240" w:lineRule="auto" w:before="0"/>
        <w:ind w:left="174" w:right="0"/>
        <w:jc w:val="both"/>
      </w:pPr>
      <w:r>
        <w:rPr/>
        <w:t>级单位，并力争于今年内随同总局推广计划完整覆盖全国</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个省级单位。</w:t>
      </w:r>
    </w:p>
    <w:p>
      <w:pPr>
        <w:pStyle w:val="BodyText"/>
        <w:spacing w:line="319" w:lineRule="auto" w:before="101"/>
        <w:ind w:left="174" w:right="1032" w:firstLine="361"/>
        <w:jc w:val="left"/>
      </w:pPr>
      <w:r>
        <w:rPr>
          <w:rFonts w:ascii="宋体" w:hAnsi="宋体" w:cs="宋体" w:eastAsia="宋体" w:hint="default"/>
          <w:b/>
          <w:bCs/>
        </w:rPr>
        <w:t>金财系列产品</w:t>
      </w:r>
      <w:r>
        <w:rPr>
          <w:rFonts w:ascii="宋体" w:hAnsi="宋体" w:cs="宋体" w:eastAsia="宋体" w:hint="default"/>
          <w:b/>
          <w:bCs/>
          <w:spacing w:val="29"/>
        </w:rPr>
        <w:t> </w:t>
      </w:r>
      <w:r>
        <w:rPr>
          <w:spacing w:val="-3"/>
        </w:rPr>
        <w:t>为了解决中小企业和家庭个人“合规、降负、增利”的新财税服务需求，分别面向企业会计、法人和员</w:t>
      </w:r>
      <w:r>
        <w:rPr/>
        <w:t> 工提供系列服务。面向会计人员主要解决会计从业人员日常工作繁琐重复以及技能提升问题，包括：办税助手、金财管家、 </w:t>
      </w:r>
      <w:r>
        <w:rPr>
          <w:spacing w:val="-2"/>
        </w:rPr>
        <w:t>税检宝、金财学院工具；面向法人提供掌税保工具，主要解决法人实时掌握企业财税状况、财税风险以及同行情况问题；面</w:t>
      </w:r>
      <w:r>
        <w:rPr>
          <w:spacing w:val="-66"/>
        </w:rPr>
        <w:t> </w:t>
      </w:r>
      <w:r>
        <w:rPr>
          <w:spacing w:val="-66"/>
        </w:rPr>
      </w:r>
      <w:r>
        <w:rPr>
          <w:spacing w:val="-2"/>
        </w:rPr>
        <w:t>向员工提供票税宝工具，解决发票归集、费用报销以及个人税赋管理问题；面向代理记账机构和事务所提供数字化转型升级</w:t>
      </w:r>
      <w:r>
        <w:rPr>
          <w:spacing w:val="-66"/>
        </w:rPr>
        <w:t> </w:t>
      </w:r>
      <w:r>
        <w:rPr>
          <w:spacing w:val="-66"/>
        </w:rPr>
      </w:r>
      <w:r>
        <w:rPr/>
        <w:t>赋能，解决财税服务机构在数字化时代下的智能营销、智能服务、智能生产和数据运营，主要包括：金财运营、智能咨询、 </w:t>
      </w:r>
      <w:r>
        <w:rPr>
          <w:spacing w:val="-2"/>
        </w:rPr>
        <w:t>金财代账、税检宝等服务。金财系列产品利用方欣科技在财税服务领域积累的专业能力，以及基于海量用户带动业务的共创</w:t>
      </w:r>
      <w:r>
        <w:rPr>
          <w:spacing w:val="-66"/>
        </w:rPr>
        <w:t> </w:t>
      </w:r>
      <w:r>
        <w:rPr>
          <w:spacing w:val="-66"/>
        </w:rPr>
      </w:r>
      <w:r>
        <w:rPr/>
        <w:t>及迭代。</w:t>
      </w:r>
    </w:p>
    <w:p>
      <w:pPr>
        <w:pStyle w:val="Heading4"/>
        <w:spacing w:line="240" w:lineRule="auto" w:before="139"/>
        <w:ind w:right="0"/>
        <w:jc w:val="left"/>
        <w:rPr>
          <w:b w:val="0"/>
          <w:bCs w:val="0"/>
        </w:rPr>
      </w:pPr>
      <w:bookmarkStart w:name="（3）行业发展阶段" w:id="22"/>
      <w:bookmarkEnd w:id="22"/>
      <w:r>
        <w:rPr>
          <w:b w:val="0"/>
          <w:bCs w:val="0"/>
        </w:rPr>
      </w:r>
      <w:r>
        <w:rPr/>
        <w:t>（</w:t>
      </w:r>
      <w:r>
        <w:rPr>
          <w:rFonts w:ascii="Times New Roman" w:hAnsi="Times New Roman" w:cs="Times New Roman" w:eastAsia="Times New Roman" w:hint="default"/>
        </w:rPr>
        <w:t>3</w:t>
      </w:r>
      <w:r>
        <w:rPr/>
        <w:t>）行业发展阶段</w:t>
      </w:r>
      <w:r>
        <w:rPr>
          <w:b w:val="0"/>
          <w:bCs w:val="0"/>
        </w:rPr>
      </w:r>
    </w:p>
    <w:p>
      <w:pPr>
        <w:pStyle w:val="BodyText"/>
        <w:spacing w:line="240" w:lineRule="auto" w:before="147"/>
        <w:ind w:right="0"/>
        <w:jc w:val="left"/>
      </w:pPr>
      <w:r>
        <w:rPr/>
        <w:t>我国财税服务领域正处于数字化转型升级的历史窗口期。财税服务进入以新财税模式取胜的</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23"/>
        </w:rPr>
        <w:t> </w:t>
      </w:r>
      <w:r>
        <w:rPr>
          <w:spacing w:val="-5"/>
        </w:rPr>
        <w:t>阶段，财税服务行业已</w:t>
      </w:r>
    </w:p>
    <w:p>
      <w:pPr>
        <w:pStyle w:val="BodyText"/>
        <w:spacing w:line="309" w:lineRule="auto" w:before="63"/>
        <w:ind w:left="174" w:right="1131"/>
        <w:jc w:val="both"/>
      </w:pPr>
      <w:r>
        <w:rPr/>
        <w:t>先后经历了以个人专业服务能力取胜的</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阶段和以软件工具加连锁经营规模取胜的</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阶段。随着移动互联、大数据、人 </w:t>
      </w:r>
      <w:r>
        <w:rPr>
          <w:spacing w:val="-2"/>
        </w:rPr>
        <w:t>工智能等技术的快速发展，新一轮科技革命从根本上改变财税行业的商业模式，一个在线连接、数字驱动、网络协同的财税</w:t>
      </w:r>
      <w:r>
        <w:rPr>
          <w:spacing w:val="-66"/>
        </w:rPr>
        <w:t> </w:t>
      </w:r>
      <w:r>
        <w:rPr>
          <w:spacing w:val="-66"/>
        </w:rPr>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时代正在到来。</w:t>
      </w:r>
    </w:p>
    <w:p>
      <w:pPr>
        <w:pStyle w:val="BodyText"/>
        <w:spacing w:line="314" w:lineRule="auto" w:before="45"/>
        <w:ind w:left="174" w:right="1130" w:firstLine="360"/>
        <w:jc w:val="both"/>
      </w:pPr>
      <w:r>
        <w:rPr>
          <w:spacing w:val="-2"/>
        </w:rPr>
        <w:t>从需求侧来看，随着金税三期全国大集中的实施完成，大数据管税技术手段的应用，以及社保入税、企业大幅度减税政</w:t>
      </w:r>
      <w:r>
        <w:rPr/>
        <w:t> </w:t>
      </w:r>
      <w:r>
        <w:rPr>
          <w:spacing w:val="-2"/>
        </w:rPr>
        <w:t>策的执行，为增加税负公平性，征管力度前所未有，“合规、降负”的新财税服务需求呈井喷之势。其次，随着《电子商务</w:t>
      </w:r>
      <w:r>
        <w:rPr>
          <w:spacing w:val="-72"/>
        </w:rPr>
        <w:t> </w:t>
      </w:r>
      <w:r>
        <w:rPr>
          <w:spacing w:val="-72"/>
        </w:rPr>
      </w:r>
      <w:r>
        <w:rPr/>
        <w:t>法》和新《个人所得税法》在</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日正式实行，以网店、微商、代购、直播等新经济为代表的经营群体不再属于 </w:t>
      </w:r>
      <w:r>
        <w:rPr>
          <w:spacing w:val="-2"/>
        </w:rPr>
        <w:t>征管机构监管的“灰色地带”，家庭个人财税服务蓝海亟待爆发，涉税服务群体成倍增长。从供给侧来看，随着人工成本的</w:t>
      </w:r>
      <w:r>
        <w:rPr>
          <w:spacing w:val="-72"/>
        </w:rPr>
        <w:t> </w:t>
      </w:r>
      <w:r>
        <w:rPr>
          <w:spacing w:val="-72"/>
        </w:rPr>
      </w:r>
      <w:r>
        <w:rPr>
          <w:spacing w:val="-2"/>
        </w:rPr>
        <w:t>增加、获客难、价格走低以及客户需求的变化，传统财税服务机构以工商、代理记账、鉴证、审计为主的劳动密集型业务已</w:t>
      </w:r>
    </w:p>
    <w:p>
      <w:pPr>
        <w:spacing w:after="0" w:line="314" w:lineRule="auto"/>
        <w:jc w:val="both"/>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09" w:lineRule="auto"/>
        <w:ind w:left="174" w:right="1131"/>
        <w:jc w:val="both"/>
      </w:pPr>
      <w:r>
        <w:rPr>
          <w:spacing w:val="-2"/>
        </w:rPr>
        <w:t>经无法适应新时代的需求，财税服务机构亟待利用数字化手段进行转型升级。此外，国家税务总局发布《国家税务总局关于</w:t>
      </w:r>
      <w:r>
        <w:rPr>
          <w:spacing w:val="-66"/>
        </w:rPr>
        <w:t> </w:t>
      </w:r>
      <w:r>
        <w:rPr>
          <w:spacing w:val="-66"/>
        </w:rPr>
      </w:r>
      <w:r>
        <w:rPr>
          <w:spacing w:val="-4"/>
        </w:rPr>
        <w:t>坚决查处第三方借减税降费服务巧立名目乱收费行为的通知》（税总发</w:t>
      </w:r>
      <w:r>
        <w:rPr>
          <w:rFonts w:ascii="Times New Roman" w:hAnsi="Times New Roman" w:cs="Times New Roman" w:eastAsia="Times New Roman" w:hint="default"/>
          <w:spacing w:val="-4"/>
        </w:rPr>
        <w:t>[2019]44</w:t>
      </w:r>
      <w:r>
        <w:rPr>
          <w:rFonts w:ascii="Times New Roman" w:hAnsi="Times New Roman" w:cs="Times New Roman" w:eastAsia="Times New Roman" w:hint="default"/>
          <w:spacing w:val="38"/>
        </w:rPr>
        <w:t> </w:t>
      </w:r>
      <w:r>
        <w:rPr>
          <w:spacing w:val="-7"/>
        </w:rPr>
        <w:t>号），依靠行政手段面向纳税人收费的模式一</w:t>
      </w:r>
      <w:r>
        <w:rPr>
          <w:spacing w:val="-82"/>
        </w:rPr>
        <w:t> </w:t>
      </w:r>
      <w:r>
        <w:rPr>
          <w:spacing w:val="-82"/>
        </w:rPr>
      </w:r>
      <w:r>
        <w:rPr/>
        <w:t>去不复返，依靠市场化手段的新财税服务迎来了春天。</w:t>
      </w:r>
    </w:p>
    <w:p>
      <w:pPr>
        <w:spacing w:line="384" w:lineRule="auto" w:before="146"/>
        <w:ind w:left="534" w:right="6612" w:firstLine="1"/>
        <w:jc w:val="left"/>
        <w:rPr>
          <w:rFonts w:ascii="宋体" w:hAnsi="宋体" w:cs="宋体" w:eastAsia="宋体" w:hint="default"/>
          <w:sz w:val="18"/>
          <w:szCs w:val="18"/>
        </w:rPr>
      </w:pPr>
      <w:bookmarkStart w:name="（4）报告期内重大变化" w:id="23"/>
      <w:bookmarkEnd w:id="23"/>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）报告期内重大变化</w:t>
      </w:r>
      <w:r>
        <w:rPr>
          <w:rFonts w:ascii="宋体" w:hAnsi="宋体" w:cs="宋体" w:eastAsia="宋体" w:hint="default"/>
          <w:b/>
          <w:bCs/>
          <w:w w:val="99"/>
          <w:sz w:val="18"/>
          <w:szCs w:val="18"/>
        </w:rPr>
        <w:t> </w:t>
      </w:r>
      <w:r>
        <w:rPr>
          <w:rFonts w:ascii="宋体" w:hAnsi="宋体" w:cs="宋体" w:eastAsia="宋体" w:hint="default"/>
          <w:sz w:val="18"/>
          <w:szCs w:val="18"/>
        </w:rPr>
        <w:t>报告期内，公司的重大变化包含以下几个方面：</w:t>
      </w:r>
    </w:p>
    <w:p>
      <w:pPr>
        <w:pStyle w:val="BodyText"/>
        <w:spacing w:line="316" w:lineRule="auto" w:before="8"/>
        <w:ind w:left="174" w:right="0" w:firstLine="361"/>
        <w:jc w:val="left"/>
      </w:pPr>
      <w:r>
        <w:rPr>
          <w:rFonts w:ascii="宋体" w:hAnsi="宋体" w:cs="宋体" w:eastAsia="宋体" w:hint="default"/>
          <w:b/>
          <w:bCs/>
        </w:rPr>
        <w:t>①平台研发及专业服务能力的大力投入</w:t>
      </w:r>
      <w:r>
        <w:rPr/>
        <w:t>。公司研发重点围绕着打造支撑</w:t>
      </w:r>
      <w:r>
        <w:rPr>
          <w:spacing w:val="-47"/>
        </w:rPr>
        <w:t> </w:t>
      </w:r>
      <w:r>
        <w:rPr>
          <w:rFonts w:ascii="Times New Roman" w:hAnsi="Times New Roman" w:cs="Times New Roman" w:eastAsia="Times New Roman" w:hint="default"/>
        </w:rPr>
        <w:t>S2b2c</w:t>
      </w:r>
      <w:r>
        <w:rPr>
          <w:rFonts w:ascii="Times New Roman" w:hAnsi="Times New Roman" w:cs="Times New Roman" w:eastAsia="Times New Roman" w:hint="default"/>
          <w:spacing w:val="-2"/>
        </w:rPr>
        <w:t> </w:t>
      </w:r>
      <w:r>
        <w:rPr/>
        <w:t>商业模式的平台体系，支持“大中台、 </w:t>
      </w:r>
      <w:r>
        <w:rPr>
          <w:spacing w:val="-2"/>
        </w:rPr>
        <w:t>小前端”的业务模式。前端提供覆盖企业会计、老板和员工这三类角色的产品。面向企业会计的产品主要解决会计人员工作</w:t>
      </w:r>
      <w:r>
        <w:rPr>
          <w:spacing w:val="-66"/>
        </w:rPr>
        <w:t> </w:t>
      </w:r>
      <w:r>
        <w:rPr>
          <w:spacing w:val="-66"/>
        </w:rPr>
      </w:r>
      <w:r>
        <w:rPr>
          <w:spacing w:val="-2"/>
        </w:rPr>
        <w:t>效率以及工作技能提升的问题；面向老板的产品主要解决老板实时掌握企业财税状况、财税风险以及同行情况的问题；面向</w:t>
      </w:r>
      <w:r>
        <w:rPr>
          <w:spacing w:val="-66"/>
        </w:rPr>
        <w:t> </w:t>
      </w:r>
      <w:r>
        <w:rPr>
          <w:spacing w:val="-66"/>
        </w:rPr>
      </w:r>
      <w:r>
        <w:rPr>
          <w:spacing w:val="-2"/>
        </w:rPr>
        <w:t>员工提供票税宝产品，解决发票归集、费用报销以及个人税赋管理问题。大中台包含业务中台和数据中台，业务中台作为一</w:t>
      </w:r>
      <w:r>
        <w:rPr>
          <w:spacing w:val="-66"/>
        </w:rPr>
        <w:t> </w:t>
      </w:r>
      <w:r>
        <w:rPr>
          <w:spacing w:val="-66"/>
        </w:rPr>
      </w:r>
      <w:r>
        <w:rPr>
          <w:spacing w:val="-2"/>
        </w:rPr>
        <w:t>个资源整合、能力沉淀的平台体系，为“前端”的业务开展提供底层的技术、数据等资源和能力的支持，中台将集合整个集</w:t>
      </w:r>
      <w:r>
        <w:rPr>
          <w:spacing w:val="-67"/>
        </w:rPr>
        <w:t> </w:t>
      </w:r>
      <w:r>
        <w:rPr>
          <w:spacing w:val="-67"/>
        </w:rPr>
      </w:r>
      <w:r>
        <w:rPr>
          <w:spacing w:val="-2"/>
        </w:rPr>
        <w:t>团的运营数据能力、产品技术能力，对各前端业务形成强力支撑。主要由商品管理、客户管理、伙伴管理、商机管理、订单</w:t>
      </w:r>
      <w:r>
        <w:rPr>
          <w:spacing w:val="-72"/>
        </w:rPr>
        <w:t> </w:t>
      </w:r>
      <w:r>
        <w:rPr>
          <w:spacing w:val="-72"/>
        </w:rPr>
      </w:r>
      <w:r>
        <w:rPr>
          <w:spacing w:val="-2"/>
        </w:rPr>
        <w:t>管理、财务管理、数据营销、运营分析、智能客服等功能。数据中台是为了统一平台的数据标准，形成大数据资产，基于数</w:t>
      </w:r>
      <w:r>
        <w:rPr>
          <w:spacing w:val="-71"/>
        </w:rPr>
        <w:t> </w:t>
      </w:r>
      <w:r>
        <w:rPr>
          <w:spacing w:val="-71"/>
        </w:rPr>
      </w:r>
      <w:r>
        <w:rPr>
          <w:spacing w:val="-2"/>
        </w:rPr>
        <w:t>据面向客户提供千人千面的个性化服务而提供的数据支撑平台。数据中台负责对各产品线沉淀的业务数据、行为数据进行归</w:t>
      </w:r>
      <w:r>
        <w:rPr>
          <w:spacing w:val="-64"/>
        </w:rPr>
        <w:t> </w:t>
      </w:r>
      <w:r>
        <w:rPr>
          <w:spacing w:val="-64"/>
        </w:rPr>
      </w:r>
      <w:r>
        <w:rPr/>
        <w:t>集整理、比对分析之后，实现数据的深度创新应用，包括：企业画像、企业风控、企业征信、精准营销等。</w:t>
      </w:r>
    </w:p>
    <w:p>
      <w:pPr>
        <w:pStyle w:val="BodyText"/>
        <w:spacing w:line="304" w:lineRule="auto" w:before="57"/>
        <w:ind w:left="174" w:right="1110" w:firstLine="360"/>
        <w:jc w:val="left"/>
      </w:pPr>
      <w:r>
        <w:rPr/>
        <w:t>基于“大中台、小前端”的平台体系，平台从原有</w:t>
      </w:r>
      <w:r>
        <w:rPr>
          <w:spacing w:val="-46"/>
        </w:rPr>
        <w:t> </w:t>
      </w:r>
      <w:r>
        <w:rPr>
          <w:rFonts w:ascii="Times New Roman" w:hAnsi="Times New Roman" w:cs="Times New Roman" w:eastAsia="Times New Roman" w:hint="default"/>
        </w:rPr>
        <w:t>SaaS </w:t>
      </w:r>
      <w:r>
        <w:rPr/>
        <w:t>产品销售模式转为面向企业提供“会员制</w:t>
      </w:r>
      <w:r>
        <w:rPr>
          <w:rFonts w:ascii="Times New Roman" w:hAnsi="Times New Roman" w:cs="Times New Roman" w:eastAsia="Times New Roman" w:hint="default"/>
        </w:rPr>
        <w:t>+</w:t>
      </w:r>
      <w:r>
        <w:rPr/>
        <w:t>专项服务”的服务 销售模式。采用“会员制</w:t>
      </w:r>
      <w:r>
        <w:rPr>
          <w:rFonts w:ascii="Times New Roman" w:hAnsi="Times New Roman" w:cs="Times New Roman" w:eastAsia="Times New Roman" w:hint="default"/>
        </w:rPr>
        <w:t>+</w:t>
      </w:r>
      <w:r>
        <w:rPr/>
        <w:t>专项服务”模式之后，从单一解决企业财税效率问题变为综合解决企业财税业务问题，无论是用 户黏性，还是</w:t>
      </w:r>
      <w:r>
        <w:rPr>
          <w:spacing w:val="-46"/>
        </w:rPr>
        <w:t> </w:t>
      </w:r>
      <w:r>
        <w:rPr>
          <w:rFonts w:ascii="Times New Roman" w:hAnsi="Times New Roman" w:cs="Times New Roman" w:eastAsia="Times New Roman" w:hint="default"/>
        </w:rPr>
        <w:t>ARPU</w:t>
      </w:r>
      <w:r>
        <w:rPr>
          <w:rFonts w:ascii="Times New Roman" w:hAnsi="Times New Roman" w:cs="Times New Roman" w:eastAsia="Times New Roman" w:hint="default"/>
          <w:spacing w:val="-1"/>
        </w:rPr>
        <w:t> </w:t>
      </w:r>
      <w:r>
        <w:rPr/>
        <w:t>值、市场空间都得到极大改善。为了面向企业提供专业的财税服务，公司采用</w:t>
      </w:r>
      <w:r>
        <w:rPr>
          <w:spacing w:val="-45"/>
        </w:rPr>
        <w:t> </w:t>
      </w:r>
      <w:r>
        <w:rPr>
          <w:rFonts w:ascii="Times New Roman" w:hAnsi="Times New Roman" w:cs="Times New Roman" w:eastAsia="Times New Roman" w:hint="default"/>
        </w:rPr>
        <w:t>S2b2c</w:t>
      </w:r>
      <w:r>
        <w:rPr>
          <w:rFonts w:ascii="Times New Roman" w:hAnsi="Times New Roman" w:cs="Times New Roman" w:eastAsia="Times New Roman" w:hint="default"/>
          <w:spacing w:val="-1"/>
        </w:rPr>
        <w:t> </w:t>
      </w:r>
      <w:r>
        <w:rPr/>
        <w:t>的平台化商业模 </w:t>
      </w:r>
      <w:r>
        <w:rPr>
          <w:spacing w:val="-2"/>
        </w:rPr>
        <w:t>式，即通过数据和技术赋能代理记账公司、事务所等线下财税服务机构，利用平台规模优势带来的资源整合能力，为中小企</w:t>
      </w:r>
      <w:r>
        <w:rPr>
          <w:spacing w:val="-65"/>
        </w:rPr>
        <w:t> </w:t>
      </w:r>
      <w:r>
        <w:rPr>
          <w:spacing w:val="-65"/>
        </w:rPr>
      </w:r>
      <w:r>
        <w:rPr/>
        <w:t>业和家庭个人用户提供更专业、更优质、更高性价比的“新财税”服务需求。</w:t>
      </w:r>
    </w:p>
    <w:p>
      <w:pPr>
        <w:pStyle w:val="BodyText"/>
        <w:spacing w:line="312" w:lineRule="auto" w:before="66"/>
        <w:ind w:left="174" w:right="0" w:firstLine="361"/>
        <w:jc w:val="left"/>
      </w:pPr>
      <w:r>
        <w:rPr>
          <w:rFonts w:ascii="宋体" w:hAnsi="宋体" w:cs="宋体" w:eastAsia="宋体" w:hint="default"/>
          <w:b/>
          <w:bCs/>
        </w:rPr>
        <w:t>②面向企业用户和财税合作伙伴提供</w:t>
      </w:r>
      <w:r>
        <w:rPr>
          <w:rFonts w:ascii="Times New Roman" w:hAnsi="Times New Roman" w:cs="Times New Roman" w:eastAsia="Times New Roman" w:hint="default"/>
          <w:b/>
          <w:bCs/>
        </w:rPr>
        <w:t>“</w:t>
      </w:r>
      <w:r>
        <w:rPr>
          <w:rFonts w:ascii="宋体" w:hAnsi="宋体" w:cs="宋体" w:eastAsia="宋体" w:hint="default"/>
          <w:b/>
          <w:bCs/>
        </w:rPr>
        <w:t>新财税</w:t>
      </w:r>
      <w:r>
        <w:rPr>
          <w:rFonts w:ascii="Times New Roman" w:hAnsi="Times New Roman" w:cs="Times New Roman" w:eastAsia="Times New Roman" w:hint="default"/>
          <w:b/>
          <w:bCs/>
        </w:rPr>
        <w:t>”</w:t>
      </w:r>
      <w:r>
        <w:rPr>
          <w:rFonts w:ascii="宋体" w:hAnsi="宋体" w:cs="宋体" w:eastAsia="宋体" w:hint="default"/>
          <w:b/>
          <w:bCs/>
        </w:rPr>
        <w:t>服务体验</w:t>
      </w:r>
      <w:r>
        <w:rPr/>
        <w:t>。除原有省份之外，新增上海、江苏等省份的接入，通过赋能 </w:t>
      </w:r>
      <w:r>
        <w:rPr>
          <w:spacing w:val="-2"/>
        </w:rPr>
        <w:t>合作模式完成核心电子税务局区域的线下财税合作伙伴布局。同时，快速拓展平台的企业用户，加快实现电局用户向平台用</w:t>
      </w:r>
      <w:r>
        <w:rPr>
          <w:spacing w:val="-66"/>
        </w:rPr>
        <w:t> </w:t>
      </w:r>
      <w:r>
        <w:rPr>
          <w:spacing w:val="-66"/>
        </w:rPr>
      </w:r>
      <w:r>
        <w:rPr>
          <w:spacing w:val="-2"/>
        </w:rPr>
        <w:t>户的转化。加大伙伴赋能力度，除了推出面向财税服务机构的完整数字化解决方案之外，还针对当前财税服务的热点推出三</w:t>
      </w:r>
      <w:r>
        <w:rPr>
          <w:spacing w:val="-66"/>
        </w:rPr>
        <w:t> </w:t>
      </w:r>
      <w:r>
        <w:rPr>
          <w:spacing w:val="-66"/>
        </w:rPr>
      </w:r>
      <w:r>
        <w:rPr/>
        <w:t>大惠税增值产品，即惠票通、惠税宝、惠用工三款税筹产品，解决中小企业税负重、用工成本高的问题。</w:t>
      </w:r>
    </w:p>
    <w:p>
      <w:pPr>
        <w:pStyle w:val="BodyText"/>
        <w:spacing w:line="319" w:lineRule="auto" w:before="62"/>
        <w:ind w:left="174" w:right="1127" w:firstLine="361"/>
        <w:jc w:val="left"/>
      </w:pPr>
      <w:r>
        <w:rPr>
          <w:rFonts w:ascii="宋体" w:hAnsi="宋体" w:cs="宋体" w:eastAsia="宋体" w:hint="default"/>
          <w:b/>
          <w:bCs/>
        </w:rPr>
        <w:t>③中标全国国家税务总局实名办税和涉税风险监控系统</w:t>
      </w:r>
      <w:r>
        <w:rPr/>
        <w:t>。公司局端业务在继金税三期纳税服务项目之后再次进入税务 </w:t>
      </w:r>
      <w:r>
        <w:rPr>
          <w:spacing w:val="-5"/>
        </w:rPr>
        <w:t>总局。同时，依托该项目，未来可积极探索实名认证、实名办税、大厅智能监控的深化应用和推广，并依托税务总局这一“制</w:t>
      </w:r>
      <w:r>
        <w:rPr>
          <w:spacing w:val="-79"/>
        </w:rPr>
        <w:t> </w:t>
      </w:r>
      <w:r>
        <w:rPr>
          <w:spacing w:val="-79"/>
        </w:rPr>
      </w:r>
      <w:r>
        <w:rPr>
          <w:spacing w:val="-2"/>
        </w:rPr>
        <w:t>高点”，充分布局和拓展公司在局端业务的规划、发展、运营，并快速响应国家、税务总局政策调整和业务变革。</w:t>
      </w:r>
    </w:p>
    <w:p>
      <w:pPr>
        <w:pStyle w:val="BodyText"/>
        <w:spacing w:line="300" w:lineRule="auto" w:before="55"/>
        <w:ind w:left="174" w:right="1040" w:firstLine="360"/>
        <w:jc w:val="left"/>
      </w:pPr>
      <w:r>
        <w:rPr>
          <w:spacing w:val="-5"/>
        </w:rPr>
        <w:t>报告期内，公司互联网财税业务板块从提供</w:t>
      </w:r>
      <w:r>
        <w:rPr>
          <w:spacing w:val="-44"/>
        </w:rPr>
        <w:t> </w:t>
      </w:r>
      <w:r>
        <w:rPr>
          <w:rFonts w:ascii="Times New Roman" w:hAnsi="Times New Roman" w:cs="Times New Roman" w:eastAsia="Times New Roman" w:hint="default"/>
          <w:w w:val="99"/>
        </w:rPr>
        <w:t>SaaS</w:t>
      </w:r>
      <w:r>
        <w:rPr>
          <w:rFonts w:ascii="Times New Roman" w:hAnsi="Times New Roman" w:cs="Times New Roman" w:eastAsia="Times New Roman" w:hint="default"/>
          <w:spacing w:val="1"/>
          <w:w w:val="99"/>
        </w:rPr>
        <w:t> </w:t>
      </w:r>
      <w:r>
        <w:rPr/>
        <w:t>产品转变为将</w:t>
      </w:r>
      <w:r>
        <w:rPr>
          <w:spacing w:val="-44"/>
        </w:rPr>
        <w:t> </w:t>
      </w:r>
      <w:r>
        <w:rPr>
          <w:rFonts w:ascii="Times New Roman" w:hAnsi="Times New Roman" w:cs="Times New Roman" w:eastAsia="Times New Roman" w:hint="default"/>
          <w:w w:val="99"/>
        </w:rPr>
        <w:t>SaaS</w:t>
      </w:r>
      <w:r>
        <w:rPr>
          <w:rFonts w:ascii="Times New Roman" w:hAnsi="Times New Roman" w:cs="Times New Roman" w:eastAsia="Times New Roman" w:hint="default"/>
          <w:spacing w:val="1"/>
          <w:w w:val="99"/>
        </w:rPr>
        <w:t> </w:t>
      </w:r>
      <w:r>
        <w:rPr>
          <w:spacing w:val="-8"/>
        </w:rPr>
        <w:t>产品赋能线下财税专业服务机构，面向企业提供“会</w:t>
      </w:r>
      <w:r>
        <w:rPr/>
        <w:t> </w:t>
      </w:r>
      <w:r>
        <w:rPr>
          <w:spacing w:val="-2"/>
        </w:rPr>
        <w:t>员制</w:t>
      </w:r>
      <w:r>
        <w:rPr>
          <w:rFonts w:ascii="Times New Roman" w:hAnsi="Times New Roman" w:cs="Times New Roman" w:eastAsia="Times New Roman" w:hint="default"/>
          <w:spacing w:val="-2"/>
        </w:rPr>
        <w:t>+</w:t>
      </w:r>
      <w:r>
        <w:rPr>
          <w:spacing w:val="-2"/>
        </w:rPr>
        <w:t>专项服务”的平台模式。公司业务发展稳定，截止报告期，局端业务已经覆盖广东、北京、上海、福建、陕西、贵州、</w:t>
      </w:r>
      <w:r>
        <w:rPr>
          <w:spacing w:val="-77"/>
        </w:rPr>
        <w:t> </w:t>
      </w:r>
      <w:r>
        <w:rPr>
          <w:spacing w:val="-77"/>
        </w:rPr>
      </w:r>
      <w:r>
        <w:rPr/>
        <w:t>青岛等</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个省市，企业用户数量</w:t>
      </w:r>
      <w:r>
        <w:rPr>
          <w:spacing w:val="-46"/>
        </w:rPr>
        <w:t> </w:t>
      </w:r>
      <w:r>
        <w:rPr>
          <w:rFonts w:ascii="Times New Roman" w:hAnsi="Times New Roman" w:cs="Times New Roman" w:eastAsia="Times New Roman" w:hint="default"/>
        </w:rPr>
        <w:t>1000+</w:t>
      </w:r>
      <w:r>
        <w:rPr/>
        <w:t>万，付费用户数</w:t>
      </w:r>
      <w:r>
        <w:rPr>
          <w:spacing w:val="-46"/>
        </w:rPr>
        <w:t> </w:t>
      </w:r>
      <w:r>
        <w:rPr>
          <w:rFonts w:ascii="Times New Roman" w:hAnsi="Times New Roman" w:cs="Times New Roman" w:eastAsia="Times New Roman" w:hint="default"/>
        </w:rPr>
        <w:t>200+</w:t>
      </w:r>
      <w:r>
        <w:rPr/>
        <w:t>万。</w:t>
      </w:r>
    </w:p>
    <w:p>
      <w:pPr>
        <w:pStyle w:val="BodyText"/>
        <w:spacing w:line="381" w:lineRule="auto" w:before="135"/>
        <w:ind w:right="1117" w:firstLine="1"/>
        <w:jc w:val="left"/>
      </w:pPr>
      <w:bookmarkStart w:name="2、热处理业务" w:id="24"/>
      <w:bookmarkEnd w:id="24"/>
      <w:r>
        <w:rPr/>
      </w:r>
      <w:r>
        <w:rPr>
          <w:rFonts w:ascii="Times New Roman" w:hAnsi="Times New Roman" w:cs="Times New Roman" w:eastAsia="Times New Roman" w:hint="default"/>
          <w:b/>
          <w:bCs/>
        </w:rPr>
        <w:t>2</w:t>
      </w:r>
      <w:r>
        <w:rPr>
          <w:rFonts w:ascii="宋体" w:hAnsi="宋体" w:cs="宋体" w:eastAsia="宋体" w:hint="default"/>
          <w:b/>
          <w:bCs/>
        </w:rPr>
        <w:t>、热处理业务</w:t>
      </w:r>
      <w:r>
        <w:rPr>
          <w:rFonts w:ascii="宋体" w:hAnsi="宋体" w:cs="宋体" w:eastAsia="宋体" w:hint="default"/>
          <w:b/>
          <w:bCs/>
          <w:w w:val="99"/>
        </w:rPr>
        <w:t> </w:t>
      </w:r>
      <w:r>
        <w:rPr>
          <w:spacing w:val="-2"/>
        </w:rPr>
        <w:t>公司热处理板块业务涵盖了热处理设备制造、专业热处理加工、热处理设备售后服务及热处理技术咨询服务四大块。公</w:t>
      </w:r>
    </w:p>
    <w:p>
      <w:pPr>
        <w:pStyle w:val="BodyText"/>
        <w:spacing w:line="206" w:lineRule="exact" w:before="0"/>
        <w:ind w:left="174" w:right="0"/>
        <w:jc w:val="both"/>
      </w:pPr>
      <w:r>
        <w:rPr/>
        <w:t>司制造的各类可控气氛热处理设备、真空热处理设备、非气氛加热设备等广泛应用于航空航天、军工、汽车零部件、工程机</w:t>
      </w:r>
    </w:p>
    <w:p>
      <w:pPr>
        <w:pStyle w:val="BodyText"/>
        <w:spacing w:line="319" w:lineRule="auto" w:before="76"/>
        <w:ind w:left="174" w:right="1132"/>
        <w:jc w:val="both"/>
      </w:pPr>
      <w:r>
        <w:rPr>
          <w:spacing w:val="-2"/>
        </w:rPr>
        <w:t>械、机械基础件、石油化工、新能源等领域。不断提升的工艺技术研发能力、以客户为中心的快速响应能力成为热处理板块</w:t>
      </w:r>
      <w:r>
        <w:rPr>
          <w:spacing w:val="-66"/>
        </w:rPr>
        <w:t> </w:t>
      </w:r>
      <w:r>
        <w:rPr>
          <w:spacing w:val="-66"/>
        </w:rPr>
      </w:r>
      <w:r>
        <w:rPr/>
        <w:t>业绩驱动的主要因素。</w:t>
      </w:r>
    </w:p>
    <w:p>
      <w:pPr>
        <w:pStyle w:val="BodyText"/>
        <w:spacing w:line="312" w:lineRule="auto" w:before="56"/>
        <w:ind w:left="174" w:right="1131" w:firstLine="360"/>
        <w:jc w:val="both"/>
      </w:pPr>
      <w:r>
        <w:rPr/>
        <w:t>热处理及表面改性是机械制造的关键基础工艺，热处理工艺技术是《中国制造</w:t>
      </w:r>
      <w:r>
        <w:rPr>
          <w:spacing w:val="-45"/>
        </w:rPr>
        <w:t> </w:t>
      </w:r>
      <w:r>
        <w:rPr>
          <w:rFonts w:ascii="Times New Roman" w:hAnsi="Times New Roman" w:cs="Times New Roman" w:eastAsia="Times New Roman" w:hint="default"/>
        </w:rPr>
        <w:t>2025</w:t>
      </w:r>
      <w:r>
        <w:rPr/>
        <w:t>》中“强基工程”急需重点突破的 </w:t>
      </w:r>
      <w:r>
        <w:rPr>
          <w:spacing w:val="-2"/>
        </w:rPr>
        <w:t>先进基础工艺，对提升基础材料性能、保证关键核心零部件使用寿命有决定作用。在热处理过程中精准掌控和随机调整各类</w:t>
      </w:r>
      <w:r>
        <w:rPr>
          <w:spacing w:val="-66"/>
        </w:rPr>
        <w:t> </w:t>
      </w:r>
      <w:r>
        <w:rPr>
          <w:spacing w:val="-66"/>
        </w:rPr>
      </w:r>
      <w:r>
        <w:rPr>
          <w:spacing w:val="-2"/>
        </w:rPr>
        <w:t>工艺参数、气氛成分、表面沉积层化学成分、金相组织及分布状态、产品畸变规律及硬度分布会直接影响机械产品的可靠性</w:t>
      </w:r>
      <w:r>
        <w:rPr>
          <w:spacing w:val="-66"/>
        </w:rPr>
        <w:t> </w:t>
      </w:r>
      <w:r>
        <w:rPr>
          <w:spacing w:val="-66"/>
        </w:rPr>
      </w:r>
      <w:r>
        <w:rPr/>
        <w:t>和使用寿命。</w:t>
      </w:r>
    </w:p>
    <w:p>
      <w:pPr>
        <w:pStyle w:val="BodyText"/>
        <w:spacing w:line="316" w:lineRule="auto" w:before="61"/>
        <w:ind w:left="174" w:right="1049" w:firstLine="360"/>
        <w:jc w:val="both"/>
      </w:pPr>
      <w:r>
        <w:rPr/>
        <w:t>当前，我国热处理行业发展现状为：热处理企业随着城市发展规划和装备制造业的发展，开始进入到规范化发展阶段； 热处理行业把节能减排作为重点工作内容，推动以节能、减排、优质、高效为出发点的设备更新，加大力度淘汰落后产能； 我国热处理技术装备与工艺材料开发创新能力增强，推广先进技术成绩显著，热处理行业工艺装备水平提升至一个新台阶； </w:t>
      </w:r>
      <w:r>
        <w:rPr>
          <w:spacing w:val="-2"/>
        </w:rPr>
        <w:t>我国热处理装备制造体系基本形成：真空热处理设备、可控气氛热处理设备、感应加热设备、淬火机床、数控淬火冷却设备</w:t>
      </w:r>
    </w:p>
    <w:p>
      <w:pPr>
        <w:spacing w:after="0" w:line="316" w:lineRule="auto"/>
        <w:jc w:val="both"/>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0"/>
        <w:jc w:val="left"/>
      </w:pPr>
      <w:r>
        <w:rPr>
          <w:spacing w:val="-2"/>
        </w:rPr>
        <w:t>等均可实现本土化制造。但是，与工业发达国家相比，我国热处理行业在产业布局、工艺技术、智能环保、管理规范等方面</w:t>
      </w:r>
      <w:r>
        <w:rPr>
          <w:spacing w:val="-67"/>
        </w:rPr>
        <w:t> </w:t>
      </w:r>
      <w:r>
        <w:rPr>
          <w:spacing w:val="-67"/>
        </w:rPr>
      </w:r>
      <w:r>
        <w:rPr/>
        <w:t>仍存在一定差距。</w:t>
      </w:r>
    </w:p>
    <w:p>
      <w:pPr>
        <w:pStyle w:val="BodyText"/>
        <w:spacing w:line="357" w:lineRule="auto" w:before="56"/>
        <w:ind w:right="0"/>
        <w:jc w:val="left"/>
      </w:pPr>
      <w:r>
        <w:rPr/>
        <w:t>热处理与机械制造业的发展态势息息相关，热处理行业伴随着机械制造业景气度的变化而呈现出较强的周期性特点。 </w:t>
      </w:r>
      <w:r>
        <w:rPr>
          <w:spacing w:val="-2"/>
        </w:rPr>
        <w:t>公司在智能可控气氛多用炉、智能化真空设备、智能等离子渗氮设备的开发及产业化推广应用方面取得了一系列科技成</w:t>
      </w:r>
    </w:p>
    <w:p>
      <w:pPr>
        <w:pStyle w:val="BodyText"/>
        <w:spacing w:line="238" w:lineRule="exact" w:before="0"/>
        <w:ind w:left="174" w:right="0"/>
        <w:jc w:val="left"/>
      </w:pPr>
      <w:r>
        <w:rPr/>
        <w:t>果，有力地推动了我国热处理装备的技术进步和产业升级。</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月，国家工信部公布了第三批制造业单项冠军企业和</w:t>
      </w:r>
    </w:p>
    <w:p>
      <w:pPr>
        <w:pStyle w:val="BodyText"/>
        <w:spacing w:line="319" w:lineRule="auto" w:before="63"/>
        <w:ind w:left="174" w:right="0"/>
        <w:jc w:val="left"/>
      </w:pPr>
      <w:r>
        <w:rPr>
          <w:spacing w:val="-4"/>
        </w:rPr>
        <w:t>单项冠军产品名单，公司以主营产品可控气氛热处理炉上榜示范企业名单，实现了热处理装备行业国家级制造业“单项冠军”</w:t>
      </w:r>
      <w:r>
        <w:rPr>
          <w:spacing w:val="-43"/>
        </w:rPr>
        <w:t> </w:t>
      </w:r>
      <w:r>
        <w:rPr>
          <w:spacing w:val="-43"/>
        </w:rPr>
      </w:r>
      <w:r>
        <w:rPr/>
        <w:t>零的突破。该项荣誉的获得，代表着公司已位居国内热处理装备制造企业的第一方阵，也是“中国制造”的排头兵。</w:t>
      </w:r>
    </w:p>
    <w:p>
      <w:pPr>
        <w:spacing w:line="240" w:lineRule="auto" w:before="6"/>
        <w:rPr>
          <w:rFonts w:ascii="宋体" w:hAnsi="宋体" w:cs="宋体" w:eastAsia="宋体" w:hint="default"/>
          <w:sz w:val="16"/>
          <w:szCs w:val="16"/>
        </w:rPr>
      </w:pPr>
    </w:p>
    <w:p>
      <w:pPr>
        <w:pStyle w:val="Heading2"/>
        <w:spacing w:line="240" w:lineRule="auto"/>
        <w:ind w:right="0"/>
        <w:jc w:val="left"/>
        <w:rPr>
          <w:b w:val="0"/>
          <w:bCs w:val="0"/>
        </w:rPr>
      </w:pPr>
      <w:bookmarkStart w:name="二、主要资产重大变化情况" w:id="25"/>
      <w:bookmarkEnd w:id="25"/>
      <w:r>
        <w:rPr>
          <w:b w:val="0"/>
          <w:bCs w:val="0"/>
        </w:rPr>
      </w:r>
      <w:r>
        <w:rPr/>
        <w:t>二、主要资产重大变化情况</w:t>
      </w:r>
      <w:r>
        <w:rPr>
          <w:b w:val="0"/>
          <w:bCs w:val="0"/>
        </w:rPr>
      </w:r>
    </w:p>
    <w:p>
      <w:pPr>
        <w:spacing w:line="240" w:lineRule="auto" w:before="5"/>
        <w:rPr>
          <w:rFonts w:ascii="宋体" w:hAnsi="宋体" w:cs="宋体" w:eastAsia="宋体" w:hint="default"/>
          <w:b/>
          <w:bCs/>
          <w:sz w:val="27"/>
          <w:szCs w:val="27"/>
        </w:rPr>
      </w:pPr>
    </w:p>
    <w:p>
      <w:pPr>
        <w:pStyle w:val="Heading3"/>
        <w:spacing w:line="240" w:lineRule="auto" w:before="0"/>
        <w:ind w:right="0"/>
        <w:jc w:val="left"/>
        <w:rPr>
          <w:b w:val="0"/>
          <w:bCs w:val="0"/>
        </w:rPr>
      </w:pPr>
      <w:bookmarkStart w:name="1、主要资产重大变化情况" w:id="26"/>
      <w:bookmarkEnd w:id="26"/>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pStyle w:val="BodyText"/>
        <w:spacing w:line="240" w:lineRule="auto"/>
        <w:ind w:left="0" w:right="1140"/>
        <w:jc w:val="right"/>
      </w:pPr>
      <w:r>
        <w:rPr/>
        <w:pict>
          <v:shape style="position:absolute;margin-left:56.459999pt;margin-top:-128.468292pt;width:479.2pt;height:146.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008"/>
                  </w:tblGrid>
                  <w:tr>
                    <w:trPr>
                      <w:trHeight w:val="69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33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本报告期较上年同期增加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112.47%</w:t>
                        </w:r>
                        <w:r>
                          <w:rPr>
                            <w:rFonts w:ascii="宋体" w:hAnsi="宋体" w:cs="宋体" w:eastAsia="宋体" w:hint="default"/>
                            <w:sz w:val="18"/>
                            <w:szCs w:val="18"/>
                          </w:rPr>
                          <w:t>，主要系研发支出资本化后结转无形资产所致。</w:t>
                        </w: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22"/>
                          <w:jc w:val="left"/>
                          <w:rPr>
                            <w:rFonts w:ascii="宋体" w:hAnsi="宋体" w:cs="宋体" w:eastAsia="宋体" w:hint="default"/>
                            <w:sz w:val="18"/>
                            <w:szCs w:val="18"/>
                          </w:rPr>
                        </w:pPr>
                        <w:r>
                          <w:rPr>
                            <w:rFonts w:ascii="宋体" w:hAnsi="宋体" w:cs="宋体" w:eastAsia="宋体" w:hint="default"/>
                            <w:sz w:val="18"/>
                            <w:szCs w:val="18"/>
                          </w:rPr>
                          <w:t>本报告期较上年同期增加</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68.87%</w:t>
                        </w:r>
                        <w:r>
                          <w:rPr>
                            <w:rFonts w:ascii="宋体" w:hAnsi="宋体" w:cs="宋体" w:eastAsia="宋体" w:hint="default"/>
                            <w:sz w:val="18"/>
                            <w:szCs w:val="18"/>
                          </w:rPr>
                          <w:t>，主要系热处理板块丰东热技术、南京丰东、上海丰东等新增建筑工 程、设备投资所致。</w:t>
                        </w:r>
                      </w:p>
                    </w:tc>
                  </w:tr>
                  <w:tr>
                    <w:trPr>
                      <w:trHeight w:val="33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本报告期较上年同期增加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73.76%</w:t>
                        </w:r>
                        <w:r>
                          <w:rPr>
                            <w:rFonts w:ascii="宋体" w:hAnsi="宋体" w:cs="宋体" w:eastAsia="宋体" w:hint="default"/>
                            <w:sz w:val="18"/>
                            <w:szCs w:val="18"/>
                          </w:rPr>
                          <w:t>，主要系生产经营扩大，经营性垫付款及备用金往来款增加所致。</w:t>
                        </w:r>
                      </w:p>
                    </w:tc>
                  </w:tr>
                  <w:tr>
                    <w:trPr>
                      <w:trHeight w:val="33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本报告期较上年同期增加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42.69%</w:t>
                        </w:r>
                        <w:r>
                          <w:rPr>
                            <w:rFonts w:ascii="宋体" w:hAnsi="宋体" w:cs="宋体" w:eastAsia="宋体" w:hint="default"/>
                            <w:sz w:val="18"/>
                            <w:szCs w:val="18"/>
                          </w:rPr>
                          <w:t>，主要系经营扩大，存货相应增加所致。</w:t>
                        </w:r>
                      </w:p>
                    </w:tc>
                  </w:tr>
                  <w:tr>
                    <w:trPr>
                      <w:trHeight w:val="33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本报告期较上年同期减少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63.75%</w:t>
                        </w:r>
                        <w:r>
                          <w:rPr>
                            <w:rFonts w:ascii="宋体" w:hAnsi="宋体" w:cs="宋体" w:eastAsia="宋体" w:hint="default"/>
                            <w:sz w:val="18"/>
                            <w:szCs w:val="18"/>
                          </w:rPr>
                          <w:t>，主要系部分理财产品到期赎回所致。</w:t>
                        </w:r>
                      </w:p>
                    </w:tc>
                  </w:tr>
                  <w:tr>
                    <w:trPr>
                      <w:trHeight w:val="331"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本报告期较上年同期增加</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931.03%</w:t>
                        </w:r>
                        <w:r>
                          <w:rPr>
                            <w:rFonts w:ascii="宋体" w:hAnsi="宋体" w:cs="宋体" w:eastAsia="宋体" w:hint="default"/>
                            <w:spacing w:val="-1"/>
                            <w:sz w:val="18"/>
                            <w:szCs w:val="18"/>
                          </w:rPr>
                          <w:t>，主要系方欣科技经营用办公场所装修工程结转长期待摊费用所致</w:t>
                        </w:r>
                      </w:p>
                    </w:tc>
                  </w:tr>
                </w:tbl>
                <w:p>
                  <w:pPr/>
                </w:p>
              </w:txbxContent>
            </v:textbox>
            <w10:wrap type="none"/>
          </v:shape>
        </w:pict>
      </w:r>
      <w:r>
        <w:rPr/>
        <w:t>。</w:t>
      </w:r>
    </w:p>
    <w:p>
      <w:pPr>
        <w:spacing w:line="240" w:lineRule="auto" w:before="4"/>
        <w:rPr>
          <w:rFonts w:ascii="宋体" w:hAnsi="宋体" w:cs="宋体" w:eastAsia="宋体" w:hint="default"/>
          <w:sz w:val="15"/>
          <w:szCs w:val="15"/>
        </w:rPr>
      </w:pPr>
    </w:p>
    <w:p>
      <w:pPr>
        <w:pStyle w:val="Heading3"/>
        <w:spacing w:line="240" w:lineRule="auto"/>
        <w:ind w:right="0"/>
        <w:jc w:val="left"/>
        <w:rPr>
          <w:b w:val="0"/>
          <w:bCs w:val="0"/>
        </w:rPr>
      </w:pPr>
      <w:bookmarkStart w:name="2、主要境外资产情况" w:id="27"/>
      <w:bookmarkEnd w:id="27"/>
      <w:r>
        <w:rPr>
          <w:b w:val="0"/>
          <w:bCs w:val="0"/>
        </w:rPr>
      </w:r>
      <w:r>
        <w:rPr>
          <w:rFonts w:ascii="Times New Roman" w:hAnsi="Times New Roman" w:cs="Times New Roman" w:eastAsia="Times New Roman" w:hint="default"/>
        </w:rPr>
        <w:t>2</w:t>
      </w:r>
      <w:r>
        <w:rPr/>
        <w:t>、主要境外资产情况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三、核心竞争力分析" w:id="28"/>
      <w:bookmarkEnd w:id="28"/>
      <w:r>
        <w:rPr>
          <w:b w:val="0"/>
          <w:bCs w:val="0"/>
        </w:rPr>
      </w:r>
      <w:r>
        <w:rPr/>
        <w:t>三、核心竞争力分析</w:t>
      </w:r>
      <w:r>
        <w:rPr>
          <w:b w:val="0"/>
          <w:bCs w:val="0"/>
        </w:rPr>
      </w:r>
    </w:p>
    <w:p>
      <w:pPr>
        <w:spacing w:line="240" w:lineRule="auto" w:before="0"/>
        <w:rPr>
          <w:rFonts w:ascii="宋体" w:hAnsi="宋体" w:cs="宋体" w:eastAsia="宋体" w:hint="default"/>
          <w:b/>
          <w:bCs/>
          <w:sz w:val="25"/>
          <w:szCs w:val="25"/>
        </w:rPr>
      </w:pPr>
    </w:p>
    <w:p>
      <w:pPr>
        <w:pStyle w:val="BodyText"/>
        <w:spacing w:line="357" w:lineRule="auto" w:before="0"/>
        <w:ind w:right="7332"/>
        <w:jc w:val="left"/>
      </w:pPr>
      <w:r>
        <w:rPr/>
        <w:t>公司是否需要遵守特殊行业的披露要求 是</w:t>
      </w:r>
    </w:p>
    <w:p>
      <w:pPr>
        <w:pStyle w:val="BodyText"/>
        <w:spacing w:line="240" w:lineRule="auto" w:before="28"/>
        <w:ind w:right="0"/>
        <w:jc w:val="left"/>
      </w:pPr>
      <w:r>
        <w:rPr/>
        <w:t>软件与信息技术服务业</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bookmarkStart w:name="1、互联网财税业务" w:id="29"/>
      <w:bookmarkEnd w:id="29"/>
      <w:r>
        <w:rPr>
          <w:b w:val="0"/>
          <w:bCs w:val="0"/>
        </w:rPr>
      </w:r>
      <w:r>
        <w:rPr>
          <w:rFonts w:ascii="Times New Roman" w:hAnsi="Times New Roman" w:cs="Times New Roman" w:eastAsia="Times New Roman" w:hint="default"/>
        </w:rPr>
        <w:t>1</w:t>
      </w:r>
      <w:r>
        <w:rPr/>
        <w:t>、互联网财税业务</w:t>
      </w:r>
      <w:r>
        <w:rPr>
          <w:b w:val="0"/>
          <w:bCs w:val="0"/>
        </w:rPr>
      </w:r>
    </w:p>
    <w:p>
      <w:pPr>
        <w:pStyle w:val="Heading4"/>
        <w:spacing w:line="240" w:lineRule="auto" w:before="150"/>
        <w:ind w:right="0"/>
        <w:jc w:val="left"/>
        <w:rPr>
          <w:b w:val="0"/>
          <w:bCs w:val="0"/>
        </w:rPr>
      </w:pPr>
      <w:bookmarkStart w:name="（1）20+年的财税行业积累" w:id="30"/>
      <w:bookmarkEnd w:id="30"/>
      <w:r>
        <w:rPr>
          <w:b w:val="0"/>
          <w:bCs w:val="0"/>
        </w:rPr>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w:t>
      </w:r>
      <w:r>
        <w:rPr/>
        <w:t>年的财税行业积累</w:t>
      </w:r>
      <w:r>
        <w:rPr>
          <w:b w:val="0"/>
          <w:bCs w:val="0"/>
        </w:rPr>
      </w:r>
    </w:p>
    <w:p>
      <w:pPr>
        <w:pStyle w:val="BodyText"/>
        <w:spacing w:line="240" w:lineRule="auto" w:before="147"/>
        <w:ind w:right="0"/>
        <w:jc w:val="left"/>
      </w:pPr>
      <w:r>
        <w:rPr/>
        <w:t>公司从</w:t>
      </w:r>
      <w:r>
        <w:rPr>
          <w:spacing w:val="-46"/>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年成立至今，一直致力于财税服务领域的发展，在人才、技术、产品方面有深厚的积累。通过“内部培养</w:t>
      </w:r>
    </w:p>
    <w:p>
      <w:pPr>
        <w:pStyle w:val="BodyText"/>
        <w:spacing w:line="302" w:lineRule="auto" w:before="63"/>
        <w:ind w:left="174" w:right="1127"/>
        <w:jc w:val="left"/>
      </w:pPr>
      <w:r>
        <w:rPr>
          <w:rFonts w:ascii="Times New Roman" w:hAnsi="Times New Roman" w:cs="Times New Roman" w:eastAsia="Times New Roman" w:hint="default"/>
          <w:spacing w:val="-3"/>
        </w:rPr>
        <w:t>+</w:t>
      </w:r>
      <w:r>
        <w:rPr>
          <w:spacing w:val="-3"/>
        </w:rPr>
        <w:t>外部引进”方式，积累了大量的擅长产品、技术（含大数据、人工智能）、运营的互联网</w:t>
      </w:r>
      <w:r>
        <w:rPr>
          <w:spacing w:val="-33"/>
        </w:rPr>
        <w:t> </w:t>
      </w:r>
      <w:r>
        <w:rPr>
          <w:rFonts w:ascii="Times New Roman" w:hAnsi="Times New Roman" w:cs="Times New Roman" w:eastAsia="Times New Roman" w:hint="default"/>
        </w:rPr>
        <w:t>IT</w:t>
      </w:r>
      <w:r>
        <w:rPr>
          <w:rFonts w:ascii="Times New Roman" w:hAnsi="Times New Roman" w:cs="Times New Roman" w:eastAsia="Times New Roman" w:hint="default"/>
          <w:spacing w:val="12"/>
        </w:rPr>
        <w:t> </w:t>
      </w:r>
      <w:r>
        <w:rPr/>
        <w:t>人才，同时也积累了税务、财</w:t>
      </w:r>
      <w:r>
        <w:rPr>
          <w:spacing w:val="-87"/>
        </w:rPr>
        <w:t> </w:t>
      </w:r>
      <w:r>
        <w:rPr>
          <w:spacing w:val="-87"/>
        </w:rPr>
      </w:r>
      <w:r>
        <w:rPr/>
        <w:t>务以及管理咨询类的财税专业性人才，两类人才互为补充，实现互联网</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人才与专财税专业性人才的融合。</w:t>
      </w:r>
    </w:p>
    <w:p>
      <w:pPr>
        <w:pStyle w:val="Heading4"/>
        <w:spacing w:line="240" w:lineRule="auto" w:before="133"/>
        <w:ind w:right="0"/>
        <w:jc w:val="left"/>
        <w:rPr>
          <w:b w:val="0"/>
          <w:bCs w:val="0"/>
        </w:rPr>
      </w:pPr>
      <w:bookmarkStart w:name="（2）海量用户带动的业务共创及产品快速迭代能力" w:id="31"/>
      <w:bookmarkEnd w:id="31"/>
      <w:r>
        <w:rPr>
          <w:b w:val="0"/>
          <w:bCs w:val="0"/>
        </w:rPr>
      </w:r>
      <w:r>
        <w:rPr/>
        <w:t>（</w:t>
      </w:r>
      <w:r>
        <w:rPr>
          <w:rFonts w:ascii="Times New Roman" w:hAnsi="Times New Roman" w:cs="Times New Roman" w:eastAsia="Times New Roman" w:hint="default"/>
        </w:rPr>
        <w:t>2</w:t>
      </w:r>
      <w:r>
        <w:rPr/>
        <w:t>）海量用户带动的业务共创及产品快速迭代能力</w:t>
      </w:r>
      <w:r>
        <w:rPr>
          <w:b w:val="0"/>
          <w:bCs w:val="0"/>
        </w:rPr>
      </w:r>
    </w:p>
    <w:p>
      <w:pPr>
        <w:pStyle w:val="BodyText"/>
        <w:spacing w:line="307" w:lineRule="auto" w:before="147"/>
        <w:ind w:left="174" w:right="1028" w:firstLine="360"/>
        <w:jc w:val="left"/>
      </w:pPr>
      <w:r>
        <w:rPr/>
        <w:t>公司平台积累的</w:t>
      </w:r>
      <w:r>
        <w:rPr>
          <w:spacing w:val="-46"/>
        </w:rPr>
        <w:t> </w:t>
      </w:r>
      <w:r>
        <w:rPr>
          <w:rFonts w:ascii="Times New Roman" w:hAnsi="Times New Roman" w:cs="Times New Roman" w:eastAsia="Times New Roman" w:hint="default"/>
        </w:rPr>
        <w:t>1000+</w:t>
      </w:r>
      <w:r>
        <w:rPr/>
        <w:t>万家企业以及线下财税服务机构，为平台业务的共创以及产品的快速迭代提供庞大的用户基础， 结合公司</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2"/>
        </w:rPr>
        <w:t>多年积累的技术及业务能力，能够快速提供市场所需的服务产品。公司形成了面向税务局端的电子税务局产品，</w:t>
      </w:r>
      <w:r>
        <w:rPr/>
        <w:t> </w:t>
      </w:r>
      <w:r>
        <w:rPr>
          <w:spacing w:val="-2"/>
        </w:rPr>
        <w:t>面向代理记账机构和事务所的数字化转型升级产品，面向企业会计、法人、员工的全系列智能财税产品，形成有市场竞争力</w:t>
      </w:r>
      <w:r>
        <w:rPr>
          <w:spacing w:val="-66"/>
        </w:rPr>
        <w:t> </w:t>
      </w:r>
      <w:r>
        <w:rPr>
          <w:spacing w:val="-66"/>
        </w:rPr>
      </w:r>
      <w:r>
        <w:rPr/>
        <w:t>的全系列产品。</w:t>
      </w:r>
    </w:p>
    <w:p>
      <w:pPr>
        <w:spacing w:line="381" w:lineRule="auto" w:before="149"/>
        <w:ind w:left="534" w:right="0" w:firstLine="1"/>
        <w:jc w:val="left"/>
        <w:rPr>
          <w:rFonts w:ascii="宋体" w:hAnsi="宋体" w:cs="宋体" w:eastAsia="宋体" w:hint="default"/>
          <w:sz w:val="18"/>
          <w:szCs w:val="18"/>
        </w:rPr>
      </w:pPr>
      <w:bookmarkStart w:name="（3）基于海量数据驱动的自动化、智能化精准匹配能力" w:id="32"/>
      <w:bookmarkEnd w:id="32"/>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）基于海量数据驱动的自动化、智能化精准匹配能力</w:t>
      </w:r>
      <w:r>
        <w:rPr>
          <w:rFonts w:ascii="宋体" w:hAnsi="宋体" w:cs="宋体" w:eastAsia="宋体" w:hint="default"/>
          <w:b/>
          <w:bCs/>
          <w:w w:val="99"/>
          <w:sz w:val="18"/>
          <w:szCs w:val="18"/>
        </w:rPr>
        <w:t> </w:t>
      </w:r>
      <w:r>
        <w:rPr>
          <w:rFonts w:ascii="宋体" w:hAnsi="宋体" w:cs="宋体" w:eastAsia="宋体" w:hint="default"/>
          <w:spacing w:val="-2"/>
          <w:sz w:val="18"/>
          <w:szCs w:val="18"/>
        </w:rPr>
        <w:t>利用海量用户的在线化积累的海量业务数据、行为数据，通过大数据技术平台，实现数据驱动的自动化、智能化，形成</w:t>
      </w:r>
    </w:p>
    <w:p>
      <w:pPr>
        <w:spacing w:after="0" w:line="381"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left="174" w:right="0"/>
        <w:jc w:val="both"/>
      </w:pPr>
      <w:r>
        <w:rPr/>
        <w:t>千人千面的个性化服务。</w:t>
      </w:r>
    </w:p>
    <w:p>
      <w:pPr>
        <w:spacing w:line="240" w:lineRule="auto" w:before="3"/>
        <w:rPr>
          <w:rFonts w:ascii="宋体" w:hAnsi="宋体" w:cs="宋体" w:eastAsia="宋体" w:hint="default"/>
          <w:sz w:val="15"/>
          <w:szCs w:val="15"/>
        </w:rPr>
      </w:pPr>
    </w:p>
    <w:p>
      <w:pPr>
        <w:spacing w:line="381" w:lineRule="auto" w:before="0"/>
        <w:ind w:left="534" w:right="1115" w:firstLine="1"/>
        <w:jc w:val="left"/>
        <w:rPr>
          <w:rFonts w:ascii="宋体" w:hAnsi="宋体" w:cs="宋体" w:eastAsia="宋体" w:hint="default"/>
          <w:sz w:val="18"/>
          <w:szCs w:val="18"/>
        </w:rPr>
      </w:pPr>
      <w:bookmarkStart w:name="（4）初步形成基于新财税的S2b2c的数字化平台、流水线网点及网络协同能力" w:id="33"/>
      <w:bookmarkEnd w:id="33"/>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）初步形成基于新财税的</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S2b2c </w:t>
      </w:r>
      <w:r>
        <w:rPr>
          <w:rFonts w:ascii="宋体" w:hAnsi="宋体" w:cs="宋体" w:eastAsia="宋体" w:hint="default"/>
          <w:b/>
          <w:bCs/>
          <w:sz w:val="18"/>
          <w:szCs w:val="18"/>
        </w:rPr>
        <w:t>的数字化平台、流水线网点及网络协同能力</w:t>
      </w:r>
      <w:r>
        <w:rPr>
          <w:rFonts w:ascii="宋体" w:hAnsi="宋体" w:cs="宋体" w:eastAsia="宋体" w:hint="default"/>
          <w:b/>
          <w:bCs/>
          <w:w w:val="99"/>
          <w:sz w:val="18"/>
          <w:szCs w:val="18"/>
        </w:rPr>
        <w:t> </w:t>
      </w:r>
      <w:r>
        <w:rPr>
          <w:rFonts w:ascii="宋体" w:hAnsi="宋体" w:cs="宋体" w:eastAsia="宋体" w:hint="default"/>
          <w:spacing w:val="-2"/>
          <w:sz w:val="18"/>
          <w:szCs w:val="18"/>
        </w:rPr>
        <w:t>方欣科技为顺应互联网从消费互联网到产业互联网，从连接到赋能的发展趋势，创造性地实践了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S2b2c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商业模式在财税</w:t>
      </w:r>
    </w:p>
    <w:p>
      <w:pPr>
        <w:pStyle w:val="BodyText"/>
        <w:spacing w:line="182" w:lineRule="exact" w:before="0"/>
        <w:ind w:left="174" w:right="0"/>
        <w:jc w:val="both"/>
      </w:pPr>
      <w:r>
        <w:rPr>
          <w:spacing w:val="-4"/>
        </w:rPr>
        <w:t>领域的应用，采用平台模式，通过数据和技术赋能线下的代理记账公司和事务所，构建起了线上为主、线下为辅的服务体系。</w:t>
      </w:r>
    </w:p>
    <w:p>
      <w:pPr>
        <w:pStyle w:val="BodyText"/>
        <w:spacing w:line="319" w:lineRule="auto" w:before="116"/>
        <w:ind w:left="174" w:right="1132" w:firstLine="360"/>
        <w:jc w:val="both"/>
      </w:pPr>
      <w:r>
        <w:rPr>
          <w:spacing w:val="-2"/>
        </w:rPr>
        <w:t>利用海量用户的规模优势，以及线下财税服务机构的网点优势，可以实现低成本的供应链资源整合，形成强大的网络协</w:t>
      </w:r>
      <w:r>
        <w:rPr/>
        <w:t> 同能力。</w:t>
      </w:r>
    </w:p>
    <w:p>
      <w:pPr>
        <w:pStyle w:val="BodyText"/>
        <w:spacing w:line="381" w:lineRule="auto" w:before="139"/>
        <w:ind w:right="1117" w:firstLine="1"/>
        <w:jc w:val="left"/>
      </w:pPr>
      <w:bookmarkStart w:name="2、热处理业务" w:id="34"/>
      <w:bookmarkEnd w:id="34"/>
      <w:r>
        <w:rPr/>
      </w:r>
      <w:r>
        <w:rPr>
          <w:rFonts w:ascii="Times New Roman" w:hAnsi="Times New Roman" w:cs="Times New Roman" w:eastAsia="Times New Roman" w:hint="default"/>
          <w:b/>
          <w:bCs/>
        </w:rPr>
        <w:t>2</w:t>
      </w:r>
      <w:r>
        <w:rPr>
          <w:rFonts w:ascii="宋体" w:hAnsi="宋体" w:cs="宋体" w:eastAsia="宋体" w:hint="default"/>
          <w:b/>
          <w:bCs/>
        </w:rPr>
        <w:t>、热处理业务</w:t>
      </w:r>
      <w:r>
        <w:rPr>
          <w:rFonts w:ascii="宋体" w:hAnsi="宋体" w:cs="宋体" w:eastAsia="宋体" w:hint="default"/>
          <w:b/>
          <w:bCs/>
          <w:w w:val="99"/>
        </w:rPr>
        <w:t> </w:t>
      </w:r>
      <w:r>
        <w:rPr>
          <w:spacing w:val="-2"/>
        </w:rPr>
        <w:t>丰东作为国内热处理行业领先的综合热处理解决方案提供商，在热处理工艺、控制技术、制造结构、管理系统软件等领</w:t>
      </w:r>
    </w:p>
    <w:p>
      <w:pPr>
        <w:pStyle w:val="BodyText"/>
        <w:spacing w:line="206" w:lineRule="exact" w:before="0"/>
        <w:ind w:left="174" w:right="0"/>
        <w:jc w:val="both"/>
      </w:pPr>
      <w:r>
        <w:rPr/>
        <w:t>域拥有大量专利和科研成果</w:t>
      </w:r>
      <w:r>
        <w:rPr>
          <w:spacing w:val="-87"/>
        </w:rPr>
        <w:t>。</w:t>
      </w:r>
      <w:r>
        <w:rPr/>
        <w:t>各类型热处理设备在国内外市场竞争中逐渐显现出技术优势和品牌优势</w:t>
      </w:r>
      <w:r>
        <w:rPr>
          <w:spacing w:val="-87"/>
        </w:rPr>
        <w:t>。</w:t>
      </w:r>
      <w:r>
        <w:rPr/>
        <w:t>与国内竞争对手相比，</w:t>
      </w:r>
    </w:p>
    <w:p>
      <w:pPr>
        <w:pStyle w:val="BodyText"/>
        <w:spacing w:line="319" w:lineRule="auto" w:before="76"/>
        <w:ind w:left="174" w:right="1132"/>
        <w:jc w:val="both"/>
      </w:pPr>
      <w:r>
        <w:rPr>
          <w:spacing w:val="-2"/>
        </w:rPr>
        <w:t>公司拥有完善的自主创新研发能力、相对齐全的工艺数据库系统、热处理连锁服务产业链布局以及为客户提供优质产品与专</w:t>
      </w:r>
      <w:r>
        <w:rPr>
          <w:spacing w:val="-64"/>
        </w:rPr>
        <w:t> </w:t>
      </w:r>
      <w:r>
        <w:rPr>
          <w:spacing w:val="-64"/>
        </w:rPr>
      </w:r>
      <w:r>
        <w:rPr/>
        <w:t>业技术服务的能力；与国际竞争对手相比，公司的竞争优势主要体现在快速的响应速度和高效的服务。</w:t>
      </w:r>
    </w:p>
    <w:p>
      <w:pPr>
        <w:pStyle w:val="BodyText"/>
        <w:spacing w:line="381" w:lineRule="auto" w:before="139"/>
        <w:ind w:right="0" w:firstLine="1"/>
        <w:jc w:val="left"/>
      </w:pPr>
      <w:bookmarkStart w:name="（1）专业化研发优势" w:id="35"/>
      <w:bookmarkEnd w:id="35"/>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）专业化研发优势</w:t>
      </w:r>
      <w:r>
        <w:rPr>
          <w:rFonts w:ascii="宋体" w:hAnsi="宋体" w:cs="宋体" w:eastAsia="宋体" w:hint="default"/>
          <w:b/>
          <w:bCs/>
          <w:w w:val="99"/>
        </w:rPr>
        <w:t> </w:t>
      </w:r>
      <w:r>
        <w:rPr>
          <w:spacing w:val="-2"/>
        </w:rPr>
        <w:t>公司具备完善的产品研究、开发和创新体系，拥有较强的产品研发能力、持续创新能力和项目产业化能力。公司拥有国</w:t>
      </w:r>
    </w:p>
    <w:p>
      <w:pPr>
        <w:pStyle w:val="BodyText"/>
        <w:spacing w:line="207" w:lineRule="exact" w:before="0"/>
        <w:ind w:left="174" w:right="0"/>
        <w:jc w:val="both"/>
      </w:pPr>
      <w:r>
        <w:rPr/>
        <w:t>家认定企业技术中心，国家认可实验室、国家级博士后科研工作站和企业院士工作站等研发平台，技术研发能力雄厚。</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bookmarkStart w:name="（2）质量及品牌优势" w:id="36"/>
      <w:bookmarkEnd w:id="36"/>
      <w:r>
        <w:rPr>
          <w:b w:val="0"/>
          <w:bCs w:val="0"/>
        </w:rPr>
      </w:r>
      <w:r>
        <w:rPr/>
        <w:t>（</w:t>
      </w:r>
      <w:r>
        <w:rPr>
          <w:rFonts w:ascii="Times New Roman" w:hAnsi="Times New Roman" w:cs="Times New Roman" w:eastAsia="Times New Roman" w:hint="default"/>
        </w:rPr>
        <w:t>2</w:t>
      </w:r>
      <w:r>
        <w:rPr/>
        <w:t>）质量及品牌优势</w:t>
      </w:r>
      <w:r>
        <w:rPr>
          <w:b w:val="0"/>
          <w:bCs w:val="0"/>
        </w:rPr>
      </w:r>
    </w:p>
    <w:p>
      <w:pPr>
        <w:pStyle w:val="BodyText"/>
        <w:spacing w:line="300" w:lineRule="auto" w:before="147"/>
        <w:ind w:left="174" w:right="1244" w:firstLine="360"/>
        <w:jc w:val="both"/>
      </w:pPr>
      <w:r>
        <w:rPr/>
        <w:t>公司在国内热处理行业率先通过了</w:t>
      </w:r>
      <w:r>
        <w:rPr>
          <w:spacing w:val="-46"/>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1"/>
        </w:rPr>
        <w:t> </w:t>
      </w:r>
      <w:r>
        <w:rPr/>
        <w:t>质量体系认证和</w:t>
      </w:r>
      <w:r>
        <w:rPr>
          <w:spacing w:val="-46"/>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1"/>
        </w:rPr>
        <w:t> </w:t>
      </w:r>
      <w:r>
        <w:rPr/>
        <w:t>环境体系认证，专业热处理加工企业均通过了 </w:t>
      </w:r>
      <w:r>
        <w:rPr>
          <w:rFonts w:ascii="Times New Roman" w:hAnsi="Times New Roman" w:cs="Times New Roman" w:eastAsia="Times New Roman" w:hint="default"/>
        </w:rPr>
        <w:t>TS16949</w:t>
      </w:r>
      <w:r>
        <w:rPr>
          <w:rFonts w:ascii="Times New Roman" w:hAnsi="Times New Roman" w:cs="Times New Roman" w:eastAsia="Times New Roman" w:hint="default"/>
          <w:spacing w:val="-1"/>
        </w:rPr>
        <w:t> </w:t>
      </w:r>
      <w:r>
        <w:rPr/>
        <w:t>汽车质量体系认证。各热处理加工企业陆续通过或正在接受国内外汽车及工程机械等领域各大主机厂的评审与认 证，纷纷进入到各大主机厂的供应商体系。</w:t>
      </w:r>
    </w:p>
    <w:p>
      <w:pPr>
        <w:pStyle w:val="BodyText"/>
        <w:spacing w:line="319" w:lineRule="auto" w:before="70"/>
        <w:ind w:left="174" w:right="1133" w:firstLine="360"/>
        <w:jc w:val="both"/>
      </w:pPr>
      <w:r>
        <w:rPr>
          <w:spacing w:val="-2"/>
        </w:rPr>
        <w:t>公司牵头主持起草并获公布实施的《热处理质量管理体系》国家标准，已成为全国高质量热处理加工企业全面接轨国际</w:t>
      </w:r>
      <w:r>
        <w:rPr/>
        <w:t> 热处理</w:t>
      </w:r>
      <w:r>
        <w:rPr>
          <w:spacing w:val="-47"/>
        </w:rPr>
        <w:t> </w:t>
      </w:r>
      <w:r>
        <w:rPr>
          <w:rFonts w:ascii="Times New Roman" w:hAnsi="Times New Roman" w:cs="Times New Roman" w:eastAsia="Times New Roman" w:hint="default"/>
        </w:rPr>
        <w:t>CQI-9</w:t>
      </w:r>
      <w:r>
        <w:rPr>
          <w:rFonts w:ascii="Times New Roman" w:hAnsi="Times New Roman" w:cs="Times New Roman" w:eastAsia="Times New Roman" w:hint="default"/>
          <w:spacing w:val="-1"/>
        </w:rPr>
        <w:t> </w:t>
      </w:r>
      <w:r>
        <w:rPr/>
        <w:t>质量体系标准的指导性标准。</w:t>
      </w:r>
    </w:p>
    <w:p>
      <w:pPr>
        <w:pStyle w:val="BodyText"/>
        <w:spacing w:line="319" w:lineRule="auto" w:before="35"/>
        <w:ind w:left="174" w:right="1132" w:firstLine="360"/>
        <w:jc w:val="both"/>
      </w:pPr>
      <w:r>
        <w:rPr>
          <w:spacing w:val="-2"/>
        </w:rPr>
        <w:t>“丰东”品牌在热处理及机械制造相关领域具有较高的认知度和美誉度，在国际、国内热处理同行均有一定的品牌影响</w:t>
      </w:r>
      <w:r>
        <w:rPr/>
        <w:t> 力。</w:t>
      </w:r>
    </w:p>
    <w:p>
      <w:pPr>
        <w:pStyle w:val="BodyText"/>
        <w:spacing w:line="381" w:lineRule="auto" w:before="140"/>
        <w:ind w:right="1117" w:firstLine="1"/>
        <w:jc w:val="left"/>
      </w:pPr>
      <w:bookmarkStart w:name="（3）人才优势" w:id="37"/>
      <w:bookmarkEnd w:id="37"/>
      <w:r>
        <w:rPr/>
      </w: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）人才优势</w:t>
      </w:r>
      <w:r>
        <w:rPr>
          <w:rFonts w:ascii="宋体" w:hAnsi="宋体" w:cs="宋体" w:eastAsia="宋体" w:hint="default"/>
          <w:b/>
          <w:bCs/>
          <w:w w:val="99"/>
        </w:rPr>
        <w:t> </w:t>
      </w:r>
      <w:r>
        <w:rPr>
          <w:spacing w:val="-2"/>
        </w:rPr>
        <w:t>报告期内，公司围绕“公平、公正、公开、共创、共担、共享”的核心价值观，结合技术部门实际情况，在原有“管理</w:t>
      </w:r>
      <w:r>
        <w:rPr/>
      </w:r>
    </w:p>
    <w:p>
      <w:pPr>
        <w:pStyle w:val="BodyText"/>
        <w:spacing w:line="206" w:lineRule="exact" w:before="0"/>
        <w:ind w:left="174" w:right="0"/>
        <w:jc w:val="both"/>
      </w:pPr>
      <w:r>
        <w:rPr/>
        <w:t>晋升通道”的基础上，增加了面向技术研发人员的“技术晋升通道”和面向技术工人的“技师晋升通道</w:t>
      </w:r>
      <w:r>
        <w:rPr>
          <w:spacing w:val="-90"/>
        </w:rPr>
        <w:t>”</w:t>
      </w:r>
      <w:r>
        <w:rPr/>
        <w:t>，为员工构建了多</w:t>
      </w:r>
    </w:p>
    <w:p>
      <w:pPr>
        <w:pStyle w:val="BodyText"/>
        <w:spacing w:line="319" w:lineRule="auto" w:before="76"/>
        <w:ind w:left="174" w:right="1131"/>
        <w:jc w:val="both"/>
      </w:pPr>
      <w:r>
        <w:rPr>
          <w:spacing w:val="-2"/>
        </w:rPr>
        <w:t>阶梯晋升通道职业生涯规划体系，为公司的长远发展打下人才基础。同时公司开展了丰富多样的企业文化活动：定期组织技</w:t>
      </w:r>
      <w:r>
        <w:rPr>
          <w:spacing w:val="-66"/>
        </w:rPr>
        <w:t> </w:t>
      </w:r>
      <w:r>
        <w:rPr>
          <w:spacing w:val="-66"/>
        </w:rPr>
      </w:r>
      <w:r>
        <w:rPr>
          <w:spacing w:val="-2"/>
        </w:rPr>
        <w:t>术沙龙，增强工程师和技术工人的创新意识，在公司内营造浓厚的学习氛围；积极开展各项文体活动，丰富员工的业余文化</w:t>
      </w:r>
      <w:r>
        <w:rPr>
          <w:spacing w:val="-66"/>
        </w:rPr>
        <w:t> </w:t>
      </w:r>
      <w:r>
        <w:rPr>
          <w:spacing w:val="-66"/>
        </w:rPr>
      </w:r>
      <w:r>
        <w:rPr/>
        <w:t>生活。通过多维度的企业文化建设，提升了员工的幸福感和归属感，进一步增强了企业凝聚力。</w:t>
      </w:r>
    </w:p>
    <w:p>
      <w:pPr>
        <w:pStyle w:val="Heading4"/>
        <w:spacing w:line="240" w:lineRule="auto" w:before="139"/>
        <w:ind w:right="0"/>
        <w:jc w:val="left"/>
        <w:rPr>
          <w:b w:val="0"/>
          <w:bCs w:val="0"/>
        </w:rPr>
      </w:pPr>
      <w:bookmarkStart w:name="（4）生产管理优势" w:id="38"/>
      <w:bookmarkEnd w:id="38"/>
      <w:r>
        <w:rPr>
          <w:b w:val="0"/>
          <w:bCs w:val="0"/>
        </w:rPr>
      </w:r>
      <w:r>
        <w:rPr/>
        <w:t>（</w:t>
      </w:r>
      <w:r>
        <w:rPr>
          <w:rFonts w:ascii="Times New Roman" w:hAnsi="Times New Roman" w:cs="Times New Roman" w:eastAsia="Times New Roman" w:hint="default"/>
        </w:rPr>
        <w:t>4</w:t>
      </w:r>
      <w:r>
        <w:rPr/>
        <w:t>）生产管理优势</w:t>
      </w:r>
      <w:r>
        <w:rPr>
          <w:b w:val="0"/>
          <w:bCs w:val="0"/>
        </w:rPr>
      </w:r>
    </w:p>
    <w:p>
      <w:pPr>
        <w:pStyle w:val="BodyText"/>
        <w:spacing w:line="309" w:lineRule="auto" w:before="147"/>
        <w:ind w:left="174" w:right="1130" w:firstLine="360"/>
        <w:jc w:val="both"/>
      </w:pPr>
      <w:r>
        <w:rPr/>
        <w:t>经过近</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年的运营，公司已形成一套具有公司特色、科学高效、运作有序的管理机制。在热处理设备制造及加工服务 </w:t>
      </w:r>
      <w:r>
        <w:rPr>
          <w:spacing w:val="-2"/>
        </w:rPr>
        <w:t>领域积累了丰富的开发、生产和管理经验，培养了一支精干的生产管理团队和一大批技艺精湛、业务娴熟的技术工人，形成</w:t>
      </w:r>
      <w:r>
        <w:rPr>
          <w:spacing w:val="-65"/>
        </w:rPr>
        <w:t> </w:t>
      </w:r>
      <w:r>
        <w:rPr>
          <w:spacing w:val="-65"/>
        </w:rPr>
      </w:r>
      <w:r>
        <w:rPr/>
        <w:t>了较为完善的生产管理体系。</w:t>
      </w:r>
    </w:p>
    <w:p>
      <w:pPr>
        <w:pStyle w:val="BodyText"/>
        <w:spacing w:line="381" w:lineRule="auto" w:before="146"/>
        <w:ind w:right="0" w:firstLine="1"/>
        <w:jc w:val="left"/>
      </w:pPr>
      <w:bookmarkStart w:name="（5）客户服务优势" w:id="39"/>
      <w:bookmarkEnd w:id="39"/>
      <w:r>
        <w:rPr/>
      </w: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）客户服务优势</w:t>
      </w:r>
      <w:r>
        <w:rPr>
          <w:rFonts w:ascii="宋体" w:hAnsi="宋体" w:cs="宋体" w:eastAsia="宋体" w:hint="default"/>
          <w:b/>
          <w:bCs/>
          <w:w w:val="99"/>
        </w:rPr>
        <w:t> </w:t>
      </w:r>
      <w:r>
        <w:rPr>
          <w:spacing w:val="-2"/>
        </w:rPr>
        <w:t>公司坚持以客户需求为导向，向客户提供全周期服务。通过专业用心的技术服务和客户需求的快速有效响应，为公司赢</w:t>
      </w:r>
    </w:p>
    <w:p>
      <w:pPr>
        <w:pStyle w:val="BodyText"/>
        <w:spacing w:line="207" w:lineRule="exact" w:before="0"/>
        <w:ind w:left="174" w:right="0"/>
        <w:jc w:val="both"/>
      </w:pPr>
      <w:r>
        <w:rPr/>
        <w:t>得了良好的口碑，树立了良好的市场形象。</w:t>
      </w:r>
    </w:p>
    <w:p>
      <w:pPr>
        <w:spacing w:after="0" w:line="207" w:lineRule="exact"/>
        <w:jc w:val="both"/>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2986" w:right="0"/>
        <w:jc w:val="left"/>
        <w:rPr>
          <w:b w:val="0"/>
          <w:bCs w:val="0"/>
        </w:rPr>
      </w:pPr>
      <w:bookmarkStart w:name="第四节 经营情况讨论与分析" w:id="40"/>
      <w:bookmarkEnd w:id="40"/>
      <w:r>
        <w:rPr>
          <w:b w:val="0"/>
          <w:bCs w:val="0"/>
        </w:rPr>
      </w:r>
      <w:bookmarkStart w:name="_bookmark3" w:id="41"/>
      <w:bookmarkEnd w:id="41"/>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2"/>
        <w:spacing w:line="240" w:lineRule="auto" w:before="26"/>
        <w:ind w:right="0"/>
        <w:jc w:val="both"/>
        <w:rPr>
          <w:b w:val="0"/>
          <w:bCs w:val="0"/>
        </w:rPr>
      </w:pPr>
      <w:bookmarkStart w:name="一、概述" w:id="42"/>
      <w:bookmarkEnd w:id="42"/>
      <w:r>
        <w:rPr>
          <w:b w:val="0"/>
          <w:bCs w:val="0"/>
        </w:rPr>
      </w:r>
      <w:r>
        <w:rPr/>
        <w:t>一、概述</w:t>
      </w:r>
      <w:r>
        <w:rPr>
          <w:b w:val="0"/>
          <w:bCs w:val="0"/>
        </w:rPr>
      </w:r>
    </w:p>
    <w:p>
      <w:pPr>
        <w:spacing w:line="240" w:lineRule="auto" w:before="9"/>
        <w:rPr>
          <w:rFonts w:ascii="宋体" w:hAnsi="宋体" w:cs="宋体" w:eastAsia="宋体" w:hint="default"/>
          <w:b/>
          <w:bCs/>
          <w:sz w:val="26"/>
          <w:szCs w:val="26"/>
        </w:rPr>
      </w:pPr>
    </w:p>
    <w:p>
      <w:pPr>
        <w:pStyle w:val="BodyText"/>
        <w:spacing w:line="304" w:lineRule="auto" w:before="0"/>
        <w:ind w:left="174" w:right="0" w:firstLine="360"/>
        <w:jc w:val="left"/>
      </w:pPr>
      <w:r>
        <w:rPr>
          <w:rFonts w:ascii="Times New Roman" w:hAnsi="Times New Roman" w:cs="Times New Roman" w:eastAsia="Times New Roman" w:hint="default"/>
          <w:spacing w:val="-2"/>
        </w:rPr>
        <w:t>2018</w:t>
      </w:r>
      <w:r>
        <w:rPr>
          <w:spacing w:val="-2"/>
        </w:rPr>
        <w:t>，在传统经济新动能、新经济新动能的共同作用下，国内经济运行的内在稳定性不断巩固，经济结构不断优化；但</w:t>
      </w:r>
      <w:r>
        <w:rPr/>
        <w:t> </w:t>
      </w:r>
      <w:r>
        <w:rPr>
          <w:spacing w:val="-4"/>
        </w:rPr>
        <w:t>是全球贸易保护主义加重、美联储加息和美国减税等因素也给我国宏观经济运行带来一定负面影响，经济出现新的下行压力。</w:t>
      </w:r>
      <w:r>
        <w:rPr>
          <w:spacing w:val="-44"/>
        </w:rPr>
        <w:t> </w:t>
      </w:r>
      <w:r>
        <w:rPr>
          <w:spacing w:val="-44"/>
        </w:rPr>
      </w:r>
      <w:r>
        <w:rPr/>
        <w:t>总体而言，</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年我国经济运行在合理区间，产业结构持续优化，经济增长质量继续提高。在此背景下，公司互联网财税 和热处理两大板块业务均实现了持续稳定的增长，报告期内，公司实现营业收入</w:t>
      </w:r>
      <w:r>
        <w:rPr>
          <w:spacing w:val="-46"/>
        </w:rPr>
        <w:t> </w:t>
      </w:r>
      <w:r>
        <w:rPr>
          <w:rFonts w:ascii="Times New Roman" w:hAnsi="Times New Roman" w:cs="Times New Roman" w:eastAsia="Times New Roman" w:hint="default"/>
        </w:rPr>
        <w:t>126,408.98</w:t>
      </w:r>
      <w:r>
        <w:rPr>
          <w:rFonts w:ascii="Times New Roman" w:hAnsi="Times New Roman" w:cs="Times New Roman" w:eastAsia="Times New Roman" w:hint="default"/>
          <w:spacing w:val="-1"/>
        </w:rPr>
        <w:t> </w:t>
      </w:r>
      <w:r>
        <w:rPr/>
        <w:t>万元，较上年增加</w:t>
      </w:r>
      <w:r>
        <w:rPr>
          <w:spacing w:val="-47"/>
        </w:rPr>
        <w:t> </w:t>
      </w:r>
      <w:r>
        <w:rPr>
          <w:rFonts w:ascii="Times New Roman" w:hAnsi="Times New Roman" w:cs="Times New Roman" w:eastAsia="Times New Roman" w:hint="default"/>
        </w:rPr>
        <w:t>26.70%</w:t>
      </w:r>
      <w:r>
        <w:rPr/>
        <w:t>，实 现利润总额及归属于上市公司股东的净利润分别为</w:t>
      </w:r>
      <w:r>
        <w:rPr>
          <w:spacing w:val="-45"/>
        </w:rPr>
        <w:t> </w:t>
      </w:r>
      <w:r>
        <w:rPr>
          <w:rFonts w:ascii="Times New Roman" w:hAnsi="Times New Roman" w:cs="Times New Roman" w:eastAsia="Times New Roman" w:hint="default"/>
        </w:rPr>
        <w:t>34,703.46</w:t>
      </w:r>
      <w:r>
        <w:rPr>
          <w:rFonts w:ascii="Times New Roman" w:hAnsi="Times New Roman" w:cs="Times New Roman" w:eastAsia="Times New Roman" w:hint="default"/>
          <w:spacing w:val="-1"/>
        </w:rPr>
        <w:t> </w:t>
      </w:r>
      <w:r>
        <w:rPr/>
        <w:t>万元和</w:t>
      </w:r>
      <w:r>
        <w:rPr>
          <w:spacing w:val="-46"/>
        </w:rPr>
        <w:t> </w:t>
      </w:r>
      <w:r>
        <w:rPr>
          <w:rFonts w:ascii="Times New Roman" w:hAnsi="Times New Roman" w:cs="Times New Roman" w:eastAsia="Times New Roman" w:hint="default"/>
        </w:rPr>
        <w:t>29,104.30</w:t>
      </w:r>
      <w:r>
        <w:rPr>
          <w:rFonts w:ascii="Times New Roman" w:hAnsi="Times New Roman" w:cs="Times New Roman" w:eastAsia="Times New Roman" w:hint="default"/>
          <w:spacing w:val="-1"/>
        </w:rPr>
        <w:t> </w:t>
      </w:r>
      <w:r>
        <w:rPr/>
        <w:t>万元，较上年分别增长</w:t>
      </w:r>
      <w:r>
        <w:rPr>
          <w:spacing w:val="-46"/>
        </w:rPr>
        <w:t> </w:t>
      </w:r>
      <w:r>
        <w:rPr>
          <w:rFonts w:ascii="Times New Roman" w:hAnsi="Times New Roman" w:cs="Times New Roman" w:eastAsia="Times New Roman" w:hint="default"/>
        </w:rPr>
        <w:t>28.64%</w:t>
      </w:r>
      <w:r>
        <w:rPr/>
        <w:t>和</w:t>
      </w:r>
      <w:r>
        <w:rPr>
          <w:spacing w:val="-46"/>
        </w:rPr>
        <w:t> </w:t>
      </w:r>
      <w:r>
        <w:rPr>
          <w:rFonts w:ascii="Times New Roman" w:hAnsi="Times New Roman" w:cs="Times New Roman" w:eastAsia="Times New Roman" w:hint="default"/>
        </w:rPr>
        <w:t>27.70%</w:t>
      </w:r>
      <w:r>
        <w:rPr/>
        <w:t>。</w:t>
      </w:r>
    </w:p>
    <w:p>
      <w:pPr>
        <w:pStyle w:val="Heading4"/>
        <w:spacing w:line="240" w:lineRule="auto" w:before="131"/>
        <w:ind w:right="0"/>
        <w:jc w:val="left"/>
        <w:rPr>
          <w:b w:val="0"/>
          <w:bCs w:val="0"/>
        </w:rPr>
      </w:pPr>
      <w:bookmarkStart w:name="1、互联网财税业务" w:id="43"/>
      <w:bookmarkEnd w:id="43"/>
      <w:r>
        <w:rPr>
          <w:b w:val="0"/>
          <w:bCs w:val="0"/>
        </w:rPr>
      </w:r>
      <w:r>
        <w:rPr>
          <w:rFonts w:ascii="Times New Roman" w:hAnsi="Times New Roman" w:cs="Times New Roman" w:eastAsia="Times New Roman" w:hint="default"/>
        </w:rPr>
        <w:t>1</w:t>
      </w:r>
      <w:r>
        <w:rPr/>
        <w:t>、互联网财税业务</w:t>
      </w:r>
      <w:r>
        <w:rPr>
          <w:b w:val="0"/>
          <w:bCs w:val="0"/>
        </w:rPr>
      </w:r>
    </w:p>
    <w:p>
      <w:pPr>
        <w:pStyle w:val="BodyText"/>
        <w:spacing w:line="312" w:lineRule="auto" w:before="147"/>
        <w:ind w:left="174" w:right="1050" w:firstLine="360"/>
        <w:jc w:val="both"/>
      </w:pPr>
      <w:r>
        <w:rPr/>
        <w:t>从外部环境看，随着《电子商务法》和新《个人所得税法》在</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日正式实行，以及社保入税，金税三期全 </w:t>
      </w:r>
      <w:r>
        <w:rPr>
          <w:spacing w:val="-2"/>
        </w:rPr>
        <w:t>国大集中带来大数据管税手段的加强，征管力度前所未有，同时为了降低企业负担，国家密集出台了减费降税的政策，当前</w:t>
      </w:r>
      <w:r>
        <w:rPr>
          <w:spacing w:val="-66"/>
        </w:rPr>
        <w:t> </w:t>
      </w:r>
      <w:r>
        <w:rPr>
          <w:spacing w:val="-66"/>
        </w:rPr>
      </w:r>
      <w:r>
        <w:rPr>
          <w:spacing w:val="-2"/>
        </w:rPr>
        <w:t>正处于政策红利期，在此背景下，“合规、降负、增利”的新财税服务需求呈井喷之势。而传统财税服务机构依然以工商、</w:t>
      </w:r>
      <w:r>
        <w:rPr>
          <w:spacing w:val="-72"/>
        </w:rPr>
        <w:t> </w:t>
      </w:r>
      <w:r>
        <w:rPr>
          <w:spacing w:val="-72"/>
        </w:rPr>
      </w:r>
      <w:r>
        <w:rPr/>
        <w:t>代理记账、鉴证、审计为主的劳动密集型业务已经无法适应新时代的需求，财税服务机构也处于数字化转型的历史窗口期。</w:t>
      </w:r>
    </w:p>
    <w:p>
      <w:pPr>
        <w:pStyle w:val="BodyText"/>
        <w:spacing w:line="302" w:lineRule="auto" w:before="62"/>
        <w:ind w:left="174" w:right="1119" w:firstLine="360"/>
        <w:jc w:val="left"/>
      </w:pPr>
      <w:r>
        <w:rPr>
          <w:spacing w:val="-2"/>
        </w:rPr>
        <w:t>从内部环境看，经过多年的积累和市场验证，公司形成了适应财税产业的</w:t>
      </w:r>
      <w:r>
        <w:rPr>
          <w:spacing w:val="-39"/>
        </w:rPr>
        <w:t> </w:t>
      </w:r>
      <w:r>
        <w:rPr>
          <w:rFonts w:ascii="Times New Roman" w:hAnsi="Times New Roman" w:cs="Times New Roman" w:eastAsia="Times New Roman" w:hint="default"/>
        </w:rPr>
        <w:t>S2b2c</w:t>
      </w:r>
      <w:r>
        <w:rPr>
          <w:rFonts w:ascii="Times New Roman" w:hAnsi="Times New Roman" w:cs="Times New Roman" w:eastAsia="Times New Roman" w:hint="default"/>
          <w:spacing w:val="5"/>
        </w:rPr>
        <w:t> </w:t>
      </w:r>
      <w:r>
        <w:rPr>
          <w:spacing w:val="-2"/>
        </w:rPr>
        <w:t>的商业模式，以及支撑该商业模式的产</w:t>
      </w:r>
      <w:r>
        <w:rPr/>
        <w:t> 品体系，目前正处于市场快速推广期。</w:t>
      </w:r>
    </w:p>
    <w:p>
      <w:pPr>
        <w:pStyle w:val="BodyText"/>
        <w:spacing w:line="300" w:lineRule="auto" w:before="68"/>
        <w:ind w:left="174" w:right="1032" w:firstLine="360"/>
        <w:jc w:val="left"/>
      </w:pPr>
      <w:r>
        <w:rPr>
          <w:spacing w:val="-7"/>
        </w:rPr>
        <w:t>受内、外部环境双重利好的影响，报告期内，公司互联网财税业务实现营业收入</w:t>
      </w:r>
      <w:r>
        <w:rPr>
          <w:spacing w:val="-40"/>
        </w:rPr>
        <w:t> </w:t>
      </w:r>
      <w:r>
        <w:rPr>
          <w:rFonts w:ascii="Times New Roman" w:hAnsi="Times New Roman" w:cs="Times New Roman" w:eastAsia="Times New Roman" w:hint="default"/>
          <w:spacing w:val="-1"/>
        </w:rPr>
        <w:t>69,422.03</w:t>
      </w:r>
      <w:r>
        <w:rPr>
          <w:rFonts w:ascii="Times New Roman" w:hAnsi="Times New Roman" w:cs="Times New Roman" w:eastAsia="Times New Roman" w:hint="default"/>
          <w:spacing w:val="5"/>
        </w:rPr>
        <w:t> </w:t>
      </w:r>
      <w:r>
        <w:rPr>
          <w:spacing w:val="-9"/>
        </w:rPr>
        <w:t>万元，比上年同期增长</w:t>
      </w:r>
      <w:r>
        <w:rPr>
          <w:spacing w:val="-41"/>
        </w:rPr>
        <w:t> </w:t>
      </w:r>
      <w:r>
        <w:rPr>
          <w:rFonts w:ascii="Times New Roman" w:hAnsi="Times New Roman" w:cs="Times New Roman" w:eastAsia="Times New Roman" w:hint="default"/>
        </w:rPr>
        <w:t>37.29%</w:t>
      </w:r>
      <w:r>
        <w:rPr/>
        <w:t>， 其中财税云服务收入</w:t>
      </w:r>
      <w:r>
        <w:rPr>
          <w:spacing w:val="-47"/>
        </w:rPr>
        <w:t> </w:t>
      </w:r>
      <w:r>
        <w:rPr>
          <w:rFonts w:ascii="Times New Roman" w:hAnsi="Times New Roman" w:cs="Times New Roman" w:eastAsia="Times New Roman" w:hint="default"/>
        </w:rPr>
        <w:t>34,769.46</w:t>
      </w:r>
      <w:r>
        <w:rPr>
          <w:rFonts w:ascii="Times New Roman" w:hAnsi="Times New Roman" w:cs="Times New Roman" w:eastAsia="Times New Roman" w:hint="default"/>
          <w:spacing w:val="-2"/>
        </w:rPr>
        <w:t> </w:t>
      </w:r>
      <w:r>
        <w:rPr/>
        <w:t>万元，技术服务收入</w:t>
      </w:r>
      <w:r>
        <w:rPr>
          <w:spacing w:val="-47"/>
        </w:rPr>
        <w:t> </w:t>
      </w:r>
      <w:r>
        <w:rPr>
          <w:rFonts w:ascii="Times New Roman" w:hAnsi="Times New Roman" w:cs="Times New Roman" w:eastAsia="Times New Roman" w:hint="default"/>
        </w:rPr>
        <w:t>10,108.65</w:t>
      </w:r>
      <w:r>
        <w:rPr>
          <w:rFonts w:ascii="Times New Roman" w:hAnsi="Times New Roman" w:cs="Times New Roman" w:eastAsia="Times New Roman" w:hint="default"/>
          <w:spacing w:val="-2"/>
        </w:rPr>
        <w:t> </w:t>
      </w:r>
      <w:r>
        <w:rPr/>
        <w:t>万元，产品及开发服务收入</w:t>
      </w:r>
      <w:r>
        <w:rPr>
          <w:spacing w:val="-47"/>
        </w:rPr>
        <w:t> </w:t>
      </w:r>
      <w:r>
        <w:rPr>
          <w:rFonts w:ascii="Times New Roman" w:hAnsi="Times New Roman" w:cs="Times New Roman" w:eastAsia="Times New Roman" w:hint="default"/>
        </w:rPr>
        <w:t>17,439.61</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系统集成收入</w:t>
      </w:r>
    </w:p>
    <w:p>
      <w:pPr>
        <w:pStyle w:val="BodyText"/>
        <w:spacing w:line="240" w:lineRule="auto" w:before="13"/>
        <w:ind w:left="174" w:right="0"/>
        <w:jc w:val="both"/>
      </w:pPr>
      <w:r>
        <w:rPr>
          <w:rFonts w:ascii="Times New Roman" w:hAnsi="Times New Roman" w:cs="Times New Roman" w:eastAsia="Times New Roman" w:hint="default"/>
        </w:rPr>
        <w:t>6,945.83</w:t>
      </w:r>
      <w:r>
        <w:rPr>
          <w:rFonts w:ascii="Times New Roman" w:hAnsi="Times New Roman" w:cs="Times New Roman" w:eastAsia="Times New Roman" w:hint="default"/>
          <w:spacing w:val="-1"/>
        </w:rPr>
        <w:t> </w:t>
      </w:r>
      <w:r>
        <w:rPr/>
        <w:t>万元；实现利润总额及归属于母公司股东的净利润分别为</w:t>
      </w:r>
      <w:r>
        <w:rPr>
          <w:spacing w:val="-47"/>
        </w:rPr>
        <w:t> </w:t>
      </w:r>
      <w:r>
        <w:rPr>
          <w:rFonts w:ascii="Times New Roman" w:hAnsi="Times New Roman" w:cs="Times New Roman" w:eastAsia="Times New Roman" w:hint="default"/>
        </w:rPr>
        <w:t>27,424.51</w:t>
      </w:r>
      <w:r>
        <w:rPr>
          <w:rFonts w:ascii="Times New Roman" w:hAnsi="Times New Roman" w:cs="Times New Roman" w:eastAsia="Times New Roman" w:hint="default"/>
          <w:spacing w:val="-2"/>
        </w:rPr>
        <w:t> </w:t>
      </w:r>
      <w:r>
        <w:rPr/>
        <w:t>万元和</w:t>
      </w:r>
      <w:r>
        <w:rPr>
          <w:spacing w:val="-47"/>
        </w:rPr>
        <w:t> </w:t>
      </w:r>
      <w:r>
        <w:rPr>
          <w:rFonts w:ascii="Times New Roman" w:hAnsi="Times New Roman" w:cs="Times New Roman" w:eastAsia="Times New Roman" w:hint="default"/>
        </w:rPr>
        <w:t>24,559.16</w:t>
      </w:r>
      <w:r>
        <w:rPr>
          <w:rFonts w:ascii="Times New Roman" w:hAnsi="Times New Roman" w:cs="Times New Roman" w:eastAsia="Times New Roman" w:hint="default"/>
          <w:spacing w:val="-1"/>
        </w:rPr>
        <w:t> </w:t>
      </w:r>
      <w:r>
        <w:rPr/>
        <w:t>万元，较上年同期分别增长</w:t>
      </w:r>
    </w:p>
    <w:p>
      <w:pPr>
        <w:pStyle w:val="BodyText"/>
        <w:spacing w:line="240" w:lineRule="auto" w:before="64"/>
        <w:ind w:left="174" w:right="0"/>
        <w:jc w:val="both"/>
      </w:pPr>
      <w:r>
        <w:rPr>
          <w:rFonts w:ascii="Times New Roman" w:hAnsi="Times New Roman" w:cs="Times New Roman" w:eastAsia="Times New Roman" w:hint="default"/>
        </w:rPr>
        <w:t>39.33%</w:t>
      </w:r>
      <w:r>
        <w:rPr/>
        <w:t>和</w:t>
      </w:r>
      <w:r>
        <w:rPr>
          <w:spacing w:val="-48"/>
        </w:rPr>
        <w:t> </w:t>
      </w:r>
      <w:r>
        <w:rPr>
          <w:rFonts w:ascii="Times New Roman" w:hAnsi="Times New Roman" w:cs="Times New Roman" w:eastAsia="Times New Roman" w:hint="default"/>
        </w:rPr>
        <w:t>38.38%</w:t>
      </w:r>
      <w:r>
        <w:rPr/>
        <w:t>。</w:t>
      </w:r>
    </w:p>
    <w:p>
      <w:pPr>
        <w:pStyle w:val="BodyText"/>
        <w:spacing w:line="240" w:lineRule="auto" w:before="102"/>
        <w:ind w:right="0"/>
        <w:jc w:val="left"/>
      </w:pPr>
      <w:r>
        <w:rPr/>
        <w:t>公司互联网财税业务</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年度经营业绩较上年度有大幅增长，主要原因如下：</w:t>
      </w:r>
    </w:p>
    <w:p>
      <w:pPr>
        <w:pStyle w:val="BodyText"/>
        <w:spacing w:line="300" w:lineRule="auto" w:before="102"/>
        <w:ind w:left="174" w:right="1116" w:firstLine="360"/>
        <w:jc w:val="left"/>
      </w:pPr>
      <w:r>
        <w:rPr/>
        <w:t>财税云服务升级后收入为</w:t>
      </w:r>
      <w:r>
        <w:rPr>
          <w:spacing w:val="-63"/>
        </w:rPr>
        <w:t> </w:t>
      </w:r>
      <w:r>
        <w:rPr>
          <w:rFonts w:ascii="Times New Roman" w:hAnsi="Times New Roman" w:cs="Times New Roman" w:eastAsia="Times New Roman" w:hint="default"/>
        </w:rPr>
        <w:t>34,769.46</w:t>
      </w:r>
      <w:r>
        <w:rPr>
          <w:rFonts w:ascii="Times New Roman" w:hAnsi="Times New Roman" w:cs="Times New Roman" w:eastAsia="Times New Roman" w:hint="default"/>
          <w:spacing w:val="-18"/>
        </w:rPr>
        <w:t> </w:t>
      </w:r>
      <w:r>
        <w:rPr/>
        <w:t>万元，较上年度增长</w:t>
      </w:r>
      <w:r>
        <w:rPr>
          <w:spacing w:val="-63"/>
        </w:rPr>
        <w:t> </w:t>
      </w:r>
      <w:r>
        <w:rPr>
          <w:rFonts w:ascii="Times New Roman" w:hAnsi="Times New Roman" w:cs="Times New Roman" w:eastAsia="Times New Roman" w:hint="default"/>
        </w:rPr>
        <w:t>53.09%</w:t>
      </w:r>
      <w:r>
        <w:rPr/>
        <w:t>。该板块大幅度增长的主要原因是：企业端的收费模式 从原有的</w:t>
      </w:r>
      <w:r>
        <w:rPr>
          <w:spacing w:val="-46"/>
        </w:rPr>
        <w:t> </w:t>
      </w:r>
      <w:r>
        <w:rPr>
          <w:rFonts w:ascii="Times New Roman" w:hAnsi="Times New Roman" w:cs="Times New Roman" w:eastAsia="Times New Roman" w:hint="default"/>
        </w:rPr>
        <w:t>SaaS </w:t>
      </w:r>
      <w:r>
        <w:rPr/>
        <w:t>软件（凭证管家、发票管家、财税管家）收费升级为针对精准用户刚性需求的“会员制</w:t>
      </w:r>
      <w:r>
        <w:rPr>
          <w:rFonts w:ascii="Times New Roman" w:hAnsi="Times New Roman" w:cs="Times New Roman" w:eastAsia="Times New Roman" w:hint="default"/>
        </w:rPr>
        <w:t>+</w:t>
      </w:r>
      <w:r>
        <w:rPr/>
        <w:t>专项服务”的收费 方式，用户的</w:t>
      </w:r>
      <w:r>
        <w:rPr>
          <w:spacing w:val="-46"/>
        </w:rPr>
        <w:t> </w:t>
      </w:r>
      <w:r>
        <w:rPr>
          <w:rFonts w:ascii="Times New Roman" w:hAnsi="Times New Roman" w:cs="Times New Roman" w:eastAsia="Times New Roman" w:hint="default"/>
        </w:rPr>
        <w:t>ARPU</w:t>
      </w:r>
      <w:r>
        <w:rPr>
          <w:rFonts w:ascii="Times New Roman" w:hAnsi="Times New Roman" w:cs="Times New Roman" w:eastAsia="Times New Roman" w:hint="default"/>
          <w:spacing w:val="-1"/>
        </w:rPr>
        <w:t> </w:t>
      </w:r>
      <w:r>
        <w:rPr/>
        <w:t>值（即每个用户平均收入）得到提升；财税服务机构端的数字化转型升级是报告期的重点工作，由此 带来转型升级服务费的大幅度增长。</w:t>
      </w:r>
    </w:p>
    <w:p>
      <w:pPr>
        <w:pStyle w:val="BodyText"/>
        <w:spacing w:line="240" w:lineRule="auto" w:before="71"/>
        <w:ind w:right="0"/>
        <w:jc w:val="left"/>
      </w:pPr>
      <w:r>
        <w:rPr/>
        <w:t>伴随</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年经营业绩大幅度增长的同时，应收款也出现大幅增长，主要原因如下：</w:t>
      </w:r>
    </w:p>
    <w:p>
      <w:pPr>
        <w:pStyle w:val="BodyText"/>
        <w:spacing w:line="309" w:lineRule="auto" w:before="101"/>
        <w:ind w:left="174" w:right="1028" w:firstLine="360"/>
        <w:jc w:val="left"/>
      </w:pPr>
      <w:r>
        <w:rPr/>
        <w:t>运营平台在</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2"/>
        </w:rPr>
        <w:t>年下半年完成构建并投入运营，之前采用公司面向合作伙伴、合作伙伴面向最终企业用户的收费模式。</w:t>
      </w:r>
      <w:r>
        <w:rPr/>
        <w:t> </w:t>
      </w:r>
      <w:r>
        <w:rPr>
          <w:spacing w:val="-2"/>
        </w:rPr>
        <w:t>受宏观经济下行影响，微观企业用户和合作伙伴主体经营中的资金流动性缺乏，对财税服务需求的迫切度与自身实际支付能</w:t>
      </w:r>
      <w:r>
        <w:rPr>
          <w:spacing w:val="-64"/>
        </w:rPr>
        <w:t> </w:t>
      </w:r>
      <w:r>
        <w:rPr>
          <w:spacing w:val="-64"/>
        </w:rPr>
      </w:r>
      <w:r>
        <w:rPr/>
        <w:t>力之间的矛盾加剧，导致公司面向企业提供各项产品服务对应的应收账款较大。</w:t>
      </w:r>
    </w:p>
    <w:p>
      <w:pPr>
        <w:pStyle w:val="BodyText"/>
        <w:spacing w:line="302" w:lineRule="auto" w:before="64"/>
        <w:ind w:left="174" w:right="1124" w:firstLine="360"/>
        <w:jc w:val="left"/>
      </w:pPr>
      <w:r>
        <w:rPr>
          <w:rFonts w:ascii="Times New Roman" w:hAnsi="Times New Roman" w:cs="Times New Roman" w:eastAsia="Times New Roman" w:hint="default"/>
        </w:rPr>
        <w:t>2019 </w:t>
      </w:r>
      <w:r>
        <w:rPr/>
        <w:t>年运营平台全面投入使用后，采用企业向平台付费、平台向合作伙伴支付结算模式，</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年将会实现收款大于收 入的模式转变。</w:t>
      </w:r>
    </w:p>
    <w:p>
      <w:pPr>
        <w:pStyle w:val="BodyText"/>
        <w:spacing w:line="381" w:lineRule="auto" w:before="152"/>
        <w:ind w:right="1117" w:firstLine="1"/>
        <w:jc w:val="left"/>
      </w:pPr>
      <w:bookmarkStart w:name="2、热处理业务" w:id="44"/>
      <w:bookmarkEnd w:id="44"/>
      <w:r>
        <w:rPr/>
      </w:r>
      <w:r>
        <w:rPr>
          <w:rFonts w:ascii="Times New Roman" w:hAnsi="Times New Roman" w:cs="Times New Roman" w:eastAsia="Times New Roman" w:hint="default"/>
          <w:b/>
          <w:bCs/>
        </w:rPr>
        <w:t>2</w:t>
      </w:r>
      <w:r>
        <w:rPr>
          <w:rFonts w:ascii="宋体" w:hAnsi="宋体" w:cs="宋体" w:eastAsia="宋体" w:hint="default"/>
          <w:b/>
          <w:bCs/>
        </w:rPr>
        <w:t>、热处理业务</w:t>
      </w:r>
      <w:r>
        <w:rPr>
          <w:rFonts w:ascii="宋体" w:hAnsi="宋体" w:cs="宋体" w:eastAsia="宋体" w:hint="default"/>
          <w:b/>
          <w:bCs/>
          <w:w w:val="99"/>
        </w:rPr>
        <w:t> </w:t>
      </w:r>
      <w:r>
        <w:rPr>
          <w:spacing w:val="-2"/>
        </w:rPr>
        <w:t>目前，我国正处于经济转型升级的关键阶段，制造业转型升级迫在眉睫，以新材料、新能源、新能源汽车、新一代信息</w:t>
      </w:r>
    </w:p>
    <w:p>
      <w:pPr>
        <w:pStyle w:val="BodyText"/>
        <w:spacing w:line="219" w:lineRule="exact" w:before="0"/>
        <w:ind w:left="174" w:right="0"/>
        <w:jc w:val="both"/>
      </w:pPr>
      <w:r>
        <w:rPr>
          <w:spacing w:val="-1"/>
        </w:rPr>
        <w:t>技术、高端智能装备制造、生物技术及节能环保为代表的战略性新兴产业发展迅速。公司紧跟“中国制造</w:t>
      </w:r>
      <w:r>
        <w:rPr>
          <w:spacing w:val="-28"/>
        </w:rPr>
        <w:t> </w:t>
      </w:r>
      <w:r>
        <w:rPr>
          <w:rFonts w:ascii="Times New Roman" w:hAnsi="Times New Roman" w:cs="Times New Roman" w:eastAsia="Times New Roman" w:hint="default"/>
          <w:spacing w:val="-1"/>
        </w:rPr>
        <w:t>2025</w:t>
      </w:r>
      <w:r>
        <w:rPr>
          <w:spacing w:val="-1"/>
        </w:rPr>
        <w:t>”发展步伐，</w:t>
      </w:r>
    </w:p>
    <w:p>
      <w:pPr>
        <w:pStyle w:val="BodyText"/>
        <w:spacing w:line="307" w:lineRule="auto" w:before="63"/>
        <w:ind w:left="174" w:right="1131"/>
        <w:jc w:val="both"/>
      </w:pPr>
      <w:r>
        <w:rPr>
          <w:spacing w:val="-2"/>
        </w:rPr>
        <w:t>坚持以市场为导向，以产品研发为抓手，重点围绕汽车、工程机械、轨道交通、新能源、通用航空及标准件等产业，为客户</w:t>
      </w:r>
      <w:r>
        <w:rPr>
          <w:spacing w:val="-72"/>
        </w:rPr>
        <w:t> </w:t>
      </w:r>
      <w:r>
        <w:rPr>
          <w:spacing w:val="-72"/>
        </w:rPr>
      </w:r>
      <w:r>
        <w:rPr/>
        <w:t>提供高质量的热处理装备方案和商业热处理加工服务，同时在智能制造项目方面进行了有益的尝试。</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年，公司热处理 业务保持了持续稳定增长。报告期内，热处理板块实现营业收入</w:t>
      </w:r>
      <w:r>
        <w:rPr>
          <w:spacing w:val="-63"/>
        </w:rPr>
        <w:t> </w:t>
      </w:r>
      <w:r>
        <w:rPr>
          <w:rFonts w:ascii="Times New Roman" w:hAnsi="Times New Roman" w:cs="Times New Roman" w:eastAsia="Times New Roman" w:hint="default"/>
        </w:rPr>
        <w:t>57,024.31</w:t>
      </w:r>
      <w:r>
        <w:rPr>
          <w:rFonts w:ascii="Times New Roman" w:hAnsi="Times New Roman" w:cs="Times New Roman" w:eastAsia="Times New Roman" w:hint="default"/>
          <w:spacing w:val="-18"/>
        </w:rPr>
        <w:t> </w:t>
      </w:r>
      <w:r>
        <w:rPr/>
        <w:t>万元，较上年增长</w:t>
      </w:r>
      <w:r>
        <w:rPr>
          <w:spacing w:val="-63"/>
        </w:rPr>
        <w:t> </w:t>
      </w:r>
      <w:r>
        <w:rPr>
          <w:rFonts w:ascii="Times New Roman" w:hAnsi="Times New Roman" w:cs="Times New Roman" w:eastAsia="Times New Roman" w:hint="default"/>
        </w:rPr>
        <w:t>16.19%</w:t>
      </w:r>
      <w:r>
        <w:rPr/>
        <w:t>，实现利润总额及归属 于母公司股东的净利润分别为</w:t>
      </w:r>
      <w:r>
        <w:rPr>
          <w:spacing w:val="-46"/>
        </w:rPr>
        <w:t> </w:t>
      </w:r>
      <w:r>
        <w:rPr>
          <w:rFonts w:ascii="Times New Roman" w:hAnsi="Times New Roman" w:cs="Times New Roman" w:eastAsia="Times New Roman" w:hint="default"/>
        </w:rPr>
        <w:t>9,370.94</w:t>
      </w:r>
      <w:r>
        <w:rPr>
          <w:rFonts w:ascii="Times New Roman" w:hAnsi="Times New Roman" w:cs="Times New Roman" w:eastAsia="Times New Roman" w:hint="default"/>
          <w:spacing w:val="-1"/>
        </w:rPr>
        <w:t> </w:t>
      </w:r>
      <w:r>
        <w:rPr/>
        <w:t>万元和</w:t>
      </w:r>
      <w:r>
        <w:rPr>
          <w:spacing w:val="-46"/>
        </w:rPr>
        <w:t> </w:t>
      </w:r>
      <w:r>
        <w:rPr>
          <w:rFonts w:ascii="Times New Roman" w:hAnsi="Times New Roman" w:cs="Times New Roman" w:eastAsia="Times New Roman" w:hint="default"/>
        </w:rPr>
        <w:t>6,536.02 </w:t>
      </w:r>
      <w:r>
        <w:rPr/>
        <w:t>万元，较上年分别增长</w:t>
      </w:r>
      <w:r>
        <w:rPr>
          <w:spacing w:val="-46"/>
        </w:rPr>
        <w:t> </w:t>
      </w:r>
      <w:r>
        <w:rPr>
          <w:rFonts w:ascii="Times New Roman" w:hAnsi="Times New Roman" w:cs="Times New Roman" w:eastAsia="Times New Roman" w:hint="default"/>
        </w:rPr>
        <w:t>21.98%</w:t>
      </w:r>
      <w:r>
        <w:rPr/>
        <w:t>和</w:t>
      </w:r>
      <w:r>
        <w:rPr>
          <w:spacing w:val="-46"/>
        </w:rPr>
        <w:t> </w:t>
      </w:r>
      <w:r>
        <w:rPr>
          <w:rFonts w:ascii="Times New Roman" w:hAnsi="Times New Roman" w:cs="Times New Roman" w:eastAsia="Times New Roman" w:hint="default"/>
        </w:rPr>
        <w:t>23.61%</w:t>
      </w:r>
      <w:r>
        <w:rPr/>
        <w:t>。</w:t>
      </w:r>
    </w:p>
    <w:p>
      <w:pPr>
        <w:pStyle w:val="BodyText"/>
        <w:spacing w:line="240" w:lineRule="auto" w:before="45"/>
        <w:ind w:left="535"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）市场开拓方面</w:t>
      </w:r>
      <w:r>
        <w:rPr/>
        <w:t>：公司不断加强渠道建设，大力开拓多元化市场，积极参加热处理行业最具影响力的各类会议与展</w:t>
      </w:r>
    </w:p>
    <w:p>
      <w:pPr>
        <w:spacing w:after="0" w:line="240"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0"/>
        <w:jc w:val="left"/>
      </w:pPr>
      <w:r>
        <w:rPr>
          <w:spacing w:val="-2"/>
        </w:rPr>
        <w:t>览，主动融入到台湾、泰国、土耳其等行业协会，同时还积极参与到下游相关细分行业（如粉末冶金、紧固件、轴承等）专</w:t>
      </w:r>
      <w:r>
        <w:rPr>
          <w:spacing w:val="-68"/>
        </w:rPr>
        <w:t> </w:t>
      </w:r>
      <w:r>
        <w:rPr>
          <w:spacing w:val="-68"/>
        </w:rPr>
      </w:r>
      <w:r>
        <w:rPr/>
        <w:t>业展览会，利用专业协会和展会的平台优势，展示丰东良好形象并积极开拓国内及海外设备及售后服务市场。</w:t>
      </w:r>
    </w:p>
    <w:p>
      <w:pPr>
        <w:pStyle w:val="BodyText"/>
        <w:spacing w:line="302" w:lineRule="auto" w:before="55"/>
        <w:ind w:left="174" w:right="1133" w:firstLine="361"/>
        <w:jc w:val="both"/>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）技术研发方面</w:t>
      </w:r>
      <w:r>
        <w:rPr/>
        <w:t>：公司建设的“国家智能制造专项</w:t>
      </w:r>
      <w:r>
        <w:rPr>
          <w:rFonts w:ascii="Times New Roman" w:hAnsi="Times New Roman" w:cs="Times New Roman" w:eastAsia="Times New Roman" w:hint="default"/>
        </w:rPr>
        <w:t>——</w:t>
      </w:r>
      <w:r>
        <w:rPr/>
        <w:t>无人化智能热处理工厂”顺利通过国家工信部终验收；根据 客户需求成功开发了辊棒式淬火炉生产线、</w:t>
      </w:r>
      <w:r>
        <w:rPr>
          <w:rFonts w:ascii="Times New Roman" w:hAnsi="Times New Roman" w:cs="Times New Roman" w:eastAsia="Times New Roman" w:hint="default"/>
        </w:rPr>
        <w:t>BBH </w:t>
      </w:r>
      <w:r>
        <w:rPr/>
        <w:t>预抽真空箱式高温快冷加热炉、</w:t>
      </w:r>
      <w:r>
        <w:rPr>
          <w:rFonts w:ascii="Times New Roman" w:hAnsi="Times New Roman" w:cs="Times New Roman" w:eastAsia="Times New Roman" w:hint="default"/>
        </w:rPr>
        <w:t>UMA</w:t>
      </w:r>
      <w:r>
        <w:rPr>
          <w:rFonts w:ascii="Times New Roman" w:hAnsi="Times New Roman" w:cs="Times New Roman" w:eastAsia="Times New Roman" w:hint="default"/>
          <w:spacing w:val="-4"/>
        </w:rPr>
        <w:t> </w:t>
      </w:r>
      <w:r>
        <w:rPr/>
        <w:t>网带式脱脂保护气氛退火炉、</w:t>
      </w:r>
      <w:r>
        <w:rPr>
          <w:rFonts w:ascii="Times New Roman" w:hAnsi="Times New Roman" w:cs="Times New Roman" w:eastAsia="Times New Roman" w:hint="default"/>
        </w:rPr>
        <w:t>UMN</w:t>
      </w:r>
      <w:r>
        <w:rPr>
          <w:rFonts w:ascii="Times New Roman" w:hAnsi="Times New Roman" w:cs="Times New Roman" w:eastAsia="Times New Roman" w:hint="default"/>
          <w:spacing w:val="-1"/>
          <w:w w:val="99"/>
        </w:rPr>
        <w:t> </w:t>
      </w:r>
      <w:r>
        <w:rPr/>
        <w:t>网带式正火炉生产线等，进一步丰富了公司产品线，拓宽了产品应用领域。</w:t>
      </w:r>
    </w:p>
    <w:p>
      <w:pPr>
        <w:pStyle w:val="BodyText"/>
        <w:spacing w:line="307" w:lineRule="auto" w:before="69"/>
        <w:ind w:left="174" w:right="1041" w:firstLine="361"/>
        <w:jc w:val="left"/>
      </w:pPr>
      <w:r>
        <w:rPr>
          <w:rFonts w:ascii="宋体" w:hAnsi="宋体" w:cs="宋体" w:eastAsia="宋体" w:hint="default"/>
          <w:b/>
          <w:bCs/>
          <w:spacing w:val="-2"/>
        </w:rPr>
        <w:t>（</w:t>
      </w:r>
      <w:r>
        <w:rPr>
          <w:rFonts w:ascii="Times New Roman" w:hAnsi="Times New Roman" w:cs="Times New Roman" w:eastAsia="Times New Roman" w:hint="default"/>
          <w:b/>
          <w:bCs/>
          <w:spacing w:val="-2"/>
        </w:rPr>
        <w:t>3</w:t>
      </w:r>
      <w:r>
        <w:rPr>
          <w:rFonts w:ascii="宋体" w:hAnsi="宋体" w:cs="宋体" w:eastAsia="宋体" w:hint="default"/>
          <w:b/>
          <w:bCs/>
          <w:spacing w:val="-2"/>
        </w:rPr>
        <w:t>）对外投资方面</w:t>
      </w:r>
      <w:r>
        <w:rPr>
          <w:spacing w:val="-2"/>
        </w:rPr>
        <w:t>：报告期内，公司实施了烟台丰东建设，满足了客户项目配套要求；为进一步拓展热处理加工业务，</w:t>
      </w:r>
      <w:r>
        <w:rPr/>
        <w:t> 公司启动了青岛热工项目建设；</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日，丰东热技术与高周波热炼株式会社、上海格尔汽车科技发展有限公司 </w:t>
      </w:r>
      <w:r>
        <w:rPr>
          <w:spacing w:val="-5"/>
        </w:rPr>
        <w:t>在烟台签署了《合营合同》，各方拟合资设立“烟台格尔热炼科技发展有限公司”（暂定名，以工商最终核准为准），作为公</w:t>
      </w:r>
      <w:r>
        <w:rPr>
          <w:spacing w:val="-85"/>
        </w:rPr>
        <w:t> </w:t>
      </w:r>
      <w:r>
        <w:rPr>
          <w:spacing w:val="-85"/>
        </w:rPr>
      </w:r>
      <w:r>
        <w:rPr/>
        <w:t>司向汽车零部件产业延伸的一个试点，进一步延伸公司产业链。</w:t>
      </w:r>
    </w:p>
    <w:p>
      <w:pPr>
        <w:spacing w:line="240" w:lineRule="auto" w:before="7"/>
        <w:rPr>
          <w:rFonts w:ascii="宋体" w:hAnsi="宋体" w:cs="宋体" w:eastAsia="宋体" w:hint="default"/>
          <w:sz w:val="24"/>
          <w:szCs w:val="24"/>
        </w:rPr>
      </w:pPr>
    </w:p>
    <w:p>
      <w:pPr>
        <w:pStyle w:val="Heading2"/>
        <w:spacing w:line="240" w:lineRule="auto"/>
        <w:ind w:right="0"/>
        <w:jc w:val="left"/>
        <w:rPr>
          <w:b w:val="0"/>
          <w:bCs w:val="0"/>
        </w:rPr>
      </w:pPr>
      <w:bookmarkStart w:name="二、主营业务分析" w:id="45"/>
      <w:bookmarkEnd w:id="45"/>
      <w:r>
        <w:rPr>
          <w:b w:val="0"/>
          <w:bCs w:val="0"/>
        </w:rPr>
      </w:r>
      <w:r>
        <w:rPr/>
        <w:t>二、主营业务分析</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概述" w:id="46"/>
      <w:bookmarkEnd w:id="46"/>
      <w:r>
        <w:rPr>
          <w:b w:val="0"/>
          <w:bCs w:val="0"/>
        </w:rPr>
      </w:r>
      <w:r>
        <w:rPr>
          <w:rFonts w:ascii="Times New Roman" w:hAnsi="Times New Roman" w:cs="Times New Roman" w:eastAsia="Times New Roman" w:hint="default"/>
        </w:rPr>
        <w:t>1</w:t>
      </w:r>
      <w:r>
        <w:rPr/>
        <w:t>、概述</w:t>
      </w:r>
      <w:r>
        <w:rPr>
          <w:b w:val="0"/>
          <w:bCs w:val="0"/>
        </w:rPr>
      </w:r>
    </w:p>
    <w:p>
      <w:pPr>
        <w:pStyle w:val="BodyText"/>
        <w:spacing w:line="240" w:lineRule="auto" w:before="157"/>
        <w:ind w:right="0"/>
        <w:jc w:val="left"/>
      </w:pPr>
      <w:r>
        <w:rPr/>
        <w:t>报告期内，公司互联网财税业务和热处理业务均实现稳步增长，具体情况如下表：</w:t>
      </w:r>
    </w:p>
    <w:p>
      <w:pPr>
        <w:spacing w:line="240" w:lineRule="auto" w:before="0"/>
        <w:rPr>
          <w:rFonts w:ascii="宋体" w:hAnsi="宋体" w:cs="宋体" w:eastAsia="宋体" w:hint="default"/>
          <w:sz w:val="18"/>
          <w:szCs w:val="18"/>
        </w:rPr>
      </w:pPr>
    </w:p>
    <w:p>
      <w:pPr>
        <w:pStyle w:val="BodyText"/>
        <w:spacing w:line="240" w:lineRule="auto" w:before="153"/>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169" w:type="dxa"/>
        <w:tblLayout w:type="fixed"/>
        <w:tblCellMar>
          <w:top w:w="0" w:type="dxa"/>
          <w:left w:w="0" w:type="dxa"/>
          <w:bottom w:w="0" w:type="dxa"/>
          <w:right w:w="0" w:type="dxa"/>
        </w:tblCellMar>
        <w:tblLook w:val="01E0"/>
      </w:tblPr>
      <w:tblGrid>
        <w:gridCol w:w="2553"/>
        <w:gridCol w:w="1418"/>
        <w:gridCol w:w="1418"/>
        <w:gridCol w:w="851"/>
        <w:gridCol w:w="3401"/>
      </w:tblGrid>
      <w:tr>
        <w:trPr>
          <w:trHeight w:val="685"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同比变动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tc>
      </w:tr>
      <w:tr>
        <w:trPr>
          <w:trHeight w:val="397"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1,264,089,833.20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997,742,267.47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26.70%</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655,499,188.56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542,497,560.48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20.83%</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553"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57,621,661.09</w:t>
            </w:r>
          </w:p>
        </w:tc>
        <w:tc>
          <w:tcPr>
            <w:tcW w:w="141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39,487,154.23</w:t>
            </w:r>
          </w:p>
        </w:tc>
        <w:tc>
          <w:tcPr>
            <w:tcW w:w="85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45.93%</w:t>
            </w:r>
          </w:p>
        </w:tc>
        <w:tc>
          <w:tcPr>
            <w:tcW w:w="3401" w:type="dxa"/>
            <w:tcBorders>
              <w:top w:val="single" w:sz="4" w:space="0" w:color="000000"/>
              <w:left w:val="single" w:sz="4" w:space="0" w:color="000000"/>
              <w:bottom w:val="single" w:sz="4" w:space="0" w:color="FFFFFF"/>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主要系互联网财税业务扩张</w:t>
            </w:r>
            <w:r>
              <w:rPr>
                <w:rFonts w:ascii="宋体" w:hAnsi="宋体" w:cs="宋体" w:eastAsia="宋体" w:hint="default"/>
                <w:spacing w:val="-76"/>
                <w:sz w:val="18"/>
                <w:szCs w:val="18"/>
              </w:rPr>
              <w:t>、</w:t>
            </w:r>
            <w:r>
              <w:rPr>
                <w:rFonts w:ascii="宋体" w:hAnsi="宋体" w:cs="宋体" w:eastAsia="宋体" w:hint="default"/>
                <w:sz w:val="18"/>
                <w:szCs w:val="18"/>
              </w:rPr>
              <w:t>销售人员增加</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带来相关费用增加所致</w:t>
            </w:r>
          </w:p>
        </w:tc>
      </w:tr>
      <w:tr>
        <w:trPr>
          <w:trHeight w:val="491" w:hRule="exact"/>
        </w:trPr>
        <w:tc>
          <w:tcPr>
            <w:tcW w:w="2553"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143,466,992.14</w:t>
            </w:r>
          </w:p>
        </w:tc>
        <w:tc>
          <w:tcPr>
            <w:tcW w:w="14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98,006,775.52</w:t>
            </w:r>
          </w:p>
        </w:tc>
        <w:tc>
          <w:tcPr>
            <w:tcW w:w="8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46.38%</w:t>
            </w:r>
          </w:p>
        </w:tc>
        <w:tc>
          <w:tcPr>
            <w:tcW w:w="3401" w:type="dxa"/>
            <w:tcBorders>
              <w:top w:val="single" w:sz="4" w:space="0" w:color="FFFFFF"/>
              <w:left w:val="single" w:sz="4" w:space="0" w:color="000000"/>
              <w:bottom w:val="single" w:sz="4" w:space="0" w:color="000000"/>
              <w:right w:val="single" w:sz="4" w:space="0" w:color="000000"/>
            </w:tcBorders>
          </w:tcPr>
          <w:p>
            <w:pPr>
              <w:pStyle w:val="TableParagraph"/>
              <w:spacing w:line="240" w:lineRule="exact" w:before="1"/>
              <w:ind w:left="22" w:right="22"/>
              <w:jc w:val="left"/>
              <w:rPr>
                <w:rFonts w:ascii="宋体" w:hAnsi="宋体" w:cs="宋体" w:eastAsia="宋体" w:hint="default"/>
                <w:sz w:val="18"/>
                <w:szCs w:val="18"/>
              </w:rPr>
            </w:pPr>
            <w:r>
              <w:rPr>
                <w:rFonts w:ascii="宋体" w:hAnsi="宋体" w:cs="宋体" w:eastAsia="宋体" w:hint="default"/>
                <w:spacing w:val="-4"/>
                <w:sz w:val="18"/>
                <w:szCs w:val="18"/>
              </w:rPr>
              <w:t>主要系伴随着互联网财税业务的发展，管理</w:t>
            </w:r>
            <w:r>
              <w:rPr>
                <w:rFonts w:ascii="宋体" w:hAnsi="宋体" w:cs="宋体" w:eastAsia="宋体" w:hint="default"/>
                <w:sz w:val="18"/>
                <w:szCs w:val="18"/>
              </w:rPr>
              <w:t> 人员发生的费用及房屋租赁费用增加所致</w:t>
            </w:r>
          </w:p>
        </w:tc>
      </w:tr>
      <w:tr>
        <w:trPr>
          <w:trHeight w:val="396"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64,060,229.80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60,700,880.22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5.53%</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6,127,247.31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-6,974,973.98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187.85%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3"/>
              <w:jc w:val="left"/>
              <w:rPr>
                <w:rFonts w:ascii="宋体" w:hAnsi="宋体" w:cs="宋体" w:eastAsia="宋体" w:hint="default"/>
                <w:sz w:val="18"/>
                <w:szCs w:val="18"/>
              </w:rPr>
            </w:pPr>
            <w:r>
              <w:rPr>
                <w:rFonts w:ascii="宋体" w:hAnsi="宋体" w:cs="宋体" w:eastAsia="宋体" w:hint="default"/>
                <w:spacing w:val="-4"/>
                <w:sz w:val="18"/>
                <w:szCs w:val="18"/>
              </w:rPr>
              <w:t>主要系本期银行贷款增加，而上年同期收到</w:t>
            </w:r>
            <w:r>
              <w:rPr>
                <w:rFonts w:ascii="宋体" w:hAnsi="宋体" w:cs="宋体" w:eastAsia="宋体" w:hint="default"/>
                <w:sz w:val="18"/>
                <w:szCs w:val="18"/>
              </w:rPr>
              <w:t> 政府贴息</w:t>
            </w:r>
            <w:r>
              <w:rPr>
                <w:rFonts w:ascii="Times New Roman" w:hAnsi="Times New Roman" w:cs="Times New Roman" w:eastAsia="Times New Roman" w:hint="default"/>
                <w:sz w:val="18"/>
                <w:szCs w:val="18"/>
              </w:rPr>
              <w:t>472</w:t>
            </w:r>
            <w:r>
              <w:rPr>
                <w:rFonts w:ascii="宋体" w:hAnsi="宋体" w:cs="宋体" w:eastAsia="宋体" w:hint="default"/>
                <w:sz w:val="18"/>
                <w:szCs w:val="18"/>
              </w:rPr>
              <w:t>万元所致</w:t>
            </w:r>
          </w:p>
        </w:tc>
      </w:tr>
      <w:tr>
        <w:trPr>
          <w:trHeight w:val="397"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347,034,600.53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269,779,632.27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28.64%</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归属于公司所有者的净利润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291,043,046.39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227,912,897.73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27.70%</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188,597,931.57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95,182,305.94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z w:val="18"/>
              </w:rPr>
              <w:t>98.14%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主要系互联网财税板块加大研发投入所致</w:t>
            </w:r>
          </w:p>
        </w:tc>
      </w:tr>
      <w:tr>
        <w:trPr>
          <w:trHeight w:val="491"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119,448,073.51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192,849,329.60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-38.06%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3"/>
              <w:jc w:val="left"/>
              <w:rPr>
                <w:rFonts w:ascii="宋体" w:hAnsi="宋体" w:cs="宋体" w:eastAsia="宋体" w:hint="default"/>
                <w:sz w:val="18"/>
                <w:szCs w:val="18"/>
              </w:rPr>
            </w:pPr>
            <w:r>
              <w:rPr>
                <w:rFonts w:ascii="宋体" w:hAnsi="宋体" w:cs="宋体" w:eastAsia="宋体" w:hint="default"/>
                <w:spacing w:val="-4"/>
                <w:sz w:val="18"/>
                <w:szCs w:val="18"/>
              </w:rPr>
              <w:t>主要系本年经营扩张，相应的经营性付款增</w:t>
            </w:r>
            <w:r>
              <w:rPr>
                <w:rFonts w:ascii="宋体" w:hAnsi="宋体" w:cs="宋体" w:eastAsia="宋体" w:hint="default"/>
                <w:sz w:val="18"/>
                <w:szCs w:val="18"/>
              </w:rPr>
              <w:t> 加所致</w:t>
            </w:r>
          </w:p>
        </w:tc>
      </w:tr>
      <w:tr>
        <w:trPr>
          <w:trHeight w:val="490"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334,585,030.15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-1,499,816,250.69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122.31%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4"/>
                <w:sz w:val="18"/>
                <w:szCs w:val="18"/>
              </w:rPr>
              <w:t>主要系支付益东金财财产份额受让款、归还</w:t>
            </w:r>
            <w:r>
              <w:rPr>
                <w:rFonts w:ascii="宋体" w:hAnsi="宋体" w:cs="宋体" w:eastAsia="宋体" w:hint="default"/>
                <w:sz w:val="18"/>
                <w:szCs w:val="18"/>
              </w:rPr>
              <w:t> 股东借款以及支付股利增加所致</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-387,306,271.86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266,052,838.96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w w:val="95"/>
                <w:sz w:val="18"/>
              </w:rPr>
              <w:t>-245.57%</w:t>
            </w:r>
            <w:r>
              <w:rPr>
                <w:rFonts w:ascii="Times New Roman"/>
                <w:sz w:val="18"/>
              </w:rPr>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主要系部分理财产品到期赎回所致</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收入与成本" w:id="47"/>
      <w:bookmarkEnd w:id="47"/>
      <w:r>
        <w:rPr>
          <w:b w:val="0"/>
          <w:bCs w:val="0"/>
        </w:rPr>
      </w:r>
      <w:r>
        <w:rPr>
          <w:rFonts w:ascii="Times New Roman" w:hAnsi="Times New Roman" w:cs="Times New Roman" w:eastAsia="Times New Roman" w:hint="default"/>
        </w:rPr>
        <w:t>2</w:t>
      </w:r>
      <w:r>
        <w:rPr/>
        <w:t>、收入与成本</w:t>
      </w:r>
      <w:r>
        <w:rPr>
          <w:b w:val="0"/>
          <w:bCs w:val="0"/>
        </w:rPr>
      </w:r>
    </w:p>
    <w:p>
      <w:pPr>
        <w:pStyle w:val="Heading3"/>
        <w:spacing w:line="240" w:lineRule="auto" w:before="189"/>
        <w:ind w:right="0"/>
        <w:jc w:val="left"/>
        <w:rPr>
          <w:b w:val="0"/>
          <w:bCs w:val="0"/>
        </w:rPr>
      </w:pPr>
      <w:bookmarkStart w:name="（1）营业收入构成" w:id="48"/>
      <w:bookmarkEnd w:id="4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17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5" w:hRule="exact"/>
        </w:trPr>
        <w:tc>
          <w:tcPr>
            <w:tcW w:w="15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64"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170"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5"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3"/>
              <w:ind w:left="289" w:right="0"/>
              <w:jc w:val="left"/>
              <w:rPr>
                <w:rFonts w:ascii="Times New Roman" w:hAnsi="Times New Roman" w:cs="Times New Roman" w:eastAsia="Times New Roman" w:hint="default"/>
                <w:sz w:val="18"/>
                <w:szCs w:val="18"/>
              </w:rPr>
            </w:pPr>
            <w:r>
              <w:rPr>
                <w:rFonts w:ascii="Times New Roman"/>
                <w:sz w:val="18"/>
              </w:rPr>
              <w:t>1,264,089,833.20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63"/>
              <w:ind w:left="425" w:right="0"/>
              <w:jc w:val="left"/>
              <w:rPr>
                <w:rFonts w:ascii="Times New Roman" w:hAnsi="Times New Roman" w:cs="Times New Roman" w:eastAsia="Times New Roman" w:hint="default"/>
                <w:sz w:val="18"/>
                <w:szCs w:val="18"/>
              </w:rPr>
            </w:pPr>
            <w:r>
              <w:rPr>
                <w:rFonts w:ascii="Times New Roman"/>
                <w:sz w:val="18"/>
              </w:rPr>
              <w:t>997,742,267.47</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1007" w:right="0"/>
              <w:jc w:val="left"/>
              <w:rPr>
                <w:rFonts w:ascii="Times New Roman" w:hAnsi="Times New Roman" w:cs="Times New Roman" w:eastAsia="Times New Roman" w:hint="default"/>
                <w:sz w:val="18"/>
                <w:szCs w:val="18"/>
              </w:rPr>
            </w:pPr>
            <w:r>
              <w:rPr>
                <w:rFonts w:ascii="Times New Roman"/>
                <w:sz w:val="18"/>
              </w:rPr>
              <w:t>26.70%</w:t>
            </w:r>
          </w:p>
        </w:tc>
      </w:tr>
      <w:tr>
        <w:trPr>
          <w:trHeight w:val="325"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570,243,098.22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45.11%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492,079,652.38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49.32%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15.88%</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347,694,584.87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227,121,465.29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53.09%</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346,152,150.11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278,541,149.80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24.27%</w:t>
            </w:r>
          </w:p>
        </w:tc>
      </w:tr>
      <w:tr>
        <w:trPr>
          <w:trHeight w:val="330"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热处理设备销售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240,007,788.54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216,409,781.78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10.90%</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263,691,209.12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218,801,873.65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20.52%</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347,694,584.87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227,121,465.29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53.09%</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101,086,501.49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67,713,726.01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49.29%</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产品及开发服务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174,396,107.96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100,769,495.47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73.06%</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69,458,307.12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110,057,928.32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-36.89%</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67,755,334.10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56,867,996.95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19.14%</w:t>
            </w:r>
          </w:p>
        </w:tc>
      </w:tr>
      <w:tr>
        <w:trPr>
          <w:trHeight w:val="330"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24,184,619.68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7,587,645.01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218.74%</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88,138,655.49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54,120,569.13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62.86%</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504,198,132.98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341,324,762.46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34.21%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47.72%</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465,928,491.63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443,475,599.31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44.46%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5.06%</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32,080,802.83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10,906,277.20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194.15%</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85,581,121.65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73,865,359.26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15.86%</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16,332,419.37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34,153,330.23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-52.18%</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47,645,589.57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32,308,724.87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47.47%</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518"/>
        <w:gridCol w:w="1008"/>
        <w:gridCol w:w="1010"/>
        <w:gridCol w:w="1011"/>
        <w:gridCol w:w="1012"/>
        <w:gridCol w:w="1003"/>
        <w:gridCol w:w="1005"/>
        <w:gridCol w:w="1002"/>
        <w:gridCol w:w="1002"/>
      </w:tblGrid>
      <w:tr>
        <w:trPr>
          <w:trHeight w:val="206" w:hRule="exact"/>
        </w:trPr>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5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1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82,789,480.64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9" w:right="0"/>
              <w:jc w:val="center"/>
              <w:rPr>
                <w:rFonts w:ascii="Times New Roman" w:hAnsi="Times New Roman" w:cs="Times New Roman" w:eastAsia="Times New Roman" w:hint="default"/>
                <w:sz w:val="15"/>
                <w:szCs w:val="15"/>
              </w:rPr>
            </w:pPr>
            <w:r>
              <w:rPr>
                <w:rFonts w:ascii="Times New Roman"/>
                <w:sz w:val="15"/>
              </w:rPr>
              <w:t>113,481,377.34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178,602,694.90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 w:right="0"/>
              <w:jc w:val="center"/>
              <w:rPr>
                <w:rFonts w:ascii="Times New Roman" w:hAnsi="Times New Roman" w:cs="Times New Roman" w:eastAsia="Times New Roman" w:hint="default"/>
                <w:sz w:val="15"/>
                <w:szCs w:val="15"/>
              </w:rPr>
            </w:pPr>
            <w:r>
              <w:rPr>
                <w:rFonts w:ascii="Times New Roman"/>
                <w:sz w:val="15"/>
              </w:rPr>
              <w:t>319,346,767.00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70,078,387.49</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87,480,227.84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z w:val="15"/>
              </w:rPr>
              <w:t>120,444,086.22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z w:val="15"/>
              </w:rPr>
              <w:t>227,659,913.54</w:t>
            </w:r>
          </w:p>
        </w:tc>
      </w:tr>
      <w:tr>
        <w:trPr>
          <w:trHeight w:val="570"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17,258,383.77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9" w:right="0"/>
              <w:jc w:val="center"/>
              <w:rPr>
                <w:rFonts w:ascii="Times New Roman" w:hAnsi="Times New Roman" w:cs="Times New Roman" w:eastAsia="Times New Roman" w:hint="default"/>
                <w:sz w:val="15"/>
                <w:szCs w:val="15"/>
              </w:rPr>
            </w:pPr>
            <w:r>
              <w:rPr>
                <w:rFonts w:ascii="Times New Roman"/>
                <w:sz w:val="15"/>
              </w:rPr>
              <w:t>37,180,470.64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80,156,318.17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0" w:right="0"/>
              <w:jc w:val="center"/>
              <w:rPr>
                <w:rFonts w:ascii="Times New Roman" w:hAnsi="Times New Roman" w:cs="Times New Roman" w:eastAsia="Times New Roman" w:hint="default"/>
                <w:sz w:val="15"/>
                <w:szCs w:val="15"/>
              </w:rPr>
            </w:pPr>
            <w:r>
              <w:rPr>
                <w:rFonts w:ascii="Times New Roman"/>
                <w:sz w:val="15"/>
              </w:rPr>
              <w:t>110,996,465.72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26,815,936.30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35,687,172.09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47,736,402.09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67,240,891.28</w:t>
            </w:r>
          </w:p>
        </w:tc>
      </w:tr>
    </w:tbl>
    <w:p>
      <w:pPr>
        <w:spacing w:line="240" w:lineRule="auto" w:before="9"/>
        <w:rPr>
          <w:rFonts w:ascii="宋体" w:hAnsi="宋体" w:cs="宋体" w:eastAsia="宋体" w:hint="default"/>
          <w:sz w:val="6"/>
          <w:szCs w:val="6"/>
        </w:rPr>
      </w:pPr>
    </w:p>
    <w:p>
      <w:pPr>
        <w:pStyle w:val="BodyText"/>
        <w:spacing w:line="439" w:lineRule="auto"/>
        <w:ind w:right="6252"/>
        <w:jc w:val="left"/>
      </w:pPr>
      <w:r>
        <w:rPr/>
        <w:t>说明：上表适用于互联网财税板块公司方欣科技。 说明经营季节性（或周期性）发生的原因及波动风险</w:t>
      </w:r>
    </w:p>
    <w:p>
      <w:pPr>
        <w:pStyle w:val="BodyText"/>
        <w:spacing w:line="202" w:lineRule="exact" w:before="0"/>
        <w:ind w:left="174" w:right="0" w:firstLine="360"/>
        <w:jc w:val="left"/>
      </w:pPr>
      <w:r>
        <w:rPr/>
        <w:t>互联网财税业务中的软件开发与销售、系统集成的主要客户为税务机关和其他政府部门。税务机关和其他政府部门通常</w:t>
      </w:r>
    </w:p>
    <w:p>
      <w:pPr>
        <w:pStyle w:val="BodyText"/>
        <w:spacing w:line="319" w:lineRule="auto" w:before="76"/>
        <w:ind w:left="174" w:right="0"/>
        <w:jc w:val="left"/>
      </w:pPr>
      <w:r>
        <w:rPr>
          <w:spacing w:val="-2"/>
        </w:rPr>
        <w:t>实行预算管理制度和集中采购制度，在上半年审批当年的年度预算和项目建设计划及经费安排，在第一、第二季度开展供应</w:t>
      </w:r>
      <w:r>
        <w:rPr>
          <w:spacing w:val="-66"/>
        </w:rPr>
        <w:t> </w:t>
      </w:r>
      <w:r>
        <w:rPr>
          <w:spacing w:val="-66"/>
        </w:rPr>
      </w:r>
      <w:r>
        <w:rPr>
          <w:spacing w:val="-4"/>
        </w:rPr>
        <w:t>商的招投标工作，在第二季度中或第三季度具体实施建设工作，故而大部分的软件开发与销售、系统集成业务在下半年完工，</w:t>
      </w:r>
      <w:r>
        <w:rPr>
          <w:spacing w:val="-44"/>
        </w:rPr>
        <w:t> </w:t>
      </w:r>
      <w:r>
        <w:rPr>
          <w:spacing w:val="-44"/>
        </w:rPr>
      </w:r>
      <w:r>
        <w:rPr>
          <w:spacing w:val="-2"/>
        </w:rPr>
        <w:t>尤其是集中在第四季度。受客户需求季节性因素的影响，方欣科技的销售收入和归属于母公司股东的净利润上半年较少，下</w:t>
      </w:r>
      <w:r>
        <w:rPr>
          <w:spacing w:val="-66"/>
        </w:rPr>
        <w:t> </w:t>
      </w:r>
      <w:r>
        <w:rPr>
          <w:spacing w:val="-66"/>
        </w:rPr>
      </w:r>
      <w:r>
        <w:rPr/>
        <w:t>半年较多，呈现一定的季节性波动。</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2）占公司营业收入或营业利润10%以上的行业、产品或地区情况" w:id="49"/>
      <w:bookmarkEnd w:id="49"/>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pStyle w:val="BodyText"/>
        <w:spacing w:line="348" w:lineRule="auto" w:before="159"/>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6"/>
        <w:ind w:right="0"/>
        <w:jc w:val="left"/>
      </w:pPr>
      <w:r>
        <w:rPr/>
        <w:t>软件与信息技术服务业</w:t>
      </w:r>
    </w:p>
    <w:p>
      <w:pPr>
        <w:spacing w:after="0" w:line="240"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7"/>
        <w:gridCol w:w="1469"/>
        <w:gridCol w:w="1560"/>
        <w:gridCol w:w="1070"/>
        <w:gridCol w:w="1198"/>
        <w:gridCol w:w="1275"/>
        <w:gridCol w:w="1633"/>
      </w:tblGrid>
      <w:tr>
        <w:trPr>
          <w:trHeight w:val="57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1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6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42" w:right="5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82" w:right="90"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31" w:right="90" w:hanging="540"/>
              <w:jc w:val="left"/>
              <w:rPr>
                <w:rFonts w:ascii="宋体" w:hAnsi="宋体" w:cs="宋体" w:eastAsia="宋体" w:hint="default"/>
                <w:sz w:val="18"/>
                <w:szCs w:val="18"/>
              </w:rPr>
            </w:pPr>
            <w:r>
              <w:rPr>
                <w:rFonts w:ascii="宋体" w:hAnsi="宋体" w:cs="宋体" w:eastAsia="宋体" w:hint="default"/>
                <w:sz w:val="18"/>
                <w:szCs w:val="18"/>
              </w:rPr>
              <w:t>毛利率比上年同期 增减</w:t>
            </w:r>
          </w:p>
        </w:tc>
      </w:tr>
      <w:tr>
        <w:trPr>
          <w:trHeight w:val="33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570,243,098.22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371,933,014.62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34.78%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15.88%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11.07%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347,694,584.87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100,626,517.98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71.06%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53.09%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79.55%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346,152,150.11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182,939,655.96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47.15%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24.27%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20.68%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热处理设备销售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240,007,788.54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164,723,168.22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31.37%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10.90%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263,691,209.12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166,782,385.21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20.52%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20.54%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347,694,584.87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100,626,517.98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71.06%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53.09%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79.55%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101,086,501.49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55,031,333.58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45.56%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49.29%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57.37%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产品及开发服务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174,396,107.96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62,961,172.84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63.90%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73.06%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91.41%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69,458,307.12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64,627,066.04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-36.89%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-22.82%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67,755,334.10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40,747,544.69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39.86%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19.14%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18.73%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24,184,619.68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16,142,285.61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33.25%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218.74%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366.64%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88,138,655.49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43,452,776.07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62.86%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49.00%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504,198,132.98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280,233,408.64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44.42%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47.72%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30.23%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465,928,491.63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216,007,057.27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53.64%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6.99%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32,080,802.83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10,520,861.81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67.21%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194.15%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69.42%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85,581,121.65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46,136,214.09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46.09%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15.86%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5.69%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16,332,419.37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11,004,115.73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32.62%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-52.18%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-55.34%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1"/>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47,645,589.57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32,002,469.33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32.83%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47.47%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74.82%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6"/>
          <w:szCs w:val="16"/>
        </w:rPr>
      </w:pPr>
    </w:p>
    <w:p>
      <w:pPr>
        <w:pStyle w:val="Heading3"/>
        <w:spacing w:line="240" w:lineRule="auto" w:before="0"/>
        <w:ind w:right="0"/>
        <w:jc w:val="left"/>
        <w:rPr>
          <w:b w:val="0"/>
          <w:bCs w:val="0"/>
        </w:rPr>
      </w:pPr>
      <w:bookmarkStart w:name="（3）公司实物销售收入是否大于劳务收入" w:id="50"/>
      <w:bookmarkEnd w:id="5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pStyle w:val="BodyText"/>
        <w:spacing w:line="240" w:lineRule="auto" w:before="15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330"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0"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机械制造业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8.13%</w:t>
            </w:r>
          </w:p>
        </w:tc>
      </w:tr>
      <w:tr>
        <w:trPr>
          <w:trHeight w:val="330"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9.35%</w:t>
            </w:r>
          </w:p>
        </w:tc>
      </w:tr>
      <w:tr>
        <w:trPr>
          <w:trHeight w:val="33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51.35%</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00" w:lineRule="auto" w:before="101"/>
        <w:ind w:right="38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库存量本年比上年同期增长</w:t>
      </w:r>
      <w:r>
        <w:rPr>
          <w:rFonts w:ascii="Times New Roman" w:hAnsi="Times New Roman" w:cs="Times New Roman" w:eastAsia="Times New Roman" w:hint="default"/>
        </w:rPr>
        <w:t>51.35%</w:t>
      </w:r>
      <w:r>
        <w:rPr/>
        <w:t>，主要系期末客户订单增长引起生产增加所致。</w:t>
      </w:r>
    </w:p>
    <w:p>
      <w:pPr>
        <w:spacing w:line="240" w:lineRule="auto" w:before="9"/>
        <w:rPr>
          <w:rFonts w:ascii="宋体" w:hAnsi="宋体" w:cs="宋体" w:eastAsia="宋体" w:hint="default"/>
          <w:sz w:val="12"/>
          <w:szCs w:val="12"/>
        </w:rPr>
      </w:pPr>
    </w:p>
    <w:p>
      <w:pPr>
        <w:pStyle w:val="Heading3"/>
        <w:spacing w:line="240" w:lineRule="auto" w:before="0"/>
        <w:ind w:right="0"/>
        <w:jc w:val="left"/>
        <w:rPr>
          <w:b w:val="0"/>
          <w:bCs w:val="0"/>
        </w:rPr>
      </w:pPr>
      <w:bookmarkStart w:name="（4）公司已签订的重大销售合同截至本报告期的履行情况" w:id="51"/>
      <w:bookmarkEnd w:id="5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5）营业成本构成" w:id="52"/>
      <w:bookmarkEnd w:id="52"/>
      <w:r>
        <w:rPr>
          <w:b w:val="0"/>
          <w:bCs w:val="0"/>
        </w:rPr>
      </w:r>
      <w:r>
        <w:rPr/>
        <w:t>（</w:t>
      </w:r>
      <w:r>
        <w:rPr>
          <w:rFonts w:ascii="Times New Roman" w:hAnsi="Times New Roman" w:cs="Times New Roman" w:eastAsia="Times New Roman" w:hint="default"/>
        </w:rPr>
        <w:t>5</w:t>
      </w:r>
      <w:r>
        <w:rPr/>
        <w:t>）营业成本构成</w:t>
      </w:r>
      <w:r>
        <w:rPr>
          <w:b w:val="0"/>
          <w:bCs w:val="0"/>
        </w:rPr>
      </w:r>
    </w:p>
    <w:p>
      <w:pPr>
        <w:pStyle w:val="BodyText"/>
        <w:spacing w:line="338" w:lineRule="auto" w:before="159"/>
        <w:ind w:right="148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30"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0"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采购和外包成本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151,882,077.43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129,415,656.70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62.33%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17.36%</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98,602,772.68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62,264,754.15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58.36%</w:t>
            </w:r>
          </w:p>
        </w:tc>
      </w:tr>
      <w:tr>
        <w:trPr>
          <w:trHeight w:val="3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33,454,908.73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15,956,272.04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109.67%</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说明：上表适用于互联网财税板块公司方欣科技。</w:t>
      </w:r>
    </w:p>
    <w:p>
      <w:pPr>
        <w:spacing w:line="240" w:lineRule="auto" w:before="8"/>
        <w:rPr>
          <w:rFonts w:ascii="宋体" w:hAnsi="宋体" w:cs="宋体" w:eastAsia="宋体" w:hint="default"/>
          <w:sz w:val="11"/>
          <w:szCs w:val="11"/>
        </w:rPr>
      </w:pPr>
    </w:p>
    <w:p>
      <w:pPr>
        <w:pStyle w:val="BodyText"/>
        <w:spacing w:line="240" w:lineRule="auto"/>
        <w:ind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30"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0"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371,933,014.62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334,860,877.58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11.07%</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100,626,517.98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56,043,463.32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79.55%</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182,939,655.96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151,593,219.58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20.68%</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30"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0"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热处理设备销售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164,723,168.22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162,179,185.73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1.57%</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166,782,385.21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138,361,517.68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20.54%</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100,626,517.98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56,043,463.32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79.55%</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55,031,333.58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34,968,297.33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57.37%</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产品及开发服务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62,961,172.84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32,892,743.06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91.41%</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64,627,066.04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83,732,179.19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-22.82%</w:t>
            </w:r>
          </w:p>
        </w:tc>
      </w:tr>
      <w:tr>
        <w:trPr>
          <w:trHeight w:val="3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40,747,544.69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34,320,174.17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18.73%</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6）报告期内合并范围是否发生变动" w:id="53"/>
      <w:bookmarkEnd w:id="5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2" w:lineRule="auto" w:before="102"/>
        <w:ind w:left="174" w:right="1185" w:firstLine="360"/>
        <w:jc w:val="both"/>
      </w:pPr>
      <w:r>
        <w:rPr/>
        <w:t>①</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年，公司全资子公司丰东热技术新纳入合并报表范围的子公司及下属公司有：青岛丰东热工技术有限公司和烟 台丰东热技术有限公司。</w:t>
      </w:r>
    </w:p>
    <w:p>
      <w:pPr>
        <w:pStyle w:val="BodyText"/>
        <w:spacing w:line="312" w:lineRule="auto" w:before="68"/>
        <w:ind w:left="174" w:right="1131" w:firstLine="360"/>
        <w:jc w:val="both"/>
      </w:pPr>
      <w:r>
        <w:rPr/>
        <w:t>②</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年，公司全资子公司方欣科技新纳入合并报表范围的子公司及下属公司有：北京金财纵横信息咨询服务有限公 </w:t>
      </w:r>
      <w:r>
        <w:rPr>
          <w:spacing w:val="-2"/>
        </w:rPr>
        <w:t>司、广东益东金财资产管理中心（有限合伙）、青岛高新金财信息科技有限公司、广州金财互联区块链科技有限公司、广东</w:t>
      </w:r>
      <w:r>
        <w:rPr>
          <w:spacing w:val="-72"/>
        </w:rPr>
        <w:t> </w:t>
      </w:r>
      <w:r>
        <w:rPr>
          <w:spacing w:val="-72"/>
        </w:rPr>
      </w:r>
      <w:r>
        <w:rPr>
          <w:spacing w:val="-2"/>
        </w:rPr>
        <w:t>龙达财税服务有限公司、深圳龙达财税有限公司、青岛百旺金赋信息科技有限公司、金财慧盈保险经纪有限公司、浙江金财</w:t>
      </w:r>
      <w:r>
        <w:rPr>
          <w:spacing w:val="-66"/>
        </w:rPr>
        <w:t> </w:t>
      </w:r>
      <w:r>
        <w:rPr>
          <w:spacing w:val="-66"/>
        </w:rPr>
      </w:r>
      <w:r>
        <w:rPr/>
        <w:t>共享智能科技有限公司。</w:t>
      </w:r>
    </w:p>
    <w:p>
      <w:pPr>
        <w:pStyle w:val="BodyText"/>
        <w:spacing w:line="319" w:lineRule="auto" w:before="62"/>
        <w:ind w:left="174" w:right="1185" w:firstLine="360"/>
        <w:jc w:val="right"/>
      </w:pPr>
      <w:r>
        <w:rPr/>
        <w:t>③</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年，公司全资子公司方欣科技下属公司浙江金财原下属子公司上海灏友企业服务有限公司于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年内注销。 注：</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日，公司召开了第四届董事会第二十次会议，审议通过了全资子公司方欣科技以交易对价</w:t>
      </w:r>
      <w:r>
        <w:rPr>
          <w:spacing w:val="-47"/>
        </w:rPr>
        <w:t> </w:t>
      </w:r>
      <w:r>
        <w:rPr>
          <w:rFonts w:ascii="Times New Roman" w:hAnsi="Times New Roman" w:cs="Times New Roman" w:eastAsia="Times New Roman" w:hint="default"/>
        </w:rPr>
        <w:t>11,270 </w:t>
      </w:r>
      <w:r>
        <w:rPr/>
        <w:t>万元人民币向关联方朱文明先生及徐正军先生购买其二位拥有的广东益东金财资产管理中心（有限合伙）合计</w:t>
      </w:r>
      <w:r>
        <w:rPr>
          <w:spacing w:val="-45"/>
        </w:rPr>
        <w:t> </w:t>
      </w:r>
      <w:r>
        <w:rPr>
          <w:rFonts w:ascii="Times New Roman" w:hAnsi="Times New Roman" w:cs="Times New Roman" w:eastAsia="Times New Roman" w:hint="default"/>
        </w:rPr>
        <w:t>98%</w:t>
      </w:r>
      <w:r>
        <w:rPr/>
        <w:t>的投资</w:t>
      </w:r>
    </w:p>
    <w:p>
      <w:pPr>
        <w:pStyle w:val="BodyText"/>
        <w:spacing w:line="302" w:lineRule="auto" w:before="0"/>
        <w:ind w:left="0" w:right="1124"/>
        <w:jc w:val="right"/>
      </w:pPr>
      <w:r>
        <w:rPr/>
        <w:t>份额。</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日，公司召开了第四届董事会第二十一次会议，审议通过了全资二级子公司广州方欣现代信息产业 园有限公司以交易对价</w:t>
      </w:r>
      <w:r>
        <w:rPr>
          <w:spacing w:val="-46"/>
        </w:rPr>
        <w:t> </w:t>
      </w:r>
      <w:r>
        <w:rPr>
          <w:rFonts w:ascii="Times New Roman" w:hAnsi="Times New Roman" w:cs="Times New Roman" w:eastAsia="Times New Roman" w:hint="default"/>
        </w:rPr>
        <w:t>230 </w:t>
      </w:r>
      <w:r>
        <w:rPr/>
        <w:t>万元人民币向关联方朱文明先生及徐正军先生购买其二位拥有的益东金财合计</w:t>
      </w:r>
      <w:r>
        <w:rPr>
          <w:spacing w:val="-45"/>
        </w:rPr>
        <w:t> </w:t>
      </w:r>
      <w:r>
        <w:rPr>
          <w:rFonts w:ascii="Times New Roman" w:hAnsi="Times New Roman" w:cs="Times New Roman" w:eastAsia="Times New Roman" w:hint="default"/>
        </w:rPr>
        <w:t>2%</w:t>
      </w:r>
      <w:r>
        <w:rPr/>
        <w:t>的投资份额。</w:t>
      </w:r>
    </w:p>
    <w:p>
      <w:pPr>
        <w:spacing w:after="0" w:line="302" w:lineRule="auto"/>
        <w:jc w:val="righ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1131" w:firstLine="360"/>
        <w:jc w:val="both"/>
      </w:pPr>
      <w:r>
        <w:rPr>
          <w:spacing w:val="-2"/>
        </w:rPr>
        <w:t>本次交易完成后，益东金财被纳入公司合并报表范围。由于益东金财的原合伙人为公司实际控制人朱文明先生及公司副</w:t>
      </w:r>
      <w:r>
        <w:rPr/>
        <w:t> </w:t>
      </w:r>
      <w:r>
        <w:rPr>
          <w:spacing w:val="-2"/>
        </w:rPr>
        <w:t>董事长徐正军先生，且该控制并非暂时性的，因此公司全资子公司收购益东金财的财产份额为同一控制下的企业合并。公司</w:t>
      </w:r>
      <w:r>
        <w:rPr>
          <w:spacing w:val="-66"/>
        </w:rPr>
        <w:t> </w:t>
      </w:r>
      <w:r>
        <w:rPr>
          <w:spacing w:val="-66"/>
        </w:rPr>
      </w:r>
      <w:r>
        <w:rPr>
          <w:spacing w:val="-2"/>
        </w:rPr>
        <w:t>在合并当期编制合并报表时，对合并资产负债表的期初数进行调整，同时对比较报表的相关项目进行调整，视同合并后的报</w:t>
      </w:r>
      <w:r>
        <w:rPr>
          <w:spacing w:val="-66"/>
        </w:rPr>
        <w:t> </w:t>
      </w:r>
      <w:r>
        <w:rPr>
          <w:spacing w:val="-66"/>
        </w:rPr>
      </w:r>
      <w:r>
        <w:rPr/>
        <w:t>告主体在以前期间一直存在。</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7）公司报告期内业务、产品或服务发生重大变化或调整有关情况" w:id="54"/>
      <w:bookmarkEnd w:id="5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pStyle w:val="BodyText"/>
        <w:spacing w:line="240" w:lineRule="auto" w:before="15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8）主要销售客户和主要供应商情况" w:id="55"/>
      <w:bookmarkEnd w:id="5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pStyle w:val="BodyText"/>
        <w:spacing w:line="240" w:lineRule="auto" w:before="158"/>
        <w:ind w:right="0"/>
        <w:jc w:val="left"/>
      </w:pPr>
      <w:r>
        <w:rPr/>
        <w:t>公司主要销售客户情况</w:t>
      </w:r>
    </w:p>
    <w:p>
      <w:pPr>
        <w:spacing w:line="240" w:lineRule="auto" w:before="3"/>
        <w:rPr>
          <w:rFonts w:ascii="宋体" w:hAnsi="宋体" w:cs="宋体" w:eastAsia="宋体" w:hint="default"/>
          <w:sz w:val="14"/>
          <w:szCs w:val="14"/>
        </w:rPr>
      </w:pPr>
    </w:p>
    <w:tbl>
      <w:tblPr>
        <w:tblW w:w="0" w:type="auto"/>
        <w:jc w:val="left"/>
        <w:tblInd w:w="169" w:type="dxa"/>
        <w:tblLayout w:type="fixed"/>
        <w:tblCellMar>
          <w:top w:w="0" w:type="dxa"/>
          <w:left w:w="0" w:type="dxa"/>
          <w:bottom w:w="0" w:type="dxa"/>
          <w:right w:w="0" w:type="dxa"/>
        </w:tblCellMar>
        <w:tblLook w:val="01E0"/>
      </w:tblPr>
      <w:tblGrid>
        <w:gridCol w:w="4678"/>
        <w:gridCol w:w="4890"/>
      </w:tblGrid>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99,936,351.71</w:t>
            </w:r>
          </w:p>
        </w:tc>
      </w:tr>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7.91%</w:t>
            </w:r>
          </w:p>
        </w:tc>
      </w:tr>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791"/>
        <w:gridCol w:w="3888"/>
        <w:gridCol w:w="2553"/>
        <w:gridCol w:w="2338"/>
      </w:tblGrid>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2"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5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27,653,708.62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2.19%</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23,450,474.74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1.86%</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3</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17,241,379.31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1.36%</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4</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16,056,431.32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1.27%</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5</w:t>
            </w:r>
          </w:p>
        </w:tc>
        <w:tc>
          <w:tcPr>
            <w:tcW w:w="38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15,534,357.72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1.23%</w:t>
            </w:r>
          </w:p>
        </w:tc>
      </w:tr>
      <w:tr>
        <w:trPr>
          <w:trHeight w:val="33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center"/>
              <w:rPr>
                <w:rFonts w:ascii="Times New Roman" w:hAnsi="Times New Roman" w:cs="Times New Roman" w:eastAsia="Times New Roman" w:hint="default"/>
                <w:sz w:val="18"/>
                <w:szCs w:val="18"/>
              </w:rPr>
            </w:pPr>
            <w:r>
              <w:rPr>
                <w:rFonts w:ascii="Times New Roman"/>
                <w:sz w:val="18"/>
              </w:rPr>
              <w:t>--</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99,936,351.71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7.91%</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主要客户其他情况说明</w:t>
      </w:r>
    </w:p>
    <w:p>
      <w:pPr>
        <w:pStyle w:val="BodyText"/>
        <w:spacing w:line="338" w:lineRule="auto" w:before="116"/>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7"/>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678"/>
        <w:gridCol w:w="4890"/>
      </w:tblGrid>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196,177,816.20</w:t>
            </w:r>
          </w:p>
        </w:tc>
      </w:tr>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25.02%</w:t>
            </w:r>
          </w:p>
        </w:tc>
      </w:tr>
      <w:tr>
        <w:trPr>
          <w:trHeight w:val="330"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3.92%</w:t>
            </w:r>
          </w:p>
        </w:tc>
      </w:tr>
    </w:tbl>
    <w:p>
      <w:pPr>
        <w:spacing w:line="240" w:lineRule="auto" w:before="8"/>
        <w:rPr>
          <w:rFonts w:ascii="宋体" w:hAnsi="宋体" w:cs="宋体" w:eastAsia="宋体" w:hint="default"/>
          <w:sz w:val="6"/>
          <w:szCs w:val="6"/>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13"/>
          <w:szCs w:val="13"/>
        </w:rPr>
      </w:pPr>
    </w:p>
    <w:tbl>
      <w:tblPr>
        <w:tblW w:w="0" w:type="auto"/>
        <w:jc w:val="left"/>
        <w:tblInd w:w="180" w:type="dxa"/>
        <w:tblLayout w:type="fixed"/>
        <w:tblCellMar>
          <w:top w:w="0" w:type="dxa"/>
          <w:left w:w="0" w:type="dxa"/>
          <w:bottom w:w="0" w:type="dxa"/>
          <w:right w:w="0" w:type="dxa"/>
        </w:tblCellMar>
        <w:tblLook w:val="01E0"/>
      </w:tblPr>
      <w:tblGrid>
        <w:gridCol w:w="912"/>
        <w:gridCol w:w="3755"/>
        <w:gridCol w:w="2553"/>
        <w:gridCol w:w="2338"/>
      </w:tblGrid>
      <w:tr>
        <w:trPr>
          <w:trHeight w:val="33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2"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5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3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sz w:val="18"/>
              </w:rPr>
              <w:t>1</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62,570,454.76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7.98%</w:t>
            </w:r>
          </w:p>
        </w:tc>
      </w:tr>
      <w:tr>
        <w:trPr>
          <w:trHeight w:val="33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sz w:val="18"/>
              </w:rPr>
              <w:t>2</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49,027,022.43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6.25%</w:t>
            </w:r>
          </w:p>
        </w:tc>
      </w:tr>
      <w:tr>
        <w:trPr>
          <w:trHeight w:val="33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sz w:val="18"/>
              </w:rPr>
              <w:t>3</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30,719,665.08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3.92%</w:t>
            </w:r>
          </w:p>
        </w:tc>
      </w:tr>
      <w:tr>
        <w:trPr>
          <w:trHeight w:val="33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sz w:val="18"/>
              </w:rPr>
              <w:t>4</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27,654,613.28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3.53%</w:t>
            </w:r>
          </w:p>
        </w:tc>
      </w:tr>
      <w:tr>
        <w:trPr>
          <w:trHeight w:val="33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Times New Roman"/>
                <w:sz w:val="18"/>
              </w:rPr>
              <w:t>5</w:t>
            </w:r>
          </w:p>
        </w:tc>
        <w:tc>
          <w:tcPr>
            <w:tcW w:w="3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26,206,060.61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3.34%</w:t>
            </w:r>
          </w:p>
        </w:tc>
      </w:tr>
      <w:tr>
        <w:trPr>
          <w:trHeight w:val="330"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Times New Roman" w:hAnsi="Times New Roman" w:cs="Times New Roman" w:eastAsia="Times New Roman" w:hint="default"/>
                <w:sz w:val="18"/>
                <w:szCs w:val="18"/>
              </w:rPr>
            </w:pPr>
            <w:r>
              <w:rPr>
                <w:rFonts w:ascii="Times New Roman"/>
                <w:sz w:val="18"/>
              </w:rPr>
              <w:t>--</w:t>
            </w:r>
          </w:p>
        </w:tc>
        <w:tc>
          <w:tcPr>
            <w:tcW w:w="25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196,177,816.20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25.02%</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主要供应商其他情况说明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3、费用" w:id="56"/>
      <w:bookmarkEnd w:id="56"/>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60"/>
        <w:gridCol w:w="1417"/>
        <w:gridCol w:w="1419"/>
        <w:gridCol w:w="991"/>
        <w:gridCol w:w="4181"/>
      </w:tblGrid>
      <w:tr>
        <w:trPr>
          <w:trHeight w:val="329"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3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26"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57,621,661.09</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39,487,154.23</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45.93%</w:t>
            </w:r>
          </w:p>
        </w:tc>
        <w:tc>
          <w:tcPr>
            <w:tcW w:w="4181" w:type="dxa"/>
            <w:vMerge w:val="restart"/>
            <w:tcBorders>
              <w:top w:val="single" w:sz="4" w:space="0" w:color="000000"/>
              <w:left w:val="single" w:sz="4" w:space="0" w:color="000000"/>
              <w:right w:val="single" w:sz="4" w:space="0" w:color="000000"/>
            </w:tcBorders>
          </w:tcPr>
          <w:p>
            <w:pPr>
              <w:pStyle w:val="TableParagraph"/>
              <w:spacing w:line="242" w:lineRule="auto" w:before="2"/>
              <w:ind w:left="22" w:right="22"/>
              <w:jc w:val="left"/>
              <w:rPr>
                <w:rFonts w:ascii="宋体" w:hAnsi="宋体" w:cs="宋体" w:eastAsia="宋体" w:hint="default"/>
                <w:sz w:val="18"/>
                <w:szCs w:val="18"/>
              </w:rPr>
            </w:pPr>
            <w:r>
              <w:rPr>
                <w:rFonts w:ascii="宋体" w:hAnsi="宋体" w:cs="宋体" w:eastAsia="宋体" w:hint="default"/>
                <w:spacing w:val="-1"/>
                <w:sz w:val="18"/>
                <w:szCs w:val="18"/>
              </w:rPr>
              <w:t>主要系互联网财税业务扩张、销售人员增加带来相关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费用增加所致</w:t>
            </w:r>
          </w:p>
        </w:tc>
      </w:tr>
      <w:tr>
        <w:trPr>
          <w:trHeight w:val="405"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7"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r>
      <w:tr>
        <w:trPr>
          <w:trHeight w:val="125"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143,466,992.14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98,006,775.52</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46.38%</w:t>
            </w:r>
          </w:p>
        </w:tc>
        <w:tc>
          <w:tcPr>
            <w:tcW w:w="4181" w:type="dxa"/>
            <w:vMerge w:val="restart"/>
            <w:tcBorders>
              <w:top w:val="single" w:sz="4" w:space="0" w:color="000000"/>
              <w:left w:val="single" w:sz="4" w:space="0" w:color="000000"/>
              <w:right w:val="single" w:sz="4" w:space="0" w:color="000000"/>
            </w:tcBorders>
          </w:tcPr>
          <w:p>
            <w:pPr>
              <w:pStyle w:val="TableParagraph"/>
              <w:spacing w:line="244" w:lineRule="auto" w:before="1"/>
              <w:ind w:left="22" w:right="22"/>
              <w:jc w:val="left"/>
              <w:rPr>
                <w:rFonts w:ascii="宋体" w:hAnsi="宋体" w:cs="宋体" w:eastAsia="宋体" w:hint="default"/>
                <w:sz w:val="18"/>
                <w:szCs w:val="18"/>
              </w:rPr>
            </w:pPr>
            <w:r>
              <w:rPr>
                <w:rFonts w:ascii="宋体" w:hAnsi="宋体" w:cs="宋体" w:eastAsia="宋体" w:hint="default"/>
                <w:spacing w:val="-1"/>
                <w:sz w:val="18"/>
                <w:szCs w:val="18"/>
              </w:rPr>
              <w:t>主要系伴随着互联网财税业务的发展，管理人员发生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的费用及房屋租赁费用增加所致</w:t>
            </w:r>
          </w:p>
        </w:tc>
      </w:tr>
      <w:tr>
        <w:trPr>
          <w:trHeight w:val="406"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7"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r>
      <w:tr>
        <w:trPr>
          <w:trHeight w:val="125"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6,127,247.31</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-6,974,973.98</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187.85%</w:t>
            </w:r>
          </w:p>
        </w:tc>
        <w:tc>
          <w:tcPr>
            <w:tcW w:w="4181" w:type="dxa"/>
            <w:vMerge w:val="restart"/>
            <w:tcBorders>
              <w:top w:val="single" w:sz="4" w:space="0" w:color="000000"/>
              <w:left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主要系本期银行贷款增加，而上年同期收到政府贴息</w:t>
            </w:r>
          </w:p>
          <w:p>
            <w:pPr>
              <w:pStyle w:val="TableParagraph"/>
              <w:spacing w:line="240" w:lineRule="auto" w:before="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404"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7"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r>
      <w:tr>
        <w:trPr>
          <w:trHeight w:val="33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4"/>
              <w:ind w:left="342" w:right="0"/>
              <w:jc w:val="left"/>
              <w:rPr>
                <w:rFonts w:ascii="Times New Roman" w:hAnsi="Times New Roman" w:cs="Times New Roman" w:eastAsia="Times New Roman" w:hint="default"/>
                <w:sz w:val="18"/>
                <w:szCs w:val="18"/>
              </w:rPr>
            </w:pPr>
            <w:r>
              <w:rPr>
                <w:rFonts w:ascii="Times New Roman"/>
                <w:sz w:val="18"/>
              </w:rPr>
              <w:t>64,060,229.80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0" w:right="0"/>
              <w:jc w:val="left"/>
              <w:rPr>
                <w:rFonts w:ascii="Times New Roman" w:hAnsi="Times New Roman" w:cs="Times New Roman" w:eastAsia="Times New Roman" w:hint="default"/>
                <w:sz w:val="18"/>
                <w:szCs w:val="18"/>
              </w:rPr>
            </w:pPr>
            <w:r>
              <w:rPr>
                <w:rFonts w:ascii="Times New Roman"/>
                <w:sz w:val="18"/>
              </w:rPr>
              <w:t>60,700,880.22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94" w:right="0"/>
              <w:jc w:val="left"/>
              <w:rPr>
                <w:rFonts w:ascii="Times New Roman" w:hAnsi="Times New Roman" w:cs="Times New Roman" w:eastAsia="Times New Roman" w:hint="default"/>
                <w:sz w:val="18"/>
                <w:szCs w:val="18"/>
              </w:rPr>
            </w:pPr>
            <w:r>
              <w:rPr>
                <w:rFonts w:ascii="Times New Roman"/>
                <w:sz w:val="18"/>
              </w:rPr>
              <w:t>5.53%</w:t>
            </w:r>
          </w:p>
        </w:tc>
        <w:tc>
          <w:tcPr>
            <w:tcW w:w="41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研发投入" w:id="57"/>
      <w:bookmarkEnd w:id="57"/>
      <w:r>
        <w:rPr>
          <w:b w:val="0"/>
          <w:bCs w:val="0"/>
        </w:rPr>
      </w:r>
      <w:r>
        <w:rPr>
          <w:rFonts w:ascii="Times New Roman" w:hAnsi="Times New Roman" w:cs="Times New Roman" w:eastAsia="Times New Roman" w:hint="default"/>
        </w:rPr>
        <w:t>4</w:t>
      </w:r>
      <w:r>
        <w:rPr/>
        <w:t>、研发投入</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bookmarkStart w:name="（1）互联网财税业务" w:id="58"/>
      <w:bookmarkEnd w:id="58"/>
      <w:r>
        <w:rPr>
          <w:b w:val="0"/>
          <w:bCs w:val="0"/>
        </w:rPr>
      </w:r>
      <w:r>
        <w:rPr/>
        <w:t>（</w:t>
      </w:r>
      <w:r>
        <w:rPr>
          <w:rFonts w:ascii="Times New Roman" w:hAnsi="Times New Roman" w:cs="Times New Roman" w:eastAsia="Times New Roman" w:hint="default"/>
        </w:rPr>
        <w:t>1</w:t>
      </w:r>
      <w:r>
        <w:rPr/>
        <w:t>）互联网财税业务</w:t>
      </w:r>
      <w:r>
        <w:rPr>
          <w:b w:val="0"/>
          <w:bCs w:val="0"/>
        </w:rPr>
      </w:r>
    </w:p>
    <w:p>
      <w:pPr>
        <w:pStyle w:val="BodyText"/>
        <w:spacing w:line="309" w:lineRule="auto" w:before="147"/>
        <w:ind w:left="174" w:right="1049" w:firstLine="360"/>
        <w:jc w:val="both"/>
      </w:pPr>
      <w:r>
        <w:rPr/>
        <w:t>公司定位于以数据和技术驱动的新财税综合服务平台商，采用</w:t>
      </w:r>
      <w:r>
        <w:rPr>
          <w:spacing w:val="-46"/>
        </w:rPr>
        <w:t> </w:t>
      </w:r>
      <w:r>
        <w:rPr>
          <w:rFonts w:ascii="Times New Roman" w:hAnsi="Times New Roman" w:cs="Times New Roman" w:eastAsia="Times New Roman" w:hint="default"/>
        </w:rPr>
        <w:t>S2b2c </w:t>
      </w:r>
      <w:r>
        <w:rPr/>
        <w:t>商业模式，即利用</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多年涉税基础服务积累的海 </w:t>
      </w:r>
      <w:r>
        <w:rPr>
          <w:spacing w:val="-2"/>
        </w:rPr>
        <w:t>量用户资源和技术能力，通过数据和技术赋能线下财税服务机构和专业人士，实现财税行业的数字化转型升级，面向中小企</w:t>
      </w:r>
      <w:r>
        <w:rPr>
          <w:spacing w:val="-66"/>
        </w:rPr>
        <w:t> </w:t>
      </w:r>
      <w:r>
        <w:rPr>
          <w:spacing w:val="-66"/>
        </w:rPr>
      </w:r>
      <w:r>
        <w:rPr/>
        <w:t>业和家庭个人“合规、降负、增利”的新财税服务需求，提供更专业、更优质、更高性价比的“财税、金融”新财税体验。</w:t>
      </w:r>
    </w:p>
    <w:p>
      <w:pPr>
        <w:pStyle w:val="BodyText"/>
        <w:spacing w:line="240" w:lineRule="auto" w:before="64"/>
        <w:ind w:right="0"/>
        <w:jc w:val="left"/>
      </w:pPr>
      <w:r>
        <w:rPr/>
        <w:t>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年的研发重点围绕着打造支撑</w:t>
      </w:r>
      <w:r>
        <w:rPr>
          <w:spacing w:val="-46"/>
        </w:rPr>
        <w:t> </w:t>
      </w:r>
      <w:r>
        <w:rPr>
          <w:rFonts w:ascii="Times New Roman" w:hAnsi="Times New Roman" w:cs="Times New Roman" w:eastAsia="Times New Roman" w:hint="default"/>
        </w:rPr>
        <w:t>S2b2c </w:t>
      </w:r>
      <w:r>
        <w:rPr/>
        <w:t>商业模式的新财税综合服务平台，主要研发投入情况如下：</w:t>
      </w:r>
    </w:p>
    <w:p>
      <w:pPr>
        <w:pStyle w:val="BodyText"/>
        <w:spacing w:line="319" w:lineRule="auto" w:before="102"/>
        <w:ind w:left="174" w:right="0" w:firstLine="360"/>
        <w:jc w:val="left"/>
      </w:pPr>
      <w:r>
        <w:rPr>
          <w:spacing w:val="-2"/>
        </w:rPr>
        <w:t>①企业端（客户端）。客户端提供覆盖企业会计、老板和员工这三类角色的产品，产品统一集成在桌面端和移动端，形</w:t>
      </w:r>
      <w:r>
        <w:rPr/>
        <w:t> </w:t>
      </w:r>
      <w:r>
        <w:rPr>
          <w:spacing w:val="-4"/>
        </w:rPr>
        <w:t>成一致的用户体验。面向企业会计的产品主要解决会计人员工作效率以及工作技能提升的问题，包括：办税助手、金财管家、</w:t>
      </w:r>
      <w:r>
        <w:rPr>
          <w:spacing w:val="-46"/>
        </w:rPr>
        <w:t> </w:t>
      </w:r>
      <w:r>
        <w:rPr>
          <w:spacing w:val="-46"/>
        </w:rPr>
      </w:r>
      <w:r>
        <w:rPr>
          <w:spacing w:val="-2"/>
        </w:rPr>
        <w:t>税检宝以及金财学院产品；面向老板的产品主要解决老板实时掌握企业财税状况、财税风险以及同行情况的问题，包括：掌</w:t>
      </w:r>
      <w:r>
        <w:rPr>
          <w:spacing w:val="-66"/>
        </w:rPr>
        <w:t> </w:t>
      </w:r>
      <w:r>
        <w:rPr>
          <w:spacing w:val="-66"/>
        </w:rPr>
      </w:r>
      <w:r>
        <w:rPr/>
        <w:t>税保；面向员工提供票税宝产品，解决发票归集、费用报销以及个人税赋管理问题。</w:t>
      </w:r>
    </w:p>
    <w:p>
      <w:pPr>
        <w:pStyle w:val="BodyText"/>
        <w:spacing w:line="319" w:lineRule="auto" w:before="55"/>
        <w:ind w:left="174" w:right="1130" w:firstLine="360"/>
        <w:jc w:val="both"/>
      </w:pPr>
      <w:r>
        <w:rPr>
          <w:spacing w:val="-2"/>
        </w:rPr>
        <w:t>②财税服务机构端（服务端）。服务端提供财税服务机构（含代理记账机构和事务所）数字化转型升级的产品，解决财</w:t>
      </w:r>
      <w:r>
        <w:rPr/>
        <w:t> </w:t>
      </w:r>
      <w:r>
        <w:rPr>
          <w:spacing w:val="-2"/>
        </w:rPr>
        <w:t>税服务机构在数字化时代下的智能营销、智能服务、智能生产和数据运营，主要产品包括：金财运营、智能咨询、金财代账</w:t>
      </w:r>
      <w:r>
        <w:rPr>
          <w:spacing w:val="-68"/>
        </w:rPr>
        <w:t> </w:t>
      </w:r>
      <w:r>
        <w:rPr>
          <w:spacing w:val="-68"/>
        </w:rPr>
      </w:r>
      <w:r>
        <w:rPr/>
        <w:t>等。</w:t>
      </w:r>
    </w:p>
    <w:p>
      <w:pPr>
        <w:pStyle w:val="BodyText"/>
        <w:spacing w:line="319" w:lineRule="auto" w:before="55"/>
        <w:ind w:left="174" w:right="1032" w:firstLine="360"/>
        <w:jc w:val="left"/>
      </w:pPr>
      <w:r>
        <w:rPr>
          <w:spacing w:val="-2"/>
        </w:rPr>
        <w:t>③业务中台。业务中台是为了快速满足最终用户需求而建立的，以支撑“大中台、小前端”的业务模式。业务中台作为</w:t>
      </w:r>
      <w:r>
        <w:rPr/>
        <w:t> </w:t>
      </w:r>
      <w:r>
        <w:rPr>
          <w:spacing w:val="-2"/>
        </w:rPr>
        <w:t>一个资源整合、能力沉淀的平台体系，为“前端”的业务开展提供底层的技术、数据等资源和能力的支持，中台将集合整个</w:t>
      </w:r>
      <w:r>
        <w:rPr>
          <w:spacing w:val="-67"/>
        </w:rPr>
        <w:t> </w:t>
      </w:r>
      <w:r>
        <w:rPr>
          <w:spacing w:val="-67"/>
        </w:rPr>
      </w:r>
      <w:r>
        <w:rPr>
          <w:spacing w:val="-2"/>
        </w:rPr>
        <w:t>集团的运营数据能力、产品技术能力，对各前端业务形成强力支撑。主要由商品管理、客户管理、伙伴管理、商机管理、订</w:t>
      </w:r>
      <w:r>
        <w:rPr>
          <w:spacing w:val="-71"/>
        </w:rPr>
        <w:t> </w:t>
      </w:r>
      <w:r>
        <w:rPr>
          <w:spacing w:val="-71"/>
        </w:rPr>
      </w:r>
      <w:r>
        <w:rPr/>
        <w:t>单管理、财务管理、数据营销、运营分析、智能客服等功能。目前该项目中的商品管理、客户管理、伙伴管理、商机管理、 </w:t>
      </w:r>
      <w:r>
        <w:rPr>
          <w:spacing w:val="-2"/>
        </w:rPr>
        <w:t>订单管理、财务管理、智能客服等模块已经完成。未来重点在数据营销、运营分析、运营管控、开放平台以及应对大规模用</w:t>
      </w:r>
      <w:r>
        <w:rPr>
          <w:spacing w:val="-67"/>
        </w:rPr>
        <w:t> </w:t>
      </w:r>
      <w:r>
        <w:rPr>
          <w:spacing w:val="-67"/>
        </w:rPr>
      </w:r>
      <w:r>
        <w:rPr/>
        <w:t>户和伙伴上平台之后的性能优化及用户体验。</w:t>
      </w:r>
    </w:p>
    <w:p>
      <w:pPr>
        <w:pStyle w:val="BodyText"/>
        <w:spacing w:line="319" w:lineRule="auto" w:before="56"/>
        <w:ind w:left="174" w:right="1032" w:firstLine="360"/>
        <w:jc w:val="left"/>
      </w:pPr>
      <w:r>
        <w:rPr>
          <w:spacing w:val="-2"/>
        </w:rPr>
        <w:t>④数据中台。为了统一平台的数据标准，形成大数据资产，基于数据面向客户提供千人千面的个性化服务，平台打造统</w:t>
      </w:r>
      <w:r>
        <w:rPr/>
        <w:t> </w:t>
      </w:r>
      <w:r>
        <w:rPr>
          <w:spacing w:val="-2"/>
        </w:rPr>
        <w:t>一的数据中台。数据中台负责对各产品线沉淀的业务数据、行为数据进行归集整理、比对分析之后，实现数据的深度创新应</w:t>
      </w:r>
      <w:r>
        <w:rPr>
          <w:spacing w:val="-66"/>
        </w:rPr>
        <w:t> </w:t>
      </w:r>
      <w:r>
        <w:rPr>
          <w:spacing w:val="-66"/>
        </w:rPr>
      </w:r>
      <w:r>
        <w:rPr/>
        <w:t>用，包括：企业画像、企业风控、企业征信、精准营销等。主要包含：元数据管理、数据模型管理、自定义数据模型管理、 </w:t>
      </w:r>
      <w:r>
        <w:rPr>
          <w:spacing w:val="-2"/>
        </w:rPr>
        <w:t>大数据任务调度管理，并且实现了基于大数据的企业财务数据分析平台，银税互动企业信用数据服务平台，用户行为采集分</w:t>
      </w:r>
      <w:r>
        <w:rPr>
          <w:spacing w:val="-66"/>
        </w:rPr>
        <w:t> </w:t>
      </w:r>
      <w:r>
        <w:rPr>
          <w:spacing w:val="-66"/>
        </w:rPr>
      </w:r>
      <w:r>
        <w:rPr/>
        <w:t>析平台等功能。正在进行用户精准营销服务、风险监测服务、信用评价等数据服务功能的开发。</w:t>
      </w:r>
    </w:p>
    <w:p>
      <w:pPr>
        <w:pStyle w:val="BodyText"/>
        <w:spacing w:line="319" w:lineRule="auto" w:before="55"/>
        <w:ind w:left="174" w:right="1032" w:firstLine="360"/>
        <w:jc w:val="left"/>
      </w:pPr>
      <w:r>
        <w:rPr/>
        <w:t>⑤增值产品。报告期内针对当前财税服务的热点推出三大惠税增值产品。包含惠票通、惠税宝、惠用工三款税筹产品， 解决中小企业税负重、用工成本高的问题。</w:t>
      </w:r>
    </w:p>
    <w:p>
      <w:pPr>
        <w:pStyle w:val="BodyText"/>
        <w:spacing w:line="240" w:lineRule="auto" w:before="55"/>
        <w:ind w:right="0"/>
        <w:jc w:val="left"/>
        <w:rPr>
          <w:rFonts w:ascii="Times New Roman" w:hAnsi="Times New Roman" w:cs="Times New Roman" w:eastAsia="Times New Roman" w:hint="default"/>
        </w:rPr>
      </w:pPr>
      <w:r>
        <w:rPr/>
        <w:t>为保障战略业务的顺利发展，公司积极开展专利、著作权等各项资质的申请工作，</w:t>
      </w:r>
      <w:r>
        <w:rPr>
          <w:rFonts w:ascii="Times New Roman" w:hAnsi="Times New Roman" w:cs="Times New Roman" w:eastAsia="Times New Roman" w:hint="default"/>
        </w:rPr>
        <w:t>2018 </w:t>
      </w:r>
      <w:r>
        <w:rPr/>
        <w:t>年，申请并获得软件著作权</w:t>
      </w:r>
      <w:r>
        <w:rPr>
          <w:spacing w:val="-47"/>
        </w:rPr>
        <w:t> </w:t>
      </w:r>
      <w:r>
        <w:rPr>
          <w:rFonts w:ascii="Times New Roman" w:hAnsi="Times New Roman" w:cs="Times New Roman" w:eastAsia="Times New Roman" w:hint="default"/>
        </w:rPr>
        <w:t>73</w:t>
      </w:r>
    </w:p>
    <w:p>
      <w:pPr>
        <w:pStyle w:val="BodyText"/>
        <w:spacing w:line="307" w:lineRule="auto" w:before="63"/>
        <w:ind w:left="174" w:right="1132"/>
        <w:jc w:val="both"/>
      </w:pPr>
      <w:r>
        <w:rPr/>
        <w:t>个，申请专利</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个、商标</w:t>
      </w:r>
      <w:r>
        <w:rPr>
          <w:spacing w:val="-46"/>
        </w:rPr>
        <w:t> </w:t>
      </w:r>
      <w:r>
        <w:rPr>
          <w:rFonts w:ascii="Times New Roman" w:hAnsi="Times New Roman" w:cs="Times New Roman" w:eastAsia="Times New Roman" w:hint="default"/>
        </w:rPr>
        <w:t>25 </w:t>
      </w:r>
      <w:r>
        <w:rPr/>
        <w:t>个；截止</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日，公司共取得商标</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个，著作权</w:t>
      </w:r>
      <w:r>
        <w:rPr>
          <w:spacing w:val="-46"/>
        </w:rPr>
        <w:t> </w:t>
      </w:r>
      <w:r>
        <w:rPr>
          <w:rFonts w:ascii="Times New Roman" w:hAnsi="Times New Roman" w:cs="Times New Roman" w:eastAsia="Times New Roman" w:hint="default"/>
        </w:rPr>
        <w:t>236</w:t>
      </w:r>
      <w:r>
        <w:rPr>
          <w:rFonts w:ascii="Times New Roman" w:hAnsi="Times New Roman" w:cs="Times New Roman" w:eastAsia="Times New Roman" w:hint="default"/>
          <w:spacing w:val="-1"/>
        </w:rPr>
        <w:t> </w:t>
      </w:r>
      <w:r>
        <w:rPr/>
        <w:t>个，申请专利</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个。此外 </w:t>
      </w:r>
      <w:r>
        <w:rPr>
          <w:spacing w:val="-2"/>
        </w:rPr>
        <w:t>公司也加大资质的申请力度，重点在涉密安全、环境、健康方面取得新的进展，目前资质体系覆盖了电信经营许可、系统集</w:t>
      </w:r>
      <w:r>
        <w:rPr>
          <w:spacing w:val="-66"/>
        </w:rPr>
        <w:t> </w:t>
      </w:r>
      <w:r>
        <w:rPr>
          <w:spacing w:val="-66"/>
        </w:rPr>
      </w:r>
      <w:r>
        <w:rPr>
          <w:spacing w:val="-2"/>
          <w:w w:val="99"/>
        </w:rPr>
        <w:t>成及服务、运维服务、质量管理、开发成熟度（</w:t>
      </w:r>
      <w:r>
        <w:rPr>
          <w:rFonts w:ascii="Times New Roman" w:hAnsi="Times New Roman" w:cs="Times New Roman" w:eastAsia="Times New Roman" w:hint="default"/>
          <w:spacing w:val="-2"/>
          <w:w w:val="99"/>
        </w:rPr>
        <w:t>CMMI</w:t>
      </w:r>
      <w:r>
        <w:rPr>
          <w:spacing w:val="-2"/>
          <w:w w:val="99"/>
        </w:rPr>
        <w:t>）、诚信、知识产权信息安全、涉密等领域，公司的综合实力进一步</w:t>
      </w:r>
      <w:r>
        <w:rPr>
          <w:spacing w:val="-70"/>
          <w:w w:val="99"/>
        </w:rPr>
        <w:t> </w:t>
      </w:r>
      <w:r>
        <w:rPr>
          <w:spacing w:val="-70"/>
          <w:w w:val="99"/>
        </w:rPr>
      </w:r>
      <w:r>
        <w:rPr/>
        <w:t>增强。</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年在原来</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个资质的基础上增加了：涉及国家秘密的计算机信息系统集成资质证书、</w:t>
      </w:r>
      <w:r>
        <w:rPr>
          <w:rFonts w:ascii="Times New Roman" w:hAnsi="Times New Roman" w:cs="Times New Roman" w:eastAsia="Times New Roman" w:hint="default"/>
        </w:rPr>
        <w:t>ISO14001</w:t>
      </w:r>
      <w:r>
        <w:rPr>
          <w:rFonts w:ascii="Times New Roman" w:hAnsi="Times New Roman" w:cs="Times New Roman" w:eastAsia="Times New Roman" w:hint="default"/>
          <w:spacing w:val="-1"/>
        </w:rPr>
        <w:t> </w:t>
      </w:r>
      <w:r>
        <w:rPr/>
        <w:t>环境管理体系</w:t>
      </w:r>
    </w:p>
    <w:p>
      <w:pPr>
        <w:spacing w:after="0" w:line="307" w:lineRule="auto"/>
        <w:jc w:val="both"/>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left="174" w:right="0"/>
        <w:jc w:val="left"/>
      </w:pPr>
      <w:r>
        <w:rPr/>
        <w:t>认证证书、</w:t>
      </w:r>
      <w:r>
        <w:rPr>
          <w:rFonts w:ascii="Times New Roman" w:hAnsi="Times New Roman" w:cs="Times New Roman" w:eastAsia="Times New Roman" w:hint="default"/>
        </w:rPr>
        <w:t>OHSAS18001</w:t>
      </w:r>
      <w:r>
        <w:rPr>
          <w:rFonts w:ascii="Times New Roman" w:hAnsi="Times New Roman" w:cs="Times New Roman" w:eastAsia="Times New Roman" w:hint="default"/>
          <w:spacing w:val="-1"/>
        </w:rPr>
        <w:t> </w:t>
      </w:r>
      <w:r>
        <w:rPr/>
        <w:t>职业健康安全管理体系认证证书、广东省安全技术防范系统设计、施工、维修资格证。</w:t>
      </w: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bookmarkStart w:name="（2）热处理业务" w:id="59"/>
      <w:bookmarkEnd w:id="59"/>
      <w:r>
        <w:rPr>
          <w:b w:val="0"/>
          <w:bCs w:val="0"/>
        </w:rPr>
      </w:r>
      <w:r>
        <w:rPr/>
        <w:t>（</w:t>
      </w:r>
      <w:r>
        <w:rPr>
          <w:rFonts w:ascii="Times New Roman" w:hAnsi="Times New Roman" w:cs="Times New Roman" w:eastAsia="Times New Roman" w:hint="default"/>
        </w:rPr>
        <w:t>2</w:t>
      </w:r>
      <w:r>
        <w:rPr/>
        <w:t>）热处理业务</w:t>
      </w:r>
      <w:r>
        <w:rPr>
          <w:b w:val="0"/>
          <w:bCs w:val="0"/>
        </w:rPr>
      </w:r>
    </w:p>
    <w:p>
      <w:pPr>
        <w:pStyle w:val="BodyText"/>
        <w:spacing w:line="240" w:lineRule="auto" w:before="148"/>
        <w:ind w:right="0"/>
        <w:jc w:val="left"/>
      </w:pPr>
      <w:r>
        <w:rPr/>
        <w:t>报告期内，公司热处理板块研发投入金额为</w:t>
      </w:r>
      <w:r>
        <w:rPr>
          <w:spacing w:val="-45"/>
        </w:rPr>
        <w:t> </w:t>
      </w:r>
      <w:r>
        <w:rPr>
          <w:rFonts w:ascii="Times New Roman" w:hAnsi="Times New Roman" w:cs="Times New Roman" w:eastAsia="Times New Roman" w:hint="default"/>
        </w:rPr>
        <w:t>2,473.38</w:t>
      </w:r>
      <w:r>
        <w:rPr>
          <w:rFonts w:ascii="Times New Roman" w:hAnsi="Times New Roman" w:cs="Times New Roman" w:eastAsia="Times New Roman" w:hint="default"/>
          <w:spacing w:val="-1"/>
        </w:rPr>
        <w:t> </w:t>
      </w:r>
      <w:r>
        <w:rPr/>
        <w:t>万元，主要研发情况如下：</w:t>
      </w:r>
    </w:p>
    <w:p>
      <w:pPr>
        <w:pStyle w:val="BodyText"/>
        <w:spacing w:line="300" w:lineRule="auto" w:before="103"/>
        <w:ind w:left="174" w:right="1139" w:firstLine="360"/>
        <w:jc w:val="both"/>
      </w:pPr>
      <w:r>
        <w:rPr/>
        <w:t>①“国家智能制造专项</w:t>
      </w:r>
      <w:r>
        <w:rPr>
          <w:rFonts w:ascii="Times New Roman" w:hAnsi="Times New Roman" w:cs="Times New Roman" w:eastAsia="Times New Roman" w:hint="default"/>
        </w:rPr>
        <w:t>——</w:t>
      </w:r>
      <w:r>
        <w:rPr/>
        <w:t>无人化智能热处理工厂项目”于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月顺利通过工信部终验收。该项目完成了设备智 </w:t>
      </w:r>
      <w:r>
        <w:rPr>
          <w:spacing w:val="-4"/>
          <w:w w:val="99"/>
        </w:rPr>
        <w:t>能化、热处理信息化生产管理（</w:t>
      </w:r>
      <w:r>
        <w:rPr>
          <w:rFonts w:ascii="Times New Roman" w:hAnsi="Times New Roman" w:cs="Times New Roman" w:eastAsia="Times New Roman" w:hint="default"/>
          <w:spacing w:val="-4"/>
          <w:w w:val="99"/>
        </w:rPr>
        <w:t>MES</w:t>
      </w:r>
      <w:r>
        <w:rPr>
          <w:spacing w:val="-4"/>
          <w:w w:val="99"/>
        </w:rPr>
        <w:t>）、自动排产（</w:t>
      </w:r>
      <w:r>
        <w:rPr>
          <w:rFonts w:ascii="Times New Roman" w:hAnsi="Times New Roman" w:cs="Times New Roman" w:eastAsia="Times New Roman" w:hint="default"/>
          <w:spacing w:val="-4"/>
          <w:w w:val="99"/>
        </w:rPr>
        <w:t>APS</w:t>
      </w:r>
      <w:r>
        <w:rPr>
          <w:spacing w:val="-4"/>
          <w:w w:val="99"/>
        </w:rPr>
        <w:t>）、仓储物流（</w:t>
      </w:r>
      <w:r>
        <w:rPr>
          <w:rFonts w:ascii="Times New Roman" w:hAnsi="Times New Roman" w:cs="Times New Roman" w:eastAsia="Times New Roman" w:hint="default"/>
          <w:spacing w:val="-4"/>
          <w:w w:val="99"/>
        </w:rPr>
        <w:t>WMS&amp;AGV)</w:t>
      </w:r>
      <w:r>
        <w:rPr>
          <w:spacing w:val="-4"/>
          <w:w w:val="99"/>
        </w:rPr>
        <w:t>、企业资源管理（</w:t>
      </w:r>
      <w:r>
        <w:rPr>
          <w:rFonts w:ascii="Times New Roman" w:hAnsi="Times New Roman" w:cs="Times New Roman" w:eastAsia="Times New Roman" w:hint="default"/>
          <w:spacing w:val="-4"/>
          <w:w w:val="99"/>
        </w:rPr>
        <w:t>ERP</w:t>
      </w:r>
      <w:r>
        <w:rPr>
          <w:spacing w:val="-4"/>
          <w:w w:val="99"/>
        </w:rPr>
        <w:t>）等全部研发内</w:t>
      </w:r>
      <w:r>
        <w:rPr>
          <w:spacing w:val="-36"/>
          <w:w w:val="99"/>
        </w:rPr>
        <w:t> </w:t>
      </w:r>
      <w:r>
        <w:rPr/>
        <w:t>容，标志着公司在热处理智能制造方面处于国内领先水平。</w:t>
      </w:r>
    </w:p>
    <w:p>
      <w:pPr>
        <w:pStyle w:val="BodyText"/>
        <w:spacing w:line="309" w:lineRule="auto" w:before="70"/>
        <w:ind w:left="174" w:right="1132" w:firstLine="360"/>
        <w:jc w:val="both"/>
      </w:pPr>
      <w:r>
        <w:rPr>
          <w:spacing w:val="-2"/>
        </w:rPr>
        <w:t>②公司研发的首台辊棒式淬火炉生产线，成功应用于高端轴承产品的大批量连续精密热处理，顺利通过项目终验收；同</w:t>
      </w:r>
      <w:r>
        <w:rPr/>
        <w:t> 时公司进一步丰富了辊棒炉产品线，根据客户需求定制的辊棒退火</w:t>
      </w:r>
      <w:r>
        <w:rPr>
          <w:rFonts w:ascii="Times New Roman" w:hAnsi="Times New Roman" w:cs="Times New Roman" w:eastAsia="Times New Roman" w:hint="default"/>
        </w:rPr>
        <w:t>/</w:t>
      </w:r>
      <w:r>
        <w:rPr/>
        <w:t>正火复合生产线项目已完成安装调试，为公司辊棒炉产 品的系列化打下了良好的基础。</w:t>
      </w:r>
    </w:p>
    <w:p>
      <w:pPr>
        <w:pStyle w:val="BodyText"/>
        <w:spacing w:line="300" w:lineRule="auto" w:before="62"/>
        <w:ind w:left="174" w:right="1130" w:firstLine="360"/>
        <w:jc w:val="both"/>
      </w:pPr>
      <w:r>
        <w:rPr/>
        <w:t>③进一步拓展高端热处理设备研发及应用领域。</w:t>
      </w:r>
      <w:r>
        <w:rPr>
          <w:rFonts w:ascii="Times New Roman" w:hAnsi="Times New Roman" w:cs="Times New Roman" w:eastAsia="Times New Roman" w:hint="default"/>
        </w:rPr>
        <w:t>BBH</w:t>
      </w:r>
      <w:r>
        <w:rPr>
          <w:rFonts w:ascii="Times New Roman" w:hAnsi="Times New Roman" w:cs="Times New Roman" w:eastAsia="Times New Roman" w:hint="default"/>
          <w:spacing w:val="-2"/>
        </w:rPr>
        <w:t> </w:t>
      </w:r>
      <w:r>
        <w:rPr/>
        <w:t>系列预抽真空箱式高温快冷加热炉成功应用于航空航天零部件的 高温精密热处理；全新设计的</w:t>
      </w:r>
      <w:r>
        <w:rPr>
          <w:spacing w:val="-69"/>
        </w:rPr>
        <w:t> </w:t>
      </w:r>
      <w:r>
        <w:rPr>
          <w:rFonts w:ascii="Times New Roman" w:hAnsi="Times New Roman" w:cs="Times New Roman" w:eastAsia="Times New Roman" w:hint="default"/>
        </w:rPr>
        <w:t>UMA</w:t>
      </w:r>
      <w:r>
        <w:rPr>
          <w:rFonts w:ascii="Times New Roman" w:hAnsi="Times New Roman" w:cs="Times New Roman" w:eastAsia="Times New Roman" w:hint="default"/>
          <w:spacing w:val="-24"/>
        </w:rPr>
        <w:t> </w:t>
      </w:r>
      <w:r>
        <w:rPr/>
        <w:t>系列网带式脱脂保护气氛退火炉制作精良，性能优越，得到国际知名粉末冶金客户的好 评；</w:t>
      </w:r>
      <w:r>
        <w:rPr>
          <w:rFonts w:ascii="Times New Roman" w:hAnsi="Times New Roman" w:cs="Times New Roman" w:eastAsia="Times New Roman" w:hint="default"/>
        </w:rPr>
        <w:t>UMS</w:t>
      </w:r>
      <w:r>
        <w:rPr>
          <w:rFonts w:ascii="Times New Roman" w:hAnsi="Times New Roman" w:cs="Times New Roman" w:eastAsia="Times New Roman" w:hint="default"/>
          <w:spacing w:val="-1"/>
        </w:rPr>
        <w:t> </w:t>
      </w:r>
      <w:r>
        <w:rPr/>
        <w:t>网带式奥氏体等温淬火炉，进一步丰富了公司网带炉的产品线，保持网带式连续炉在国内的技术领先地位。</w:t>
      </w:r>
    </w:p>
    <w:p>
      <w:pPr>
        <w:pStyle w:val="BodyText"/>
        <w:spacing w:line="338" w:lineRule="auto" w:before="53"/>
        <w:ind w:right="1312"/>
        <w:jc w:val="left"/>
      </w:pPr>
      <w:r>
        <w:rPr/>
        <w:t>④全年新增授权专利</w:t>
      </w:r>
      <w:r>
        <w:rPr>
          <w:spacing w:val="-46"/>
        </w:rPr>
        <w:t> </w:t>
      </w:r>
      <w:r>
        <w:rPr>
          <w:rFonts w:ascii="Times New Roman" w:hAnsi="Times New Roman" w:cs="Times New Roman" w:eastAsia="Times New Roman" w:hint="default"/>
        </w:rPr>
        <w:t>44</w:t>
      </w:r>
      <w:r>
        <w:rPr>
          <w:rFonts w:ascii="Times New Roman" w:hAnsi="Times New Roman" w:cs="Times New Roman" w:eastAsia="Times New Roman" w:hint="default"/>
          <w:spacing w:val="-1"/>
        </w:rPr>
        <w:t> </w:t>
      </w:r>
      <w:r>
        <w:rPr/>
        <w:t>件，其中发明专利</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件，实用新型专利</w:t>
      </w:r>
      <w:r>
        <w:rPr>
          <w:spacing w:val="-46"/>
        </w:rPr>
        <w:t> </w:t>
      </w:r>
      <w:r>
        <w:rPr>
          <w:rFonts w:ascii="Times New Roman" w:hAnsi="Times New Roman" w:cs="Times New Roman" w:eastAsia="Times New Roman" w:hint="default"/>
        </w:rPr>
        <w:t>32</w:t>
      </w:r>
      <w:r>
        <w:rPr>
          <w:rFonts w:ascii="Times New Roman" w:hAnsi="Times New Roman" w:cs="Times New Roman" w:eastAsia="Times New Roman" w:hint="default"/>
          <w:spacing w:val="-1"/>
        </w:rPr>
        <w:t> </w:t>
      </w:r>
      <w:r>
        <w:rPr/>
        <w:t>件；新增软件著作权</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件；发表专业论文</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篇。 公司研发投入情况</w:t>
      </w: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54"/>
        <w:gridCol w:w="2223"/>
        <w:gridCol w:w="2212"/>
        <w:gridCol w:w="2210"/>
      </w:tblGrid>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859</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529</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62.38%</w:t>
            </w:r>
          </w:p>
        </w:tc>
      </w:tr>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26.83%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18.18%</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188,597,931.57</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95,182,305.94</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98.14%</w:t>
            </w:r>
          </w:p>
        </w:tc>
      </w:tr>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14.92%</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9.54%</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124,537,701.77</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34,481,425.72</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261.17%</w:t>
            </w:r>
          </w:p>
        </w:tc>
      </w:tr>
      <w:tr>
        <w:trPr>
          <w:trHeight w:val="33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18"/>
                <w:szCs w:val="18"/>
              </w:rPr>
            </w:pPr>
            <w:r>
              <w:rPr>
                <w:rFonts w:ascii="Times New Roman"/>
                <w:sz w:val="18"/>
              </w:rPr>
              <w:t>66.03%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z w:val="18"/>
              </w:rPr>
              <w:t>36.23%</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研发投入总额占营业收入的比重较上年发生显著变化的原因</w:t>
      </w:r>
    </w:p>
    <w:p>
      <w:pPr>
        <w:pStyle w:val="BodyText"/>
        <w:spacing w:line="338" w:lineRule="auto" w:before="116"/>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left="174" w:right="1132" w:firstLine="360"/>
        <w:jc w:val="both"/>
      </w:pPr>
      <w:r>
        <w:rPr/>
        <w:t>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年的研发重点围绕着打造支撑</w:t>
      </w:r>
      <w:r>
        <w:rPr>
          <w:spacing w:val="-46"/>
        </w:rPr>
        <w:t> </w:t>
      </w:r>
      <w:r>
        <w:rPr>
          <w:rFonts w:ascii="Times New Roman" w:hAnsi="Times New Roman" w:cs="Times New Roman" w:eastAsia="Times New Roman" w:hint="default"/>
        </w:rPr>
        <w:t>S2b2c </w:t>
      </w:r>
      <w:r>
        <w:rPr/>
        <w:t>商业模式的新财税综合服务平台，采用容器框、微服务的大型企业级服 </w:t>
      </w:r>
      <w:r>
        <w:rPr>
          <w:spacing w:val="-5"/>
        </w:rPr>
        <w:t>务架构，研发投入主要在企业端（客户端）、财税服务机构端（服务端）、业务中台、数据中台、增值产品以及产品研发管理</w:t>
      </w:r>
      <w:r>
        <w:rPr>
          <w:spacing w:val="-85"/>
        </w:rPr>
        <w:t> </w:t>
      </w:r>
      <w:r>
        <w:rPr>
          <w:spacing w:val="-85"/>
        </w:rPr>
      </w:r>
      <w:r>
        <w:rPr>
          <w:spacing w:val="-2"/>
        </w:rPr>
        <w:t>的工具平台这几个方面。作为一家财税领域的平台化运营公司，数据以及强大的运营支撑平台是公司的核心资产，为了快速</w:t>
      </w:r>
      <w:r>
        <w:rPr>
          <w:spacing w:val="-66"/>
        </w:rPr>
        <w:t> </w:t>
      </w:r>
      <w:r>
        <w:rPr>
          <w:spacing w:val="-66"/>
        </w:rPr>
      </w:r>
      <w:r>
        <w:rPr>
          <w:spacing w:val="-1"/>
        </w:rPr>
        <w:t>响应市场需求采用“大中台</w:t>
      </w:r>
      <w:r>
        <w:rPr>
          <w:rFonts w:ascii="Times New Roman" w:hAnsi="Times New Roman" w:cs="Times New Roman" w:eastAsia="Times New Roman" w:hint="default"/>
          <w:spacing w:val="-1"/>
        </w:rPr>
        <w:t>+</w:t>
      </w:r>
      <w:r>
        <w:rPr>
          <w:spacing w:val="-1"/>
        </w:rPr>
        <w:t>小前端”的研发模式所需的产品研发管理的工具平台也是公司的核心竞争力。此外，公司的商</w:t>
      </w:r>
      <w:r>
        <w:rPr>
          <w:spacing w:val="-43"/>
        </w:rPr>
        <w:t> </w:t>
      </w:r>
      <w:r>
        <w:rPr>
          <w:spacing w:val="-43"/>
        </w:rPr>
      </w:r>
      <w:r>
        <w:rPr/>
        <w:t>业模式也从原有</w:t>
      </w:r>
      <w:r>
        <w:rPr>
          <w:spacing w:val="-46"/>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t>产品销售模式转为面向企业提供“会员制</w:t>
      </w:r>
      <w:r>
        <w:rPr>
          <w:rFonts w:ascii="Times New Roman" w:hAnsi="Times New Roman" w:cs="Times New Roman" w:eastAsia="Times New Roman" w:hint="default"/>
        </w:rPr>
        <w:t>+</w:t>
      </w:r>
      <w:r>
        <w:rPr/>
        <w:t>专项服务”的服务销售模式，面向最终企业销售的企业端</w:t>
      </w:r>
    </w:p>
    <w:p>
      <w:pPr>
        <w:pStyle w:val="BodyText"/>
        <w:spacing w:line="240" w:lineRule="auto" w:before="6"/>
        <w:ind w:left="174" w:right="0"/>
        <w:jc w:val="left"/>
      </w:pPr>
      <w:r>
        <w:rPr/>
        <w:t>（前端）和增值产品也不是单纯的</w:t>
      </w:r>
      <w:r>
        <w:rPr>
          <w:spacing w:val="-46"/>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t>产品，而是支撑提供服务的平台。</w:t>
      </w:r>
    </w:p>
    <w:p>
      <w:pPr>
        <w:spacing w:line="240" w:lineRule="auto" w:before="12"/>
        <w:rPr>
          <w:rFonts w:ascii="宋体" w:hAnsi="宋体" w:cs="宋体" w:eastAsia="宋体" w:hint="default"/>
          <w:sz w:val="13"/>
          <w:szCs w:val="13"/>
        </w:rPr>
      </w:pPr>
    </w:p>
    <w:p>
      <w:pPr>
        <w:pStyle w:val="BodyText"/>
        <w:spacing w:line="316" w:lineRule="auto" w:before="0"/>
        <w:ind w:left="174" w:right="1042" w:firstLine="360"/>
        <w:jc w:val="both"/>
      </w:pPr>
      <w:r>
        <w:rPr>
          <w:spacing w:val="-4"/>
        </w:rPr>
        <w:t>所以，对研究阶段发生的支出费用，于发生时计入当期损益；对于满足资本化条件的开发阶段的支出，进行资本化处理。</w:t>
      </w:r>
      <w:r>
        <w:rPr/>
        <w:t> 报告期内，公司的智慧财税服务互联平台、企业大数据创新服务平台等满足资本化的要求，本期确认资本化研发支出。</w:t>
      </w:r>
    </w:p>
    <w:p>
      <w:pPr>
        <w:pStyle w:val="BodyText"/>
        <w:spacing w:line="240" w:lineRule="auto" w:before="139"/>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
        <w:rPr>
          <w:rFonts w:ascii="宋体" w:hAnsi="宋体" w:cs="宋体" w:eastAsia="宋体" w:hint="default"/>
          <w:sz w:val="14"/>
          <w:szCs w:val="14"/>
        </w:rPr>
      </w:pPr>
    </w:p>
    <w:p>
      <w:pPr>
        <w:pStyle w:val="BodyText"/>
        <w:spacing w:line="240" w:lineRule="auto" w:before="0"/>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60"/>
        <w:gridCol w:w="1134"/>
        <w:gridCol w:w="5812"/>
        <w:gridCol w:w="1062"/>
      </w:tblGrid>
      <w:tr>
        <w:trPr>
          <w:trHeight w:val="7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0"/>
              <w:ind w:left="381" w:right="110" w:hanging="270"/>
              <w:jc w:val="left"/>
              <w:rPr>
                <w:rFonts w:ascii="宋体" w:hAnsi="宋体" w:cs="宋体" w:eastAsia="宋体" w:hint="default"/>
                <w:sz w:val="18"/>
                <w:szCs w:val="18"/>
              </w:rPr>
            </w:pPr>
            <w:r>
              <w:rPr>
                <w:rFonts w:ascii="宋体" w:hAnsi="宋体" w:cs="宋体" w:eastAsia="宋体" w:hint="default"/>
                <w:sz w:val="18"/>
                <w:szCs w:val="18"/>
              </w:rPr>
              <w:t>研发资本化 金额</w:t>
            </w:r>
          </w:p>
        </w:tc>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81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3"/>
              <w:jc w:val="center"/>
              <w:rPr>
                <w:rFonts w:ascii="宋体" w:hAnsi="宋体" w:cs="宋体" w:eastAsia="宋体" w:hint="default"/>
                <w:sz w:val="18"/>
                <w:szCs w:val="18"/>
              </w:rPr>
            </w:pPr>
            <w:r>
              <w:rPr>
                <w:rFonts w:ascii="宋体" w:hAnsi="宋体" w:cs="宋体" w:eastAsia="宋体" w:hint="default"/>
                <w:sz w:val="18"/>
                <w:szCs w:val="18"/>
              </w:rPr>
              <w:t>企业财税服务平台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958,790.61</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2"/>
              <w:jc w:val="both"/>
              <w:rPr>
                <w:rFonts w:ascii="宋体" w:hAnsi="宋体" w:cs="宋体" w:eastAsia="宋体" w:hint="default"/>
                <w:sz w:val="18"/>
                <w:szCs w:val="18"/>
              </w:rPr>
            </w:pPr>
            <w:r>
              <w:rPr>
                <w:rFonts w:ascii="宋体" w:hAnsi="宋体" w:cs="宋体" w:eastAsia="宋体" w:hint="default"/>
                <w:sz w:val="18"/>
                <w:szCs w:val="18"/>
              </w:rPr>
              <w:t>企业财税服务平台面向“企业主、企业财务人员”服务，通过微信服务号 提供一站式企业财税服务，包括产品查询、咨询、在线购买及服务进度跟 踪等。</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22"/>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bl>
    <w:p>
      <w:pPr>
        <w:spacing w:after="0" w:line="285"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r>
        <w:rPr/>
        <w:pict>
          <v:group style="position:absolute;margin-left:483.420013pt;margin-top:414.019989pt;width:50.35pt;height:14pt;mso-position-horizontal-relative:page;mso-position-vertical-relative:page;z-index:-1028368" coordorigin="9668,8280" coordsize="1007,280">
            <v:shape style="position:absolute;left:9668;top:8280;width:1007;height:280" coordorigin="9668,8280" coordsize="1007,280" path="m9668,8560l10675,8560,10675,8280,9668,8280,9668,8560xe" filled="true" fillcolor="#ffffff" stroked="false">
              <v:path arrowok="t"/>
              <v:fill type="solid"/>
            </v:shape>
            <w10:wrap type="none"/>
          </v:group>
        </w:pict>
      </w:r>
      <w:r>
        <w:rPr/>
        <w:pict>
          <v:group style="position:absolute;margin-left:483.420013pt;margin-top:503.559998pt;width:50.35pt;height:14pt;mso-position-horizontal-relative:page;mso-position-vertical-relative:page;z-index:-1028344" coordorigin="9668,10071" coordsize="1007,280">
            <v:shape style="position:absolute;left:9668;top:10071;width:1007;height:280" coordorigin="9668,10071" coordsize="1007,280" path="m9668,10351l10675,10351,10675,10071,9668,10071,9668,10351xe" filled="true" fillcolor="#ffffff" stroked="false">
              <v:path arrowok="t"/>
              <v:fill type="solid"/>
            </v:shape>
            <w10:wrap type="none"/>
          </v:group>
        </w:pict>
      </w:r>
    </w:p>
    <w:tbl>
      <w:tblPr>
        <w:tblW w:w="0" w:type="auto"/>
        <w:jc w:val="left"/>
        <w:tblInd w:w="169" w:type="dxa"/>
        <w:tblLayout w:type="fixed"/>
        <w:tblCellMar>
          <w:top w:w="0" w:type="dxa"/>
          <w:left w:w="0" w:type="dxa"/>
          <w:bottom w:w="0" w:type="dxa"/>
          <w:right w:w="0" w:type="dxa"/>
        </w:tblCellMar>
        <w:tblLook w:val="01E0"/>
      </w:tblPr>
      <w:tblGrid>
        <w:gridCol w:w="1560"/>
        <w:gridCol w:w="1134"/>
        <w:gridCol w:w="5812"/>
        <w:gridCol w:w="1062"/>
      </w:tblGrid>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39"/>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协同办公应用 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351,135.81</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2" w:right="22"/>
              <w:jc w:val="both"/>
              <w:rPr>
                <w:rFonts w:ascii="宋体" w:hAnsi="宋体" w:cs="宋体" w:eastAsia="宋体" w:hint="default"/>
                <w:sz w:val="18"/>
                <w:szCs w:val="18"/>
              </w:rPr>
            </w:pPr>
            <w:r>
              <w:rPr>
                <w:rFonts w:ascii="宋体" w:hAnsi="宋体" w:cs="宋体" w:eastAsia="宋体" w:hint="default"/>
                <w:sz w:val="18"/>
                <w:szCs w:val="18"/>
              </w:rPr>
              <w:t>协同办公应用软件为公司的业务和管理流程定义和优化提供支撑，提升公 司内部协同办公效率。平台提供移动办公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APP</w:t>
            </w:r>
            <w:r>
              <w:rPr>
                <w:rFonts w:ascii="宋体" w:hAnsi="宋体" w:cs="宋体" w:eastAsia="宋体" w:hint="default"/>
                <w:sz w:val="18"/>
                <w:szCs w:val="18"/>
              </w:rPr>
              <w:t>、微信办公、网页等多渠道 应用。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培训管家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1,574,963.32</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2"/>
              <w:jc w:val="both"/>
              <w:rPr>
                <w:rFonts w:ascii="宋体" w:hAnsi="宋体" w:cs="宋体" w:eastAsia="宋体" w:hint="default"/>
                <w:sz w:val="18"/>
                <w:szCs w:val="18"/>
              </w:rPr>
            </w:pPr>
            <w:r>
              <w:rPr>
                <w:rFonts w:ascii="宋体" w:hAnsi="宋体" w:cs="宋体" w:eastAsia="宋体" w:hint="default"/>
                <w:sz w:val="18"/>
                <w:szCs w:val="18"/>
              </w:rPr>
              <w:t>培训管家是财税知识服务软件中的一款核心产品，通过直播课程、互动课 程、视频课程、面授课程、专家问答、在线考试等功能，为企业会计与财 税人员提供持续、高效学习的一站式全方位培训服务。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财税知识服务软件</w:t>
            </w:r>
          </w:p>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1,365,471.58</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财税知识服务软件整合财税行业资源，为企业和个人解决财税问题，并致 力于打造全方位、一站式的财税知识分享与增值服务平台。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w w:val="90"/>
                <w:sz w:val="18"/>
                <w:szCs w:val="18"/>
              </w:rPr>
              <w:t>企税查数据服务平台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39,643.16</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企税查数据服务平台是面向经过公司认证的用户，提供安全可靠的信息查 询平台，身份验证通过的用户可以查询自己企业的历史业务数据。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金财管家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152,538.57</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
              <w:ind w:left="22" w:right="21"/>
              <w:jc w:val="left"/>
              <w:rPr>
                <w:rFonts w:ascii="宋体" w:hAnsi="宋体" w:cs="宋体" w:eastAsia="宋体" w:hint="default"/>
                <w:sz w:val="18"/>
                <w:szCs w:val="18"/>
              </w:rPr>
            </w:pPr>
            <w:r>
              <w:rPr>
                <w:rFonts w:ascii="宋体" w:hAnsi="宋体" w:cs="宋体" w:eastAsia="宋体" w:hint="default"/>
                <w:sz w:val="18"/>
                <w:szCs w:val="18"/>
              </w:rPr>
              <w:t>根据企业发票数据、财务账套数据，自动智能生成申报表填报数据，实现 企业的数据互通共享。让企业报税、记账更高效、精准。</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87"/>
              <w:jc w:val="both"/>
              <w:rPr>
                <w:rFonts w:ascii="宋体" w:hAnsi="宋体" w:cs="宋体" w:eastAsia="宋体" w:hint="default"/>
                <w:sz w:val="18"/>
                <w:szCs w:val="18"/>
              </w:rPr>
            </w:pPr>
            <w:r>
              <w:rPr>
                <w:rFonts w:ascii="宋体" w:hAnsi="宋体" w:cs="宋体" w:eastAsia="宋体" w:hint="default"/>
                <w:sz w:val="18"/>
                <w:szCs w:val="18"/>
              </w:rPr>
              <w:t>增值税发票管理及 增值税发票风险服 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1,553,327.63</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22"/>
              <w:ind w:left="22" w:right="199"/>
              <w:jc w:val="left"/>
              <w:rPr>
                <w:rFonts w:ascii="宋体" w:hAnsi="宋体" w:cs="宋体" w:eastAsia="宋体" w:hint="default"/>
                <w:sz w:val="18"/>
                <w:szCs w:val="18"/>
              </w:rPr>
            </w:pPr>
            <w:r>
              <w:rPr>
                <w:rFonts w:ascii="宋体" w:hAnsi="宋体" w:cs="宋体" w:eastAsia="宋体" w:hint="default"/>
                <w:sz w:val="18"/>
                <w:szCs w:val="18"/>
              </w:rPr>
              <w:t>增值税发票管理及增值税发票风险服务是依托大数据业务和技术能力建 立的，对纳税人的开票或受票进行管理及风险管控。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大数据平台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2,988,088.52</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大数据平台将公司多个产品的数据进行归集，依托大数据工具进行清洗梳 理，并封装标准服务，对公司应用产品提供数据服务。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0"/>
              <w:ind w:left="22" w:right="25"/>
              <w:jc w:val="left"/>
              <w:rPr>
                <w:rFonts w:ascii="宋体" w:hAnsi="宋体" w:cs="宋体" w:eastAsia="宋体" w:hint="default"/>
                <w:sz w:val="18"/>
                <w:szCs w:val="18"/>
              </w:rPr>
            </w:pPr>
            <w:r>
              <w:rPr>
                <w:rFonts w:ascii="宋体" w:hAnsi="宋体" w:cs="宋体" w:eastAsia="宋体" w:hint="default"/>
                <w:sz w:val="18"/>
                <w:szCs w:val="18"/>
              </w:rPr>
              <w:t>数据资产管理平台</w:t>
            </w:r>
            <w:r>
              <w:rPr>
                <w:rFonts w:ascii="Times New Roman" w:hAnsi="Times New Roman" w:cs="Times New Roman" w:eastAsia="Times New Roman" w:hint="default"/>
                <w:sz w:val="18"/>
                <w:szCs w:val="18"/>
              </w:rPr>
              <w:t>- </w:t>
            </w:r>
            <w:r>
              <w:rPr>
                <w:rFonts w:ascii="宋体" w:hAnsi="宋体" w:cs="宋体" w:eastAsia="宋体" w:hint="default"/>
                <w:sz w:val="18"/>
                <w:szCs w:val="18"/>
              </w:rPr>
              <w:t>元数据管理产品</w:t>
            </w:r>
          </w:p>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Times New Roman"/>
                <w:sz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425,759.34</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22"/>
              <w:ind w:left="22" w:right="22"/>
              <w:jc w:val="left"/>
              <w:rPr>
                <w:rFonts w:ascii="宋体" w:hAnsi="宋体" w:cs="宋体" w:eastAsia="宋体" w:hint="default"/>
                <w:sz w:val="18"/>
                <w:szCs w:val="18"/>
              </w:rPr>
            </w:pPr>
            <w:r>
              <w:rPr>
                <w:rFonts w:ascii="宋体" w:hAnsi="宋体" w:cs="宋体" w:eastAsia="宋体" w:hint="default"/>
                <w:sz w:val="18"/>
                <w:szCs w:val="18"/>
              </w:rPr>
              <w:t>元数据管理软件是依托大数据平台，将大数据平台中的数据进行业务、技 术元数据管理，关系维护及分析，是数据质量管理的基础。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个税代扣代缴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1,399,486.03</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个税代扣代缴通过技术手段，用自动化机器人打通个税申报通道，与公司 其他产品集成，提供标准的扣缴个税申报服务。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发票管家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328,339.72</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22"/>
              <w:jc w:val="both"/>
              <w:rPr>
                <w:rFonts w:ascii="宋体" w:hAnsi="宋体" w:cs="宋体" w:eastAsia="宋体" w:hint="default"/>
                <w:sz w:val="18"/>
                <w:szCs w:val="18"/>
              </w:rPr>
            </w:pPr>
            <w:r>
              <w:rPr>
                <w:rFonts w:ascii="宋体" w:hAnsi="宋体" w:cs="宋体" w:eastAsia="宋体" w:hint="default"/>
                <w:sz w:val="18"/>
                <w:szCs w:val="18"/>
              </w:rPr>
              <w:t>发票管家是一款综合性发票管理软件，面向公司财务会计提供便捷的发票 开具、红冲、归集、查验、报销等发票管理功能，有针对性地对公司财务 会计提供相关优质服务。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101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电子税务局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1,249,351.59</w:t>
            </w:r>
          </w:p>
        </w:tc>
        <w:tc>
          <w:tcPr>
            <w:tcW w:w="5812" w:type="dxa"/>
            <w:tcBorders>
              <w:top w:val="single" w:sz="4" w:space="0" w:color="000000"/>
              <w:left w:val="single" w:sz="4" w:space="0" w:color="000000"/>
              <w:bottom w:val="single" w:sz="4" w:space="0" w:color="000000"/>
              <w:right w:val="single" w:sz="9" w:space="0" w:color="FFFFFF"/>
            </w:tcBorders>
          </w:tcPr>
          <w:p>
            <w:pPr>
              <w:pStyle w:val="TableParagraph"/>
              <w:spacing w:line="244" w:lineRule="auto" w:before="1"/>
              <w:ind w:left="22" w:right="-39"/>
              <w:jc w:val="both"/>
              <w:rPr>
                <w:rFonts w:ascii="宋体" w:hAnsi="宋体" w:cs="宋体" w:eastAsia="宋体" w:hint="default"/>
                <w:sz w:val="18"/>
                <w:szCs w:val="18"/>
              </w:rPr>
            </w:pPr>
            <w:r>
              <w:rPr>
                <w:rFonts w:ascii="宋体" w:hAnsi="宋体" w:cs="宋体" w:eastAsia="宋体" w:hint="default"/>
                <w:sz w:val="18"/>
                <w:szCs w:val="18"/>
              </w:rPr>
              <w:t>面向纳税人提供涉税申报、事项办理、发票领购、查询统计等一站式办税 </w:t>
            </w:r>
            <w:r>
              <w:rPr>
                <w:rFonts w:ascii="宋体" w:hAnsi="宋体" w:cs="宋体" w:eastAsia="宋体" w:hint="default"/>
                <w:spacing w:val="-4"/>
                <w:sz w:val="18"/>
                <w:szCs w:val="18"/>
              </w:rPr>
              <w:t>服务，面向税务人员提供事项审批、纳税服务等工作平台。旨在向纳税人、</w:t>
            </w:r>
            <w:r>
              <w:rPr>
                <w:rFonts w:ascii="宋体" w:hAnsi="宋体" w:cs="宋体" w:eastAsia="宋体" w:hint="default"/>
                <w:spacing w:val="-35"/>
                <w:sz w:val="18"/>
                <w:szCs w:val="18"/>
              </w:rPr>
              <w:t> </w:t>
            </w:r>
            <w:r>
              <w:rPr>
                <w:rFonts w:ascii="宋体" w:hAnsi="宋体" w:cs="宋体" w:eastAsia="宋体" w:hint="default"/>
                <w:sz w:val="18"/>
                <w:szCs w:val="18"/>
              </w:rPr>
              <w:t>税务人员、其他公众提供一个高效、便捷、智能的信息化平台，实现全天</w:t>
            </w:r>
            <w:r>
              <w:rPr>
                <w:rFonts w:ascii="宋体" w:hAnsi="宋体" w:cs="宋体" w:eastAsia="宋体" w:hint="default"/>
                <w:sz w:val="18"/>
                <w:szCs w:val="18"/>
              </w:rPr>
              <w:t> 候、全方位、全覆盖、全流程、全联通的电子税务局。</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64" w:lineRule="auto"/>
              <w:ind w:left="16"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10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中介管理应用软件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1,591,530.38</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1"/>
              <w:jc w:val="both"/>
              <w:rPr>
                <w:rFonts w:ascii="宋体" w:hAnsi="宋体" w:cs="宋体" w:eastAsia="宋体" w:hint="default"/>
                <w:sz w:val="18"/>
                <w:szCs w:val="18"/>
              </w:rPr>
            </w:pPr>
            <w:r>
              <w:rPr>
                <w:rFonts w:ascii="宋体" w:hAnsi="宋体" w:cs="宋体" w:eastAsia="宋体" w:hint="default"/>
                <w:sz w:val="18"/>
                <w:szCs w:val="18"/>
              </w:rPr>
              <w:t>中介管理应用软件主要面向中介以及中介服务的用户，实现服务和业务的 分离。资源与数据由平台统一管理，避免客户资源随人员离职而流失。发 展客户、服务客户的过程都在平台留痕，公司运营人员对中介的服务进行 监管，保障平台的良性发展。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64" w:lineRule="auto"/>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金财代账平台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527,842.23</w:t>
            </w:r>
          </w:p>
        </w:tc>
        <w:tc>
          <w:tcPr>
            <w:tcW w:w="5812" w:type="dxa"/>
            <w:tcBorders>
              <w:top w:val="single" w:sz="4" w:space="0" w:color="000000"/>
              <w:left w:val="single" w:sz="4" w:space="0" w:color="000000"/>
              <w:bottom w:val="single" w:sz="4" w:space="0" w:color="000000"/>
              <w:right w:val="single" w:sz="9" w:space="0" w:color="FFFFFF"/>
            </w:tcBorders>
          </w:tcPr>
          <w:p>
            <w:pPr>
              <w:pStyle w:val="TableParagraph"/>
              <w:spacing w:line="244" w:lineRule="auto" w:before="11"/>
              <w:ind w:left="22" w:right="-39"/>
              <w:jc w:val="left"/>
              <w:rPr>
                <w:rFonts w:ascii="宋体" w:hAnsi="宋体" w:cs="宋体" w:eastAsia="宋体" w:hint="default"/>
                <w:sz w:val="18"/>
                <w:szCs w:val="18"/>
              </w:rPr>
            </w:pPr>
            <w:r>
              <w:rPr>
                <w:rFonts w:ascii="宋体" w:hAnsi="宋体" w:cs="宋体" w:eastAsia="宋体" w:hint="default"/>
                <w:spacing w:val="-4"/>
                <w:sz w:val="18"/>
                <w:szCs w:val="18"/>
              </w:rPr>
              <w:t>针对大型代理记账中介业务，对记账模式进行了颠覆性的创新：店厂分割、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规模经营、流水作业、提升效率、优化分工、降低成本。</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64" w:lineRule="auto" w:before="2"/>
              <w:ind w:left="16"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6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桌面服务门户软件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198,413.75</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3"/>
              <w:jc w:val="both"/>
              <w:rPr>
                <w:rFonts w:ascii="宋体" w:hAnsi="宋体" w:cs="宋体" w:eastAsia="宋体" w:hint="default"/>
                <w:sz w:val="18"/>
                <w:szCs w:val="18"/>
              </w:rPr>
            </w:pPr>
            <w:r>
              <w:rPr>
                <w:rFonts w:ascii="宋体" w:hAnsi="宋体" w:cs="宋体" w:eastAsia="宋体" w:hint="default"/>
                <w:sz w:val="18"/>
                <w:szCs w:val="18"/>
              </w:rPr>
              <w:t>桌面服务门户软件是公司企业级服务门户的核心支撑平台，承接公司面向 市场化财税服务市场营销产品的宣传与下载或在线体验通道，提供产品售 后运维知识及人工服务支持。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在线服务平台产品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186,281.20</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0"/>
              <w:ind w:left="22" w:right="33"/>
              <w:jc w:val="left"/>
              <w:rPr>
                <w:rFonts w:ascii="宋体" w:hAnsi="宋体" w:cs="宋体" w:eastAsia="宋体" w:hint="default"/>
                <w:sz w:val="18"/>
                <w:szCs w:val="18"/>
              </w:rPr>
            </w:pPr>
            <w:r>
              <w:rPr>
                <w:rFonts w:ascii="宋体" w:hAnsi="宋体" w:cs="宋体" w:eastAsia="宋体" w:hint="default"/>
                <w:sz w:val="18"/>
                <w:szCs w:val="18"/>
              </w:rPr>
              <w:t>支持多种渠道的接入，包括客户端、</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端、微信端的咨询主流程。为公 司产品、项目的推广提供在线服务工具支持。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6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金财学院软件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139,589.62</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2"/>
              <w:jc w:val="both"/>
              <w:rPr>
                <w:rFonts w:ascii="宋体" w:hAnsi="宋体" w:cs="宋体" w:eastAsia="宋体" w:hint="default"/>
                <w:sz w:val="18"/>
                <w:szCs w:val="18"/>
              </w:rPr>
            </w:pPr>
            <w:r>
              <w:rPr>
                <w:rFonts w:ascii="宋体" w:hAnsi="宋体" w:cs="宋体" w:eastAsia="宋体" w:hint="default"/>
                <w:sz w:val="18"/>
                <w:szCs w:val="18"/>
              </w:rPr>
              <w:t>金财学院软件是公司财税知识服务核心业务平台，让财税从业人员可以享 受线上线下知识充电，提升自身学习水平，同时也是联合诸多线下财税专 家共同打造的知识综合学习平台。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
              <w:ind w:left="22" w:right="18"/>
              <w:jc w:val="left"/>
              <w:rPr>
                <w:rFonts w:ascii="宋体" w:hAnsi="宋体" w:cs="宋体" w:eastAsia="宋体" w:hint="default"/>
                <w:sz w:val="18"/>
                <w:szCs w:val="18"/>
              </w:rPr>
            </w:pPr>
            <w:r>
              <w:rPr>
                <w:rFonts w:ascii="宋体" w:hAnsi="宋体" w:cs="宋体" w:eastAsia="宋体" w:hint="default"/>
                <w:spacing w:val="-14"/>
                <w:sz w:val="18"/>
                <w:szCs w:val="18"/>
              </w:rPr>
              <w:t>企业大数据创新服务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3"/>
                <w:sz w:val="18"/>
                <w:szCs w:val="18"/>
              </w:rPr>
              <w:t>平台</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企业征信系统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1,847,398.65</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企业征信系统是在数据分析的基础上，面向企业和金融机构提供基于财税 大数据的企业征信应用，辅助解决企业融资难的问题。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
              <w:ind w:left="22" w:right="307"/>
              <w:jc w:val="left"/>
              <w:rPr>
                <w:rFonts w:ascii="宋体" w:hAnsi="宋体" w:cs="宋体" w:eastAsia="宋体" w:hint="default"/>
                <w:sz w:val="18"/>
                <w:szCs w:val="18"/>
              </w:rPr>
            </w:pPr>
            <w:r>
              <w:rPr>
                <w:rFonts w:ascii="宋体" w:hAnsi="宋体" w:cs="宋体" w:eastAsia="宋体" w:hint="default"/>
                <w:sz w:val="18"/>
                <w:szCs w:val="18"/>
              </w:rPr>
              <w:t>功能开发 阶段</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2" w:right="25"/>
              <w:jc w:val="both"/>
              <w:rPr>
                <w:rFonts w:ascii="宋体" w:hAnsi="宋体" w:cs="宋体" w:eastAsia="宋体" w:hint="default"/>
                <w:sz w:val="18"/>
                <w:szCs w:val="18"/>
              </w:rPr>
            </w:pPr>
            <w:r>
              <w:rPr>
                <w:rFonts w:ascii="宋体" w:hAnsi="宋体" w:cs="宋体" w:eastAsia="宋体" w:hint="default"/>
                <w:sz w:val="18"/>
                <w:szCs w:val="18"/>
              </w:rPr>
              <w:t>企业大数据创新服 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企业税收风 险管理平台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2,287,387.86</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2"/>
              <w:jc w:val="left"/>
              <w:rPr>
                <w:rFonts w:ascii="宋体" w:hAnsi="宋体" w:cs="宋体" w:eastAsia="宋体" w:hint="default"/>
                <w:sz w:val="18"/>
                <w:szCs w:val="18"/>
              </w:rPr>
            </w:pPr>
            <w:r>
              <w:rPr>
                <w:rFonts w:ascii="宋体" w:hAnsi="宋体" w:cs="宋体" w:eastAsia="宋体" w:hint="default"/>
                <w:sz w:val="18"/>
                <w:szCs w:val="18"/>
              </w:rPr>
              <w:t>企业涉税风险分析管理平台是专为中小微企业量身定制的一款财税风险 检测软件产品。以用户涉税数据为中心，应用大数据技术检测企业的税收 风险。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307"/>
              <w:jc w:val="left"/>
              <w:rPr>
                <w:rFonts w:ascii="宋体" w:hAnsi="宋体" w:cs="宋体" w:eastAsia="宋体" w:hint="default"/>
                <w:sz w:val="18"/>
                <w:szCs w:val="18"/>
              </w:rPr>
            </w:pPr>
            <w:r>
              <w:rPr>
                <w:rFonts w:ascii="宋体" w:hAnsi="宋体" w:cs="宋体" w:eastAsia="宋体" w:hint="default"/>
                <w:sz w:val="18"/>
                <w:szCs w:val="18"/>
              </w:rPr>
              <w:t>功能测试 阶段</w:t>
            </w:r>
          </w:p>
        </w:tc>
      </w:tr>
      <w:tr>
        <w:trPr>
          <w:trHeight w:val="12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auto" w:before="155"/>
              <w:ind w:left="22" w:right="87"/>
              <w:jc w:val="left"/>
              <w:rPr>
                <w:rFonts w:ascii="宋体" w:hAnsi="宋体" w:cs="宋体" w:eastAsia="宋体" w:hint="default"/>
                <w:sz w:val="18"/>
                <w:szCs w:val="18"/>
              </w:rPr>
            </w:pPr>
            <w:r>
              <w:rPr>
                <w:rFonts w:ascii="宋体" w:hAnsi="宋体" w:cs="宋体" w:eastAsia="宋体" w:hint="default"/>
                <w:sz w:val="18"/>
                <w:szCs w:val="18"/>
              </w:rPr>
              <w:t>大数据驱动的智慧 电子税务局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28,846,288.11</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19"/>
              <w:jc w:val="both"/>
              <w:rPr>
                <w:rFonts w:ascii="宋体" w:hAnsi="宋体" w:cs="宋体" w:eastAsia="宋体" w:hint="default"/>
                <w:sz w:val="18"/>
                <w:szCs w:val="18"/>
              </w:rPr>
            </w:pPr>
            <w:r>
              <w:rPr>
                <w:rFonts w:ascii="宋体" w:hAnsi="宋体" w:cs="宋体" w:eastAsia="宋体" w:hint="default"/>
                <w:sz w:val="18"/>
                <w:szCs w:val="18"/>
              </w:rPr>
              <w:t>以纳税人需求为导向，以数据驱动为基础，以风险与信用管理为支撑，面 向纳税人提供便捷办税、个性化服务、主动推送等智慧办税平台，以及面 向税务人员提供行为分析、数字化运营等智慧工作平台。旨在向纳税人、 税务人员及社会各界提供智慧、主动、高效、安全的以大数据驱动的智慧 电子税务局。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66" w:lineRule="auto" w:before="144"/>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bl>
    <w:p>
      <w:pPr>
        <w:spacing w:after="0" w:line="266"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r>
        <w:rPr/>
        <w:pict>
          <v:group style="position:absolute;margin-left:483.420013pt;margin-top:291.499969pt;width:50.35pt;height:13.05pt;mso-position-horizontal-relative:page;mso-position-vertical-relative:page;z-index:-1028320" coordorigin="9668,5830" coordsize="1007,261">
            <v:shape style="position:absolute;left:9668;top:5830;width:1007;height:261" coordorigin="9668,5830" coordsize="1007,261" path="m9668,6090l10675,6090,10675,5830,9668,5830,9668,6090xe" filled="true" fillcolor="#ffffff" stroked="false">
              <v:path arrowok="t"/>
              <v:fill type="solid"/>
            </v:shape>
            <w10:wrap type="none"/>
          </v:group>
        </w:pict>
      </w:r>
      <w:r>
        <w:rPr/>
        <w:pict>
          <v:group style="position:absolute;margin-left:483.420013pt;margin-top:399.019989pt;width:50.35pt;height:27.05pt;mso-position-horizontal-relative:page;mso-position-vertical-relative:page;z-index:-1028296" coordorigin="9668,7980" coordsize="1007,541">
            <v:group style="position:absolute;left:9668;top:7980;width:1007;height:280" coordorigin="9668,7980" coordsize="1007,280">
              <v:shape style="position:absolute;left:9668;top:7980;width:1007;height:280" coordorigin="9668,7980" coordsize="1007,280" path="m9668,8260l10675,8260,10675,7980,9668,7980,9668,8260xe" filled="true" fillcolor="#ffffff" stroked="false">
                <v:path arrowok="t"/>
                <v:fill type="solid"/>
              </v:shape>
            </v:group>
            <v:group style="position:absolute;left:9668;top:8260;width:1007;height:261" coordorigin="9668,8260" coordsize="1007,261">
              <v:shape style="position:absolute;left:9668;top:8260;width:1007;height:261" coordorigin="9668,8260" coordsize="1007,261" path="m9668,8521l10675,8521,10675,8260,9668,8260,9668,8521xe" filled="true" fillcolor="#ffffff" stroked="false">
                <v:path arrowok="t"/>
                <v:fill type="solid"/>
              </v:shape>
            </v:group>
            <w10:wrap type="none"/>
          </v:group>
        </w:pict>
      </w:r>
    </w:p>
    <w:tbl>
      <w:tblPr>
        <w:tblW w:w="0" w:type="auto"/>
        <w:jc w:val="left"/>
        <w:tblInd w:w="169" w:type="dxa"/>
        <w:tblLayout w:type="fixed"/>
        <w:tblCellMar>
          <w:top w:w="0" w:type="dxa"/>
          <w:left w:w="0" w:type="dxa"/>
          <w:bottom w:w="0" w:type="dxa"/>
          <w:right w:w="0" w:type="dxa"/>
        </w:tblCellMar>
        <w:tblLook w:val="01E0"/>
      </w:tblPr>
      <w:tblGrid>
        <w:gridCol w:w="1560"/>
        <w:gridCol w:w="1134"/>
        <w:gridCol w:w="5812"/>
        <w:gridCol w:w="1062"/>
      </w:tblGrid>
      <w:tr>
        <w:trPr>
          <w:trHeight w:val="10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85"/>
              <w:jc w:val="both"/>
              <w:rPr>
                <w:rFonts w:ascii="宋体" w:hAnsi="宋体" w:cs="宋体" w:eastAsia="宋体" w:hint="default"/>
                <w:sz w:val="18"/>
                <w:szCs w:val="18"/>
              </w:rPr>
            </w:pPr>
            <w:r>
              <w:rPr>
                <w:rFonts w:ascii="宋体" w:hAnsi="宋体" w:cs="宋体" w:eastAsia="宋体" w:hint="default"/>
                <w:sz w:val="18"/>
                <w:szCs w:val="18"/>
              </w:rPr>
              <w:t>金财助手（基于服 务聚合的面向自建 帐企业互联网办税 及知识服务）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4,489,280.06</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22"/>
              <w:jc w:val="both"/>
              <w:rPr>
                <w:rFonts w:ascii="宋体" w:hAnsi="宋体" w:cs="宋体" w:eastAsia="宋体" w:hint="default"/>
                <w:sz w:val="18"/>
                <w:szCs w:val="18"/>
              </w:rPr>
            </w:pPr>
            <w:r>
              <w:rPr>
                <w:rFonts w:ascii="宋体" w:hAnsi="宋体" w:cs="宋体" w:eastAsia="宋体" w:hint="default"/>
                <w:sz w:val="18"/>
                <w:szCs w:val="18"/>
              </w:rPr>
              <w:t>金财助手（基于服务聚合的面向自建帐企业互联网办税及知识服务）主要 面向自建帐企业的财税会计从业人员，解决企业全生命周期的数据贯穿问 题，也是企业办税问题一体化流量服务平台。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64" w:lineRule="auto"/>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中小企业财务服务</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应用软件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18,726,807.11</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中小企业财税服务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应用软件，定位中小微企业的业财税一体化的管 理，满足用户记账报税业务需求。主要面向企业老板、企业会计、企业出 纳</w:t>
            </w:r>
            <w:r>
              <w:rPr>
                <w:rFonts w:ascii="Times New Roman" w:hAnsi="Times New Roman" w:cs="Times New Roman" w:eastAsia="Times New Roman" w:hint="default"/>
                <w:sz w:val="18"/>
                <w:szCs w:val="18"/>
              </w:rPr>
              <w:t>/</w:t>
            </w:r>
            <w:r>
              <w:rPr>
                <w:rFonts w:ascii="宋体" w:hAnsi="宋体" w:cs="宋体" w:eastAsia="宋体" w:hint="default"/>
                <w:sz w:val="18"/>
                <w:szCs w:val="18"/>
              </w:rPr>
              <w:t>助理以及代账会计使用。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22"/>
              <w:ind w:left="22" w:right="85"/>
              <w:jc w:val="left"/>
              <w:rPr>
                <w:rFonts w:ascii="宋体" w:hAnsi="宋体" w:cs="宋体" w:eastAsia="宋体" w:hint="default"/>
                <w:sz w:val="18"/>
                <w:szCs w:val="18"/>
              </w:rPr>
            </w:pPr>
            <w:r>
              <w:rPr>
                <w:rFonts w:ascii="宋体" w:hAnsi="宋体" w:cs="宋体" w:eastAsia="宋体" w:hint="default"/>
                <w:sz w:val="18"/>
                <w:szCs w:val="18"/>
              </w:rPr>
              <w:t>基于互联网的财税 服务开放应用软件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6,676,026.26</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23"/>
              <w:jc w:val="left"/>
              <w:rPr>
                <w:rFonts w:ascii="宋体" w:hAnsi="宋体" w:cs="宋体" w:eastAsia="宋体" w:hint="default"/>
                <w:sz w:val="18"/>
                <w:szCs w:val="18"/>
              </w:rPr>
            </w:pPr>
            <w:r>
              <w:rPr>
                <w:rFonts w:ascii="宋体" w:hAnsi="宋体" w:cs="宋体" w:eastAsia="宋体" w:hint="default"/>
                <w:sz w:val="18"/>
                <w:szCs w:val="18"/>
              </w:rPr>
              <w:t>基于互联网的财税服务开放应用软件是公司企业级产品的业务服务支撑 平台，主要负责整合服务接口。同时实现对服务的鉴权、审计、服务日志 跟踪等的数据采集记录。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87"/>
              <w:jc w:val="left"/>
              <w:rPr>
                <w:rFonts w:ascii="宋体" w:hAnsi="宋体" w:cs="宋体" w:eastAsia="宋体" w:hint="default"/>
                <w:sz w:val="18"/>
                <w:szCs w:val="18"/>
              </w:rPr>
            </w:pPr>
            <w:r>
              <w:rPr>
                <w:rFonts w:ascii="宋体" w:hAnsi="宋体" w:cs="宋体" w:eastAsia="宋体" w:hint="default"/>
                <w:sz w:val="18"/>
                <w:szCs w:val="18"/>
              </w:rPr>
              <w:t>智慧财税电子商务 应用软件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5,153,712.03</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2"/>
              <w:jc w:val="both"/>
              <w:rPr>
                <w:rFonts w:ascii="宋体" w:hAnsi="宋体" w:cs="宋体" w:eastAsia="宋体" w:hint="default"/>
                <w:sz w:val="18"/>
                <w:szCs w:val="18"/>
              </w:rPr>
            </w:pPr>
            <w:r>
              <w:rPr>
                <w:rFonts w:ascii="宋体" w:hAnsi="宋体" w:cs="宋体" w:eastAsia="宋体" w:hint="default"/>
                <w:sz w:val="18"/>
                <w:szCs w:val="18"/>
              </w:rPr>
              <w:t>智慧财税电子商务应用软件是公司企业级产品运营的核心平台。主要面向 公司营销人员、运营人员、产品研发以及服务人员为其提供能力支撑，通 过该平台可以对公司产品的营销、服务情况有全面的了解。</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多渠道在线客服应 用软件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1,772,292.97</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9"/>
              <w:ind w:left="22" w:right="23"/>
              <w:jc w:val="left"/>
              <w:rPr>
                <w:rFonts w:ascii="宋体" w:hAnsi="宋体" w:cs="宋体" w:eastAsia="宋体" w:hint="default"/>
                <w:sz w:val="18"/>
                <w:szCs w:val="18"/>
              </w:rPr>
            </w:pPr>
            <w:r>
              <w:rPr>
                <w:rFonts w:ascii="宋体" w:hAnsi="宋体" w:cs="宋体" w:eastAsia="宋体" w:hint="default"/>
                <w:spacing w:val="-3"/>
                <w:sz w:val="18"/>
                <w:szCs w:val="18"/>
              </w:rPr>
              <w:t>多渠道在线客服应用软件主要能力包括：机器人客服集成、</w:t>
            </w:r>
            <w:r>
              <w:rPr>
                <w:rFonts w:ascii="Times New Roman" w:hAnsi="Times New Roman" w:cs="Times New Roman" w:eastAsia="Times New Roman" w:hint="default"/>
                <w:spacing w:val="-3"/>
                <w:sz w:val="18"/>
                <w:szCs w:val="18"/>
              </w:rPr>
              <w:t>H5</w:t>
            </w:r>
            <w:r>
              <w:rPr>
                <w:rFonts w:ascii="Times New Roman" w:hAnsi="Times New Roman" w:cs="Times New Roman" w:eastAsia="Times New Roman" w:hint="default"/>
                <w:spacing w:val="16"/>
                <w:sz w:val="18"/>
                <w:szCs w:val="18"/>
              </w:rPr>
              <w:t> </w:t>
            </w:r>
            <w:r>
              <w:rPr>
                <w:rFonts w:ascii="宋体" w:hAnsi="宋体" w:cs="宋体" w:eastAsia="宋体" w:hint="default"/>
                <w:spacing w:val="-6"/>
                <w:sz w:val="18"/>
                <w:szCs w:val="18"/>
              </w:rPr>
              <w:t>咨询、小程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序咨询、面对面视频会议沟通、网络电话等功能模块，提升用户体验。</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10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财税数据中台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9,528,850.72</w:t>
            </w:r>
          </w:p>
        </w:tc>
        <w:tc>
          <w:tcPr>
            <w:tcW w:w="5812" w:type="dxa"/>
            <w:tcBorders>
              <w:top w:val="single" w:sz="4" w:space="0" w:color="000000"/>
              <w:left w:val="single" w:sz="4" w:space="0" w:color="000000"/>
              <w:bottom w:val="single" w:sz="4" w:space="0" w:color="000000"/>
              <w:right w:val="single" w:sz="9" w:space="0" w:color="FFFFFF"/>
            </w:tcBorders>
          </w:tcPr>
          <w:p>
            <w:pPr>
              <w:pStyle w:val="TableParagraph"/>
              <w:spacing w:line="244" w:lineRule="auto" w:before="1"/>
              <w:ind w:left="22" w:right="-39"/>
              <w:jc w:val="both"/>
              <w:rPr>
                <w:rFonts w:ascii="宋体" w:hAnsi="宋体" w:cs="宋体" w:eastAsia="宋体" w:hint="default"/>
                <w:sz w:val="18"/>
                <w:szCs w:val="18"/>
              </w:rPr>
            </w:pPr>
            <w:r>
              <w:rPr>
                <w:rFonts w:ascii="宋体" w:hAnsi="宋体" w:cs="宋体" w:eastAsia="宋体" w:hint="default"/>
                <w:sz w:val="18"/>
                <w:szCs w:val="18"/>
              </w:rPr>
              <w:t>财税数据中台是公司底层数据资产管理的核心平台，负责公司所有的底层 数据的存储、数据质量管理、租户空间管理、自定义分析、数据建模、用 </w:t>
            </w:r>
            <w:r>
              <w:rPr>
                <w:rFonts w:ascii="宋体" w:hAnsi="宋体" w:cs="宋体" w:eastAsia="宋体" w:hint="default"/>
                <w:spacing w:val="-4"/>
                <w:sz w:val="18"/>
                <w:szCs w:val="18"/>
              </w:rPr>
              <w:t>户画像、数据挖掘分析等核心功能，支撑公司各个应用对数据的相关需求，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并提供相关的数据服务能力。</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64" w:lineRule="auto"/>
              <w:ind w:left="16" w:right="307"/>
              <w:jc w:val="left"/>
              <w:rPr>
                <w:rFonts w:ascii="宋体" w:hAnsi="宋体" w:cs="宋体" w:eastAsia="宋体" w:hint="default"/>
                <w:sz w:val="18"/>
                <w:szCs w:val="18"/>
              </w:rPr>
            </w:pPr>
            <w:r>
              <w:rPr>
                <w:rFonts w:ascii="宋体" w:hAnsi="宋体" w:cs="宋体" w:eastAsia="宋体" w:hint="default"/>
                <w:sz w:val="18"/>
                <w:szCs w:val="18"/>
              </w:rPr>
              <w:t>功能测试 阶段</w:t>
            </w:r>
          </w:p>
        </w:tc>
      </w:tr>
      <w:tr>
        <w:trPr>
          <w:trHeight w:val="76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87"/>
              <w:jc w:val="left"/>
              <w:rPr>
                <w:rFonts w:ascii="宋体" w:hAnsi="宋体" w:cs="宋体" w:eastAsia="宋体" w:hint="default"/>
                <w:sz w:val="18"/>
                <w:szCs w:val="18"/>
              </w:rPr>
            </w:pPr>
            <w:r>
              <w:rPr>
                <w:rFonts w:ascii="宋体" w:hAnsi="宋体" w:cs="宋体" w:eastAsia="宋体" w:hint="default"/>
                <w:sz w:val="18"/>
                <w:szCs w:val="18"/>
              </w:rPr>
              <w:t>人工智能财税咨询 机器人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5,349,642.20</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2" w:right="23"/>
              <w:jc w:val="left"/>
              <w:rPr>
                <w:rFonts w:ascii="宋体" w:hAnsi="宋体" w:cs="宋体" w:eastAsia="宋体" w:hint="default"/>
                <w:sz w:val="18"/>
                <w:szCs w:val="18"/>
              </w:rPr>
            </w:pPr>
            <w:r>
              <w:rPr>
                <w:rFonts w:ascii="宋体" w:hAnsi="宋体" w:cs="宋体" w:eastAsia="宋体" w:hint="default"/>
                <w:sz w:val="18"/>
                <w:szCs w:val="18"/>
              </w:rPr>
              <w:t>方欣财税智能咨询机器人，运用国内前沿的人工智能技术</w:t>
            </w:r>
            <w:r>
              <w:rPr>
                <w:rFonts w:ascii="Times New Roman" w:hAnsi="Times New Roman" w:cs="Times New Roman" w:eastAsia="Times New Roman" w:hint="default"/>
                <w:sz w:val="18"/>
                <w:szCs w:val="18"/>
              </w:rPr>
              <w:t>+</w:t>
            </w:r>
            <w:r>
              <w:rPr>
                <w:rFonts w:ascii="宋体" w:hAnsi="宋体" w:cs="宋体" w:eastAsia="宋体" w:hint="default"/>
                <w:sz w:val="18"/>
                <w:szCs w:val="18"/>
              </w:rPr>
              <w:t>财税领域知识 图谱，为税务局、中介机构、自然人和纳税人等提供多维度、全渠道财税 智能咨询服务。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307"/>
              <w:jc w:val="left"/>
              <w:rPr>
                <w:rFonts w:ascii="宋体" w:hAnsi="宋体" w:cs="宋体" w:eastAsia="宋体" w:hint="default"/>
                <w:sz w:val="18"/>
                <w:szCs w:val="18"/>
              </w:rPr>
            </w:pPr>
            <w:r>
              <w:rPr>
                <w:rFonts w:ascii="宋体" w:hAnsi="宋体" w:cs="宋体" w:eastAsia="宋体" w:hint="default"/>
                <w:sz w:val="18"/>
                <w:szCs w:val="18"/>
              </w:rPr>
              <w:t>功能开发 阶段</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42"/>
              <w:ind w:left="22" w:right="22"/>
              <w:jc w:val="left"/>
              <w:rPr>
                <w:rFonts w:ascii="宋体" w:hAnsi="宋体" w:cs="宋体" w:eastAsia="宋体" w:hint="default"/>
                <w:sz w:val="18"/>
                <w:szCs w:val="18"/>
              </w:rPr>
            </w:pPr>
            <w:r>
              <w:rPr>
                <w:rFonts w:ascii="宋体" w:hAnsi="宋体" w:cs="宋体" w:eastAsia="宋体" w:hint="default"/>
                <w:sz w:val="18"/>
                <w:szCs w:val="18"/>
              </w:rPr>
              <w:t>个税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服务云开 放应用软件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1,057,920.18</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left"/>
              <w:rPr>
                <w:rFonts w:ascii="宋体" w:hAnsi="宋体" w:cs="宋体" w:eastAsia="宋体" w:hint="default"/>
                <w:sz w:val="18"/>
                <w:szCs w:val="18"/>
              </w:rPr>
            </w:pPr>
            <w:r>
              <w:rPr>
                <w:rFonts w:ascii="宋体" w:hAnsi="宋体" w:cs="宋体" w:eastAsia="宋体" w:hint="default"/>
                <w:sz w:val="18"/>
                <w:szCs w:val="18"/>
              </w:rPr>
              <w:t>个税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服务云开放应用软件，通过服务在云端的自动化机器人打通个 税申报通道，用户可通过公司金财代账、金财管家等产品来使用个税申报 及相关服务。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1"/>
              <w:ind w:left="22" w:right="307"/>
              <w:jc w:val="left"/>
              <w:rPr>
                <w:rFonts w:ascii="宋体" w:hAnsi="宋体" w:cs="宋体" w:eastAsia="宋体" w:hint="default"/>
                <w:sz w:val="18"/>
                <w:szCs w:val="18"/>
              </w:rPr>
            </w:pPr>
            <w:r>
              <w:rPr>
                <w:rFonts w:ascii="宋体" w:hAnsi="宋体" w:cs="宋体" w:eastAsia="宋体" w:hint="default"/>
                <w:sz w:val="18"/>
                <w:szCs w:val="18"/>
              </w:rPr>
              <w:t>功能开发 阶段</w:t>
            </w:r>
          </w:p>
        </w:tc>
      </w:tr>
      <w:tr>
        <w:trPr>
          <w:trHeight w:val="7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87"/>
              <w:jc w:val="left"/>
              <w:rPr>
                <w:rFonts w:ascii="宋体" w:hAnsi="宋体" w:cs="宋体" w:eastAsia="宋体" w:hint="default"/>
                <w:sz w:val="18"/>
                <w:szCs w:val="18"/>
              </w:rPr>
            </w:pPr>
            <w:r>
              <w:rPr>
                <w:rFonts w:ascii="宋体" w:hAnsi="宋体" w:cs="宋体" w:eastAsia="宋体" w:hint="default"/>
                <w:sz w:val="18"/>
                <w:szCs w:val="18"/>
              </w:rPr>
              <w:t>企税分析服务应用 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2,902,118.62</w:t>
            </w:r>
          </w:p>
        </w:tc>
        <w:tc>
          <w:tcPr>
            <w:tcW w:w="5812" w:type="dxa"/>
            <w:tcBorders>
              <w:top w:val="single" w:sz="4" w:space="0" w:color="000000"/>
              <w:left w:val="single" w:sz="4" w:space="0" w:color="000000"/>
              <w:bottom w:val="single" w:sz="4" w:space="0" w:color="000000"/>
              <w:right w:val="single" w:sz="9" w:space="0" w:color="FFFFFF"/>
            </w:tcBorders>
          </w:tcPr>
          <w:p>
            <w:pPr>
              <w:pStyle w:val="TableParagraph"/>
              <w:spacing w:line="244" w:lineRule="auto" w:before="1"/>
              <w:ind w:left="22" w:right="101"/>
              <w:jc w:val="both"/>
              <w:rPr>
                <w:rFonts w:ascii="宋体" w:hAnsi="宋体" w:cs="宋体" w:eastAsia="宋体" w:hint="default"/>
                <w:sz w:val="18"/>
                <w:szCs w:val="18"/>
              </w:rPr>
            </w:pPr>
            <w:r>
              <w:rPr>
                <w:rFonts w:ascii="宋体" w:hAnsi="宋体" w:cs="宋体" w:eastAsia="宋体" w:hint="default"/>
                <w:spacing w:val="-5"/>
                <w:sz w:val="18"/>
                <w:szCs w:val="18"/>
              </w:rPr>
              <w:t>企税分析服务应用软件是公司面向企业用户提供的一款在线数据分析服务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9"/>
                <w:sz w:val="18"/>
                <w:szCs w:val="18"/>
              </w:rPr>
              <w:t>软件，主要功能是在财税数据的基础上，给企业提供收入、成本、税收优惠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财务能力等多维度的数据分析，为企业提供更好的经营决策依据等功能。</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183" w:lineRule="exact" w:before="111"/>
              <w:ind w:left="16" w:right="0"/>
              <w:jc w:val="left"/>
              <w:rPr>
                <w:rFonts w:ascii="宋体" w:hAnsi="宋体" w:cs="宋体" w:eastAsia="宋体" w:hint="default"/>
                <w:sz w:val="18"/>
                <w:szCs w:val="18"/>
              </w:rPr>
            </w:pPr>
            <w:r>
              <w:rPr>
                <w:rFonts w:ascii="宋体" w:hAnsi="宋体" w:cs="宋体" w:eastAsia="宋体" w:hint="default"/>
                <w:sz w:val="18"/>
                <w:szCs w:val="18"/>
              </w:rPr>
              <w:t>功能开发</w:t>
            </w:r>
          </w:p>
          <w:p>
            <w:pPr>
              <w:pStyle w:val="TableParagraph"/>
              <w:spacing w:line="13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2" w:lineRule="exact"/>
              <w:ind w:left="16" w:right="0"/>
              <w:jc w:val="left"/>
              <w:rPr>
                <w:rFonts w:ascii="宋体" w:hAnsi="宋体" w:cs="宋体" w:eastAsia="宋体" w:hint="default"/>
                <w:sz w:val="18"/>
                <w:szCs w:val="18"/>
              </w:rPr>
            </w:pPr>
            <w:r>
              <w:rPr>
                <w:rFonts w:ascii="宋体" w:hAnsi="宋体" w:cs="宋体" w:eastAsia="宋体" w:hint="default"/>
                <w:sz w:val="18"/>
                <w:szCs w:val="18"/>
              </w:rPr>
              <w:t>阶段</w:t>
            </w:r>
          </w:p>
        </w:tc>
      </w:tr>
      <w:tr>
        <w:trPr>
          <w:trHeight w:val="10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4" w:lineRule="auto"/>
              <w:ind w:left="22" w:right="87"/>
              <w:jc w:val="left"/>
              <w:rPr>
                <w:rFonts w:ascii="宋体" w:hAnsi="宋体" w:cs="宋体" w:eastAsia="宋体" w:hint="default"/>
                <w:sz w:val="18"/>
                <w:szCs w:val="18"/>
              </w:rPr>
            </w:pPr>
            <w:r>
              <w:rPr>
                <w:rFonts w:ascii="宋体" w:hAnsi="宋体" w:cs="宋体" w:eastAsia="宋体" w:hint="default"/>
                <w:sz w:val="18"/>
                <w:szCs w:val="18"/>
              </w:rPr>
              <w:t>社会保险费征收管 理系统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833,306.32</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1"/>
              <w:jc w:val="both"/>
              <w:rPr>
                <w:rFonts w:ascii="宋体" w:hAnsi="宋体" w:cs="宋体" w:eastAsia="宋体" w:hint="default"/>
                <w:sz w:val="18"/>
                <w:szCs w:val="18"/>
              </w:rPr>
            </w:pPr>
            <w:r>
              <w:rPr>
                <w:rFonts w:ascii="宋体" w:hAnsi="宋体" w:cs="宋体" w:eastAsia="宋体" w:hint="default"/>
                <w:sz w:val="18"/>
                <w:szCs w:val="18"/>
              </w:rPr>
              <w:t>社会保险费征收管理系统是根据国家最新社保费税务征收政策，采用最新 软件架构设计开发的社保费税务征收管理系统产品，实现了网报、移动端 及局端全渠道功能覆盖，做到业务流程灵活制定化、征策调整参数化、业 务数据可视化。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64" w:lineRule="auto"/>
              <w:ind w:left="22" w:right="307"/>
              <w:jc w:val="left"/>
              <w:rPr>
                <w:rFonts w:ascii="宋体" w:hAnsi="宋体" w:cs="宋体" w:eastAsia="宋体" w:hint="default"/>
                <w:sz w:val="18"/>
                <w:szCs w:val="18"/>
              </w:rPr>
            </w:pPr>
            <w:r>
              <w:rPr>
                <w:rFonts w:ascii="宋体" w:hAnsi="宋体" w:cs="宋体" w:eastAsia="宋体" w:hint="default"/>
                <w:sz w:val="18"/>
                <w:szCs w:val="18"/>
              </w:rPr>
              <w:t>功能开发 阶段</w:t>
            </w:r>
          </w:p>
        </w:tc>
      </w:tr>
      <w:tr>
        <w:trPr>
          <w:trHeight w:val="10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财税机器人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1,138,457.07</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21"/>
              <w:jc w:val="left"/>
              <w:rPr>
                <w:rFonts w:ascii="宋体" w:hAnsi="宋体" w:cs="宋体" w:eastAsia="宋体" w:hint="default"/>
                <w:sz w:val="18"/>
                <w:szCs w:val="18"/>
              </w:rPr>
            </w:pPr>
            <w:r>
              <w:rPr>
                <w:rFonts w:ascii="宋体" w:hAnsi="宋体" w:cs="宋体" w:eastAsia="宋体" w:hint="default"/>
                <w:sz w:val="18"/>
                <w:szCs w:val="18"/>
              </w:rPr>
              <w:t>基于互联网的财税服务开放应用软件是公司企业级产品的业务服务支撑 平台。用互联网技术整合办税服务，通过服务在云端的自动化机器人打通 多种服务接口。同时实现对服务的鉴权、审计、服务日志跟踪等的数据采 集记录，提升产品接口服务的稳定性和可用性。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66" w:lineRule="auto"/>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金财管家</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（代账版）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13,455,522.85</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为中小型代账中介提供生产力工具，实现代账企业业务、财务、税务一体 化管理，提升代账中介的工作效率，实现代账中介的智能化转变。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
              <w:ind w:left="22" w:right="127"/>
              <w:jc w:val="left"/>
              <w:rPr>
                <w:rFonts w:ascii="宋体" w:hAnsi="宋体" w:cs="宋体" w:eastAsia="宋体" w:hint="default"/>
                <w:sz w:val="18"/>
                <w:szCs w:val="18"/>
              </w:rPr>
            </w:pPr>
            <w:r>
              <w:rPr>
                <w:rFonts w:ascii="宋体" w:hAnsi="宋体" w:cs="宋体" w:eastAsia="宋体" w:hint="default"/>
                <w:sz w:val="18"/>
                <w:szCs w:val="18"/>
              </w:rPr>
              <w:t>研发完毕， 已上线服务</w:t>
            </w:r>
          </w:p>
        </w:tc>
      </w:tr>
      <w:tr>
        <w:trPr>
          <w:trHeight w:val="5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
              <w:ind w:left="22" w:right="87"/>
              <w:jc w:val="left"/>
              <w:rPr>
                <w:rFonts w:ascii="宋体" w:hAnsi="宋体" w:cs="宋体" w:eastAsia="宋体" w:hint="default"/>
                <w:sz w:val="18"/>
                <w:szCs w:val="18"/>
              </w:rPr>
            </w:pPr>
            <w:r>
              <w:rPr>
                <w:rFonts w:ascii="宋体" w:hAnsi="宋体" w:cs="宋体" w:eastAsia="宋体" w:hint="default"/>
                <w:sz w:val="18"/>
                <w:szCs w:val="18"/>
              </w:rPr>
              <w:t>财务数据智能合规 转换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922,495.77</w:t>
            </w:r>
          </w:p>
        </w:tc>
        <w:tc>
          <w:tcPr>
            <w:tcW w:w="5812" w:type="dxa"/>
            <w:tcBorders>
              <w:top w:val="single" w:sz="4" w:space="0" w:color="000000"/>
              <w:left w:val="single" w:sz="4" w:space="0" w:color="000000"/>
              <w:bottom w:val="single" w:sz="4" w:space="0" w:color="000000"/>
              <w:right w:val="single" w:sz="9" w:space="0" w:color="FFFFFF"/>
            </w:tcBorders>
          </w:tcPr>
          <w:p>
            <w:pPr>
              <w:pStyle w:val="TableParagraph"/>
              <w:spacing w:line="244" w:lineRule="auto" w:before="11"/>
              <w:ind w:left="22" w:right="-39"/>
              <w:jc w:val="left"/>
              <w:rPr>
                <w:rFonts w:ascii="宋体" w:hAnsi="宋体" w:cs="宋体" w:eastAsia="宋体" w:hint="default"/>
                <w:sz w:val="18"/>
                <w:szCs w:val="18"/>
              </w:rPr>
            </w:pPr>
            <w:r>
              <w:rPr>
                <w:rFonts w:ascii="宋体" w:hAnsi="宋体" w:cs="宋体" w:eastAsia="宋体" w:hint="default"/>
                <w:spacing w:val="-14"/>
                <w:sz w:val="18"/>
                <w:szCs w:val="18"/>
              </w:rPr>
              <w:t>主要面向代理记账公司、自建账企业提供财务数据抽取及合规转换的能力支撑，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实现将第三方财务系统的历史财务账套快速迁移到智慧财务服务互联平台。</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64" w:lineRule="auto" w:before="2"/>
              <w:ind w:left="16" w:right="307"/>
              <w:jc w:val="left"/>
              <w:rPr>
                <w:rFonts w:ascii="宋体" w:hAnsi="宋体" w:cs="宋体" w:eastAsia="宋体" w:hint="default"/>
                <w:sz w:val="18"/>
                <w:szCs w:val="18"/>
              </w:rPr>
            </w:pPr>
            <w:r>
              <w:rPr>
                <w:rFonts w:ascii="宋体" w:hAnsi="宋体" w:cs="宋体" w:eastAsia="宋体" w:hint="default"/>
                <w:sz w:val="18"/>
                <w:szCs w:val="18"/>
              </w:rPr>
              <w:t>功能开发 阶段</w:t>
            </w:r>
          </w:p>
        </w:tc>
      </w:tr>
      <w:tr>
        <w:trPr>
          <w:trHeight w:val="76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87"/>
              <w:jc w:val="left"/>
              <w:rPr>
                <w:rFonts w:ascii="宋体" w:hAnsi="宋体" w:cs="宋体" w:eastAsia="宋体" w:hint="default"/>
                <w:sz w:val="18"/>
                <w:szCs w:val="18"/>
              </w:rPr>
            </w:pPr>
            <w:r>
              <w:rPr>
                <w:rFonts w:ascii="宋体" w:hAnsi="宋体" w:cs="宋体" w:eastAsia="宋体" w:hint="default"/>
                <w:sz w:val="18"/>
                <w:szCs w:val="18"/>
              </w:rPr>
              <w:t>企业服务综合应用 软件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1,321,319.45</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1"/>
              <w:jc w:val="both"/>
              <w:rPr>
                <w:rFonts w:ascii="宋体" w:hAnsi="宋体" w:cs="宋体" w:eastAsia="宋体" w:hint="default"/>
                <w:sz w:val="18"/>
                <w:szCs w:val="18"/>
              </w:rPr>
            </w:pPr>
            <w:r>
              <w:rPr>
                <w:rFonts w:ascii="宋体" w:hAnsi="宋体" w:cs="宋体" w:eastAsia="宋体" w:hint="default"/>
                <w:sz w:val="18"/>
                <w:szCs w:val="18"/>
              </w:rPr>
              <w:t>企业服务综合应用软件是企业一站式管理与服务平台，是为代账公司打造 的精细化、流程化、专业化的管理工具。为代账机构提供标准化的服务流 程，贯穿事前事中事后的内控管理平台。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2" w:right="307"/>
              <w:jc w:val="left"/>
              <w:rPr>
                <w:rFonts w:ascii="宋体" w:hAnsi="宋体" w:cs="宋体" w:eastAsia="宋体" w:hint="default"/>
                <w:sz w:val="18"/>
                <w:szCs w:val="18"/>
              </w:rPr>
            </w:pPr>
            <w:r>
              <w:rPr>
                <w:rFonts w:ascii="宋体" w:hAnsi="宋体" w:cs="宋体" w:eastAsia="宋体" w:hint="default"/>
                <w:sz w:val="18"/>
                <w:szCs w:val="18"/>
              </w:rPr>
              <w:t>功能测试 阶段</w:t>
            </w:r>
          </w:p>
        </w:tc>
      </w:tr>
      <w:tr>
        <w:trPr>
          <w:trHeight w:val="7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金财惠税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3,198,322.48</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19"/>
              <w:jc w:val="both"/>
              <w:rPr>
                <w:rFonts w:ascii="宋体" w:hAnsi="宋体" w:cs="宋体" w:eastAsia="宋体" w:hint="default"/>
                <w:sz w:val="18"/>
                <w:szCs w:val="18"/>
              </w:rPr>
            </w:pPr>
            <w:r>
              <w:rPr>
                <w:rFonts w:ascii="宋体" w:hAnsi="宋体" w:cs="宋体" w:eastAsia="宋体" w:hint="default"/>
                <w:sz w:val="18"/>
                <w:szCs w:val="18"/>
              </w:rPr>
              <w:t>金财惠税是公司在新财税变革机遇下，倾力打造的综合财税服务电商化平 台，为中小微企业提供一体化的合规降负解决方案，让中小微企业放心、 安心、省心，满足合规降负诉求。</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11"/>
              <w:ind w:left="22" w:right="307"/>
              <w:jc w:val="left"/>
              <w:rPr>
                <w:rFonts w:ascii="宋体" w:hAnsi="宋体" w:cs="宋体" w:eastAsia="宋体" w:hint="default"/>
                <w:sz w:val="18"/>
                <w:szCs w:val="18"/>
              </w:rPr>
            </w:pPr>
            <w:r>
              <w:rPr>
                <w:rFonts w:ascii="宋体" w:hAnsi="宋体" w:cs="宋体" w:eastAsia="宋体" w:hint="default"/>
                <w:sz w:val="18"/>
                <w:szCs w:val="18"/>
              </w:rPr>
              <w:t>功能开发 阶段</w:t>
            </w:r>
          </w:p>
        </w:tc>
      </w:tr>
    </w:tbl>
    <w:p>
      <w:pPr>
        <w:spacing w:line="240" w:lineRule="auto" w:before="1"/>
        <w:rPr>
          <w:rFonts w:ascii="Times New Roman" w:hAnsi="Times New Roman" w:cs="Times New Roman" w:eastAsia="Times New Roman" w:hint="default"/>
          <w:sz w:val="11"/>
          <w:szCs w:val="11"/>
        </w:rPr>
      </w:pPr>
    </w:p>
    <w:p>
      <w:pPr>
        <w:pStyle w:val="Heading3"/>
        <w:spacing w:line="240" w:lineRule="auto"/>
        <w:ind w:right="0"/>
        <w:jc w:val="left"/>
        <w:rPr>
          <w:b w:val="0"/>
          <w:bCs w:val="0"/>
        </w:rPr>
      </w:pPr>
      <w:r>
        <w:rPr/>
        <w:pict>
          <v:group style="position:absolute;margin-left:483.420013pt;margin-top:-110.846329pt;width:50.35pt;height:14pt;mso-position-horizontal-relative:page;mso-position-vertical-relative:paragraph;z-index:-1028272" coordorigin="9668,-2217" coordsize="1007,280">
            <v:shape style="position:absolute;left:9668;top:-2217;width:1007;height:280" coordorigin="9668,-2217" coordsize="1007,280" path="m9668,-1937l10675,-1937,10675,-2217,9668,-2217,9668,-1937xe" filled="true" fillcolor="#ffffff" stroked="false">
              <v:path arrowok="t"/>
              <v:fill type="solid"/>
            </v:shape>
            <w10:wrap type="none"/>
          </v:group>
        </w:pict>
      </w:r>
      <w:bookmarkStart w:name="5、现金流" w:id="60"/>
      <w:bookmarkEnd w:id="6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954"/>
        <w:gridCol w:w="2280"/>
        <w:gridCol w:w="1931"/>
        <w:gridCol w:w="2392"/>
      </w:tblGrid>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1,422,912,724.78</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1,034,721,954.15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37.52%</w:t>
            </w:r>
          </w:p>
        </w:tc>
      </w:tr>
      <w:tr>
        <w:trPr>
          <w:trHeight w:val="33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1,303,464,651.27</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841,872,624.55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54.83%</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2978"/>
        <w:gridCol w:w="2268"/>
        <w:gridCol w:w="1931"/>
        <w:gridCol w:w="2392"/>
      </w:tblGrid>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119,448,073.51</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192,849,329.60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-38.06%</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2,545,648,504.66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1,139,517,020.21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123.40%</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2,211,063,474.51</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2,639,333,270.90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-16.23%</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334,585,030.15</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-1,499,816,250.69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122.31%</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341,766,606.83</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468,200,743.04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-27.00%</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729,072,878.69</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202,147,904.08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260.66%</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-387,306,271.86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266,052,838.96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w w:val="95"/>
                <w:sz w:val="18"/>
              </w:rPr>
              <w:t>-245.57%</w:t>
            </w:r>
            <w:r>
              <w:rPr>
                <w:rFonts w:ascii="Times New Roman"/>
                <w:sz w:val="18"/>
              </w:rPr>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67,876,500.09</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-1,041,180,212.37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106.52%</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①经营活动产生的现金流量净额本年比上年同期下降</w:t>
      </w:r>
      <w:r>
        <w:rPr>
          <w:spacing w:val="-46"/>
        </w:rPr>
        <w:t> </w:t>
      </w:r>
      <w:r>
        <w:rPr>
          <w:rFonts w:ascii="Times New Roman" w:hAnsi="Times New Roman" w:cs="Times New Roman" w:eastAsia="Times New Roman" w:hint="default"/>
        </w:rPr>
        <w:t>38.06%</w:t>
      </w:r>
      <w:r>
        <w:rPr/>
        <w:t>，主要系本年经营扩张，相应的经营性付款增加所致；</w:t>
      </w:r>
    </w:p>
    <w:p>
      <w:pPr>
        <w:pStyle w:val="BodyText"/>
        <w:spacing w:line="302" w:lineRule="auto" w:before="101"/>
        <w:ind w:left="174" w:right="1119" w:firstLine="360"/>
        <w:jc w:val="left"/>
      </w:pPr>
      <w:r>
        <w:rPr/>
        <w:t>②投资活动产生的现金流量净额本年比上年同期增长</w:t>
      </w:r>
      <w:r>
        <w:rPr>
          <w:spacing w:val="-38"/>
        </w:rPr>
        <w:t> </w:t>
      </w:r>
      <w:r>
        <w:rPr>
          <w:rFonts w:ascii="Times New Roman" w:hAnsi="Times New Roman" w:cs="Times New Roman" w:eastAsia="Times New Roman" w:hint="default"/>
          <w:spacing w:val="-2"/>
        </w:rPr>
        <w:t>122.31%</w:t>
      </w:r>
      <w:r>
        <w:rPr>
          <w:spacing w:val="-2"/>
        </w:rPr>
        <w:t>，主要系本年支付益东金财财产份额受让款、归还原合伙</w:t>
      </w:r>
      <w:r>
        <w:rPr/>
        <w:t> 人借款以及支付股利所致；</w:t>
      </w:r>
    </w:p>
    <w:p>
      <w:pPr>
        <w:pStyle w:val="BodyText"/>
        <w:spacing w:line="338" w:lineRule="auto" w:before="70"/>
        <w:ind w:right="2505"/>
        <w:jc w:val="left"/>
      </w:pPr>
      <w:r>
        <w:rPr/>
        <w:t>③筹资活动产生的现金流量净额本年比上年同期下降</w:t>
      </w:r>
      <w:r>
        <w:rPr>
          <w:spacing w:val="-48"/>
        </w:rPr>
        <w:t> </w:t>
      </w:r>
      <w:r>
        <w:rPr>
          <w:rFonts w:ascii="Times New Roman" w:hAnsi="Times New Roman" w:cs="Times New Roman" w:eastAsia="Times New Roman" w:hint="default"/>
        </w:rPr>
        <w:t>245.57%</w:t>
      </w:r>
      <w:r>
        <w:rPr/>
        <w:t>，主要系部分理财产品到期赎回所致。 报告期内公司经营活动产生的现金净流量与本年度净利润存在重大差异的原因说明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2"/>
        <w:ind w:left="174" w:right="1130" w:firstLine="360"/>
        <w:jc w:val="both"/>
      </w:pPr>
      <w:r>
        <w:rPr/>
        <w:t>报告期内，公司经营活动产生的现金净流量与本年度净利润相比存在</w:t>
      </w:r>
      <w:r>
        <w:rPr>
          <w:spacing w:val="-63"/>
        </w:rPr>
        <w:t> </w:t>
      </w:r>
      <w:r>
        <w:rPr>
          <w:rFonts w:ascii="Times New Roman" w:hAnsi="Times New Roman" w:cs="Times New Roman" w:eastAsia="Times New Roman" w:hint="default"/>
        </w:rPr>
        <w:t>195,385,065.46</w:t>
      </w:r>
      <w:r>
        <w:rPr>
          <w:rFonts w:ascii="Times New Roman" w:hAnsi="Times New Roman" w:cs="Times New Roman" w:eastAsia="Times New Roman" w:hint="default"/>
          <w:spacing w:val="-18"/>
        </w:rPr>
        <w:t> </w:t>
      </w:r>
      <w:r>
        <w:rPr/>
        <w:t>元的差异，主要原因系本公司互联 </w:t>
      </w:r>
      <w:r>
        <w:rPr>
          <w:spacing w:val="-2"/>
        </w:rPr>
        <w:t>网财税业务的产品及开发服务采用完工百分比法确认收入，财税云服务和技术服务按服务所属期分期确认收入，收入确认时</w:t>
      </w:r>
      <w:r>
        <w:rPr>
          <w:spacing w:val="-64"/>
        </w:rPr>
        <w:t> </w:t>
      </w:r>
      <w:r>
        <w:rPr>
          <w:spacing w:val="-64"/>
        </w:rPr>
      </w:r>
      <w:r>
        <w:rPr/>
        <w:t>间节点和收款时间节点存在差异。</w:t>
      </w:r>
    </w:p>
    <w:p>
      <w:pPr>
        <w:spacing w:line="240" w:lineRule="auto" w:before="5"/>
        <w:rPr>
          <w:rFonts w:ascii="宋体" w:hAnsi="宋体" w:cs="宋体" w:eastAsia="宋体" w:hint="default"/>
          <w:sz w:val="24"/>
          <w:szCs w:val="24"/>
        </w:rPr>
      </w:pPr>
    </w:p>
    <w:p>
      <w:pPr>
        <w:pStyle w:val="Heading2"/>
        <w:spacing w:line="240" w:lineRule="auto"/>
        <w:ind w:left="0" w:right="8429"/>
        <w:jc w:val="center"/>
        <w:rPr>
          <w:b w:val="0"/>
          <w:bCs w:val="0"/>
        </w:rPr>
      </w:pPr>
      <w:bookmarkStart w:name="三、非主营业务分析" w:id="61"/>
      <w:bookmarkEnd w:id="61"/>
      <w:r>
        <w:rPr>
          <w:b w:val="0"/>
          <w:bCs w:val="0"/>
        </w:rPr>
      </w:r>
      <w:r>
        <w:rPr/>
        <w:t>三、非主营业务分析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276"/>
        <w:gridCol w:w="1277"/>
        <w:gridCol w:w="991"/>
        <w:gridCol w:w="5104"/>
        <w:gridCol w:w="922"/>
      </w:tblGrid>
      <w:tr>
        <w:trPr>
          <w:trHeight w:val="126"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
              <w:ind w:left="310" w:right="38" w:hanging="270"/>
              <w:jc w:val="left"/>
              <w:rPr>
                <w:rFonts w:ascii="宋体" w:hAnsi="宋体" w:cs="宋体" w:eastAsia="宋体" w:hint="default"/>
                <w:sz w:val="18"/>
                <w:szCs w:val="18"/>
              </w:rPr>
            </w:pPr>
            <w:r>
              <w:rPr>
                <w:rFonts w:ascii="宋体" w:hAnsi="宋体" w:cs="宋体" w:eastAsia="宋体" w:hint="default"/>
                <w:sz w:val="18"/>
                <w:szCs w:val="18"/>
              </w:rPr>
              <w:t>占利润总额 比例</w:t>
            </w:r>
          </w:p>
        </w:tc>
        <w:tc>
          <w:tcPr>
            <w:tcW w:w="5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2" w:lineRule="auto" w:before="2"/>
              <w:ind w:left="95" w:right="95"/>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404"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51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7" w:type="dxa"/>
            <w:tcBorders>
              <w:top w:val="single" w:sz="52" w:space="0" w:color="D2D2D2"/>
              <w:left w:val="single" w:sz="13" w:space="0" w:color="D2D2D2"/>
              <w:bottom w:val="single" w:sz="4" w:space="0" w:color="000000"/>
              <w:right w:val="single" w:sz="4" w:space="0" w:color="000000"/>
            </w:tcBorders>
          </w:tcPr>
          <w:p>
            <w:pPr>
              <w:pStyle w:val="TableParagraph"/>
              <w:spacing w:line="240" w:lineRule="auto" w:before="3"/>
              <w:ind w:right="19"/>
              <w:jc w:val="right"/>
              <w:rPr>
                <w:rFonts w:ascii="Times New Roman" w:hAnsi="Times New Roman" w:cs="Times New Roman" w:eastAsia="Times New Roman" w:hint="default"/>
                <w:sz w:val="18"/>
                <w:szCs w:val="18"/>
              </w:rPr>
            </w:pPr>
            <w:r>
              <w:rPr>
                <w:rFonts w:ascii="Times New Roman"/>
                <w:spacing w:val="-1"/>
                <w:sz w:val="18"/>
              </w:rPr>
              <w:t>35,831,560.17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10.33%</w:t>
            </w:r>
          </w:p>
        </w:tc>
        <w:tc>
          <w:tcPr>
            <w:tcW w:w="5104" w:type="dxa"/>
            <w:tcBorders>
              <w:top w:val="single" w:sz="52" w:space="0" w:color="D2D2D2"/>
              <w:left w:val="single" w:sz="4" w:space="0" w:color="000000"/>
              <w:bottom w:val="single" w:sz="4" w:space="0" w:color="000000"/>
              <w:right w:val="single" w:sz="4"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主要系购买保本、低风险理财产品产生收益所致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3" w:space="0" w:color="D2D2D2"/>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25,757,791.30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7.42%</w:t>
            </w:r>
          </w:p>
        </w:tc>
        <w:tc>
          <w:tcPr>
            <w:tcW w:w="5104" w:type="dxa"/>
            <w:vMerge w:val="restart"/>
            <w:tcBorders>
              <w:top w:val="single" w:sz="4" w:space="0" w:color="000000"/>
              <w:left w:val="single" w:sz="4" w:space="0" w:color="000000"/>
              <w:right w:val="single" w:sz="4" w:space="0" w:color="000000"/>
            </w:tcBorders>
          </w:tcPr>
          <w:p>
            <w:pPr>
              <w:pStyle w:val="TableParagraph"/>
              <w:spacing w:line="244" w:lineRule="auto" w:before="1"/>
              <w:ind w:left="23" w:right="28"/>
              <w:jc w:val="left"/>
              <w:rPr>
                <w:rFonts w:ascii="宋体" w:hAnsi="宋体" w:cs="宋体" w:eastAsia="宋体" w:hint="default"/>
                <w:sz w:val="18"/>
                <w:szCs w:val="18"/>
              </w:rPr>
            </w:pPr>
            <w:r>
              <w:rPr>
                <w:rFonts w:ascii="宋体" w:hAnsi="宋体" w:cs="宋体" w:eastAsia="宋体" w:hint="default"/>
                <w:sz w:val="18"/>
                <w:szCs w:val="18"/>
              </w:rPr>
              <w:t>主要系收入规模增长引起应收账款增加，相应坏账准备计提增加 及对部分呆滞存货增加计提存货跌价准备所致</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77" w:type="dxa"/>
            <w:vMerge/>
            <w:tcBorders>
              <w:left w:val="single" w:sz="13"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104"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3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9,806,050.01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2.83%</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主要来源于政府补助</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3" w:space="0" w:color="D2D2D2"/>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7,056,673.25</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2.03%</w:t>
            </w:r>
          </w:p>
        </w:tc>
        <w:tc>
          <w:tcPr>
            <w:tcW w:w="5104" w:type="dxa"/>
            <w:vMerge w:val="restart"/>
            <w:tcBorders>
              <w:top w:val="single" w:sz="4" w:space="0" w:color="000000"/>
              <w:left w:val="single" w:sz="4" w:space="0" w:color="000000"/>
              <w:right w:val="single" w:sz="4" w:space="0" w:color="000000"/>
            </w:tcBorders>
          </w:tcPr>
          <w:p>
            <w:pPr>
              <w:pStyle w:val="TableParagraph"/>
              <w:spacing w:line="245" w:lineRule="exact" w:before="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主要系向清华大学教育基金会五道口金融科技发展基金捐赠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77" w:type="dxa"/>
            <w:vMerge/>
            <w:tcBorders>
              <w:left w:val="single" w:sz="13" w:space="0" w:color="D2D2D2"/>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104"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四、资产及负债状况分析" w:id="62"/>
      <w:bookmarkEnd w:id="62"/>
      <w:r>
        <w:rPr>
          <w:b w:val="0"/>
          <w:bCs w:val="0"/>
        </w:rPr>
      </w:r>
      <w:r>
        <w:rPr/>
        <w:t>四、资产及负债状况分析</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资产构成重大变动情况" w:id="63"/>
      <w:bookmarkEnd w:id="6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368"/>
        <w:gridCol w:w="1468"/>
        <w:gridCol w:w="839"/>
        <w:gridCol w:w="1430"/>
        <w:gridCol w:w="839"/>
        <w:gridCol w:w="862"/>
        <w:gridCol w:w="2765"/>
      </w:tblGrid>
      <w:tr>
        <w:trPr>
          <w:trHeight w:val="280" w:hRule="exact"/>
        </w:trPr>
        <w:tc>
          <w:tcPr>
            <w:tcW w:w="1368" w:type="dxa"/>
            <w:tcBorders>
              <w:top w:val="single" w:sz="4" w:space="0" w:color="000000"/>
              <w:left w:val="single" w:sz="4" w:space="0" w:color="000000"/>
              <w:bottom w:val="nil" w:sz="6" w:space="0" w:color="auto"/>
              <w:right w:val="single" w:sz="4" w:space="0" w:color="000000"/>
            </w:tcBorders>
            <w:shd w:val="clear" w:color="auto" w:fill="D9D9D9"/>
          </w:tcPr>
          <w:p>
            <w:pPr/>
          </w:p>
        </w:tc>
        <w:tc>
          <w:tcPr>
            <w:tcW w:w="2306"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7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62" w:type="dxa"/>
            <w:tcBorders>
              <w:top w:val="single" w:sz="4" w:space="0" w:color="000000"/>
              <w:left w:val="single" w:sz="4" w:space="0" w:color="000000"/>
              <w:bottom w:val="nil" w:sz="6" w:space="0" w:color="auto"/>
              <w:right w:val="single" w:sz="4" w:space="0" w:color="000000"/>
            </w:tcBorders>
            <w:shd w:val="clear" w:color="auto" w:fill="D9D9D9"/>
          </w:tcPr>
          <w:p>
            <w:pPr/>
          </w:p>
        </w:tc>
        <w:tc>
          <w:tcPr>
            <w:tcW w:w="2765"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91" w:hRule="exact"/>
        </w:trPr>
        <w:tc>
          <w:tcPr>
            <w:tcW w:w="1368"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06" w:type="dxa"/>
            <w:gridSpan w:val="2"/>
            <w:vMerge/>
            <w:tcBorders>
              <w:left w:val="single" w:sz="4" w:space="0" w:color="000000"/>
              <w:bottom w:val="single" w:sz="4" w:space="0" w:color="000000"/>
              <w:right w:val="single" w:sz="4" w:space="0" w:color="000000"/>
            </w:tcBorders>
            <w:shd w:val="clear" w:color="auto" w:fill="D9D9D9"/>
          </w:tcPr>
          <w:p>
            <w:pPr/>
          </w:p>
        </w:tc>
        <w:tc>
          <w:tcPr>
            <w:tcW w:w="2268" w:type="dxa"/>
            <w:gridSpan w:val="2"/>
            <w:vMerge/>
            <w:tcBorders>
              <w:left w:val="single" w:sz="4" w:space="0" w:color="000000"/>
              <w:bottom w:val="single" w:sz="4" w:space="0" w:color="000000"/>
              <w:right w:val="single" w:sz="4" w:space="0" w:color="000000"/>
            </w:tcBorders>
            <w:shd w:val="clear" w:color="auto" w:fill="D9D9D9"/>
          </w:tcPr>
          <w:p>
            <w:pPr/>
          </w:p>
        </w:tc>
        <w:tc>
          <w:tcPr>
            <w:tcW w:w="862"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5"/>
              <w:ind w:left="7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5"/>
              <w:ind w:left="8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35" w:hRule="exact"/>
        </w:trPr>
        <w:tc>
          <w:tcPr>
            <w:tcW w:w="1368" w:type="dxa"/>
            <w:vMerge/>
            <w:tcBorders>
              <w:left w:val="single" w:sz="4" w:space="0" w:color="000000"/>
              <w:right w:val="single" w:sz="4" w:space="0" w:color="000000"/>
            </w:tcBorders>
            <w:shd w:val="clear" w:color="auto" w:fill="D9D9D9"/>
          </w:tcPr>
          <w:p>
            <w:pPr/>
          </w:p>
        </w:tc>
        <w:tc>
          <w:tcPr>
            <w:tcW w:w="1468" w:type="dxa"/>
            <w:tcBorders>
              <w:top w:val="single" w:sz="4" w:space="0" w:color="000000"/>
              <w:left w:val="single" w:sz="4" w:space="0" w:color="000000"/>
              <w:bottom w:val="nil" w:sz="6" w:space="0" w:color="auto"/>
              <w:right w:val="single" w:sz="4" w:space="0" w:color="000000"/>
            </w:tcBorders>
            <w:shd w:val="clear" w:color="auto" w:fill="D9D9D9"/>
          </w:tcPr>
          <w:p>
            <w:pPr/>
          </w:p>
        </w:tc>
        <w:tc>
          <w:tcPr>
            <w:tcW w:w="839" w:type="dxa"/>
            <w:vMerge w:val="restart"/>
            <w:tcBorders>
              <w:top w:val="single" w:sz="4" w:space="0" w:color="000000"/>
              <w:left w:val="single" w:sz="4" w:space="0" w:color="000000"/>
              <w:right w:val="single" w:sz="4" w:space="0" w:color="000000"/>
            </w:tcBorders>
            <w:shd w:val="clear" w:color="auto" w:fill="D9D9D9"/>
          </w:tcPr>
          <w:p>
            <w:pPr>
              <w:pStyle w:val="TableParagraph"/>
              <w:spacing w:line="264" w:lineRule="auto" w:before="1"/>
              <w:ind w:left="240" w:right="4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30" w:type="dxa"/>
            <w:tcBorders>
              <w:top w:val="single" w:sz="4" w:space="0" w:color="000000"/>
              <w:left w:val="single" w:sz="4" w:space="0" w:color="000000"/>
              <w:bottom w:val="nil" w:sz="6" w:space="0" w:color="auto"/>
              <w:right w:val="single" w:sz="4" w:space="0" w:color="000000"/>
            </w:tcBorders>
            <w:shd w:val="clear" w:color="auto" w:fill="D9D9D9"/>
          </w:tcPr>
          <w:p>
            <w:pPr/>
          </w:p>
        </w:tc>
        <w:tc>
          <w:tcPr>
            <w:tcW w:w="839" w:type="dxa"/>
            <w:vMerge w:val="restart"/>
            <w:tcBorders>
              <w:top w:val="single" w:sz="4" w:space="0" w:color="000000"/>
              <w:left w:val="single" w:sz="4" w:space="0" w:color="000000"/>
              <w:right w:val="single" w:sz="4" w:space="0" w:color="000000"/>
            </w:tcBorders>
            <w:shd w:val="clear" w:color="auto" w:fill="D9D9D9"/>
          </w:tcPr>
          <w:p>
            <w:pPr>
              <w:pStyle w:val="TableParagraph"/>
              <w:spacing w:line="264" w:lineRule="auto" w:before="1"/>
              <w:ind w:left="239" w:right="4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62" w:type="dxa"/>
            <w:vMerge/>
            <w:tcBorders>
              <w:left w:val="single" w:sz="4" w:space="0" w:color="000000"/>
              <w:right w:val="single" w:sz="4" w:space="0" w:color="000000"/>
            </w:tcBorders>
            <w:shd w:val="clear" w:color="auto" w:fill="D9D9D9"/>
          </w:tcPr>
          <w:p>
            <w:pPr/>
          </w:p>
        </w:tc>
        <w:tc>
          <w:tcPr>
            <w:tcW w:w="2765" w:type="dxa"/>
            <w:vMerge/>
            <w:tcBorders>
              <w:left w:val="single" w:sz="4" w:space="0" w:color="000000"/>
              <w:right w:val="single" w:sz="4" w:space="0" w:color="000000"/>
            </w:tcBorders>
            <w:shd w:val="clear" w:color="auto" w:fill="D9D9D9"/>
          </w:tcPr>
          <w:p>
            <w:pPr/>
          </w:p>
        </w:tc>
      </w:tr>
      <w:tr>
        <w:trPr>
          <w:trHeight w:val="134" w:hRule="exact"/>
        </w:trPr>
        <w:tc>
          <w:tcPr>
            <w:tcW w:w="1368" w:type="dxa"/>
            <w:vMerge/>
            <w:tcBorders>
              <w:left w:val="single" w:sz="4" w:space="0" w:color="000000"/>
              <w:bottom w:val="nil" w:sz="6" w:space="0" w:color="auto"/>
              <w:right w:val="single" w:sz="4" w:space="0" w:color="000000"/>
            </w:tcBorders>
            <w:shd w:val="clear" w:color="auto" w:fill="D9D9D9"/>
          </w:tcPr>
          <w:p>
            <w:pPr/>
          </w:p>
        </w:tc>
        <w:tc>
          <w:tcPr>
            <w:tcW w:w="1468"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39" w:type="dxa"/>
            <w:vMerge/>
            <w:tcBorders>
              <w:left w:val="single" w:sz="4" w:space="0" w:color="000000"/>
              <w:right w:val="single" w:sz="4" w:space="0" w:color="000000"/>
            </w:tcBorders>
            <w:shd w:val="clear" w:color="auto" w:fill="D9D9D9"/>
          </w:tcPr>
          <w:p>
            <w:pPr/>
          </w:p>
        </w:tc>
        <w:tc>
          <w:tcPr>
            <w:tcW w:w="143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9" w:type="dxa"/>
            <w:vMerge/>
            <w:tcBorders>
              <w:left w:val="single" w:sz="4" w:space="0" w:color="000000"/>
              <w:right w:val="single" w:sz="4" w:space="0" w:color="000000"/>
            </w:tcBorders>
            <w:shd w:val="clear" w:color="auto" w:fill="D9D9D9"/>
          </w:tcPr>
          <w:p>
            <w:pPr/>
          </w:p>
        </w:tc>
        <w:tc>
          <w:tcPr>
            <w:tcW w:w="862" w:type="dxa"/>
            <w:vMerge/>
            <w:tcBorders>
              <w:left w:val="single" w:sz="4" w:space="0" w:color="000000"/>
              <w:bottom w:val="nil" w:sz="6" w:space="0" w:color="auto"/>
              <w:right w:val="single" w:sz="4" w:space="0" w:color="000000"/>
            </w:tcBorders>
            <w:shd w:val="clear" w:color="auto" w:fill="D9D9D9"/>
          </w:tcPr>
          <w:p>
            <w:pPr/>
          </w:p>
        </w:tc>
        <w:tc>
          <w:tcPr>
            <w:tcW w:w="2765" w:type="dxa"/>
            <w:vMerge/>
            <w:tcBorders>
              <w:left w:val="single" w:sz="4" w:space="0" w:color="000000"/>
              <w:bottom w:val="nil" w:sz="6" w:space="0" w:color="auto"/>
              <w:right w:val="single" w:sz="4" w:space="0" w:color="000000"/>
            </w:tcBorders>
            <w:shd w:val="clear" w:color="auto" w:fill="D9D9D9"/>
          </w:tcPr>
          <w:p>
            <w:pPr/>
          </w:p>
        </w:tc>
      </w:tr>
      <w:tr>
        <w:trPr>
          <w:trHeight w:val="281" w:hRule="exact"/>
        </w:trPr>
        <w:tc>
          <w:tcPr>
            <w:tcW w:w="1368" w:type="dxa"/>
            <w:tcBorders>
              <w:top w:val="nil" w:sz="6" w:space="0" w:color="auto"/>
              <w:left w:val="single" w:sz="4" w:space="0" w:color="000000"/>
              <w:bottom w:val="single" w:sz="4" w:space="0" w:color="000000"/>
              <w:right w:val="single" w:sz="4" w:space="0" w:color="000000"/>
            </w:tcBorders>
            <w:shd w:val="clear" w:color="auto" w:fill="D9D9D9"/>
          </w:tcPr>
          <w:p>
            <w:pPr/>
          </w:p>
        </w:tc>
        <w:tc>
          <w:tcPr>
            <w:tcW w:w="1468" w:type="dxa"/>
            <w:vMerge/>
            <w:tcBorders>
              <w:left w:val="single" w:sz="4" w:space="0" w:color="000000"/>
              <w:bottom w:val="single" w:sz="4" w:space="0" w:color="000000"/>
              <w:right w:val="single" w:sz="4" w:space="0" w:color="000000"/>
            </w:tcBorders>
            <w:shd w:val="clear" w:color="auto" w:fill="D9D9D9"/>
          </w:tcPr>
          <w:p>
            <w:pPr/>
          </w:p>
        </w:tc>
        <w:tc>
          <w:tcPr>
            <w:tcW w:w="839" w:type="dxa"/>
            <w:vMerge/>
            <w:tcBorders>
              <w:left w:val="single" w:sz="4" w:space="0" w:color="000000"/>
              <w:bottom w:val="single" w:sz="4" w:space="0" w:color="000000"/>
              <w:right w:val="single" w:sz="4" w:space="0" w:color="000000"/>
            </w:tcBorders>
            <w:shd w:val="clear" w:color="auto" w:fill="D9D9D9"/>
          </w:tcPr>
          <w:p>
            <w:pPr/>
          </w:p>
        </w:tc>
        <w:tc>
          <w:tcPr>
            <w:tcW w:w="1430" w:type="dxa"/>
            <w:vMerge/>
            <w:tcBorders>
              <w:left w:val="single" w:sz="4" w:space="0" w:color="000000"/>
              <w:bottom w:val="single" w:sz="4" w:space="0" w:color="000000"/>
              <w:right w:val="single" w:sz="4" w:space="0" w:color="000000"/>
            </w:tcBorders>
            <w:shd w:val="clear" w:color="auto" w:fill="D9D9D9"/>
          </w:tcPr>
          <w:p>
            <w:pPr/>
          </w:p>
        </w:tc>
        <w:tc>
          <w:tcPr>
            <w:tcW w:w="839" w:type="dxa"/>
            <w:vMerge/>
            <w:tcBorders>
              <w:left w:val="single" w:sz="4" w:space="0" w:color="000000"/>
              <w:bottom w:val="single" w:sz="4" w:space="0" w:color="000000"/>
              <w:right w:val="single" w:sz="4" w:space="0" w:color="000000"/>
            </w:tcBorders>
            <w:shd w:val="clear" w:color="auto" w:fill="D9D9D9"/>
          </w:tcPr>
          <w:p>
            <w:pPr/>
          </w:p>
        </w:tc>
        <w:tc>
          <w:tcPr>
            <w:tcW w:w="862" w:type="dxa"/>
            <w:tcBorders>
              <w:top w:val="nil" w:sz="6" w:space="0" w:color="auto"/>
              <w:left w:val="single" w:sz="4" w:space="0" w:color="000000"/>
              <w:bottom w:val="single" w:sz="4" w:space="0" w:color="000000"/>
              <w:right w:val="single" w:sz="4" w:space="0" w:color="000000"/>
            </w:tcBorders>
            <w:shd w:val="clear" w:color="auto" w:fill="D9D9D9"/>
          </w:tcPr>
          <w:p>
            <w:pPr/>
          </w:p>
        </w:tc>
        <w:tc>
          <w:tcPr>
            <w:tcW w:w="2765" w:type="dxa"/>
            <w:tcBorders>
              <w:top w:val="nil" w:sz="6" w:space="0" w:color="auto"/>
              <w:left w:val="single" w:sz="4" w:space="0" w:color="000000"/>
              <w:bottom w:val="single" w:sz="4" w:space="0" w:color="000000"/>
              <w:right w:val="single" w:sz="4" w:space="0" w:color="000000"/>
            </w:tcBorders>
            <w:shd w:val="clear" w:color="auto" w:fill="D9D9D9"/>
          </w:tcPr>
          <w:p>
            <w:pPr/>
          </w:p>
        </w:tc>
      </w:tr>
      <w:tr>
        <w:trPr>
          <w:trHeight w:val="125" w:hRule="exact"/>
        </w:trPr>
        <w:tc>
          <w:tcPr>
            <w:tcW w:w="1368" w:type="dxa"/>
            <w:tcBorders>
              <w:top w:val="single" w:sz="4" w:space="0" w:color="000000"/>
              <w:left w:val="single" w:sz="4" w:space="0" w:color="000000"/>
              <w:bottom w:val="nil" w:sz="6" w:space="0" w:color="auto"/>
              <w:right w:val="single" w:sz="4" w:space="0" w:color="000000"/>
            </w:tcBorders>
            <w:shd w:val="clear" w:color="auto" w:fill="D9D9D9"/>
          </w:tcPr>
          <w:p>
            <w:pPr/>
          </w:p>
        </w:tc>
        <w:tc>
          <w:tcPr>
            <w:tcW w:w="1468" w:type="dxa"/>
            <w:vMerge w:val="restart"/>
            <w:tcBorders>
              <w:top w:val="single" w:sz="56" w:space="0" w:color="D9D9D9"/>
              <w:left w:val="single" w:sz="13" w:space="0" w:color="D9D9D9"/>
              <w:right w:val="single" w:sz="4" w:space="0" w:color="000000"/>
            </w:tcBorders>
          </w:tcPr>
          <w:p>
            <w:pPr>
              <w:pStyle w:val="TableParagraph"/>
              <w:spacing w:line="240" w:lineRule="auto" w:before="97"/>
              <w:ind w:left="298" w:right="0"/>
              <w:jc w:val="left"/>
              <w:rPr>
                <w:rFonts w:ascii="Times New Roman" w:hAnsi="Times New Roman" w:cs="Times New Roman" w:eastAsia="Times New Roman" w:hint="default"/>
                <w:sz w:val="18"/>
                <w:szCs w:val="18"/>
              </w:rPr>
            </w:pPr>
            <w:r>
              <w:rPr>
                <w:rFonts w:ascii="Times New Roman"/>
                <w:sz w:val="18"/>
              </w:rPr>
              <w:t>840,893,542.27</w:t>
            </w:r>
          </w:p>
        </w:tc>
        <w:tc>
          <w:tcPr>
            <w:tcW w:w="83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16.21%</w:t>
            </w:r>
          </w:p>
        </w:tc>
        <w:tc>
          <w:tcPr>
            <w:tcW w:w="1430" w:type="dxa"/>
            <w:vMerge w:val="restart"/>
            <w:tcBorders>
              <w:top w:val="single" w:sz="56" w:space="0" w:color="D9D9D9"/>
              <w:left w:val="single" w:sz="4" w:space="0" w:color="000000"/>
              <w:right w:val="single" w:sz="4" w:space="0" w:color="000000"/>
            </w:tcBorders>
          </w:tcPr>
          <w:p>
            <w:pPr>
              <w:pStyle w:val="TableParagraph"/>
              <w:spacing w:line="240" w:lineRule="auto" w:before="97"/>
              <w:ind w:left="271" w:right="0"/>
              <w:jc w:val="left"/>
              <w:rPr>
                <w:rFonts w:ascii="Times New Roman" w:hAnsi="Times New Roman" w:cs="Times New Roman" w:eastAsia="Times New Roman" w:hint="default"/>
                <w:sz w:val="18"/>
                <w:szCs w:val="18"/>
              </w:rPr>
            </w:pPr>
            <w:r>
              <w:rPr>
                <w:rFonts w:ascii="Times New Roman"/>
                <w:sz w:val="18"/>
              </w:rPr>
              <w:t>726,978,860.81</w:t>
            </w:r>
          </w:p>
        </w:tc>
        <w:tc>
          <w:tcPr>
            <w:tcW w:w="83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14.46%</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1.75%</w:t>
            </w:r>
          </w:p>
        </w:tc>
        <w:tc>
          <w:tcPr>
            <w:tcW w:w="2765" w:type="dxa"/>
            <w:vMerge w:val="restart"/>
            <w:tcBorders>
              <w:top w:val="single" w:sz="4" w:space="0" w:color="000000"/>
              <w:left w:val="single" w:sz="4" w:space="0" w:color="000000"/>
              <w:right w:val="single" w:sz="4" w:space="0" w:color="000000"/>
            </w:tcBorders>
          </w:tcPr>
          <w:p>
            <w:pPr>
              <w:pStyle w:val="TableParagraph"/>
              <w:spacing w:line="244" w:lineRule="auto" w:before="1"/>
              <w:ind w:left="22" w:right="30"/>
              <w:jc w:val="left"/>
              <w:rPr>
                <w:rFonts w:ascii="宋体" w:hAnsi="宋体" w:cs="宋体" w:eastAsia="宋体" w:hint="default"/>
                <w:sz w:val="18"/>
                <w:szCs w:val="18"/>
              </w:rPr>
            </w:pPr>
            <w:r>
              <w:rPr>
                <w:rFonts w:ascii="宋体" w:hAnsi="宋体" w:cs="宋体" w:eastAsia="宋体" w:hint="default"/>
                <w:sz w:val="18"/>
                <w:szCs w:val="18"/>
              </w:rPr>
              <w:t>主要系闲置资金购买理财产品到期 赎回所致</w:t>
            </w:r>
          </w:p>
        </w:tc>
      </w:tr>
      <w:tr>
        <w:trPr>
          <w:trHeight w:val="406" w:hRule="exact"/>
        </w:trPr>
        <w:tc>
          <w:tcPr>
            <w:tcW w:w="1368"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8" w:type="dxa"/>
            <w:vMerge/>
            <w:tcBorders>
              <w:left w:val="single" w:sz="13" w:space="0" w:color="D9D9D9"/>
              <w:bottom w:val="single" w:sz="4" w:space="0" w:color="000000"/>
              <w:right w:val="single" w:sz="4" w:space="0" w:color="000000"/>
            </w:tcBorders>
          </w:tcPr>
          <w:p>
            <w:pPr/>
          </w:p>
        </w:tc>
        <w:tc>
          <w:tcPr>
            <w:tcW w:w="839"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839"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368"/>
        <w:gridCol w:w="1468"/>
        <w:gridCol w:w="851"/>
        <w:gridCol w:w="1418"/>
        <w:gridCol w:w="851"/>
        <w:gridCol w:w="850"/>
        <w:gridCol w:w="2765"/>
      </w:tblGrid>
      <w:tr>
        <w:trPr>
          <w:trHeight w:val="10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508,910,455.32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370,991,271.13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0"/>
              <w:jc w:val="both"/>
              <w:rPr>
                <w:rFonts w:ascii="宋体" w:hAnsi="宋体" w:cs="宋体" w:eastAsia="宋体" w:hint="default"/>
                <w:sz w:val="18"/>
                <w:szCs w:val="18"/>
              </w:rPr>
            </w:pPr>
            <w:r>
              <w:rPr>
                <w:rFonts w:ascii="宋体" w:hAnsi="宋体" w:cs="宋体" w:eastAsia="宋体" w:hint="default"/>
                <w:sz w:val="18"/>
                <w:szCs w:val="18"/>
              </w:rPr>
              <w:t>主要系受宏观经济形势影响，部分 客户经营困难，以及部分客户为政 府或国有控股单位，付款审批流程 较长，回款相对缓慢所致</w:t>
            </w: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284,576,610.00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199,436,303.37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33,117,977.97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0.64%</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0.64%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104,178,293.09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100,042,003.17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0.02%</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499,545,258.14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479,103,566.17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0.10%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37,570,308.24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22,248,087.03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0.28%</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82,000,000.00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223,100,000.00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-2.86%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主要系归还年初借款所致</w:t>
            </w: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88,981,008.61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97,973,471.49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-0.23%</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343,610,194.89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947,844,180.98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18.85%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-12.23%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主要系部分理财产品到期赎回所致</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以公允价值计量的资产和负债" w:id="64"/>
      <w:bookmarkEnd w:id="64"/>
      <w:r>
        <w:rPr>
          <w:b w:val="0"/>
          <w:bCs w:val="0"/>
        </w:rPr>
      </w:r>
      <w:r>
        <w:rPr>
          <w:rFonts w:ascii="Times New Roman" w:hAnsi="Times New Roman" w:cs="Times New Roman" w:eastAsia="Times New Roman" w:hint="default"/>
        </w:rPr>
        <w:t>2</w:t>
      </w:r>
      <w:r>
        <w:rPr/>
        <w:t>、以公允价值计量的资产和负债</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3、截至报告期末的资产权利受限情况" w:id="65"/>
      <w:bookmarkEnd w:id="6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3189"/>
        <w:gridCol w:w="3190"/>
        <w:gridCol w:w="3191"/>
      </w:tblGrid>
      <w:tr>
        <w:trPr>
          <w:trHeight w:val="32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80" w:right="0"/>
              <w:jc w:val="left"/>
              <w:rPr>
                <w:rFonts w:ascii="宋体" w:hAnsi="宋体" w:cs="宋体" w:eastAsia="宋体" w:hint="default"/>
                <w:sz w:val="18"/>
                <w:szCs w:val="18"/>
              </w:rPr>
            </w:pPr>
            <w:r>
              <w:rPr>
                <w:rFonts w:ascii="宋体" w:hAnsi="宋体" w:cs="宋体" w:eastAsia="宋体" w:hint="default"/>
                <w:sz w:val="18"/>
                <w:szCs w:val="18"/>
              </w:rPr>
              <w:t>期末账面价值（元）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3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48,674,363.73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履约保函及票据保证金</w:t>
            </w:r>
          </w:p>
        </w:tc>
      </w:tr>
      <w:tr>
        <w:trPr>
          <w:trHeight w:val="33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176,952,926.94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抵押</w:t>
            </w:r>
          </w:p>
        </w:tc>
      </w:tr>
      <w:tr>
        <w:trPr>
          <w:trHeight w:val="33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1,181,749.64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抵押</w:t>
            </w:r>
          </w:p>
        </w:tc>
      </w:tr>
      <w:tr>
        <w:trPr>
          <w:trHeight w:val="33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33,117,977.97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抵押</w:t>
            </w:r>
          </w:p>
        </w:tc>
      </w:tr>
      <w:tr>
        <w:trPr>
          <w:trHeight w:val="33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259,927,018.28</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21"/>
          <w:szCs w:val="21"/>
        </w:rPr>
      </w:pPr>
    </w:p>
    <w:p>
      <w:pPr>
        <w:pStyle w:val="Heading2"/>
        <w:spacing w:line="240" w:lineRule="auto" w:before="26"/>
        <w:ind w:left="0" w:right="8670"/>
        <w:jc w:val="center"/>
        <w:rPr>
          <w:b w:val="0"/>
          <w:bCs w:val="0"/>
        </w:rPr>
      </w:pPr>
      <w:bookmarkStart w:name="五、投资状况分析" w:id="66"/>
      <w:bookmarkEnd w:id="66"/>
      <w:r>
        <w:rPr>
          <w:b w:val="0"/>
          <w:bCs w:val="0"/>
        </w:rPr>
      </w:r>
      <w:r>
        <w:rPr/>
        <w:t>五、投资状况分析</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left="0" w:right="8592"/>
        <w:jc w:val="center"/>
        <w:rPr>
          <w:b w:val="0"/>
          <w:bCs w:val="0"/>
        </w:rPr>
      </w:pPr>
      <w:bookmarkStart w:name="1、总体情况" w:id="67"/>
      <w:bookmarkEnd w:id="67"/>
      <w:r>
        <w:rPr>
          <w:b w:val="0"/>
          <w:bCs w:val="0"/>
        </w:rPr>
      </w:r>
      <w:r>
        <w:rPr>
          <w:rFonts w:ascii="Times New Roman" w:hAnsi="Times New Roman" w:cs="Times New Roman" w:eastAsia="Times New Roman" w:hint="default"/>
        </w:rPr>
        <w:t>1</w:t>
      </w:r>
      <w:r>
        <w:rPr/>
        <w:t>、总体情况</w:t>
      </w:r>
      <w:r>
        <w:rPr>
          <w:b w:val="0"/>
          <w:bCs w:val="0"/>
        </w:rPr>
      </w:r>
    </w:p>
    <w:p>
      <w:pPr>
        <w:pStyle w:val="BodyText"/>
        <w:spacing w:line="240" w:lineRule="auto" w:before="157"/>
        <w:ind w:left="0" w:right="8498"/>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3189"/>
        <w:gridCol w:w="3190"/>
        <w:gridCol w:w="3191"/>
      </w:tblGrid>
      <w:tr>
        <w:trPr>
          <w:trHeight w:val="33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3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30" w:right="0"/>
              <w:jc w:val="left"/>
              <w:rPr>
                <w:rFonts w:ascii="Times New Roman" w:hAnsi="Times New Roman" w:cs="Times New Roman" w:eastAsia="Times New Roman" w:hint="default"/>
                <w:sz w:val="18"/>
                <w:szCs w:val="18"/>
              </w:rPr>
            </w:pPr>
            <w:r>
              <w:rPr>
                <w:rFonts w:ascii="Times New Roman"/>
                <w:sz w:val="18"/>
              </w:rPr>
              <w:t>345,885,000.00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97" w:right="0"/>
              <w:jc w:val="left"/>
              <w:rPr>
                <w:rFonts w:ascii="Times New Roman" w:hAnsi="Times New Roman" w:cs="Times New Roman" w:eastAsia="Times New Roman" w:hint="default"/>
                <w:sz w:val="18"/>
                <w:szCs w:val="18"/>
              </w:rPr>
            </w:pPr>
            <w:r>
              <w:rPr>
                <w:rFonts w:ascii="Times New Roman"/>
                <w:sz w:val="18"/>
              </w:rPr>
              <w:t>1,028,867,899.42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-66.38%</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报告期内获取的重大的股权投资情况" w:id="68"/>
      <w:bookmarkEnd w:id="6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654"/>
        <w:gridCol w:w="1474"/>
        <w:gridCol w:w="425"/>
        <w:gridCol w:w="566"/>
        <w:gridCol w:w="425"/>
        <w:gridCol w:w="426"/>
        <w:gridCol w:w="426"/>
        <w:gridCol w:w="566"/>
        <w:gridCol w:w="425"/>
        <w:gridCol w:w="709"/>
        <w:gridCol w:w="425"/>
        <w:gridCol w:w="568"/>
        <w:gridCol w:w="425"/>
        <w:gridCol w:w="566"/>
        <w:gridCol w:w="1492"/>
      </w:tblGrid>
      <w:tr>
        <w:trPr>
          <w:trHeight w:val="1290"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6"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98" w:right="96"/>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6" w:right="2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7" w:right="2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17" w:right="26"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6" w:right="2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9" w:right="78"/>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6" w:right="2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98" w:right="99"/>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6"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244" w:lineRule="auto" w:before="1"/>
              <w:ind w:left="98" w:right="96"/>
              <w:jc w:val="left"/>
              <w:rPr>
                <w:rFonts w:ascii="宋体" w:hAnsi="宋体" w:cs="宋体" w:eastAsia="宋体" w:hint="default"/>
                <w:sz w:val="18"/>
                <w:szCs w:val="18"/>
              </w:rPr>
            </w:pPr>
            <w:r>
              <w:rPr>
                <w:rFonts w:ascii="宋体" w:hAnsi="宋体" w:cs="宋体" w:eastAsia="宋体" w:hint="default"/>
                <w:sz w:val="18"/>
                <w:szCs w:val="18"/>
              </w:rPr>
              <w:t>（如 有）</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29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81"/>
              <w:jc w:val="both"/>
              <w:rPr>
                <w:rFonts w:ascii="宋体" w:hAnsi="宋体" w:cs="宋体" w:eastAsia="宋体" w:hint="default"/>
                <w:sz w:val="18"/>
                <w:szCs w:val="18"/>
              </w:rPr>
            </w:pPr>
            <w:r>
              <w:rPr>
                <w:rFonts w:ascii="宋体" w:hAnsi="宋体" w:cs="宋体" w:eastAsia="宋体" w:hint="default"/>
                <w:sz w:val="18"/>
                <w:szCs w:val="18"/>
              </w:rPr>
              <w:t>青岛丰 东热处 理有限 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2"/>
              <w:jc w:val="left"/>
              <w:rPr>
                <w:rFonts w:ascii="宋体" w:hAnsi="宋体" w:cs="宋体" w:eastAsia="宋体" w:hint="default"/>
                <w:sz w:val="18"/>
                <w:szCs w:val="18"/>
              </w:rPr>
            </w:pPr>
            <w:r>
              <w:rPr>
                <w:rFonts w:ascii="宋体" w:hAnsi="宋体" w:cs="宋体" w:eastAsia="宋体" w:hint="default"/>
                <w:sz w:val="18"/>
                <w:szCs w:val="18"/>
              </w:rPr>
              <w:t>热处理及表面处 </w:t>
            </w:r>
            <w:r>
              <w:rPr>
                <w:rFonts w:ascii="宋体" w:hAnsi="宋体" w:cs="宋体" w:eastAsia="宋体" w:hint="default"/>
                <w:spacing w:val="-4"/>
                <w:sz w:val="18"/>
                <w:szCs w:val="18"/>
              </w:rPr>
              <w:t>理加工；制造、加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工：热处理设备及</w:t>
            </w:r>
            <w:r>
              <w:rPr>
                <w:rFonts w:ascii="宋体" w:hAnsi="宋体" w:cs="宋体" w:eastAsia="宋体" w:hint="default"/>
                <w:sz w:val="18"/>
                <w:szCs w:val="18"/>
              </w:rPr>
              <w:t> 零部件等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exact" w:before="13"/>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0"/>
              <w:jc w:val="both"/>
              <w:rPr>
                <w:rFonts w:ascii="宋体" w:hAnsi="宋体" w:cs="宋体" w:eastAsia="宋体" w:hint="default"/>
                <w:sz w:val="18"/>
                <w:szCs w:val="18"/>
              </w:rPr>
            </w:pPr>
            <w:r>
              <w:rPr>
                <w:rFonts w:ascii="宋体" w:hAnsi="宋体" w:cs="宋体" w:eastAsia="宋体" w:hint="default"/>
                <w:sz w:val="18"/>
                <w:szCs w:val="18"/>
              </w:rPr>
              <w:t>热处 理设 备制 造及 加工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3,773,</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633.22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654"/>
        <w:gridCol w:w="1474"/>
        <w:gridCol w:w="425"/>
        <w:gridCol w:w="566"/>
        <w:gridCol w:w="425"/>
        <w:gridCol w:w="426"/>
        <w:gridCol w:w="426"/>
        <w:gridCol w:w="566"/>
        <w:gridCol w:w="425"/>
        <w:gridCol w:w="709"/>
        <w:gridCol w:w="425"/>
        <w:gridCol w:w="568"/>
        <w:gridCol w:w="425"/>
        <w:gridCol w:w="566"/>
        <w:gridCol w:w="1492"/>
      </w:tblGrid>
      <w:tr>
        <w:trPr>
          <w:trHeight w:val="129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81"/>
              <w:jc w:val="both"/>
              <w:rPr>
                <w:rFonts w:ascii="宋体" w:hAnsi="宋体" w:cs="宋体" w:eastAsia="宋体" w:hint="default"/>
                <w:sz w:val="18"/>
                <w:szCs w:val="18"/>
              </w:rPr>
            </w:pPr>
            <w:r>
              <w:rPr>
                <w:rFonts w:ascii="宋体" w:hAnsi="宋体" w:cs="宋体" w:eastAsia="宋体" w:hint="default"/>
                <w:sz w:val="18"/>
                <w:szCs w:val="18"/>
              </w:rPr>
              <w:t>青岛丰 东热工 技术有 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55"/>
              <w:jc w:val="both"/>
              <w:rPr>
                <w:rFonts w:ascii="宋体" w:hAnsi="宋体" w:cs="宋体" w:eastAsia="宋体" w:hint="default"/>
                <w:sz w:val="18"/>
                <w:szCs w:val="18"/>
              </w:rPr>
            </w:pPr>
            <w:r>
              <w:rPr>
                <w:rFonts w:ascii="宋体" w:hAnsi="宋体" w:cs="宋体" w:eastAsia="宋体" w:hint="default"/>
                <w:spacing w:val="-8"/>
                <w:sz w:val="18"/>
                <w:szCs w:val="18"/>
              </w:rPr>
              <w:t>金属表面处理及热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处理加工，智能化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等离子及高端热工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装备研发、制造等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17,700</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34"/>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63"/>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1"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exact" w:before="13"/>
              <w:ind w:left="22" w:right="11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热处 理加 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建设过 程中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-127,2</w:t>
            </w:r>
          </w:p>
          <w:p>
            <w:pPr>
              <w:pStyle w:val="TableParagraph"/>
              <w:spacing w:line="240" w:lineRule="auto" w:before="34"/>
              <w:ind w:left="129" w:right="0"/>
              <w:jc w:val="left"/>
              <w:rPr>
                <w:rFonts w:ascii="Times New Roman" w:hAnsi="Times New Roman" w:cs="Times New Roman" w:eastAsia="Times New Roman" w:hint="default"/>
                <w:sz w:val="18"/>
                <w:szCs w:val="18"/>
              </w:rPr>
            </w:pPr>
            <w:r>
              <w:rPr>
                <w:rFonts w:ascii="Times New Roman"/>
                <w:sz w:val="18"/>
              </w:rPr>
              <w:t>50.12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129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81"/>
              <w:jc w:val="both"/>
              <w:rPr>
                <w:rFonts w:ascii="宋体" w:hAnsi="宋体" w:cs="宋体" w:eastAsia="宋体" w:hint="default"/>
                <w:sz w:val="18"/>
                <w:szCs w:val="18"/>
              </w:rPr>
            </w:pPr>
            <w:r>
              <w:rPr>
                <w:rFonts w:ascii="宋体" w:hAnsi="宋体" w:cs="宋体" w:eastAsia="宋体" w:hint="default"/>
                <w:sz w:val="18"/>
                <w:szCs w:val="18"/>
              </w:rPr>
              <w:t>烟台丰 东热技 术有限 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5"/>
              <w:jc w:val="both"/>
              <w:rPr>
                <w:rFonts w:ascii="宋体" w:hAnsi="宋体" w:cs="宋体" w:eastAsia="宋体" w:hint="default"/>
                <w:sz w:val="18"/>
                <w:szCs w:val="18"/>
              </w:rPr>
            </w:pPr>
            <w:r>
              <w:rPr>
                <w:rFonts w:ascii="宋体" w:hAnsi="宋体" w:cs="宋体" w:eastAsia="宋体" w:hint="default"/>
                <w:spacing w:val="-8"/>
                <w:sz w:val="18"/>
                <w:szCs w:val="18"/>
              </w:rPr>
              <w:t>热处理技术开发、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咨询服务；热处理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设备及其辅助设备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的研发、制造、销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售、保养、维修等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4"/>
              <w:ind w:left="61" w:right="0"/>
              <w:jc w:val="left"/>
              <w:rPr>
                <w:rFonts w:ascii="Times New Roman" w:hAnsi="Times New Roman" w:cs="Times New Roman" w:eastAsia="Times New Roman" w:hint="default"/>
                <w:sz w:val="18"/>
                <w:szCs w:val="18"/>
              </w:rPr>
            </w:pPr>
            <w:r>
              <w:rPr>
                <w:rFonts w:ascii="Times New Roman"/>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64"/>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1"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exact" w:before="13"/>
              <w:ind w:left="22" w:right="11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0"/>
              <w:jc w:val="both"/>
              <w:rPr>
                <w:rFonts w:ascii="宋体" w:hAnsi="宋体" w:cs="宋体" w:eastAsia="宋体" w:hint="default"/>
                <w:sz w:val="18"/>
                <w:szCs w:val="18"/>
              </w:rPr>
            </w:pPr>
            <w:r>
              <w:rPr>
                <w:rFonts w:ascii="宋体" w:hAnsi="宋体" w:cs="宋体" w:eastAsia="宋体" w:hint="default"/>
                <w:sz w:val="18"/>
                <w:szCs w:val="18"/>
              </w:rPr>
              <w:t>热处 理设 备制 造及 加工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建设过 程中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-1,197,</w:t>
            </w:r>
          </w:p>
          <w:p>
            <w:pPr>
              <w:pStyle w:val="TableParagraph"/>
              <w:spacing w:line="240" w:lineRule="auto" w:before="34"/>
              <w:ind w:left="39" w:right="0"/>
              <w:jc w:val="left"/>
              <w:rPr>
                <w:rFonts w:ascii="Times New Roman" w:hAnsi="Times New Roman" w:cs="Times New Roman" w:eastAsia="Times New Roman" w:hint="default"/>
                <w:sz w:val="18"/>
                <w:szCs w:val="18"/>
              </w:rPr>
            </w:pPr>
            <w:r>
              <w:rPr>
                <w:rFonts w:ascii="Times New Roman"/>
                <w:sz w:val="18"/>
              </w:rPr>
              <w:t>817.69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173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4" w:lineRule="auto"/>
              <w:ind w:left="22" w:right="81"/>
              <w:jc w:val="both"/>
              <w:rPr>
                <w:rFonts w:ascii="宋体" w:hAnsi="宋体" w:cs="宋体" w:eastAsia="宋体" w:hint="default"/>
                <w:sz w:val="18"/>
                <w:szCs w:val="18"/>
              </w:rPr>
            </w:pPr>
            <w:r>
              <w:rPr>
                <w:rFonts w:ascii="宋体" w:hAnsi="宋体" w:cs="宋体" w:eastAsia="宋体" w:hint="default"/>
                <w:sz w:val="18"/>
                <w:szCs w:val="18"/>
              </w:rPr>
              <w:t>浙江金 财立信 财务管 理有限 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
              <w:jc w:val="left"/>
              <w:rPr>
                <w:rFonts w:ascii="宋体" w:hAnsi="宋体" w:cs="宋体" w:eastAsia="宋体" w:hint="default"/>
                <w:sz w:val="18"/>
                <w:szCs w:val="18"/>
              </w:rPr>
            </w:pPr>
            <w:r>
              <w:rPr>
                <w:rFonts w:ascii="宋体" w:hAnsi="宋体" w:cs="宋体" w:eastAsia="宋体" w:hint="default"/>
                <w:sz w:val="18"/>
                <w:szCs w:val="18"/>
              </w:rPr>
              <w:t>服务：代理记账， </w:t>
            </w:r>
            <w:r>
              <w:rPr>
                <w:rFonts w:ascii="宋体" w:hAnsi="宋体" w:cs="宋体" w:eastAsia="宋体" w:hint="default"/>
                <w:spacing w:val="-3"/>
                <w:sz w:val="18"/>
                <w:szCs w:val="18"/>
              </w:rPr>
              <w:t>财务信息咨询，税</w:t>
            </w:r>
            <w:r>
              <w:rPr>
                <w:rFonts w:ascii="宋体" w:hAnsi="宋体" w:cs="宋体" w:eastAsia="宋体" w:hint="default"/>
                <w:sz w:val="18"/>
                <w:szCs w:val="18"/>
              </w:rPr>
              <w:t> </w:t>
            </w:r>
            <w:r>
              <w:rPr>
                <w:rFonts w:ascii="宋体" w:hAnsi="宋体" w:cs="宋体" w:eastAsia="宋体" w:hint="default"/>
                <w:spacing w:val="-3"/>
                <w:sz w:val="18"/>
                <w:szCs w:val="18"/>
              </w:rPr>
              <w:t>务信息咨询，计算</w:t>
            </w:r>
            <w:r>
              <w:rPr>
                <w:rFonts w:ascii="宋体" w:hAnsi="宋体" w:cs="宋体" w:eastAsia="宋体" w:hint="default"/>
                <w:sz w:val="18"/>
                <w:szCs w:val="18"/>
              </w:rPr>
              <w:t> 机软硬件的技术 开发、技术服务、 </w:t>
            </w:r>
            <w:r>
              <w:rPr>
                <w:rFonts w:ascii="宋体" w:hAnsi="宋体" w:cs="宋体" w:eastAsia="宋体" w:hint="default"/>
                <w:spacing w:val="-3"/>
                <w:sz w:val="18"/>
                <w:szCs w:val="18"/>
              </w:rPr>
              <w:t>技术咨询、成果转</w:t>
            </w:r>
            <w:r>
              <w:rPr>
                <w:rFonts w:ascii="宋体" w:hAnsi="宋体" w:cs="宋体" w:eastAsia="宋体" w:hint="default"/>
                <w:sz w:val="18"/>
                <w:szCs w:val="18"/>
              </w:rPr>
              <w:t> 让等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出资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33"/>
              <w:ind w:left="197" w:right="0"/>
              <w:jc w:val="center"/>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4" w:lineRule="auto"/>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3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9,403,</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475.36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196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4"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北京金 财纵横 信息咨 询服务 有限公 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4" w:lineRule="auto"/>
              <w:ind w:left="22" w:right="23"/>
              <w:jc w:val="both"/>
              <w:rPr>
                <w:rFonts w:ascii="宋体" w:hAnsi="宋体" w:cs="宋体" w:eastAsia="宋体" w:hint="default"/>
                <w:sz w:val="18"/>
                <w:szCs w:val="18"/>
              </w:rPr>
            </w:pPr>
            <w:r>
              <w:rPr>
                <w:rFonts w:ascii="宋体" w:hAnsi="宋体" w:cs="宋体" w:eastAsia="宋体" w:hint="default"/>
                <w:spacing w:val="-3"/>
                <w:sz w:val="18"/>
                <w:szCs w:val="18"/>
              </w:rPr>
              <w:t>企业管理咨询；教</w:t>
            </w:r>
            <w:r>
              <w:rPr>
                <w:rFonts w:ascii="宋体" w:hAnsi="宋体" w:cs="宋体" w:eastAsia="宋体" w:hint="default"/>
                <w:sz w:val="18"/>
                <w:szCs w:val="18"/>
              </w:rPr>
              <w:t> </w:t>
            </w:r>
            <w:r>
              <w:rPr>
                <w:rFonts w:ascii="宋体" w:hAnsi="宋体" w:cs="宋体" w:eastAsia="宋体" w:hint="default"/>
                <w:spacing w:val="-3"/>
                <w:sz w:val="18"/>
                <w:szCs w:val="18"/>
              </w:rPr>
              <w:t>育咨询（不含中介</w:t>
            </w:r>
            <w:r>
              <w:rPr>
                <w:rFonts w:ascii="宋体" w:hAnsi="宋体" w:cs="宋体" w:eastAsia="宋体" w:hint="default"/>
                <w:sz w:val="18"/>
                <w:szCs w:val="18"/>
              </w:rPr>
              <w:t> </w:t>
            </w:r>
            <w:r>
              <w:rPr>
                <w:rFonts w:ascii="宋体" w:hAnsi="宋体" w:cs="宋体" w:eastAsia="宋体" w:hint="default"/>
                <w:spacing w:val="-12"/>
                <w:sz w:val="18"/>
                <w:szCs w:val="18"/>
              </w:rPr>
              <w:t>服务）；健康咨询</w:t>
            </w:r>
          </w:p>
          <w:p>
            <w:pPr>
              <w:pStyle w:val="TableParagraph"/>
              <w:spacing w:line="244" w:lineRule="auto" w:before="1"/>
              <w:ind w:left="22" w:right="89"/>
              <w:jc w:val="left"/>
              <w:rPr>
                <w:rFonts w:ascii="宋体" w:hAnsi="宋体" w:cs="宋体" w:eastAsia="宋体" w:hint="default"/>
                <w:sz w:val="18"/>
                <w:szCs w:val="18"/>
              </w:rPr>
            </w:pPr>
            <w:r>
              <w:rPr>
                <w:rFonts w:ascii="宋体" w:hAnsi="宋体" w:cs="宋体" w:eastAsia="宋体" w:hint="default"/>
                <w:sz w:val="18"/>
                <w:szCs w:val="18"/>
              </w:rPr>
              <w:t>（须经审批的诊 </w:t>
            </w:r>
            <w:r>
              <w:rPr>
                <w:rFonts w:ascii="宋体" w:hAnsi="宋体" w:cs="宋体" w:eastAsia="宋体" w:hint="default"/>
                <w:spacing w:val="-12"/>
                <w:sz w:val="18"/>
                <w:szCs w:val="18"/>
              </w:rPr>
              <w:t>疗活动除外）；会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议服务等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83"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76" w:right="0"/>
              <w:jc w:val="left"/>
              <w:rPr>
                <w:rFonts w:ascii="Times New Roman" w:hAnsi="Times New Roman" w:cs="Times New Roman" w:eastAsia="Times New Roman" w:hint="default"/>
                <w:sz w:val="18"/>
                <w:szCs w:val="18"/>
              </w:rPr>
            </w:pPr>
            <w:r>
              <w:rPr>
                <w:rFonts w:ascii="Times New Roman"/>
                <w:sz w:val="18"/>
              </w:rPr>
              <w:t>51.0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4" w:lineRule="auto"/>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43"/>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02" w:lineRule="exact" w:before="46"/>
              <w:ind w:left="22" w:right="0"/>
              <w:jc w:val="left"/>
              <w:rPr>
                <w:rFonts w:ascii="Times New Roman" w:hAnsi="Times New Roman" w:cs="Times New Roman" w:eastAsia="Times New Roman" w:hint="default"/>
                <w:sz w:val="18"/>
                <w:szCs w:val="18"/>
              </w:rPr>
            </w:pPr>
            <w:r>
              <w:rPr>
                <w:rFonts w:ascii="Times New Roman"/>
                <w:sz w:val="18"/>
              </w:rPr>
              <w:t>-2047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4"/>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69" w:right="0"/>
              <w:jc w:val="left"/>
              <w:rPr>
                <w:rFonts w:ascii="Times New Roman" w:hAnsi="Times New Roman" w:cs="Times New Roman" w:eastAsia="Times New Roman" w:hint="default"/>
                <w:sz w:val="18"/>
                <w:szCs w:val="18"/>
              </w:rPr>
            </w:pPr>
            <w:r>
              <w:rPr>
                <w:rFonts w:ascii="Times New Roman"/>
                <w:sz w:val="18"/>
              </w:rPr>
              <w:t>-905,0</w:t>
            </w:r>
          </w:p>
          <w:p>
            <w:pPr>
              <w:pStyle w:val="TableParagraph"/>
              <w:spacing w:line="240" w:lineRule="auto" w:before="33"/>
              <w:ind w:left="129" w:right="0"/>
              <w:jc w:val="left"/>
              <w:rPr>
                <w:rFonts w:ascii="Times New Roman" w:hAnsi="Times New Roman" w:cs="Times New Roman" w:eastAsia="Times New Roman" w:hint="default"/>
                <w:sz w:val="18"/>
                <w:szCs w:val="18"/>
              </w:rPr>
            </w:pPr>
            <w:r>
              <w:rPr>
                <w:rFonts w:ascii="Times New Roman"/>
                <w:sz w:val="18"/>
              </w:rPr>
              <w:t>40.53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415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4" w:lineRule="auto"/>
              <w:ind w:left="22" w:right="81"/>
              <w:jc w:val="both"/>
              <w:rPr>
                <w:rFonts w:ascii="宋体" w:hAnsi="宋体" w:cs="宋体" w:eastAsia="宋体" w:hint="default"/>
                <w:sz w:val="18"/>
                <w:szCs w:val="18"/>
              </w:rPr>
            </w:pPr>
            <w:r>
              <w:rPr>
                <w:rFonts w:ascii="宋体" w:hAnsi="宋体" w:cs="宋体" w:eastAsia="宋体" w:hint="default"/>
                <w:sz w:val="18"/>
                <w:szCs w:val="18"/>
              </w:rPr>
              <w:t>广东益 东金财 资产管 理中心</w:t>
            </w:r>
          </w:p>
          <w:p>
            <w:pPr>
              <w:pStyle w:val="TableParagraph"/>
              <w:spacing w:line="242" w:lineRule="auto" w:before="1"/>
              <w:ind w:left="22" w:right="8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4" w:lineRule="auto"/>
              <w:ind w:left="22" w:right="1"/>
              <w:jc w:val="left"/>
              <w:rPr>
                <w:rFonts w:ascii="宋体" w:hAnsi="宋体" w:cs="宋体" w:eastAsia="宋体" w:hint="default"/>
                <w:sz w:val="18"/>
                <w:szCs w:val="18"/>
              </w:rPr>
            </w:pPr>
            <w:r>
              <w:rPr>
                <w:rFonts w:ascii="宋体" w:hAnsi="宋体" w:cs="宋体" w:eastAsia="宋体" w:hint="default"/>
                <w:spacing w:val="-3"/>
                <w:sz w:val="18"/>
                <w:szCs w:val="18"/>
              </w:rPr>
              <w:t>资产管理（不含许</w:t>
            </w:r>
            <w:r>
              <w:rPr>
                <w:rFonts w:ascii="宋体" w:hAnsi="宋体" w:cs="宋体" w:eastAsia="宋体" w:hint="default"/>
                <w:sz w:val="18"/>
                <w:szCs w:val="18"/>
              </w:rPr>
              <w:t> </w:t>
            </w:r>
            <w:r>
              <w:rPr>
                <w:rFonts w:ascii="宋体" w:hAnsi="宋体" w:cs="宋体" w:eastAsia="宋体" w:hint="default"/>
                <w:spacing w:val="-12"/>
                <w:sz w:val="18"/>
                <w:szCs w:val="18"/>
              </w:rPr>
              <w:t>可审批项目）；企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业自有资金投资； </w:t>
            </w:r>
            <w:r>
              <w:rPr>
                <w:rFonts w:ascii="宋体" w:hAnsi="宋体" w:cs="宋体" w:eastAsia="宋体" w:hint="default"/>
                <w:spacing w:val="-3"/>
                <w:sz w:val="18"/>
                <w:szCs w:val="18"/>
              </w:rPr>
              <w:t>投资咨询服务；企</w:t>
            </w:r>
            <w:r>
              <w:rPr>
                <w:rFonts w:ascii="宋体" w:hAnsi="宋体" w:cs="宋体" w:eastAsia="宋体" w:hint="default"/>
                <w:sz w:val="18"/>
                <w:szCs w:val="18"/>
              </w:rPr>
              <w:t> 业管理咨询服务； 信息技术咨询服 务；物业管理等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34"/>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2"/>
              <w:ind w:left="35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left="61" w:right="0"/>
              <w:jc w:val="left"/>
              <w:rPr>
                <w:rFonts w:ascii="Times New Roman" w:hAnsi="Times New Roman" w:cs="Times New Roman" w:eastAsia="Times New Roman" w:hint="default"/>
                <w:sz w:val="18"/>
                <w:szCs w:val="18"/>
              </w:rPr>
            </w:pPr>
            <w:r>
              <w:rPr>
                <w:rFonts w:ascii="Times New Roman"/>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6"/>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03" w:lineRule="exact"/>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1"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30" w:lineRule="auto" w:before="4"/>
              <w:ind w:left="22" w:right="11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6"/>
              <w:ind w:left="22" w:right="30"/>
              <w:jc w:val="left"/>
              <w:rPr>
                <w:rFonts w:ascii="宋体" w:hAnsi="宋体" w:cs="宋体" w:eastAsia="宋体" w:hint="default"/>
                <w:sz w:val="18"/>
                <w:szCs w:val="18"/>
              </w:rPr>
            </w:pPr>
            <w:r>
              <w:rPr>
                <w:rFonts w:ascii="宋体" w:hAnsi="宋体" w:cs="宋体" w:eastAsia="宋体" w:hint="default"/>
                <w:sz w:val="18"/>
                <w:szCs w:val="18"/>
              </w:rPr>
              <w:t>资产 管理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更，中心</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-4,680,</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591.86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03" w:lineRule="exact"/>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1"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exact" w:before="13"/>
              <w:ind w:left="22"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 </w:t>
            </w:r>
            <w:r>
              <w:rPr>
                <w:rFonts w:ascii="Times New Roman" w:hAnsi="Times New Roman" w:cs="Times New Roman" w:eastAsia="Times New Roman" w:hint="default"/>
                <w:sz w:val="18"/>
                <w:szCs w:val="18"/>
              </w:rPr>
              <w:t>2018</w:t>
            </w:r>
          </w:p>
          <w:p>
            <w:pPr>
              <w:pStyle w:val="TableParagraph"/>
              <w:spacing w:line="226"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39"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0" w:lineRule="exact"/>
              <w:ind w:left="22" w:right="0"/>
              <w:jc w:val="both"/>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44"/>
              <w:ind w:left="24" w:right="25"/>
              <w:jc w:val="left"/>
              <w:rPr>
                <w:rFonts w:ascii="Times New Roman" w:hAnsi="Times New Roman" w:cs="Times New Roman" w:eastAsia="Times New Roman" w:hint="default"/>
                <w:sz w:val="18"/>
                <w:szCs w:val="18"/>
              </w:rPr>
            </w:pPr>
            <w:r>
              <w:rPr>
                <w:rFonts w:ascii="Times New Roman"/>
                <w:sz w:val="18"/>
              </w:rPr>
              <w:t>http://www.cninfo. com.cn/new/disclos</w:t>
            </w:r>
            <w:r>
              <w:rPr>
                <w:rFonts w:ascii="Times New Roman"/>
                <w:w w:val="99"/>
                <w:sz w:val="18"/>
              </w:rPr>
              <w:t> </w:t>
            </w:r>
            <w:r>
              <w:rPr>
                <w:rFonts w:ascii="Times New Roman"/>
                <w:sz w:val="18"/>
              </w:rPr>
              <w:t>ure/detail?plate=szs</w:t>
            </w:r>
            <w:r>
              <w:rPr>
                <w:rFonts w:ascii="Times New Roman"/>
                <w:w w:val="99"/>
                <w:sz w:val="18"/>
              </w:rPr>
              <w:t> </w:t>
            </w:r>
            <w:r>
              <w:rPr>
                <w:rFonts w:ascii="Times New Roman"/>
                <w:sz w:val="18"/>
              </w:rPr>
              <w:t>e&amp;stockCode=002</w:t>
            </w:r>
            <w:r>
              <w:rPr>
                <w:rFonts w:ascii="Times New Roman"/>
                <w:sz w:val="18"/>
              </w:rPr>
              <w:t> 530&amp;announcemen tId=1205461459&amp;a</w:t>
            </w:r>
          </w:p>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sz w:val="18"/>
              </w:rPr>
              <w:t>nnouncementTime</w:t>
            </w:r>
          </w:p>
          <w:p>
            <w:pPr>
              <w:pStyle w:val="TableParagraph"/>
              <w:spacing w:line="240" w:lineRule="auto" w:before="32"/>
              <w:ind w:left="24" w:right="0"/>
              <w:jc w:val="left"/>
              <w:rPr>
                <w:rFonts w:ascii="Times New Roman" w:hAnsi="Times New Roman" w:cs="Times New Roman" w:eastAsia="Times New Roman" w:hint="default"/>
                <w:sz w:val="18"/>
                <w:szCs w:val="18"/>
              </w:rPr>
            </w:pPr>
            <w:r>
              <w:rPr>
                <w:rFonts w:ascii="Times New Roman"/>
                <w:sz w:val="18"/>
              </w:rPr>
              <w:t>=2018-09-22</w:t>
            </w:r>
          </w:p>
          <w:p>
            <w:pPr>
              <w:pStyle w:val="TableParagraph"/>
              <w:spacing w:line="278" w:lineRule="auto" w:before="54"/>
              <w:ind w:left="24" w:right="25"/>
              <w:jc w:val="left"/>
              <w:rPr>
                <w:rFonts w:ascii="Times New Roman" w:hAnsi="Times New Roman" w:cs="Times New Roman" w:eastAsia="Times New Roman" w:hint="default"/>
                <w:sz w:val="18"/>
                <w:szCs w:val="18"/>
              </w:rPr>
            </w:pPr>
            <w:r>
              <w:rPr>
                <w:rFonts w:ascii="Times New Roman"/>
                <w:sz w:val="18"/>
              </w:rPr>
              <w:t>http://www.cninfo. com.cn/new/disclos</w:t>
            </w:r>
            <w:r>
              <w:rPr>
                <w:rFonts w:ascii="Times New Roman"/>
                <w:w w:val="99"/>
                <w:sz w:val="18"/>
              </w:rPr>
              <w:t> </w:t>
            </w:r>
            <w:r>
              <w:rPr>
                <w:rFonts w:ascii="Times New Roman"/>
                <w:sz w:val="18"/>
              </w:rPr>
              <w:t>ure/detail?plate=szs</w:t>
            </w:r>
            <w:r>
              <w:rPr>
                <w:rFonts w:ascii="Times New Roman"/>
                <w:w w:val="99"/>
                <w:sz w:val="18"/>
              </w:rPr>
              <w:t> </w:t>
            </w:r>
            <w:r>
              <w:rPr>
                <w:rFonts w:ascii="Times New Roman"/>
                <w:sz w:val="18"/>
              </w:rPr>
              <w:t>e&amp;stockCode=002</w:t>
            </w:r>
            <w:r>
              <w:rPr>
                <w:rFonts w:ascii="Times New Roman"/>
                <w:sz w:val="18"/>
              </w:rPr>
              <w:t> 530&amp;announcemen tId=1205492713&amp;a</w:t>
            </w:r>
          </w:p>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sz w:val="18"/>
              </w:rPr>
              <w:t>nnouncementTime</w:t>
            </w:r>
          </w:p>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=2018-10-11%201</w:t>
            </w:r>
          </w:p>
          <w:p>
            <w:pPr>
              <w:pStyle w:val="TableParagraph"/>
              <w:spacing w:line="240" w:lineRule="auto" w:before="32"/>
              <w:ind w:left="24" w:right="0"/>
              <w:jc w:val="left"/>
              <w:rPr>
                <w:rFonts w:ascii="Times New Roman" w:hAnsi="Times New Roman" w:cs="Times New Roman" w:eastAsia="Times New Roman" w:hint="default"/>
                <w:sz w:val="18"/>
                <w:szCs w:val="18"/>
              </w:rPr>
            </w:pPr>
            <w:r>
              <w:rPr>
                <w:rFonts w:ascii="Times New Roman"/>
                <w:sz w:val="18"/>
              </w:rPr>
              <w:t>1:42</w:t>
            </w:r>
          </w:p>
        </w:tc>
      </w:tr>
      <w:tr>
        <w:trPr>
          <w:trHeight w:val="221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4" w:lineRule="auto"/>
              <w:ind w:left="22" w:right="81"/>
              <w:jc w:val="both"/>
              <w:rPr>
                <w:rFonts w:ascii="宋体" w:hAnsi="宋体" w:cs="宋体" w:eastAsia="宋体" w:hint="default"/>
                <w:sz w:val="18"/>
                <w:szCs w:val="18"/>
              </w:rPr>
            </w:pPr>
            <w:r>
              <w:rPr>
                <w:rFonts w:ascii="宋体" w:hAnsi="宋体" w:cs="宋体" w:eastAsia="宋体" w:hint="default"/>
                <w:sz w:val="18"/>
                <w:szCs w:val="18"/>
              </w:rPr>
              <w:t>青岛高 新金财 信息科 技有限 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3"/>
                <w:sz w:val="18"/>
                <w:szCs w:val="18"/>
              </w:rPr>
              <w:t>计算机软件、硬件</w:t>
            </w:r>
          </w:p>
          <w:p>
            <w:pPr>
              <w:pStyle w:val="TableParagraph"/>
              <w:spacing w:line="244" w:lineRule="auto" w:before="5"/>
              <w:ind w:left="22" w:right="1"/>
              <w:jc w:val="left"/>
              <w:rPr>
                <w:rFonts w:ascii="宋体" w:hAnsi="宋体" w:cs="宋体" w:eastAsia="宋体" w:hint="default"/>
                <w:sz w:val="18"/>
                <w:szCs w:val="18"/>
              </w:rPr>
            </w:pPr>
            <w:r>
              <w:rPr>
                <w:rFonts w:ascii="宋体" w:hAnsi="宋体" w:cs="宋体" w:eastAsia="宋体" w:hint="default"/>
                <w:sz w:val="18"/>
                <w:szCs w:val="18"/>
              </w:rPr>
              <w:t>（含配件）开发、 </w:t>
            </w:r>
            <w:r>
              <w:rPr>
                <w:rFonts w:ascii="宋体" w:hAnsi="宋体" w:cs="宋体" w:eastAsia="宋体" w:hint="default"/>
                <w:spacing w:val="-3"/>
                <w:sz w:val="18"/>
                <w:szCs w:val="18"/>
              </w:rPr>
              <w:t>销售、租赁及技术</w:t>
            </w:r>
            <w:r>
              <w:rPr>
                <w:rFonts w:ascii="宋体" w:hAnsi="宋体" w:cs="宋体" w:eastAsia="宋体" w:hint="default"/>
                <w:sz w:val="18"/>
                <w:szCs w:val="18"/>
              </w:rPr>
              <w:t> </w:t>
            </w:r>
            <w:r>
              <w:rPr>
                <w:rFonts w:ascii="宋体" w:hAnsi="宋体" w:cs="宋体" w:eastAsia="宋体" w:hint="default"/>
                <w:spacing w:val="-3"/>
                <w:sz w:val="18"/>
                <w:szCs w:val="18"/>
              </w:rPr>
              <w:t>服务；网络设备销</w:t>
            </w:r>
            <w:r>
              <w:rPr>
                <w:rFonts w:ascii="宋体" w:hAnsi="宋体" w:cs="宋体" w:eastAsia="宋体" w:hint="default"/>
                <w:sz w:val="18"/>
                <w:szCs w:val="18"/>
              </w:rPr>
              <w:t> </w:t>
            </w:r>
            <w:r>
              <w:rPr>
                <w:rFonts w:ascii="宋体" w:hAnsi="宋体" w:cs="宋体" w:eastAsia="宋体" w:hint="default"/>
                <w:spacing w:val="-3"/>
                <w:sz w:val="18"/>
                <w:szCs w:val="18"/>
              </w:rPr>
              <w:t>售及技术服务；网</w:t>
            </w:r>
            <w:r>
              <w:rPr>
                <w:rFonts w:ascii="宋体" w:hAnsi="宋体" w:cs="宋体" w:eastAsia="宋体" w:hint="default"/>
                <w:sz w:val="18"/>
                <w:szCs w:val="18"/>
              </w:rPr>
              <w:t> 络工程、软件工 </w:t>
            </w:r>
            <w:r>
              <w:rPr>
                <w:rFonts w:ascii="宋体" w:hAnsi="宋体" w:cs="宋体" w:eastAsia="宋体" w:hint="default"/>
                <w:spacing w:val="-3"/>
                <w:sz w:val="18"/>
                <w:szCs w:val="18"/>
              </w:rPr>
              <w:t>程、电子监控工程</w:t>
            </w:r>
            <w:r>
              <w:rPr>
                <w:rFonts w:ascii="宋体" w:hAnsi="宋体" w:cs="宋体" w:eastAsia="宋体" w:hint="default"/>
                <w:sz w:val="18"/>
                <w:szCs w:val="18"/>
              </w:rPr>
              <w:t> </w:t>
            </w:r>
            <w:r>
              <w:rPr>
                <w:rFonts w:ascii="宋体" w:hAnsi="宋体" w:cs="宋体" w:eastAsia="宋体" w:hint="default"/>
                <w:spacing w:val="-3"/>
                <w:sz w:val="18"/>
                <w:szCs w:val="18"/>
              </w:rPr>
              <w:t>开发、设计、安装</w:t>
            </w:r>
            <w:r>
              <w:rPr>
                <w:rFonts w:ascii="宋体" w:hAnsi="宋体" w:cs="宋体" w:eastAsia="宋体" w:hint="default"/>
                <w:sz w:val="18"/>
                <w:szCs w:val="18"/>
              </w:rPr>
              <w:t> 及维护等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z w:val="18"/>
              </w:rPr>
              <w:t>57,300</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2"/>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left="61" w:right="0"/>
              <w:jc w:val="left"/>
              <w:rPr>
                <w:rFonts w:ascii="Times New Roman" w:hAnsi="Times New Roman" w:cs="Times New Roman" w:eastAsia="Times New Roman" w:hint="default"/>
                <w:sz w:val="18"/>
                <w:szCs w:val="18"/>
              </w:rPr>
            </w:pPr>
            <w:r>
              <w:rPr>
                <w:rFonts w:ascii="Times New Roman"/>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4" w:lineRule="auto"/>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02" w:lineRule="exact" w:before="33"/>
              <w:ind w:left="22" w:right="0"/>
              <w:jc w:val="left"/>
              <w:rPr>
                <w:rFonts w:ascii="Times New Roman" w:hAnsi="Times New Roman" w:cs="Times New Roman" w:eastAsia="Times New Roman" w:hint="default"/>
                <w:sz w:val="18"/>
                <w:szCs w:val="18"/>
              </w:rPr>
            </w:pPr>
            <w:r>
              <w:rPr>
                <w:rFonts w:ascii="Times New Roman"/>
                <w:sz w:val="18"/>
              </w:rPr>
              <w:t>-2026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3,240,</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492.77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3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78" w:lineRule="auto"/>
              <w:ind w:left="24" w:right="25"/>
              <w:jc w:val="left"/>
              <w:rPr>
                <w:rFonts w:ascii="Times New Roman" w:hAnsi="Times New Roman" w:cs="Times New Roman" w:eastAsia="Times New Roman" w:hint="default"/>
                <w:sz w:val="18"/>
                <w:szCs w:val="18"/>
              </w:rPr>
            </w:pPr>
            <w:r>
              <w:rPr>
                <w:rFonts w:ascii="Times New Roman"/>
                <w:sz w:val="18"/>
              </w:rPr>
              <w:t>http://www.cninfo. com.cn/new/disclos</w:t>
            </w:r>
            <w:r>
              <w:rPr>
                <w:rFonts w:ascii="Times New Roman"/>
                <w:w w:val="99"/>
                <w:sz w:val="18"/>
              </w:rPr>
              <w:t> </w:t>
            </w:r>
            <w:r>
              <w:rPr>
                <w:rFonts w:ascii="Times New Roman"/>
                <w:sz w:val="18"/>
              </w:rPr>
              <w:t>ure/detail?plate=szs</w:t>
            </w:r>
            <w:r>
              <w:rPr>
                <w:rFonts w:ascii="Times New Roman"/>
                <w:w w:val="99"/>
                <w:sz w:val="18"/>
              </w:rPr>
              <w:t> </w:t>
            </w:r>
            <w:r>
              <w:rPr>
                <w:rFonts w:ascii="Times New Roman"/>
                <w:sz w:val="18"/>
              </w:rPr>
              <w:t>e&amp;stockCode=002</w:t>
            </w:r>
            <w:r>
              <w:rPr>
                <w:rFonts w:ascii="Times New Roman"/>
                <w:sz w:val="18"/>
              </w:rPr>
              <w:t> 530&amp;announcemen tId=1205095634&amp;a</w:t>
            </w:r>
          </w:p>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sz w:val="18"/>
              </w:rPr>
              <w:t>nnouncementTime</w:t>
            </w:r>
          </w:p>
          <w:p>
            <w:pPr>
              <w:pStyle w:val="TableParagraph"/>
              <w:spacing w:line="240" w:lineRule="auto" w:before="32"/>
              <w:ind w:left="24" w:right="0"/>
              <w:jc w:val="left"/>
              <w:rPr>
                <w:rFonts w:ascii="Times New Roman" w:hAnsi="Times New Roman" w:cs="Times New Roman" w:eastAsia="Times New Roman" w:hint="default"/>
                <w:sz w:val="18"/>
                <w:szCs w:val="18"/>
              </w:rPr>
            </w:pPr>
            <w:r>
              <w:rPr>
                <w:rFonts w:ascii="Times New Roman"/>
                <w:sz w:val="18"/>
              </w:rPr>
              <w:t>=2018-06-27</w:t>
            </w:r>
          </w:p>
        </w:tc>
      </w:tr>
      <w:tr>
        <w:trPr>
          <w:trHeight w:val="121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81"/>
              <w:jc w:val="both"/>
              <w:rPr>
                <w:rFonts w:ascii="宋体" w:hAnsi="宋体" w:cs="宋体" w:eastAsia="宋体" w:hint="default"/>
                <w:sz w:val="18"/>
                <w:szCs w:val="18"/>
              </w:rPr>
            </w:pPr>
            <w:r>
              <w:rPr>
                <w:rFonts w:ascii="宋体" w:hAnsi="宋体" w:cs="宋体" w:eastAsia="宋体" w:hint="default"/>
                <w:sz w:val="18"/>
                <w:szCs w:val="18"/>
              </w:rPr>
              <w:t>广东中 创万顺 信息技 术有限 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3"/>
              <w:jc w:val="left"/>
              <w:rPr>
                <w:rFonts w:ascii="宋体" w:hAnsi="宋体" w:cs="宋体" w:eastAsia="宋体" w:hint="default"/>
                <w:sz w:val="18"/>
                <w:szCs w:val="18"/>
              </w:rPr>
            </w:pPr>
            <w:r>
              <w:rPr>
                <w:rFonts w:ascii="宋体" w:hAnsi="宋体" w:cs="宋体" w:eastAsia="宋体" w:hint="default"/>
                <w:sz w:val="18"/>
                <w:szCs w:val="18"/>
              </w:rPr>
              <w:t>信息技术咨询服 </w:t>
            </w:r>
            <w:r>
              <w:rPr>
                <w:rFonts w:ascii="宋体" w:hAnsi="宋体" w:cs="宋体" w:eastAsia="宋体" w:hint="default"/>
                <w:spacing w:val="-3"/>
                <w:sz w:val="18"/>
                <w:szCs w:val="18"/>
              </w:rPr>
              <w:t>务；信息系统集成</w:t>
            </w:r>
            <w:r>
              <w:rPr>
                <w:rFonts w:ascii="宋体" w:hAnsi="宋体" w:cs="宋体" w:eastAsia="宋体" w:hint="default"/>
                <w:sz w:val="18"/>
                <w:szCs w:val="18"/>
              </w:rPr>
              <w:t> </w:t>
            </w:r>
            <w:r>
              <w:rPr>
                <w:rFonts w:ascii="宋体" w:hAnsi="宋体" w:cs="宋体" w:eastAsia="宋体" w:hint="default"/>
                <w:spacing w:val="-3"/>
                <w:sz w:val="18"/>
                <w:szCs w:val="18"/>
              </w:rPr>
              <w:t>服务；数据处理和</w:t>
            </w:r>
            <w:r>
              <w:rPr>
                <w:rFonts w:ascii="宋体" w:hAnsi="宋体" w:cs="宋体" w:eastAsia="宋体" w:hint="default"/>
                <w:sz w:val="18"/>
                <w:szCs w:val="18"/>
              </w:rPr>
              <w:t> </w:t>
            </w:r>
            <w:r>
              <w:rPr>
                <w:rFonts w:ascii="宋体" w:hAnsi="宋体" w:cs="宋体" w:eastAsia="宋体" w:hint="default"/>
                <w:spacing w:val="-3"/>
                <w:sz w:val="18"/>
                <w:szCs w:val="18"/>
              </w:rPr>
              <w:t>存储服务；网络技</w:t>
            </w:r>
            <w:r>
              <w:rPr>
                <w:rFonts w:ascii="宋体" w:hAnsi="宋体" w:cs="宋体" w:eastAsia="宋体" w:hint="default"/>
                <w:sz w:val="18"/>
                <w:szCs w:val="18"/>
              </w:rPr>
              <w:t> </w:t>
            </w:r>
            <w:r>
              <w:rPr>
                <w:rFonts w:ascii="宋体" w:hAnsi="宋体" w:cs="宋体" w:eastAsia="宋体" w:hint="default"/>
                <w:spacing w:val="-3"/>
                <w:sz w:val="18"/>
                <w:szCs w:val="18"/>
              </w:rPr>
              <w:t>术的研究、开发等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1,425,</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6"/>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长</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654"/>
        <w:gridCol w:w="1474"/>
        <w:gridCol w:w="425"/>
        <w:gridCol w:w="566"/>
        <w:gridCol w:w="425"/>
        <w:gridCol w:w="426"/>
        <w:gridCol w:w="426"/>
        <w:gridCol w:w="566"/>
        <w:gridCol w:w="425"/>
        <w:gridCol w:w="709"/>
        <w:gridCol w:w="425"/>
        <w:gridCol w:w="568"/>
        <w:gridCol w:w="425"/>
        <w:gridCol w:w="566"/>
        <w:gridCol w:w="1492"/>
      </w:tblGrid>
      <w:tr>
        <w:trPr>
          <w:trHeight w:val="197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4"/>
              <w:ind w:left="22" w:right="81"/>
              <w:jc w:val="both"/>
              <w:rPr>
                <w:rFonts w:ascii="宋体" w:hAnsi="宋体" w:cs="宋体" w:eastAsia="宋体" w:hint="default"/>
                <w:sz w:val="18"/>
                <w:szCs w:val="18"/>
              </w:rPr>
            </w:pPr>
            <w:r>
              <w:rPr>
                <w:rFonts w:ascii="宋体" w:hAnsi="宋体" w:cs="宋体" w:eastAsia="宋体" w:hint="default"/>
                <w:sz w:val="18"/>
                <w:szCs w:val="18"/>
              </w:rPr>
              <w:t>广州金 财互联 区块链 科技有 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
              <w:jc w:val="left"/>
              <w:rPr>
                <w:rFonts w:ascii="宋体" w:hAnsi="宋体" w:cs="宋体" w:eastAsia="宋体" w:hint="default"/>
                <w:sz w:val="18"/>
                <w:szCs w:val="18"/>
              </w:rPr>
            </w:pPr>
            <w:r>
              <w:rPr>
                <w:rFonts w:ascii="宋体" w:hAnsi="宋体" w:cs="宋体" w:eastAsia="宋体" w:hint="default"/>
                <w:sz w:val="18"/>
                <w:szCs w:val="18"/>
              </w:rPr>
              <w:t>互联网区块链技 术研究开发服务； 数据处理和存储 </w:t>
            </w:r>
            <w:r>
              <w:rPr>
                <w:rFonts w:ascii="宋体" w:hAnsi="宋体" w:cs="宋体" w:eastAsia="宋体" w:hint="default"/>
                <w:spacing w:val="-3"/>
                <w:sz w:val="18"/>
                <w:szCs w:val="18"/>
              </w:rPr>
              <w:t>服务；数据处理和</w:t>
            </w:r>
            <w:r>
              <w:rPr>
                <w:rFonts w:ascii="宋体" w:hAnsi="宋体" w:cs="宋体" w:eastAsia="宋体" w:hint="default"/>
                <w:sz w:val="18"/>
                <w:szCs w:val="18"/>
              </w:rPr>
              <w:t> </w:t>
            </w:r>
            <w:r>
              <w:rPr>
                <w:rFonts w:ascii="宋体" w:hAnsi="宋体" w:cs="宋体" w:eastAsia="宋体" w:hint="default"/>
                <w:spacing w:val="-3"/>
                <w:sz w:val="18"/>
                <w:szCs w:val="18"/>
              </w:rPr>
              <w:t>存储产品设计；计</w:t>
            </w:r>
            <w:r>
              <w:rPr>
                <w:rFonts w:ascii="宋体" w:hAnsi="宋体" w:cs="宋体" w:eastAsia="宋体" w:hint="default"/>
                <w:sz w:val="18"/>
                <w:szCs w:val="18"/>
              </w:rPr>
              <w:t> </w:t>
            </w:r>
            <w:r>
              <w:rPr>
                <w:rFonts w:ascii="宋体" w:hAnsi="宋体" w:cs="宋体" w:eastAsia="宋体" w:hint="default"/>
                <w:spacing w:val="-3"/>
                <w:sz w:val="18"/>
                <w:szCs w:val="18"/>
              </w:rPr>
              <w:t>算机技术开发、技</w:t>
            </w:r>
            <w:r>
              <w:rPr>
                <w:rFonts w:ascii="宋体" w:hAnsi="宋体" w:cs="宋体" w:eastAsia="宋体" w:hint="default"/>
                <w:sz w:val="18"/>
                <w:szCs w:val="18"/>
              </w:rPr>
              <w:t> </w:t>
            </w:r>
            <w:r>
              <w:rPr>
                <w:rFonts w:ascii="宋体" w:hAnsi="宋体" w:cs="宋体" w:eastAsia="宋体" w:hint="default"/>
                <w:spacing w:val="-3"/>
                <w:sz w:val="18"/>
                <w:szCs w:val="18"/>
              </w:rPr>
              <w:t>术服务；新材料技</w:t>
            </w:r>
            <w:r>
              <w:rPr>
                <w:rFonts w:ascii="宋体" w:hAnsi="宋体" w:cs="宋体" w:eastAsia="宋体" w:hint="default"/>
                <w:sz w:val="18"/>
                <w:szCs w:val="18"/>
              </w:rPr>
              <w:t> 术开发服务等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34"/>
              <w:ind w:left="39"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34"/>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0"/>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03" w:lineRule="exact"/>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1"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exact" w:before="13"/>
              <w:ind w:left="22" w:right="11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-378,2</w:t>
            </w:r>
          </w:p>
          <w:p>
            <w:pPr>
              <w:pStyle w:val="TableParagraph"/>
              <w:spacing w:line="240" w:lineRule="auto" w:before="34"/>
              <w:ind w:left="129" w:right="0"/>
              <w:jc w:val="left"/>
              <w:rPr>
                <w:rFonts w:ascii="Times New Roman" w:hAnsi="Times New Roman" w:cs="Times New Roman" w:eastAsia="Times New Roman" w:hint="default"/>
                <w:sz w:val="18"/>
                <w:szCs w:val="18"/>
              </w:rPr>
            </w:pPr>
            <w:r>
              <w:rPr>
                <w:rFonts w:ascii="Times New Roman"/>
                <w:sz w:val="18"/>
              </w:rPr>
              <w:t>02.25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124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81"/>
              <w:jc w:val="both"/>
              <w:rPr>
                <w:rFonts w:ascii="宋体" w:hAnsi="宋体" w:cs="宋体" w:eastAsia="宋体" w:hint="default"/>
                <w:sz w:val="18"/>
                <w:szCs w:val="18"/>
              </w:rPr>
            </w:pPr>
            <w:r>
              <w:rPr>
                <w:rFonts w:ascii="宋体" w:hAnsi="宋体" w:cs="宋体" w:eastAsia="宋体" w:hint="default"/>
                <w:sz w:val="18"/>
                <w:szCs w:val="18"/>
              </w:rPr>
              <w:t>广东龙 达财税 服务有 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22"/>
              <w:jc w:val="both"/>
              <w:rPr>
                <w:rFonts w:ascii="宋体" w:hAnsi="宋体" w:cs="宋体" w:eastAsia="宋体" w:hint="default"/>
                <w:sz w:val="18"/>
                <w:szCs w:val="18"/>
              </w:rPr>
            </w:pPr>
            <w:r>
              <w:rPr>
                <w:rFonts w:ascii="宋体" w:hAnsi="宋体" w:cs="宋体" w:eastAsia="宋体" w:hint="default"/>
                <w:spacing w:val="-3"/>
                <w:sz w:val="18"/>
                <w:szCs w:val="18"/>
              </w:rPr>
              <w:t>代理记账；会计咨</w:t>
            </w:r>
            <w:r>
              <w:rPr>
                <w:rFonts w:ascii="宋体" w:hAnsi="宋体" w:cs="宋体" w:eastAsia="宋体" w:hint="default"/>
                <w:sz w:val="18"/>
                <w:szCs w:val="18"/>
              </w:rPr>
              <w:t> </w:t>
            </w:r>
            <w:r>
              <w:rPr>
                <w:rFonts w:ascii="宋体" w:hAnsi="宋体" w:cs="宋体" w:eastAsia="宋体" w:hint="default"/>
                <w:spacing w:val="-4"/>
                <w:sz w:val="18"/>
                <w:szCs w:val="18"/>
              </w:rPr>
              <w:t>询、税务咨询、税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务申报代理；企业</w:t>
            </w:r>
            <w:r>
              <w:rPr>
                <w:rFonts w:ascii="宋体" w:hAnsi="宋体" w:cs="宋体" w:eastAsia="宋体" w:hint="default"/>
                <w:sz w:val="18"/>
                <w:szCs w:val="18"/>
              </w:rPr>
              <w:t> 工商登记代理等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101,25</w:t>
            </w:r>
          </w:p>
          <w:p>
            <w:pPr>
              <w:pStyle w:val="TableParagraph"/>
              <w:spacing w:line="240" w:lineRule="auto" w:before="33"/>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left="35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9,504,</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136.73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24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4"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深圳龙 达财税 有限公 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22"/>
              <w:jc w:val="left"/>
              <w:rPr>
                <w:rFonts w:ascii="宋体" w:hAnsi="宋体" w:cs="宋体" w:eastAsia="宋体" w:hint="default"/>
                <w:sz w:val="18"/>
                <w:szCs w:val="18"/>
              </w:rPr>
            </w:pPr>
            <w:r>
              <w:rPr>
                <w:rFonts w:ascii="宋体" w:hAnsi="宋体" w:cs="宋体" w:eastAsia="宋体" w:hint="default"/>
                <w:spacing w:val="-3"/>
                <w:sz w:val="18"/>
                <w:szCs w:val="18"/>
              </w:rPr>
              <w:t>国内贸易（不含专</w:t>
            </w:r>
            <w:r>
              <w:rPr>
                <w:rFonts w:ascii="宋体" w:hAnsi="宋体" w:cs="宋体" w:eastAsia="宋体" w:hint="default"/>
                <w:sz w:val="18"/>
                <w:szCs w:val="18"/>
              </w:rPr>
              <w:t> </w:t>
            </w:r>
            <w:r>
              <w:rPr>
                <w:rFonts w:ascii="宋体" w:hAnsi="宋体" w:cs="宋体" w:eastAsia="宋体" w:hint="default"/>
                <w:spacing w:val="-4"/>
                <w:sz w:val="18"/>
                <w:szCs w:val="18"/>
              </w:rPr>
              <w:t>营、专卖、专控商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品）；物业管理；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企业管理咨询（不</w:t>
            </w:r>
            <w:r>
              <w:rPr>
                <w:rFonts w:ascii="宋体" w:hAnsi="宋体" w:cs="宋体" w:eastAsia="宋体" w:hint="default"/>
                <w:sz w:val="18"/>
                <w:szCs w:val="18"/>
              </w:rPr>
              <w:t> 含人才中介服 </w:t>
            </w:r>
            <w:r>
              <w:rPr>
                <w:rFonts w:ascii="宋体" w:hAnsi="宋体" w:cs="宋体" w:eastAsia="宋体" w:hint="default"/>
                <w:spacing w:val="-12"/>
                <w:sz w:val="18"/>
                <w:szCs w:val="18"/>
              </w:rPr>
              <w:t>务）；经济信息咨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询（不含证券、期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货、保险及其他金</w:t>
            </w:r>
            <w:r>
              <w:rPr>
                <w:rFonts w:ascii="宋体" w:hAnsi="宋体" w:cs="宋体" w:eastAsia="宋体" w:hint="default"/>
                <w:sz w:val="18"/>
                <w:szCs w:val="18"/>
              </w:rPr>
              <w:t> </w:t>
            </w:r>
            <w:r>
              <w:rPr>
                <w:rFonts w:ascii="宋体" w:hAnsi="宋体" w:cs="宋体" w:eastAsia="宋体" w:hint="default"/>
                <w:spacing w:val="-12"/>
                <w:sz w:val="18"/>
                <w:szCs w:val="18"/>
              </w:rPr>
              <w:t>融业务）；企业登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记代理服务等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33"/>
              <w:ind w:left="197" w:right="0"/>
              <w:jc w:val="center"/>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02" w:lineRule="exact"/>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exact" w:before="13"/>
              <w:ind w:left="22" w:right="11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38,264</w:t>
            </w:r>
          </w:p>
          <w:p>
            <w:pPr>
              <w:pStyle w:val="TableParagraph"/>
              <w:spacing w:line="240" w:lineRule="auto" w:before="33"/>
              <w:ind w:left="309" w:right="0"/>
              <w:jc w:val="left"/>
              <w:rPr>
                <w:rFonts w:ascii="Times New Roman" w:hAnsi="Times New Roman" w:cs="Times New Roman" w:eastAsia="Times New Roman" w:hint="default"/>
                <w:sz w:val="18"/>
                <w:szCs w:val="18"/>
              </w:rPr>
            </w:pPr>
            <w:r>
              <w:rPr>
                <w:rFonts w:ascii="Times New Roman"/>
                <w:sz w:val="18"/>
              </w:rPr>
              <w:t>.85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103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
              <w:ind w:left="22" w:right="81"/>
              <w:jc w:val="both"/>
              <w:rPr>
                <w:rFonts w:ascii="宋体" w:hAnsi="宋体" w:cs="宋体" w:eastAsia="宋体" w:hint="default"/>
                <w:sz w:val="18"/>
                <w:szCs w:val="18"/>
              </w:rPr>
            </w:pPr>
            <w:r>
              <w:rPr>
                <w:rFonts w:ascii="宋体" w:hAnsi="宋体" w:cs="宋体" w:eastAsia="宋体" w:hint="default"/>
                <w:sz w:val="18"/>
                <w:szCs w:val="18"/>
              </w:rPr>
              <w:t>金财慧 盈保险 经纪有 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2" w:lineRule="auto"/>
              <w:ind w:left="22" w:right="179"/>
              <w:jc w:val="left"/>
              <w:rPr>
                <w:rFonts w:ascii="宋体" w:hAnsi="宋体" w:cs="宋体" w:eastAsia="宋体" w:hint="default"/>
                <w:sz w:val="18"/>
                <w:szCs w:val="18"/>
              </w:rPr>
            </w:pPr>
            <w:r>
              <w:rPr>
                <w:rFonts w:ascii="宋体" w:hAnsi="宋体" w:cs="宋体" w:eastAsia="宋体" w:hint="default"/>
                <w:sz w:val="18"/>
                <w:szCs w:val="18"/>
              </w:rPr>
              <w:t>经营保险经纪业 务等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left="61" w:right="0"/>
              <w:jc w:val="left"/>
              <w:rPr>
                <w:rFonts w:ascii="Times New Roman" w:hAnsi="Times New Roman" w:cs="Times New Roman" w:eastAsia="Times New Roman" w:hint="default"/>
                <w:sz w:val="18"/>
                <w:szCs w:val="18"/>
              </w:rPr>
            </w:pPr>
            <w:r>
              <w:rPr>
                <w:rFonts w:ascii="Times New Roman"/>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63"/>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39"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0"/>
              <w:jc w:val="both"/>
              <w:rPr>
                <w:rFonts w:ascii="宋体" w:hAnsi="宋体" w:cs="宋体" w:eastAsia="宋体" w:hint="default"/>
                <w:sz w:val="18"/>
                <w:szCs w:val="18"/>
              </w:rPr>
            </w:pPr>
            <w:r>
              <w:rPr>
                <w:rFonts w:ascii="宋体" w:hAnsi="宋体" w:cs="宋体" w:eastAsia="宋体" w:hint="default"/>
                <w:sz w:val="18"/>
                <w:szCs w:val="18"/>
              </w:rPr>
              <w:t>保险 经纪 业务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更，尚在</w:t>
            </w:r>
            <w:r>
              <w:rPr>
                <w:rFonts w:ascii="宋体" w:hAnsi="宋体" w:cs="宋体" w:eastAsia="宋体" w:hint="default"/>
                <w:sz w:val="18"/>
                <w:szCs w:val="18"/>
              </w:rPr>
              <w:t> 开办期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221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4" w:lineRule="auto"/>
              <w:ind w:left="22" w:right="81"/>
              <w:jc w:val="both"/>
              <w:rPr>
                <w:rFonts w:ascii="宋体" w:hAnsi="宋体" w:cs="宋体" w:eastAsia="宋体" w:hint="default"/>
                <w:sz w:val="18"/>
                <w:szCs w:val="18"/>
              </w:rPr>
            </w:pPr>
            <w:r>
              <w:rPr>
                <w:rFonts w:ascii="宋体" w:hAnsi="宋体" w:cs="宋体" w:eastAsia="宋体" w:hint="default"/>
                <w:sz w:val="18"/>
                <w:szCs w:val="18"/>
              </w:rPr>
              <w:t>浙江金 财共享 智能科 技有限 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22"/>
              <w:jc w:val="left"/>
              <w:rPr>
                <w:rFonts w:ascii="宋体" w:hAnsi="宋体" w:cs="宋体" w:eastAsia="宋体" w:hint="default"/>
                <w:sz w:val="18"/>
                <w:szCs w:val="18"/>
              </w:rPr>
            </w:pPr>
            <w:r>
              <w:rPr>
                <w:rFonts w:ascii="宋体" w:hAnsi="宋体" w:cs="宋体" w:eastAsia="宋体" w:hint="default"/>
                <w:spacing w:val="-3"/>
                <w:sz w:val="18"/>
                <w:szCs w:val="18"/>
              </w:rPr>
              <w:t>技术开发、技术服</w:t>
            </w:r>
            <w:r>
              <w:rPr>
                <w:rFonts w:ascii="宋体" w:hAnsi="宋体" w:cs="宋体" w:eastAsia="宋体" w:hint="default"/>
                <w:sz w:val="18"/>
                <w:szCs w:val="18"/>
              </w:rPr>
              <w:t> </w:t>
            </w:r>
            <w:r>
              <w:rPr>
                <w:rFonts w:ascii="宋体" w:hAnsi="宋体" w:cs="宋体" w:eastAsia="宋体" w:hint="default"/>
                <w:spacing w:val="-4"/>
                <w:sz w:val="18"/>
                <w:szCs w:val="18"/>
              </w:rPr>
              <w:t>务、技术咨询：智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能技术、计算机系</w:t>
            </w:r>
            <w:r>
              <w:rPr>
                <w:rFonts w:ascii="宋体" w:hAnsi="宋体" w:cs="宋体" w:eastAsia="宋体" w:hint="default"/>
                <w:sz w:val="18"/>
                <w:szCs w:val="18"/>
              </w:rPr>
              <w:t> 统集成、通信技 </w:t>
            </w:r>
            <w:r>
              <w:rPr>
                <w:rFonts w:ascii="宋体" w:hAnsi="宋体" w:cs="宋体" w:eastAsia="宋体" w:hint="default"/>
                <w:spacing w:val="-4"/>
                <w:sz w:val="18"/>
                <w:szCs w:val="18"/>
              </w:rPr>
              <w:t>术、电子技术、自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动化控制技术、网</w:t>
            </w:r>
            <w:r>
              <w:rPr>
                <w:rFonts w:ascii="宋体" w:hAnsi="宋体" w:cs="宋体" w:eastAsia="宋体" w:hint="default"/>
                <w:sz w:val="18"/>
                <w:szCs w:val="18"/>
              </w:rPr>
              <w:t> 络技术、信息技 </w:t>
            </w:r>
            <w:r>
              <w:rPr>
                <w:rFonts w:ascii="宋体" w:hAnsi="宋体" w:cs="宋体" w:eastAsia="宋体" w:hint="default"/>
                <w:spacing w:val="-4"/>
                <w:sz w:val="18"/>
                <w:szCs w:val="18"/>
              </w:rPr>
              <w:t>术；服务：代理记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账，财务咨询等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7"/>
              <w:jc w:val="center"/>
              <w:rPr>
                <w:rFonts w:ascii="宋体" w:hAnsi="宋体" w:cs="宋体" w:eastAsia="宋体" w:hint="default"/>
                <w:sz w:val="18"/>
                <w:szCs w:val="18"/>
              </w:rPr>
            </w:pPr>
            <w:r>
              <w:rPr>
                <w:rFonts w:ascii="宋体" w:hAnsi="宋体" w:cs="宋体" w:eastAsia="宋体" w:hint="default"/>
                <w:sz w:val="18"/>
                <w:szCs w:val="18"/>
              </w:rPr>
              <w:t>新设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4" w:lineRule="auto"/>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20"/>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1"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30" w:lineRule="auto" w:before="4"/>
              <w:ind w:left="22" w:right="11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1"/>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4" w:lineRule="auto"/>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-60,23</w:t>
            </w:r>
          </w:p>
          <w:p>
            <w:pPr>
              <w:pStyle w:val="TableParagraph"/>
              <w:spacing w:line="240" w:lineRule="auto" w:before="33"/>
              <w:ind w:left="196" w:right="0"/>
              <w:jc w:val="center"/>
              <w:rPr>
                <w:rFonts w:ascii="Times New Roman" w:hAnsi="Times New Roman" w:cs="Times New Roman" w:eastAsia="Times New Roman" w:hint="default"/>
                <w:sz w:val="18"/>
                <w:szCs w:val="18"/>
              </w:rPr>
            </w:pPr>
            <w:r>
              <w:rPr>
                <w:rFonts w:ascii="Times New Roman"/>
                <w:sz w:val="18"/>
              </w:rPr>
              <w:t>5.01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12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81"/>
              <w:jc w:val="both"/>
              <w:rPr>
                <w:rFonts w:ascii="宋体" w:hAnsi="宋体" w:cs="宋体" w:eastAsia="宋体" w:hint="default"/>
                <w:sz w:val="18"/>
                <w:szCs w:val="18"/>
              </w:rPr>
            </w:pPr>
            <w:r>
              <w:rPr>
                <w:rFonts w:ascii="宋体" w:hAnsi="宋体" w:cs="宋体" w:eastAsia="宋体" w:hint="default"/>
                <w:sz w:val="18"/>
                <w:szCs w:val="18"/>
              </w:rPr>
              <w:t>广州湛 蓝数据 科技有 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信息电子技术服 </w:t>
            </w:r>
            <w:r>
              <w:rPr>
                <w:rFonts w:ascii="宋体" w:hAnsi="宋体" w:cs="宋体" w:eastAsia="宋体" w:hint="default"/>
                <w:spacing w:val="-3"/>
                <w:sz w:val="18"/>
                <w:szCs w:val="18"/>
              </w:rPr>
              <w:t>务；计算机技术开</w:t>
            </w:r>
            <w:r>
              <w:rPr>
                <w:rFonts w:ascii="宋体" w:hAnsi="宋体" w:cs="宋体" w:eastAsia="宋体" w:hint="default"/>
                <w:sz w:val="18"/>
                <w:szCs w:val="18"/>
              </w:rPr>
              <w:t> </w:t>
            </w:r>
            <w:r>
              <w:rPr>
                <w:rFonts w:ascii="宋体" w:hAnsi="宋体" w:cs="宋体" w:eastAsia="宋体" w:hint="default"/>
                <w:spacing w:val="-4"/>
                <w:sz w:val="18"/>
                <w:szCs w:val="18"/>
              </w:rPr>
              <w:t>发、技术服务；计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算机网络系统工 程服务等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2,850,</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4"/>
              <w:ind w:left="23" w:right="30"/>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43"/>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1"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30" w:lineRule="auto" w:before="4"/>
              <w:ind w:left="22" w:right="11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21"/>
              <w:jc w:val="left"/>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7"/>
                <w:sz w:val="18"/>
                <w:szCs w:val="18"/>
              </w:rPr>
              <w:t>更，公司</w:t>
            </w:r>
            <w:r>
              <w:rPr>
                <w:rFonts w:ascii="宋体" w:hAnsi="宋体" w:cs="宋体" w:eastAsia="宋体" w:hint="default"/>
                <w:sz w:val="18"/>
                <w:szCs w:val="18"/>
              </w:rPr>
              <w:t> 正常经 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1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810"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9" w:right="0"/>
              <w:jc w:val="left"/>
              <w:rPr>
                <w:rFonts w:ascii="Times New Roman" w:hAnsi="Times New Roman" w:cs="Times New Roman" w:eastAsia="Times New Roman" w:hint="default"/>
                <w:sz w:val="18"/>
                <w:szCs w:val="18"/>
              </w:rPr>
            </w:pPr>
            <w:r>
              <w:rPr>
                <w:rFonts w:ascii="Times New Roman"/>
                <w:sz w:val="18"/>
              </w:rPr>
              <w:t>345,88</w:t>
            </w:r>
          </w:p>
          <w:p>
            <w:pPr>
              <w:pStyle w:val="TableParagraph"/>
              <w:spacing w:line="240" w:lineRule="auto" w:before="33"/>
              <w:ind w:left="8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33"/>
              <w:ind w:left="353"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18,610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,765.4</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7</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Times New Roman" w:hAnsi="Times New Roman" w:cs="Times New Roman" w:eastAsia="Times New Roman" w:hint="default"/>
          <w:sz w:val="11"/>
          <w:szCs w:val="11"/>
        </w:rPr>
      </w:pPr>
    </w:p>
    <w:p>
      <w:pPr>
        <w:pStyle w:val="Heading3"/>
        <w:spacing w:line="240" w:lineRule="auto"/>
        <w:ind w:right="0"/>
        <w:jc w:val="left"/>
        <w:rPr>
          <w:b w:val="0"/>
          <w:bCs w:val="0"/>
        </w:rPr>
      </w:pPr>
      <w:bookmarkStart w:name="3、报告期内正在进行的重大的非股权投资情况" w:id="69"/>
      <w:bookmarkEnd w:id="6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4、以公允价值计量的金融资产" w:id="70"/>
      <w:bookmarkEnd w:id="70"/>
      <w:r>
        <w:rPr>
          <w:b w:val="0"/>
          <w:bCs w:val="0"/>
        </w:rPr>
      </w:r>
      <w:r>
        <w:rPr>
          <w:rFonts w:ascii="Times New Roman" w:hAnsi="Times New Roman" w:cs="Times New Roman" w:eastAsia="Times New Roman" w:hint="default"/>
        </w:rPr>
        <w:t>4</w:t>
      </w:r>
      <w:r>
        <w:rPr/>
        <w:t>、以公允价值计量的金融资产</w:t>
      </w:r>
      <w:r>
        <w:rPr>
          <w:b w:val="0"/>
          <w:bCs w:val="0"/>
        </w:rPr>
      </w:r>
    </w:p>
    <w:p>
      <w:pPr>
        <w:pStyle w:val="BodyText"/>
        <w:spacing w:line="240" w:lineRule="auto" w:before="16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5、募集资金使用情况" w:id="71"/>
      <w:bookmarkEnd w:id="71"/>
      <w:r>
        <w:rPr>
          <w:b w:val="0"/>
          <w:bCs w:val="0"/>
        </w:rPr>
      </w:r>
      <w:r>
        <w:rPr>
          <w:rFonts w:ascii="Times New Roman" w:hAnsi="Times New Roman" w:cs="Times New Roman" w:eastAsia="Times New Roman" w:hint="default"/>
        </w:rPr>
        <w:t>5</w:t>
      </w:r>
      <w:r>
        <w:rPr/>
        <w:t>、募集资金使用情况</w:t>
      </w:r>
      <w:r>
        <w:rPr>
          <w:b w:val="0"/>
          <w:bCs w:val="0"/>
        </w:rPr>
      </w:r>
    </w:p>
    <w:p>
      <w:pPr>
        <w:pStyle w:val="BodyText"/>
        <w:spacing w:line="240" w:lineRule="auto" w:before="15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1）募集资金总体使用情况" w:id="72"/>
      <w:bookmarkEnd w:id="7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pict>
          <v:group style="position:absolute;margin-left:491.76001pt;margin-top:75.151711pt;width:43pt;height:30pt;mso-position-horizontal-relative:page;mso-position-vertical-relative:paragraph;z-index:-1028248" coordorigin="9835,1503" coordsize="860,600">
            <v:shape style="position:absolute;left:9835;top:1503;width:860;height:600" coordorigin="9835,1503" coordsize="860,600" path="m9835,2103l10694,2103,10694,1503,9835,1503,9835,2103xe" filled="true" fillcolor="#ffffff" stroked="false">
              <v:path arrowok="t"/>
              <v:fill type="solid"/>
            </v:shape>
            <w10:wrap type="none"/>
          </v:group>
        </w:pict>
      </w:r>
      <w:r>
        <w:rPr/>
        <w:t>单位：万元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0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4"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53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116,430.72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17,844.05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59,697.92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56,732.80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5"/>
              <w:jc w:val="both"/>
              <w:rPr>
                <w:rFonts w:ascii="宋体" w:hAnsi="宋体" w:cs="宋体" w:eastAsia="宋体" w:hint="default"/>
                <w:sz w:val="18"/>
                <w:szCs w:val="18"/>
              </w:rPr>
            </w:pPr>
            <w:r>
              <w:rPr>
                <w:rFonts w:ascii="宋体" w:hAnsi="宋体" w:cs="宋体" w:eastAsia="宋体" w:hint="default"/>
                <w:sz w:val="18"/>
                <w:szCs w:val="18"/>
              </w:rPr>
              <w:t>报告期内 公司尚未 使用的募 集资金均 存放于专 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29" w:right="0"/>
              <w:jc w:val="left"/>
              <w:rPr>
                <w:rFonts w:ascii="Times New Roman" w:hAnsi="Times New Roman" w:cs="Times New Roman" w:eastAsia="Times New Roman" w:hint="default"/>
                <w:sz w:val="18"/>
                <w:szCs w:val="18"/>
              </w:rPr>
            </w:pPr>
            <w:r>
              <w:rPr>
                <w:rFonts w:ascii="Times New Roman"/>
                <w:sz w:val="18"/>
              </w:rPr>
              <w:t>116,430.72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3" w:right="0"/>
              <w:jc w:val="center"/>
              <w:rPr>
                <w:rFonts w:ascii="Times New Roman" w:hAnsi="Times New Roman" w:cs="Times New Roman" w:eastAsia="Times New Roman" w:hint="default"/>
                <w:sz w:val="18"/>
                <w:szCs w:val="18"/>
              </w:rPr>
            </w:pPr>
            <w:r>
              <w:rPr>
                <w:rFonts w:ascii="Times New Roman"/>
                <w:sz w:val="18"/>
              </w:rPr>
              <w:t>17,844.05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2" w:right="0"/>
              <w:jc w:val="center"/>
              <w:rPr>
                <w:rFonts w:ascii="Times New Roman" w:hAnsi="Times New Roman" w:cs="Times New Roman" w:eastAsia="Times New Roman" w:hint="default"/>
                <w:sz w:val="18"/>
                <w:szCs w:val="18"/>
              </w:rPr>
            </w:pPr>
            <w:r>
              <w:rPr>
                <w:rFonts w:ascii="Times New Roman"/>
                <w:sz w:val="18"/>
              </w:rPr>
              <w:t>59,697.92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z w:val="18"/>
              </w:rPr>
              <w:t>56,732.80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508" w:right="0"/>
              <w:jc w:val="left"/>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3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2" w:firstLine="360"/>
              <w:jc w:val="left"/>
              <w:rPr>
                <w:rFonts w:ascii="宋体" w:hAnsi="宋体" w:cs="宋体" w:eastAsia="宋体" w:hint="default"/>
                <w:sz w:val="18"/>
                <w:szCs w:val="18"/>
              </w:rPr>
            </w:pPr>
            <w:r>
              <w:rPr>
                <w:rFonts w:ascii="宋体" w:hAnsi="宋体" w:cs="宋体" w:eastAsia="宋体" w:hint="default"/>
                <w:spacing w:val="-1"/>
                <w:sz w:val="18"/>
                <w:szCs w:val="18"/>
              </w:rPr>
              <w:t>根据中国证券监督管理委员会《关于核准江苏丰东热技术股份有限公司向徐正军等发行股份购买资产并募集配套资金</w:t>
            </w:r>
            <w:r>
              <w:rPr>
                <w:rFonts w:ascii="宋体" w:hAnsi="宋体" w:cs="宋体" w:eastAsia="宋体" w:hint="default"/>
                <w:sz w:val="18"/>
                <w:szCs w:val="18"/>
              </w:rPr>
              <w:t> </w:t>
            </w:r>
            <w:r>
              <w:rPr>
                <w:rFonts w:ascii="宋体" w:hAnsi="宋体" w:cs="宋体" w:eastAsia="宋体" w:hint="default"/>
                <w:spacing w:val="-6"/>
                <w:sz w:val="18"/>
                <w:szCs w:val="18"/>
              </w:rPr>
              <w:t>的批复》（证监许可</w:t>
            </w:r>
            <w:r>
              <w:rPr>
                <w:rFonts w:ascii="Times New Roman" w:hAnsi="Times New Roman" w:cs="Times New Roman" w:eastAsia="Times New Roman" w:hint="default"/>
                <w:spacing w:val="-6"/>
                <w:sz w:val="18"/>
                <w:szCs w:val="18"/>
              </w:rPr>
              <w:t>[2016]2334</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号），核准本公司非公开发行不超过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74,349,440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股新股募集本次发行股份购买资产的配套资</w:t>
            </w:r>
            <w:r>
              <w:rPr>
                <w:rFonts w:ascii="宋体" w:hAnsi="宋体" w:cs="宋体" w:eastAsia="宋体" w:hint="default"/>
                <w:spacing w:val="-87"/>
                <w:sz w:val="18"/>
                <w:szCs w:val="18"/>
              </w:rPr>
              <w:t> </w:t>
            </w:r>
            <w:r>
              <w:rPr>
                <w:rFonts w:ascii="宋体" w:hAnsi="宋体" w:cs="宋体" w:eastAsia="宋体" w:hint="default"/>
                <w:spacing w:val="-10"/>
                <w:sz w:val="18"/>
                <w:szCs w:val="18"/>
              </w:rPr>
              <w:t>金，分别由朱文明、束昱辉、民生方欣</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号计划、谢兵及徐锦宏以现金按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16.14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股认购，募集资金总额为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1,199,999,961.60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元，扣除公司依据财务顾问协议应支付给浙商证券的财务顾问费用（含税）</w:t>
            </w:r>
            <w:r>
              <w:rPr>
                <w:rFonts w:ascii="Times New Roman" w:hAnsi="Times New Roman" w:cs="Times New Roman" w:eastAsia="Times New Roman" w:hint="default"/>
                <w:sz w:val="18"/>
                <w:szCs w:val="18"/>
              </w:rPr>
              <w:t>21,200,000.00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元后，募集资金余额为 </w:t>
            </w:r>
            <w:r>
              <w:rPr>
                <w:rFonts w:ascii="Times New Roman" w:hAnsi="Times New Roman" w:cs="Times New Roman" w:eastAsia="Times New Roman" w:hint="default"/>
                <w:sz w:val="18"/>
                <w:szCs w:val="18"/>
              </w:rPr>
              <w:t>1,178,799,961.60</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日全部存入本公司在江苏大丰农村商业银行股份有限公司开立的募集资金验资专户</w:t>
            </w:r>
          </w:p>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3209820521010000040819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账户中。</w:t>
            </w:r>
          </w:p>
          <w:p>
            <w:pPr>
              <w:pStyle w:val="TableParagraph"/>
              <w:spacing w:line="240" w:lineRule="exact" w:before="50"/>
              <w:ind w:left="22" w:right="20" w:firstLine="360"/>
              <w:jc w:val="left"/>
              <w:rPr>
                <w:rFonts w:ascii="宋体" w:hAnsi="宋体" w:cs="宋体" w:eastAsia="宋体" w:hint="default"/>
                <w:sz w:val="18"/>
                <w:szCs w:val="18"/>
              </w:rPr>
            </w:pPr>
            <w:r>
              <w:rPr>
                <w:rFonts w:ascii="宋体" w:hAnsi="宋体" w:cs="宋体" w:eastAsia="宋体" w:hint="default"/>
                <w:spacing w:val="-4"/>
                <w:sz w:val="18"/>
                <w:szCs w:val="18"/>
              </w:rPr>
              <w:t>上述募集资金总额扣减本次非公开发行直接相关的财务顾问费、律师费、会计师费及其他发行费用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33,672,397.97 </w:t>
            </w:r>
            <w:r>
              <w:rPr>
                <w:rFonts w:ascii="宋体" w:hAnsi="宋体" w:cs="宋体" w:eastAsia="宋体" w:hint="default"/>
                <w:spacing w:val="-30"/>
                <w:sz w:val="18"/>
                <w:szCs w:val="18"/>
              </w:rPr>
              <w:t>元（不</w:t>
            </w:r>
            <w:r>
              <w:rPr>
                <w:rFonts w:ascii="宋体" w:hAnsi="宋体" w:cs="宋体" w:eastAsia="宋体" w:hint="default"/>
                <w:sz w:val="18"/>
                <w:szCs w:val="18"/>
              </w:rPr>
              <w:t> 含税）后，募集资金净额为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1,166,327,563.63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元，众华会计师事务所（特殊普通合伙）已于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日对公司本次</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非公开发行的募集资金到位情况进行了验资，并出具了众会字（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号《江苏丰东热技术股份有限公司验资报</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告》验资确认。扣除发行费增值税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2,020,343.88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1,164,307,219.75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募集资金承诺项目情况" w:id="73"/>
      <w:bookmarkEnd w:id="7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702"/>
        <w:gridCol w:w="708"/>
        <w:gridCol w:w="852"/>
        <w:gridCol w:w="992"/>
        <w:gridCol w:w="851"/>
        <w:gridCol w:w="851"/>
        <w:gridCol w:w="709"/>
        <w:gridCol w:w="850"/>
        <w:gridCol w:w="709"/>
        <w:gridCol w:w="709"/>
        <w:gridCol w:w="636"/>
      </w:tblGrid>
      <w:tr>
        <w:trPr>
          <w:trHeight w:val="129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485" w:right="3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9" w:right="47"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61"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05" w:right="39"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5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3" w:right="6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36"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59" w:right="5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43" w:right="4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30"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1"/>
              <w:jc w:val="left"/>
              <w:rPr>
                <w:rFonts w:ascii="宋体" w:hAnsi="宋体" w:cs="宋体" w:eastAsia="宋体" w:hint="default"/>
                <w:sz w:val="18"/>
                <w:szCs w:val="18"/>
              </w:rPr>
            </w:pPr>
            <w:r>
              <w:rPr>
                <w:rFonts w:ascii="宋体" w:hAnsi="宋体" w:cs="宋体" w:eastAsia="宋体" w:hint="default"/>
                <w:spacing w:val="-8"/>
                <w:sz w:val="18"/>
                <w:szCs w:val="18"/>
              </w:rPr>
              <w:t>智慧财税服务互联平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15,311.85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25,253.48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企业大数据创新服务 平台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4,444.44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补充标的公司流动资 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支付本次交易的相关 税费后结余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1,430.72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1,430.72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87"/>
              <w:jc w:val="righ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5"/>
              <w:jc w:val="right"/>
              <w:rPr>
                <w:rFonts w:ascii="Times New Roman" w:hAnsi="Times New Roman" w:cs="Times New Roman" w:eastAsia="Times New Roman" w:hint="default"/>
                <w:sz w:val="18"/>
                <w:szCs w:val="18"/>
              </w:rPr>
            </w:pPr>
            <w:r>
              <w:rPr>
                <w:rFonts w:ascii="Times New Roman"/>
                <w:spacing w:val="-5"/>
                <w:sz w:val="18"/>
              </w:rPr>
              <w:t>116,430.72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116,430.72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17,844.05</w:t>
            </w:r>
          </w:p>
        </w:tc>
        <w:tc>
          <w:tcPr>
            <w:tcW w:w="8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z w:val="18"/>
              </w:rPr>
              <w:t>59,697.92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0" w:space="0" w:color="D2D2D2"/>
              <w:bottom w:val="single" w:sz="4" w:space="0" w:color="000000"/>
              <w:right w:val="single" w:sz="9" w:space="0" w:color="D2D2D2"/>
            </w:tcBorders>
          </w:tcPr>
          <w:p>
            <w:pPr>
              <w:pStyle w:val="TableParagraph"/>
              <w:spacing w:line="240" w:lineRule="auto" w:before="63"/>
              <w:ind w:right="14"/>
              <w:jc w:val="right"/>
              <w:rPr>
                <w:rFonts w:ascii="Times New Roman" w:hAnsi="Times New Roman" w:cs="Times New Roman" w:eastAsia="Times New Roman" w:hint="default"/>
                <w:sz w:val="18"/>
                <w:szCs w:val="18"/>
              </w:rPr>
            </w:pPr>
            <w:r>
              <w:rPr>
                <w:rFonts w:ascii="Times New Roman"/>
                <w:sz w:val="18"/>
              </w:rPr>
              <w:t>7,974.16</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51"/>
              <w:jc w:val="right"/>
              <w:rPr>
                <w:rFonts w:ascii="Times New Roman" w:hAnsi="Times New Roman" w:cs="Times New Roman" w:eastAsia="Times New Roman" w:hint="default"/>
                <w:sz w:val="18"/>
                <w:szCs w:val="18"/>
              </w:rPr>
            </w:pPr>
            <w:r>
              <w:rPr>
                <w:rFonts w:ascii="Times New Roman"/>
                <w:sz w:val="18"/>
              </w:rPr>
              <w:t>--</w:t>
            </w:r>
          </w:p>
        </w:tc>
      </w:tr>
      <w:tr>
        <w:trPr>
          <w:trHeight w:val="326"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11"/>
              <w:jc w:val="left"/>
              <w:rPr>
                <w:rFonts w:ascii="宋体" w:hAnsi="宋体" w:cs="宋体" w:eastAsia="宋体" w:hint="default"/>
                <w:sz w:val="18"/>
                <w:szCs w:val="18"/>
              </w:rPr>
            </w:pPr>
            <w:r>
              <w:rPr>
                <w:rFonts w:ascii="宋体" w:hAnsi="宋体" w:cs="宋体" w:eastAsia="宋体" w:hint="default"/>
                <w:spacing w:val="-12"/>
                <w:sz w:val="18"/>
                <w:szCs w:val="18"/>
              </w:rPr>
              <w:t>归还银行贷款（如有）</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87"/>
              <w:jc w:val="righ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51"/>
              <w:jc w:val="righ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11"/>
              <w:jc w:val="left"/>
              <w:rPr>
                <w:rFonts w:ascii="宋体" w:hAnsi="宋体" w:cs="宋体" w:eastAsia="宋体" w:hint="default"/>
                <w:sz w:val="18"/>
                <w:szCs w:val="18"/>
              </w:rPr>
            </w:pPr>
            <w:r>
              <w:rPr>
                <w:rFonts w:ascii="宋体" w:hAnsi="宋体" w:cs="宋体" w:eastAsia="宋体" w:hint="default"/>
                <w:spacing w:val="-12"/>
                <w:sz w:val="18"/>
                <w:szCs w:val="18"/>
              </w:rPr>
              <w:t>补充流动资金（如有）</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87"/>
              <w:jc w:val="righ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5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80" w:type="dxa"/>
        <w:tblLayout w:type="fixed"/>
        <w:tblCellMar>
          <w:top w:w="0" w:type="dxa"/>
          <w:left w:w="0" w:type="dxa"/>
          <w:bottom w:w="0" w:type="dxa"/>
          <w:right w:w="0" w:type="dxa"/>
        </w:tblCellMar>
        <w:tblLook w:val="01E0"/>
      </w:tblPr>
      <w:tblGrid>
        <w:gridCol w:w="1679"/>
        <w:gridCol w:w="709"/>
        <w:gridCol w:w="863"/>
        <w:gridCol w:w="992"/>
        <w:gridCol w:w="851"/>
        <w:gridCol w:w="851"/>
        <w:gridCol w:w="709"/>
        <w:gridCol w:w="850"/>
        <w:gridCol w:w="709"/>
        <w:gridCol w:w="709"/>
        <w:gridCol w:w="636"/>
      </w:tblGrid>
      <w:tr>
        <w:trPr>
          <w:trHeight w:val="33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75"/>
              <w:jc w:val="right"/>
              <w:rPr>
                <w:rFonts w:ascii="Times New Roman" w:hAnsi="Times New Roman" w:cs="Times New Roman" w:eastAsia="Times New Roman" w:hint="default"/>
                <w:sz w:val="18"/>
                <w:szCs w:val="18"/>
              </w:rPr>
            </w:pPr>
            <w:r>
              <w:rPr>
                <w:rFonts w:ascii="Times New Roman"/>
                <w:sz w:val="18"/>
              </w:rPr>
              <w:t>--</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75"/>
              <w:jc w:val="right"/>
              <w:rPr>
                <w:rFonts w:ascii="Times New Roman" w:hAnsi="Times New Roman" w:cs="Times New Roman" w:eastAsia="Times New Roman" w:hint="default"/>
                <w:sz w:val="18"/>
                <w:szCs w:val="18"/>
              </w:rPr>
            </w:pPr>
            <w:r>
              <w:rPr>
                <w:rFonts w:ascii="Times New Roman"/>
                <w:sz w:val="18"/>
              </w:rPr>
              <w:t>--</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5"/>
              <w:jc w:val="right"/>
              <w:rPr>
                <w:rFonts w:ascii="Times New Roman" w:hAnsi="Times New Roman" w:cs="Times New Roman" w:eastAsia="Times New Roman" w:hint="default"/>
                <w:sz w:val="18"/>
                <w:szCs w:val="18"/>
              </w:rPr>
            </w:pPr>
            <w:r>
              <w:rPr>
                <w:rFonts w:ascii="Times New Roman"/>
                <w:spacing w:val="-5"/>
                <w:sz w:val="18"/>
              </w:rPr>
              <w:t>116,430.72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116,430.72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17,844.05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59,697.92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59"/>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7,974.16</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785"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9" w:type="dxa"/>
            <w:gridSpan w:val="10"/>
            <w:vMerge w:val="restart"/>
            <w:tcBorders>
              <w:top w:val="single" w:sz="4" w:space="0" w:color="000000"/>
              <w:left w:val="single" w:sz="9" w:space="0" w:color="D2D2D2"/>
              <w:right w:val="single" w:sz="4" w:space="0" w:color="000000"/>
            </w:tcBorders>
          </w:tcPr>
          <w:p>
            <w:pPr>
              <w:pStyle w:val="TableParagraph"/>
              <w:spacing w:line="244" w:lineRule="auto" w:before="21"/>
              <w:ind w:left="28" w:right="20" w:firstLine="360"/>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5"/>
                <w:sz w:val="18"/>
                <w:szCs w:val="18"/>
              </w:rPr>
              <w:t>，</w:t>
            </w:r>
            <w:r>
              <w:rPr>
                <w:rFonts w:ascii="宋体" w:hAnsi="宋体" w:cs="宋体" w:eastAsia="宋体" w:hint="default"/>
                <w:sz w:val="18"/>
                <w:szCs w:val="18"/>
              </w:rPr>
              <w:t>方欣科技按照募集资金用途进行投资</w:t>
            </w:r>
            <w:r>
              <w:rPr>
                <w:rFonts w:ascii="宋体" w:hAnsi="宋体" w:cs="宋体" w:eastAsia="宋体" w:hint="default"/>
                <w:spacing w:val="-5"/>
                <w:sz w:val="18"/>
                <w:szCs w:val="18"/>
              </w:rPr>
              <w:t>，</w:t>
            </w:r>
            <w:r>
              <w:rPr>
                <w:rFonts w:ascii="宋体" w:hAnsi="宋体" w:cs="宋体" w:eastAsia="宋体" w:hint="default"/>
                <w:sz w:val="18"/>
                <w:szCs w:val="18"/>
              </w:rPr>
              <w:t>本报告期内</w:t>
            </w:r>
            <w:r>
              <w:rPr>
                <w:rFonts w:ascii="宋体" w:hAnsi="宋体" w:cs="宋体" w:eastAsia="宋体" w:hint="default"/>
                <w:spacing w:val="-94"/>
                <w:sz w:val="18"/>
                <w:szCs w:val="18"/>
              </w:rPr>
              <w:t>，</w:t>
            </w:r>
            <w:r>
              <w:rPr>
                <w:rFonts w:ascii="宋体" w:hAnsi="宋体" w:cs="宋体" w:eastAsia="宋体" w:hint="default"/>
                <w:sz w:val="18"/>
                <w:szCs w:val="18"/>
              </w:rPr>
              <w:t>“智慧财税服务互联平台</w:t>
            </w:r>
            <w:r>
              <w:rPr>
                <w:rFonts w:ascii="宋体" w:hAnsi="宋体" w:cs="宋体" w:eastAsia="宋体" w:hint="default"/>
                <w:spacing w:val="-5"/>
                <w:sz w:val="18"/>
                <w:szCs w:val="18"/>
              </w:rPr>
              <w:t>”</w:t>
            </w:r>
            <w:r>
              <w:rPr>
                <w:rFonts w:ascii="宋体" w:hAnsi="宋体" w:cs="宋体" w:eastAsia="宋体" w:hint="default"/>
                <w:sz w:val="18"/>
                <w:szCs w:val="18"/>
              </w:rPr>
              <w:t>项目</w:t>
            </w:r>
            <w:r>
              <w:rPr>
                <w:rFonts w:ascii="宋体" w:hAnsi="宋体" w:cs="宋体" w:eastAsia="宋体" w:hint="default"/>
                <w:sz w:val="18"/>
                <w:szCs w:val="18"/>
              </w:rPr>
              <w:t> 实现收益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7,540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“企业大数据创新服务平台“项目实现收益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433.72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4" w:lineRule="auto" w:before="27"/>
              <w:ind w:left="28" w:right="91" w:firstLine="360"/>
              <w:jc w:val="both"/>
              <w:rPr>
                <w:rFonts w:ascii="宋体" w:hAnsi="宋体" w:cs="宋体" w:eastAsia="宋体" w:hint="default"/>
                <w:sz w:val="18"/>
                <w:szCs w:val="18"/>
              </w:rPr>
            </w:pPr>
            <w:r>
              <w:rPr>
                <w:rFonts w:ascii="宋体" w:hAnsi="宋体" w:cs="宋体" w:eastAsia="宋体" w:hint="default"/>
                <w:sz w:val="18"/>
                <w:szCs w:val="18"/>
              </w:rPr>
              <w:t>公司募集资金投资项目“智慧财税服务互联平台”和“企业大数据创新服务平台”前期虽然经 过充分的可行性论证，但实际执行过程中受到多方面因素影响，预计无法在计划时间内达到预定可 使用状态，公司从维护全体股东和公司利益的角度出发，本着谨慎投资和效益最大化的原则，在对 募集资金投资项目实施主体、募集资金投资用途及投资规模均不发生变更的情况下，结合当前募集 资金投资项目的实施进度、实际建设情况及市场发展前景，决定对以下募投项目进行延期：</w:t>
            </w:r>
          </w:p>
          <w:p>
            <w:pPr>
              <w:pStyle w:val="TableParagraph"/>
              <w:spacing w:line="240" w:lineRule="auto" w:before="40"/>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pacing w:val="-90"/>
                <w:sz w:val="18"/>
                <w:szCs w:val="18"/>
              </w:rPr>
              <w:t>、</w:t>
            </w:r>
            <w:r>
              <w:rPr>
                <w:rFonts w:ascii="宋体" w:hAnsi="宋体" w:cs="宋体" w:eastAsia="宋体" w:hint="default"/>
                <w:sz w:val="18"/>
                <w:szCs w:val="18"/>
              </w:rPr>
              <w:t>“智慧财税服务互联平台”项目达到预计可使用状态延期至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31"/>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pacing w:val="-90"/>
                <w:sz w:val="18"/>
                <w:szCs w:val="18"/>
              </w:rPr>
              <w:t>、</w:t>
            </w:r>
            <w:r>
              <w:rPr>
                <w:rFonts w:ascii="宋体" w:hAnsi="宋体" w:cs="宋体" w:eastAsia="宋体" w:hint="default"/>
                <w:sz w:val="18"/>
                <w:szCs w:val="18"/>
              </w:rPr>
              <w:t>“企业大数据创新服务平台”项目达到预计可使用状态延期至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r>
          </w:p>
        </w:tc>
      </w:tr>
      <w:tr>
        <w:trPr>
          <w:trHeight w:val="800"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11" w:right="3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79" w:type="dxa"/>
            <w:gridSpan w:val="10"/>
            <w:vMerge/>
            <w:tcBorders>
              <w:left w:val="single" w:sz="9" w:space="0" w:color="D2D2D2"/>
              <w:right w:val="single" w:sz="4" w:space="0" w:color="000000"/>
            </w:tcBorders>
          </w:tcPr>
          <w:p>
            <w:pPr/>
          </w:p>
        </w:tc>
      </w:tr>
      <w:tr>
        <w:trPr>
          <w:trHeight w:val="785"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9" w:type="dxa"/>
            <w:gridSpan w:val="10"/>
            <w:vMerge/>
            <w:tcBorders>
              <w:left w:val="single" w:sz="9" w:space="0" w:color="D2D2D2"/>
              <w:bottom w:val="single" w:sz="4" w:space="0" w:color="000000"/>
              <w:right w:val="single" w:sz="4" w:space="0" w:color="000000"/>
            </w:tcBorders>
          </w:tcPr>
          <w:p>
            <w:pPr/>
          </w:p>
        </w:tc>
      </w:tr>
      <w:tr>
        <w:trPr>
          <w:trHeight w:val="51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
              <w:ind w:left="11" w:right="3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7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1"/>
              <w:ind w:left="382" w:right="0"/>
              <w:jc w:val="left"/>
              <w:rPr>
                <w:rFonts w:ascii="宋体" w:hAnsi="宋体" w:cs="宋体" w:eastAsia="宋体" w:hint="default"/>
                <w:sz w:val="18"/>
                <w:szCs w:val="18"/>
              </w:rPr>
            </w:pPr>
            <w:r>
              <w:rPr>
                <w:rFonts w:ascii="宋体" w:hAnsi="宋体" w:cs="宋体" w:eastAsia="宋体" w:hint="default"/>
                <w:sz w:val="18"/>
                <w:szCs w:val="18"/>
              </w:rPr>
              <w:t>报告期内，项目可行性未发生重大变化。</w:t>
            </w:r>
          </w:p>
        </w:tc>
      </w:tr>
      <w:tr>
        <w:trPr>
          <w:trHeight w:val="51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
              <w:ind w:left="11" w:right="35"/>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7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3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7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3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7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1679" w:type="dxa"/>
            <w:vMerge w:val="restart"/>
            <w:tcBorders>
              <w:top w:val="single" w:sz="4" w:space="0" w:color="000000"/>
              <w:left w:val="single" w:sz="4" w:space="0" w:color="000000"/>
              <w:right w:val="single" w:sz="4" w:space="0" w:color="000000"/>
            </w:tcBorders>
            <w:shd w:val="clear" w:color="auto" w:fill="D2D2D2"/>
          </w:tcPr>
          <w:p>
            <w:pPr/>
          </w:p>
        </w:tc>
        <w:tc>
          <w:tcPr>
            <w:tcW w:w="787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40"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7879" w:type="dxa"/>
            <w:gridSpan w:val="10"/>
            <w:vMerge w:val="restart"/>
            <w:tcBorders>
              <w:top w:val="single" w:sz="4" w:space="0" w:color="000000"/>
              <w:left w:val="single" w:sz="9" w:space="0" w:color="D2D2D2"/>
              <w:right w:val="single" w:sz="4" w:space="0" w:color="000000"/>
            </w:tcBorders>
          </w:tcPr>
          <w:p>
            <w:pPr>
              <w:pStyle w:val="TableParagraph"/>
              <w:spacing w:line="244" w:lineRule="auto" w:before="21"/>
              <w:ind w:left="28" w:right="20" w:firstLine="360"/>
              <w:jc w:val="left"/>
              <w:rPr>
                <w:rFonts w:ascii="宋体" w:hAnsi="宋体" w:cs="宋体" w:eastAsia="宋体" w:hint="default"/>
                <w:sz w:val="18"/>
                <w:szCs w:val="18"/>
              </w:rPr>
            </w:pPr>
            <w:r>
              <w:rPr>
                <w:rFonts w:ascii="宋体" w:hAnsi="宋体" w:cs="宋体" w:eastAsia="宋体" w:hint="default"/>
                <w:sz w:val="18"/>
                <w:szCs w:val="18"/>
              </w:rPr>
              <w:t>募集资金到位前，方欣科技根据项目实际进度需要，以自有资金预先投入募集资金投资项目。 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日，方欣科技预先以自有资金投入金额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2,481.42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万元，已经众华会计师事务所</w:t>
            </w:r>
          </w:p>
          <w:p>
            <w:pPr>
              <w:pStyle w:val="TableParagraph"/>
              <w:spacing w:line="231" w:lineRule="exact"/>
              <w:ind w:left="28" w:right="0"/>
              <w:jc w:val="left"/>
              <w:rPr>
                <w:rFonts w:ascii="宋体" w:hAnsi="宋体" w:cs="宋体" w:eastAsia="宋体" w:hint="default"/>
                <w:sz w:val="18"/>
                <w:szCs w:val="18"/>
              </w:rPr>
            </w:pPr>
            <w:r>
              <w:rPr>
                <w:rFonts w:ascii="宋体" w:hAnsi="宋体" w:cs="宋体" w:eastAsia="宋体" w:hint="default"/>
                <w:sz w:val="18"/>
                <w:szCs w:val="18"/>
              </w:rPr>
              <w:t>（特殊普通合伙）出具的《募集资金置换专项审核报告</w:t>
            </w:r>
            <w:r>
              <w:rPr>
                <w:rFonts w:ascii="宋体" w:hAnsi="宋体" w:cs="宋体" w:eastAsia="宋体" w:hint="default"/>
                <w:spacing w:val="-90"/>
                <w:sz w:val="18"/>
                <w:szCs w:val="18"/>
              </w:rPr>
              <w:t>》</w:t>
            </w: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宋体" w:hAnsi="宋体" w:cs="宋体" w:eastAsia="宋体" w:hint="default"/>
                <w:sz w:val="18"/>
                <w:szCs w:val="18"/>
              </w:rPr>
              <w:t>）审验确认。</w:t>
            </w:r>
          </w:p>
          <w:p>
            <w:pPr>
              <w:pStyle w:val="TableParagraph"/>
              <w:spacing w:line="240"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日公司第四届董事会第五次会议审议通过了《关于使用募集资金置换先期投入的议</w:t>
            </w:r>
          </w:p>
          <w:p>
            <w:pPr>
              <w:pStyle w:val="TableParagraph"/>
              <w:spacing w:line="240" w:lineRule="exact"/>
              <w:ind w:left="28"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同意使用募集资金置换已预先投入募集资金投资项目的自筹资金</w:t>
            </w:r>
            <w:r>
              <w:rPr>
                <w:rFonts w:ascii="宋体" w:hAnsi="宋体" w:cs="宋体" w:eastAsia="宋体" w:hint="default"/>
                <w:spacing w:val="-10"/>
                <w:sz w:val="18"/>
                <w:szCs w:val="18"/>
              </w:rPr>
              <w:t>，</w:t>
            </w:r>
            <w:r>
              <w:rPr>
                <w:rFonts w:ascii="宋体" w:hAnsi="宋体" w:cs="宋体" w:eastAsia="宋体" w:hint="default"/>
                <w:sz w:val="18"/>
                <w:szCs w:val="18"/>
              </w:rPr>
              <w:t>置换资金总额为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2,481.42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exact"/>
              <w:ind w:left="2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日，方欣科技从募集资金专户中置换转出前期以自有资金投入的</w:t>
            </w:r>
          </w:p>
          <w:p>
            <w:pPr>
              <w:pStyle w:val="TableParagraph"/>
              <w:spacing w:line="245"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2,481.42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万元，前期置换转出没有发生违规操作。</w:t>
            </w:r>
          </w:p>
        </w:tc>
      </w:tr>
      <w:tr>
        <w:trPr>
          <w:trHeight w:val="560"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11" w:right="3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79" w:type="dxa"/>
            <w:gridSpan w:val="10"/>
            <w:vMerge/>
            <w:tcBorders>
              <w:left w:val="single" w:sz="9" w:space="0" w:color="D2D2D2"/>
              <w:right w:val="single" w:sz="4" w:space="0" w:color="000000"/>
            </w:tcBorders>
          </w:tcPr>
          <w:p>
            <w:pPr/>
          </w:p>
        </w:tc>
      </w:tr>
      <w:tr>
        <w:trPr>
          <w:trHeight w:val="770"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9" w:type="dxa"/>
            <w:gridSpan w:val="10"/>
            <w:vMerge/>
            <w:tcBorders>
              <w:left w:val="single" w:sz="9" w:space="0" w:color="D2D2D2"/>
              <w:bottom w:val="single" w:sz="4" w:space="0" w:color="000000"/>
              <w:right w:val="single" w:sz="4" w:space="0" w:color="000000"/>
            </w:tcBorders>
          </w:tcPr>
          <w:p>
            <w:pPr/>
          </w:p>
        </w:tc>
      </w:tr>
      <w:tr>
        <w:trPr>
          <w:trHeight w:val="57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3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7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3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7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7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3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7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382" w:right="0"/>
              <w:jc w:val="left"/>
              <w:rPr>
                <w:rFonts w:ascii="宋体" w:hAnsi="宋体" w:cs="宋体" w:eastAsia="宋体" w:hint="default"/>
                <w:sz w:val="18"/>
                <w:szCs w:val="18"/>
              </w:rPr>
            </w:pPr>
            <w:r>
              <w:rPr>
                <w:rFonts w:ascii="宋体" w:hAnsi="宋体" w:cs="宋体" w:eastAsia="宋体" w:hint="default"/>
                <w:sz w:val="18"/>
                <w:szCs w:val="18"/>
              </w:rPr>
              <w:t>报告期内，公司尚未使用的募集资金均存放于专户中。</w:t>
            </w:r>
          </w:p>
        </w:tc>
      </w:tr>
      <w:tr>
        <w:trPr>
          <w:trHeight w:val="810"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3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7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4" w:lineRule="auto" w:before="141"/>
              <w:ind w:left="22" w:right="92" w:firstLine="360"/>
              <w:jc w:val="left"/>
              <w:rPr>
                <w:rFonts w:ascii="宋体" w:hAnsi="宋体" w:cs="宋体" w:eastAsia="宋体" w:hint="default"/>
                <w:sz w:val="18"/>
                <w:szCs w:val="18"/>
              </w:rPr>
            </w:pPr>
            <w:r>
              <w:rPr>
                <w:rFonts w:ascii="宋体" w:hAnsi="宋体" w:cs="宋体" w:eastAsia="宋体" w:hint="default"/>
                <w:spacing w:val="-5"/>
                <w:sz w:val="18"/>
                <w:szCs w:val="18"/>
              </w:rPr>
              <w:t>经审查，报告期内，公司已按照深圳证券交易所《股票上市规则》、《中小企业板上市公司规范</w:t>
            </w:r>
            <w:r>
              <w:rPr>
                <w:rFonts w:ascii="宋体" w:hAnsi="宋体" w:cs="宋体" w:eastAsia="宋体" w:hint="default"/>
                <w:sz w:val="18"/>
                <w:szCs w:val="18"/>
              </w:rPr>
              <w:t> 运作指引》等相关规定披露募集资金存放与使用情况，不存在募集资金管理的违规情形。</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募集资金变更项目情况" w:id="74"/>
      <w:bookmarkEnd w:id="74"/>
      <w:r>
        <w:rPr>
          <w:b w:val="0"/>
          <w:bCs w:val="0"/>
        </w:rPr>
      </w:r>
      <w:r>
        <w:rPr/>
        <w:t>（</w:t>
      </w:r>
      <w:r>
        <w:rPr>
          <w:rFonts w:ascii="Times New Roman" w:hAnsi="Times New Roman" w:cs="Times New Roman" w:eastAsia="Times New Roman" w:hint="default"/>
        </w:rPr>
        <w:t>3</w:t>
      </w:r>
      <w:r>
        <w:rPr/>
        <w:t>）募集资金变更项目情况</w:t>
      </w:r>
      <w:r>
        <w:rPr>
          <w:b w:val="0"/>
          <w:bCs w:val="0"/>
        </w:rPr>
      </w:r>
    </w:p>
    <w:p>
      <w:pPr>
        <w:pStyle w:val="BodyText"/>
        <w:spacing w:line="340" w:lineRule="auto" w:before="158"/>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8"/>
        <w:rPr>
          <w:rFonts w:ascii="宋体" w:hAnsi="宋体" w:cs="宋体" w:eastAsia="宋体" w:hint="default"/>
          <w:sz w:val="22"/>
          <w:szCs w:val="22"/>
        </w:rPr>
      </w:pPr>
    </w:p>
    <w:p>
      <w:pPr>
        <w:pStyle w:val="Heading2"/>
        <w:spacing w:line="240" w:lineRule="auto"/>
        <w:ind w:left="0" w:right="7948"/>
        <w:jc w:val="center"/>
        <w:rPr>
          <w:b w:val="0"/>
          <w:bCs w:val="0"/>
        </w:rPr>
      </w:pPr>
      <w:bookmarkStart w:name="六、重大资产和股权出售" w:id="75"/>
      <w:bookmarkEnd w:id="75"/>
      <w:r>
        <w:rPr>
          <w:b w:val="0"/>
          <w:bCs w:val="0"/>
        </w:rPr>
      </w:r>
      <w:r>
        <w:rPr/>
        <w:t>六、重大资产和股权出售</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出售重大资产情况" w:id="76"/>
      <w:bookmarkEnd w:id="76"/>
      <w:r>
        <w:rPr>
          <w:b w:val="0"/>
          <w:bCs w:val="0"/>
        </w:rPr>
      </w:r>
      <w:r>
        <w:rPr>
          <w:rFonts w:ascii="Times New Roman" w:hAnsi="Times New Roman" w:cs="Times New Roman" w:eastAsia="Times New Roman" w:hint="default"/>
        </w:rPr>
        <w:t>1</w:t>
      </w:r>
      <w:r>
        <w:rPr/>
        <w:t>、出售重大资产情况</w:t>
      </w:r>
      <w:r>
        <w:rPr>
          <w:b w:val="0"/>
          <w:bCs w:val="0"/>
        </w:rPr>
      </w:r>
    </w:p>
    <w:p>
      <w:pPr>
        <w:pStyle w:val="BodyText"/>
        <w:spacing w:line="338" w:lineRule="auto" w:before="158"/>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2、出售重大股权情况" w:id="77"/>
      <w:bookmarkEnd w:id="77"/>
      <w:r>
        <w:rPr>
          <w:b w:val="0"/>
          <w:bCs w:val="0"/>
        </w:rPr>
      </w:r>
      <w:r>
        <w:rPr>
          <w:rFonts w:ascii="Times New Roman" w:hAnsi="Times New Roman" w:cs="Times New Roman" w:eastAsia="Times New Roman" w:hint="default"/>
        </w:rPr>
        <w:t>2</w:t>
      </w:r>
      <w:r>
        <w:rPr/>
        <w:t>、出售重大股权情况</w:t>
      </w:r>
      <w:r>
        <w:rPr>
          <w:b w:val="0"/>
          <w:bCs w:val="0"/>
        </w:rPr>
      </w:r>
    </w:p>
    <w:p>
      <w:pPr>
        <w:pStyle w:val="BodyText"/>
        <w:spacing w:line="240" w:lineRule="auto" w:before="15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2"/>
        <w:ind w:left="0" w:right="7707"/>
        <w:jc w:val="center"/>
        <w:rPr>
          <w:b w:val="0"/>
          <w:bCs w:val="0"/>
        </w:rPr>
      </w:pPr>
      <w:bookmarkStart w:name="七、主要控股参股公司分析" w:id="78"/>
      <w:bookmarkEnd w:id="78"/>
      <w:r>
        <w:rPr>
          <w:b w:val="0"/>
          <w:bCs w:val="0"/>
        </w:rPr>
      </w:r>
      <w:r>
        <w:rPr/>
        <w:t>七、主要控股参股公司分析</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1" w:footer="979" w:top="1120" w:bottom="1160" w:left="960" w:right="0"/>
        </w:sectPr>
      </w:pPr>
    </w:p>
    <w:p>
      <w:pPr>
        <w:pStyle w:val="BodyText"/>
        <w:spacing w:line="2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533" w:right="0"/>
        <w:jc w:val="left"/>
      </w:pPr>
      <w:r>
        <w:rPr/>
        <w:pict>
          <v:group style="position:absolute;margin-left:198.740005pt;margin-top:48.0117pt;width:34.950pt;height:46.55pt;mso-position-horizontal-relative:page;mso-position-vertical-relative:paragraph;z-index:-1028224" coordorigin="3975,960" coordsize="699,931">
            <v:group style="position:absolute;left:3975;top:960;width:699;height:360" coordorigin="3975,960" coordsize="699,360">
              <v:shape style="position:absolute;left:3975;top:960;width:699;height:360" coordorigin="3975,960" coordsize="699,360" path="m3975,1320l4673,1320,4673,960,3975,960,3975,1320xe" filled="true" fillcolor="#ffffff" stroked="false">
                <v:path arrowok="t"/>
                <v:fill type="solid"/>
              </v:shape>
            </v:group>
            <v:group style="position:absolute;left:3986;top:1320;width:2;height:560" coordorigin="3986,1320" coordsize="2,560">
              <v:shape style="position:absolute;left:3986;top:1320;width:2;height:560" coordorigin="3986,1320" coordsize="0,560" path="m3986,1320l3986,1879e" filled="false" stroked="true" strokeweight="1.140pt" strokecolor="#ffffff">
                <v:path arrowok="t"/>
              </v:shape>
            </v:group>
            <v:group style="position:absolute;left:3998;top:1320;width:653;height:280" coordorigin="3998,1320" coordsize="653,280">
              <v:shape style="position:absolute;left:3998;top:1320;width:653;height:280" coordorigin="3998,1320" coordsize="653,280" path="m3998,1600l4650,1600,4650,1320,3998,1320,3998,1600xe" filled="true" fillcolor="#ffffff" stroked="false">
                <v:path arrowok="t"/>
                <v:fill type="solid"/>
              </v:shape>
            </v:group>
            <v:group style="position:absolute;left:3998;top:1600;width:653;height:280" coordorigin="3998,1600" coordsize="653,280">
              <v:shape style="position:absolute;left:3998;top:1600;width:653;height:280" coordorigin="3998,1600" coordsize="653,280" path="m3998,1879l4650,1879,4650,1600,3998,1600,3998,1879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60" w:right="0"/>
          <w:cols w:num="2" w:equalWidth="0">
            <w:col w:w="5229" w:space="3330"/>
            <w:col w:w="2391"/>
          </w:cols>
        </w:sectPr>
      </w:pP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851"/>
        <w:gridCol w:w="568"/>
        <w:gridCol w:w="1417"/>
        <w:gridCol w:w="708"/>
        <w:gridCol w:w="1277"/>
        <w:gridCol w:w="1276"/>
        <w:gridCol w:w="1134"/>
        <w:gridCol w:w="1134"/>
        <w:gridCol w:w="1204"/>
      </w:tblGrid>
      <w:tr>
        <w:trPr>
          <w:trHeight w:val="61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98" w:right="97"/>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21"/>
              <w:ind w:left="169" w:right="16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6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2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29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22" w:right="96"/>
              <w:jc w:val="left"/>
              <w:rPr>
                <w:rFonts w:ascii="宋体" w:hAnsi="宋体" w:cs="宋体" w:eastAsia="宋体" w:hint="default"/>
                <w:sz w:val="18"/>
                <w:szCs w:val="18"/>
              </w:rPr>
            </w:pPr>
            <w:r>
              <w:rPr>
                <w:rFonts w:ascii="宋体" w:hAnsi="宋体" w:cs="宋体" w:eastAsia="宋体" w:hint="default"/>
                <w:sz w:val="18"/>
                <w:szCs w:val="18"/>
              </w:rPr>
              <w:t>方欣科技 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3"/>
              <w:jc w:val="left"/>
              <w:rPr>
                <w:rFonts w:ascii="宋体" w:hAnsi="宋体" w:cs="宋体" w:eastAsia="宋体" w:hint="default"/>
                <w:sz w:val="18"/>
                <w:szCs w:val="18"/>
              </w:rPr>
            </w:pPr>
            <w:r>
              <w:rPr>
                <w:rFonts w:ascii="宋体" w:hAnsi="宋体" w:cs="宋体" w:eastAsia="宋体" w:hint="default"/>
                <w:sz w:val="18"/>
                <w:szCs w:val="18"/>
              </w:rPr>
              <w:t>计算机技术开发 </w:t>
            </w:r>
            <w:r>
              <w:rPr>
                <w:rFonts w:ascii="宋体" w:hAnsi="宋体" w:cs="宋体" w:eastAsia="宋体" w:hint="default"/>
                <w:spacing w:val="-10"/>
                <w:sz w:val="18"/>
                <w:szCs w:val="18"/>
              </w:rPr>
              <w:t>技术服务；网络技</w:t>
            </w:r>
            <w:r>
              <w:rPr>
                <w:rFonts w:ascii="宋体" w:hAnsi="宋体" w:cs="宋体" w:eastAsia="宋体" w:hint="default"/>
                <w:sz w:val="18"/>
                <w:szCs w:val="18"/>
              </w:rPr>
              <w:t> 术的研究、开发 信息系统集成服 务等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2"/>
                <w:szCs w:val="12"/>
              </w:rPr>
            </w:pPr>
          </w:p>
          <w:p>
            <w:pPr>
              <w:pStyle w:val="TableParagraph"/>
              <w:spacing w:line="142" w:lineRule="exact"/>
              <w:ind w:left="2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113"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1,885,697,284.32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1,514,833,215.20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413,477,725.35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82" w:right="0"/>
              <w:jc w:val="center"/>
              <w:rPr>
                <w:rFonts w:ascii="Times New Roman" w:hAnsi="Times New Roman" w:cs="Times New Roman" w:eastAsia="Times New Roman" w:hint="default"/>
                <w:sz w:val="16"/>
                <w:szCs w:val="16"/>
              </w:rPr>
            </w:pPr>
            <w:r>
              <w:rPr>
                <w:rFonts w:ascii="Times New Roman"/>
                <w:sz w:val="16"/>
              </w:rPr>
              <w:t>132,113,650.84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118,023,689.74</w:t>
            </w:r>
          </w:p>
        </w:tc>
      </w:tr>
      <w:tr>
        <w:trPr>
          <w:trHeight w:val="8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96"/>
              <w:jc w:val="both"/>
              <w:rPr>
                <w:rFonts w:ascii="宋体" w:hAnsi="宋体" w:cs="宋体" w:eastAsia="宋体" w:hint="default"/>
                <w:sz w:val="18"/>
                <w:szCs w:val="18"/>
              </w:rPr>
            </w:pPr>
            <w:r>
              <w:rPr>
                <w:rFonts w:ascii="宋体" w:hAnsi="宋体" w:cs="宋体" w:eastAsia="宋体" w:hint="default"/>
                <w:sz w:val="18"/>
                <w:szCs w:val="18"/>
              </w:rPr>
              <w:t>江苏丰东 热技术有 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22"/>
              <w:jc w:val="both"/>
              <w:rPr>
                <w:rFonts w:ascii="宋体" w:hAnsi="宋体" w:cs="宋体" w:eastAsia="宋体" w:hint="default"/>
                <w:sz w:val="18"/>
                <w:szCs w:val="18"/>
              </w:rPr>
            </w:pPr>
            <w:r>
              <w:rPr>
                <w:rFonts w:ascii="宋体" w:hAnsi="宋体" w:cs="宋体" w:eastAsia="宋体" w:hint="default"/>
                <w:sz w:val="18"/>
                <w:szCs w:val="18"/>
              </w:rPr>
              <w:t>热处理设备及其 辅助设备的研发 制造、销售等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142" w:lineRule="exact"/>
              <w:ind w:left="22" w:right="0"/>
              <w:jc w:val="left"/>
              <w:rPr>
                <w:rFonts w:ascii="Times New Roman" w:hAnsi="Times New Roman" w:cs="Times New Roman" w:eastAsia="Times New Roman" w:hint="default"/>
                <w:sz w:val="18"/>
                <w:szCs w:val="18"/>
              </w:rPr>
            </w:pPr>
            <w:r>
              <w:rPr>
                <w:rFonts w:ascii="Times New Roman"/>
                <w:sz w:val="18"/>
              </w:rPr>
              <w:t>26,800</w:t>
            </w:r>
          </w:p>
          <w:p>
            <w:pPr>
              <w:pStyle w:val="TableParagraph"/>
              <w:spacing w:line="113"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22"/>
              <w:jc w:val="right"/>
              <w:rPr>
                <w:rFonts w:ascii="Times New Roman" w:hAnsi="Times New Roman" w:cs="Times New Roman" w:eastAsia="Times New Roman" w:hint="default"/>
                <w:sz w:val="16"/>
                <w:szCs w:val="16"/>
              </w:rPr>
            </w:pPr>
            <w:r>
              <w:rPr>
                <w:rFonts w:ascii="Times New Roman"/>
                <w:spacing w:val="-1"/>
                <w:sz w:val="16"/>
              </w:rPr>
              <w:t>916,581,796.84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22"/>
              <w:jc w:val="right"/>
              <w:rPr>
                <w:rFonts w:ascii="Times New Roman" w:hAnsi="Times New Roman" w:cs="Times New Roman" w:eastAsia="Times New Roman" w:hint="default"/>
                <w:sz w:val="16"/>
                <w:szCs w:val="16"/>
              </w:rPr>
            </w:pPr>
            <w:r>
              <w:rPr>
                <w:rFonts w:ascii="Times New Roman"/>
                <w:spacing w:val="-1"/>
                <w:sz w:val="16"/>
              </w:rPr>
              <w:t>695,273,441.37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left="76" w:right="0"/>
              <w:jc w:val="center"/>
              <w:rPr>
                <w:rFonts w:ascii="Times New Roman" w:hAnsi="Times New Roman" w:cs="Times New Roman" w:eastAsia="Times New Roman" w:hint="default"/>
                <w:sz w:val="16"/>
                <w:szCs w:val="16"/>
              </w:rPr>
            </w:pPr>
            <w:r>
              <w:rPr>
                <w:rFonts w:ascii="Times New Roman"/>
                <w:sz w:val="16"/>
              </w:rPr>
              <w:t>242,486,063.42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left="155" w:right="0"/>
              <w:jc w:val="center"/>
              <w:rPr>
                <w:rFonts w:ascii="Times New Roman" w:hAnsi="Times New Roman" w:cs="Times New Roman" w:eastAsia="Times New Roman" w:hint="default"/>
                <w:sz w:val="16"/>
                <w:szCs w:val="16"/>
              </w:rPr>
            </w:pPr>
            <w:r>
              <w:rPr>
                <w:rFonts w:ascii="Times New Roman"/>
                <w:sz w:val="16"/>
              </w:rPr>
              <w:t>48,597,794.30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22"/>
              <w:jc w:val="right"/>
              <w:rPr>
                <w:rFonts w:ascii="Times New Roman" w:hAnsi="Times New Roman" w:cs="Times New Roman" w:eastAsia="Times New Roman" w:hint="default"/>
                <w:sz w:val="16"/>
                <w:szCs w:val="16"/>
              </w:rPr>
            </w:pPr>
            <w:r>
              <w:rPr>
                <w:rFonts w:ascii="Times New Roman"/>
                <w:spacing w:val="-1"/>
                <w:sz w:val="16"/>
              </w:rPr>
              <w:t>45,495,823.66</w:t>
            </w:r>
          </w:p>
        </w:tc>
      </w:tr>
      <w:tr>
        <w:trPr>
          <w:trHeight w:val="129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4" w:lineRule="auto"/>
              <w:ind w:left="22" w:right="96"/>
              <w:jc w:val="both"/>
              <w:rPr>
                <w:rFonts w:ascii="宋体" w:hAnsi="宋体" w:cs="宋体" w:eastAsia="宋体" w:hint="default"/>
                <w:sz w:val="18"/>
                <w:szCs w:val="18"/>
              </w:rPr>
            </w:pPr>
            <w:r>
              <w:rPr>
                <w:rFonts w:ascii="宋体" w:hAnsi="宋体" w:cs="宋体" w:eastAsia="宋体" w:hint="default"/>
                <w:sz w:val="18"/>
                <w:szCs w:val="18"/>
              </w:rPr>
              <w:t>金财互联 数据服务 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7"/>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3"/>
              <w:jc w:val="left"/>
              <w:rPr>
                <w:rFonts w:ascii="宋体" w:hAnsi="宋体" w:cs="宋体" w:eastAsia="宋体" w:hint="default"/>
                <w:sz w:val="18"/>
                <w:szCs w:val="18"/>
              </w:rPr>
            </w:pPr>
            <w:r>
              <w:rPr>
                <w:rFonts w:ascii="宋体" w:hAnsi="宋体" w:cs="宋体" w:eastAsia="宋体" w:hint="default"/>
                <w:sz w:val="18"/>
                <w:szCs w:val="18"/>
              </w:rPr>
              <w:t>数据处理和存储 </w:t>
            </w:r>
            <w:r>
              <w:rPr>
                <w:rFonts w:ascii="宋体" w:hAnsi="宋体" w:cs="宋体" w:eastAsia="宋体" w:hint="default"/>
                <w:spacing w:val="-10"/>
                <w:sz w:val="18"/>
                <w:szCs w:val="18"/>
              </w:rPr>
              <w:t>服务；信息系统集</w:t>
            </w:r>
            <w:r>
              <w:rPr>
                <w:rFonts w:ascii="宋体" w:hAnsi="宋体" w:cs="宋体" w:eastAsia="宋体" w:hint="default"/>
                <w:sz w:val="18"/>
                <w:szCs w:val="18"/>
              </w:rPr>
              <w:t> </w:t>
            </w:r>
            <w:r>
              <w:rPr>
                <w:rFonts w:ascii="宋体" w:hAnsi="宋体" w:cs="宋体" w:eastAsia="宋体" w:hint="default"/>
                <w:spacing w:val="-10"/>
                <w:sz w:val="18"/>
                <w:szCs w:val="18"/>
              </w:rPr>
              <w:t>成服务；信息技术</w:t>
            </w:r>
            <w:r>
              <w:rPr>
                <w:rFonts w:ascii="宋体" w:hAnsi="宋体" w:cs="宋体" w:eastAsia="宋体" w:hint="default"/>
                <w:sz w:val="18"/>
                <w:szCs w:val="18"/>
              </w:rPr>
              <w:t> </w:t>
            </w:r>
            <w:r>
              <w:rPr>
                <w:rFonts w:ascii="宋体" w:hAnsi="宋体" w:cs="宋体" w:eastAsia="宋体" w:hint="default"/>
                <w:spacing w:val="-10"/>
                <w:sz w:val="18"/>
                <w:szCs w:val="18"/>
              </w:rPr>
              <w:t>咨询服务；网络技</w:t>
            </w:r>
            <w:r>
              <w:rPr>
                <w:rFonts w:ascii="宋体" w:hAnsi="宋体" w:cs="宋体" w:eastAsia="宋体" w:hint="default"/>
                <w:sz w:val="18"/>
                <w:szCs w:val="18"/>
              </w:rPr>
              <w:t> </w:t>
            </w:r>
            <w:r>
              <w:rPr>
                <w:rFonts w:ascii="宋体" w:hAnsi="宋体" w:cs="宋体" w:eastAsia="宋体" w:hint="default"/>
                <w:spacing w:val="-10"/>
                <w:sz w:val="18"/>
                <w:szCs w:val="18"/>
              </w:rPr>
              <w:t>术的研究、开发等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222,852,808.43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181,832,443.58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122,176,321.77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55" w:right="0"/>
              <w:jc w:val="center"/>
              <w:rPr>
                <w:rFonts w:ascii="Times New Roman" w:hAnsi="Times New Roman" w:cs="Times New Roman" w:eastAsia="Times New Roman" w:hint="default"/>
                <w:sz w:val="16"/>
                <w:szCs w:val="16"/>
              </w:rPr>
            </w:pPr>
            <w:r>
              <w:rPr>
                <w:rFonts w:ascii="Times New Roman"/>
                <w:sz w:val="16"/>
              </w:rPr>
              <w:t>83,955,220.08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84,565,471.45</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pict>
          <v:group style="position:absolute;margin-left:198.740005pt;margin-top:-103.978294pt;width:33.8pt;height:29.1pt;mso-position-horizontal-relative:page;mso-position-vertical-relative:paragraph;z-index:-1028200" coordorigin="3975,-2080" coordsize="676,582">
            <v:group style="position:absolute;left:3986;top:-2068;width:2;height:560" coordorigin="3986,-2068" coordsize="2,560">
              <v:shape style="position:absolute;left:3986;top:-2068;width:2;height:560" coordorigin="3986,-2068" coordsize="0,560" path="m3986,-2068l3986,-1509e" filled="false" stroked="true" strokeweight="1.140pt" strokecolor="#ffffff">
                <v:path arrowok="t"/>
              </v:shape>
            </v:group>
            <v:group style="position:absolute;left:3998;top:-2068;width:653;height:280" coordorigin="3998,-2068" coordsize="653,280">
              <v:shape style="position:absolute;left:3998;top:-2068;width:653;height:280" coordorigin="3998,-2068" coordsize="653,280" path="m3998,-1789l4650,-1789,4650,-2068,3998,-2068,3998,-1789xe" filled="true" fillcolor="#ffffff" stroked="false">
                <v:path arrowok="t"/>
                <v:fill type="solid"/>
              </v:shape>
            </v:group>
            <v:group style="position:absolute;left:3998;top:-1789;width:653;height:280" coordorigin="3998,-1789" coordsize="653,280">
              <v:shape style="position:absolute;left:3998;top:-1789;width:653;height:280" coordorigin="3998,-1789" coordsize="653,280" path="m3998,-1509l4650,-1509,4650,-1789,3998,-1789,3998,-1509xe" filled="true" fillcolor="#ffffff" stroked="false">
                <v:path arrowok="t"/>
                <v:fill type="solid"/>
              </v:shape>
            </v:group>
            <w10:wrap type="none"/>
          </v:group>
        </w:pict>
      </w: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3402"/>
        <w:gridCol w:w="2976"/>
        <w:gridCol w:w="3191"/>
      </w:tblGrid>
      <w:tr>
        <w:trPr>
          <w:trHeight w:val="330"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青岛丰东热工技术有限公司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烟台丰东热技术有限公司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北京金财纵横信息咨询服务有限公司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同一控制下合并，减少关联方交易</w:t>
            </w:r>
          </w:p>
        </w:tc>
      </w:tr>
      <w:tr>
        <w:trPr>
          <w:trHeight w:val="61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青岛高新金财信息科技有限公司</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（包含青岛百旺金赋信息科技有限公司）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广州金财互联区块链科技有限公司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广东龙达财税服务有限公司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深圳龙达财税有限公司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金财慧盈保险经纪有限公司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浙江金财共享智能科技有限公司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3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上海灏友企业服务有限公司</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八、公司控制的结构化主体情况" w:id="79"/>
      <w:bookmarkEnd w:id="79"/>
      <w:r>
        <w:rPr>
          <w:b w:val="0"/>
          <w:bCs w:val="0"/>
        </w:rPr>
      </w:r>
      <w:r>
        <w:rPr/>
        <w:t>八、公司控制的结构化主体情况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60" w:right="0"/>
        </w:sectPr>
      </w:pPr>
    </w:p>
    <w:p>
      <w:pPr>
        <w:spacing w:line="240" w:lineRule="auto" w:before="7"/>
        <w:rPr>
          <w:rFonts w:ascii="宋体" w:hAnsi="宋体" w:cs="宋体" w:eastAsia="宋体" w:hint="default"/>
          <w:sz w:val="22"/>
          <w:szCs w:val="22"/>
        </w:rPr>
      </w:pPr>
    </w:p>
    <w:p>
      <w:pPr>
        <w:pStyle w:val="Heading2"/>
        <w:spacing w:line="240" w:lineRule="auto" w:before="26"/>
        <w:ind w:right="0"/>
        <w:jc w:val="both"/>
        <w:rPr>
          <w:b w:val="0"/>
          <w:bCs w:val="0"/>
        </w:rPr>
      </w:pPr>
      <w:bookmarkStart w:name="九、公司未来发展的展望" w:id="80"/>
      <w:bookmarkEnd w:id="80"/>
      <w:r>
        <w:rPr>
          <w:b w:val="0"/>
          <w:bCs w:val="0"/>
        </w:rPr>
      </w:r>
      <w:r>
        <w:rPr/>
        <w:t>九、公司未来发展的展望</w:t>
      </w:r>
      <w:r>
        <w:rPr>
          <w:b w:val="0"/>
          <w:bCs w:val="0"/>
        </w:rPr>
      </w:r>
    </w:p>
    <w:p>
      <w:pPr>
        <w:spacing w:line="240" w:lineRule="auto" w:before="11"/>
        <w:rPr>
          <w:rFonts w:ascii="宋体" w:hAnsi="宋体" w:cs="宋体" w:eastAsia="宋体" w:hint="default"/>
          <w:b/>
          <w:bCs/>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、互联网财税业务</w:t>
      </w:r>
      <w:r>
        <w:rPr>
          <w:b w:val="0"/>
          <w:bCs w:val="0"/>
        </w:rPr>
      </w:r>
    </w:p>
    <w:p>
      <w:pPr>
        <w:pStyle w:val="Heading4"/>
        <w:spacing w:line="240" w:lineRule="auto" w:before="102"/>
        <w:ind w:right="0"/>
        <w:jc w:val="left"/>
        <w:rPr>
          <w:b w:val="0"/>
          <w:bCs w:val="0"/>
        </w:rPr>
      </w:pPr>
      <w:r>
        <w:rPr/>
        <w:t>（</w:t>
      </w:r>
      <w:r>
        <w:rPr>
          <w:rFonts w:ascii="Times New Roman" w:hAnsi="Times New Roman" w:cs="Times New Roman" w:eastAsia="Times New Roman" w:hint="default"/>
        </w:rPr>
        <w:t>1</w:t>
      </w:r>
      <w:r>
        <w:rPr/>
        <w:t>）行业格局与趋势</w:t>
      </w:r>
      <w:r>
        <w:rPr>
          <w:b w:val="0"/>
          <w:bCs w:val="0"/>
        </w:rPr>
      </w:r>
    </w:p>
    <w:p>
      <w:pPr>
        <w:pStyle w:val="BodyText"/>
        <w:spacing w:line="357" w:lineRule="auto" w:before="104"/>
        <w:ind w:right="1136"/>
        <w:jc w:val="left"/>
      </w:pPr>
      <w:r>
        <w:rPr/>
        <w:t>①国际国内经营环境情况 </w:t>
      </w:r>
      <w:r>
        <w:rPr>
          <w:spacing w:val="-2"/>
        </w:rPr>
        <w:t>随着经济全球化深入发展，新经济、新业态等对传统国际税收规则和各国税收管理形成了挑战，“智慧型税收”建设成</w:t>
      </w:r>
    </w:p>
    <w:p>
      <w:pPr>
        <w:pStyle w:val="BodyText"/>
        <w:spacing w:line="357" w:lineRule="auto" w:before="0"/>
        <w:ind w:right="0" w:hanging="360"/>
        <w:jc w:val="left"/>
      </w:pPr>
      <w:r>
        <w:rPr/>
        <w:t>为提高各国税收征管能力的有效途径。 </w:t>
      </w:r>
      <w:r>
        <w:rPr>
          <w:spacing w:val="-2"/>
        </w:rPr>
        <w:t>目前世界税制趋同，国际税收改革迈向纵深，国际税收竞争愈加激烈，国际税收协调与合作日益密切且成果显著。以跨</w:t>
      </w:r>
    </w:p>
    <w:p>
      <w:pPr>
        <w:pStyle w:val="BodyText"/>
        <w:spacing w:line="224" w:lineRule="exact" w:before="0"/>
        <w:ind w:left="174" w:right="0"/>
        <w:jc w:val="both"/>
      </w:pPr>
      <w:r>
        <w:rPr/>
        <w:t>境税源争夺为主要特征的国际税收竞争愈演愈烈，国际税收竞争与合作彼此交织，特别是美国减税方案的实施，给全球经济</w:t>
      </w:r>
    </w:p>
    <w:p>
      <w:pPr>
        <w:pStyle w:val="BodyText"/>
        <w:spacing w:line="319" w:lineRule="auto" w:before="76"/>
        <w:ind w:left="174" w:right="1130"/>
        <w:jc w:val="both"/>
      </w:pPr>
      <w:r>
        <w:rPr>
          <w:spacing w:val="-2"/>
        </w:rPr>
        <w:t>带来新的不确定性，负面“外溢效应”恐将渐次凸显。中国及一些欧盟国家积极顺应世界税制改革浪潮，利用互联网和信息</w:t>
      </w:r>
      <w:r>
        <w:rPr>
          <w:spacing w:val="-66"/>
        </w:rPr>
        <w:t> </w:t>
      </w:r>
      <w:r>
        <w:rPr>
          <w:spacing w:val="-66"/>
        </w:rPr>
      </w:r>
      <w:r>
        <w:rPr>
          <w:spacing w:val="-2"/>
        </w:rPr>
        <w:t>化手段不断提高税收征管水平，优化国内税制，落实国际税改成果，开展更大范围、更高水平、更深层次的国际合作，共同</w:t>
      </w:r>
      <w:r>
        <w:rPr>
          <w:spacing w:val="-67"/>
        </w:rPr>
        <w:t> </w:t>
      </w:r>
      <w:r>
        <w:rPr>
          <w:spacing w:val="-67"/>
        </w:rPr>
      </w:r>
      <w:r>
        <w:rPr/>
        <w:t>打造开放、包容、均衡、普惠的经济合作架构，促进本国经济转型，应对全球税收制度变化带来的挑战。</w:t>
      </w:r>
    </w:p>
    <w:p>
      <w:pPr>
        <w:pStyle w:val="BodyText"/>
        <w:spacing w:line="357" w:lineRule="auto" w:before="58"/>
        <w:ind w:right="1115"/>
        <w:jc w:val="left"/>
      </w:pPr>
      <w:r>
        <w:rPr/>
        <w:t>②公司所处行业的发展情况 我国财税服务领域正处于数字化转型升级的历史窗口期。财税服务进入以新财税模式取胜的</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19"/>
        </w:rPr>
        <w:t> </w:t>
      </w:r>
      <w:r>
        <w:rPr/>
        <w:t>阶段，财税服务行业已</w:t>
      </w:r>
    </w:p>
    <w:p>
      <w:pPr>
        <w:pStyle w:val="BodyText"/>
        <w:spacing w:line="214" w:lineRule="exact" w:before="0"/>
        <w:ind w:left="174" w:right="0"/>
        <w:jc w:val="both"/>
      </w:pPr>
      <w:r>
        <w:rPr/>
        <w:t>先后经历了以个人专业服务能力取胜的</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阶段和以软件工具加连锁经营规模取胜的</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阶段。随着移动互联、大数据、人</w:t>
      </w:r>
    </w:p>
    <w:p>
      <w:pPr>
        <w:pStyle w:val="BodyText"/>
        <w:spacing w:line="240" w:lineRule="auto" w:before="63"/>
        <w:ind w:left="174" w:right="0"/>
        <w:jc w:val="both"/>
      </w:pPr>
      <w:r>
        <w:rPr/>
        <w:t>工智能等技术的快速发展，新一轮科技革命从根本上改变财税行业的商业模式，一个在线连接、数字驱动、网络协同的财税</w:t>
      </w:r>
    </w:p>
    <w:p>
      <w:pPr>
        <w:pStyle w:val="BodyText"/>
        <w:spacing w:line="338" w:lineRule="auto" w:before="77"/>
        <w:ind w:right="1117" w:hanging="360"/>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时代正在到来。 </w:t>
      </w:r>
      <w:r>
        <w:rPr>
          <w:spacing w:val="-2"/>
        </w:rPr>
        <w:t>从需求侧来看，随着金税三期全国大集中的实施完成，大数据管税技术手段的应用，以及社保入税、企业大幅度减税政</w:t>
      </w:r>
    </w:p>
    <w:p>
      <w:pPr>
        <w:pStyle w:val="BodyText"/>
        <w:spacing w:line="309" w:lineRule="auto" w:before="2"/>
        <w:ind w:left="174" w:right="1131"/>
        <w:jc w:val="both"/>
      </w:pPr>
      <w:r>
        <w:rPr>
          <w:spacing w:val="-2"/>
        </w:rPr>
        <w:t>策的执行，为增加税负公平性，征管力度前所未有，“合规、降负”的新财税服务需求呈井喷之势。其次，随着《电子商务</w:t>
      </w:r>
      <w:r>
        <w:rPr>
          <w:spacing w:val="-72"/>
        </w:rPr>
        <w:t> </w:t>
      </w:r>
      <w:r>
        <w:rPr>
          <w:spacing w:val="-72"/>
        </w:rPr>
      </w:r>
      <w:r>
        <w:rPr/>
        <w:t>法》和新《个人所得税法》在</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日正式实行，以网店、微商、代购、直播等新经济为代表的经营群体不再属于 </w:t>
      </w:r>
      <w:r>
        <w:rPr>
          <w:spacing w:val="-2"/>
        </w:rPr>
        <w:t>征管机构监管的</w:t>
      </w:r>
      <w:r>
        <w:rPr>
          <w:rFonts w:ascii="Times New Roman" w:hAnsi="Times New Roman" w:cs="Times New Roman" w:eastAsia="Times New Roman" w:hint="default"/>
          <w:spacing w:val="-2"/>
        </w:rPr>
        <w:t>“</w:t>
      </w:r>
      <w:r>
        <w:rPr>
          <w:spacing w:val="-2"/>
        </w:rPr>
        <w:t>灰色地带</w:t>
      </w:r>
      <w:r>
        <w:rPr>
          <w:rFonts w:ascii="Times New Roman" w:hAnsi="Times New Roman" w:cs="Times New Roman" w:eastAsia="Times New Roman" w:hint="default"/>
          <w:spacing w:val="-2"/>
        </w:rPr>
        <w:t>”</w:t>
      </w:r>
      <w:r>
        <w:rPr>
          <w:spacing w:val="-2"/>
        </w:rPr>
        <w:t>，家庭个人财税服务蓝海亟待爆发，涉税服务群体成倍增长。从供给侧来看，随着人工成本的增</w:t>
      </w:r>
      <w:r>
        <w:rPr>
          <w:spacing w:val="-45"/>
        </w:rPr>
        <w:t> </w:t>
      </w:r>
      <w:r>
        <w:rPr>
          <w:spacing w:val="-45"/>
        </w:rPr>
      </w:r>
      <w:r>
        <w:rPr>
          <w:spacing w:val="-2"/>
        </w:rPr>
        <w:t>加、获客难、价格走低以及客户需求的变化，传统财税服务机构以工商、代理记账、鉴证、审计为主的劳动密集型业务已经</w:t>
      </w:r>
      <w:r>
        <w:rPr>
          <w:spacing w:val="-69"/>
        </w:rPr>
        <w:t> </w:t>
      </w:r>
      <w:r>
        <w:rPr>
          <w:spacing w:val="-69"/>
        </w:rPr>
      </w:r>
      <w:r>
        <w:rPr>
          <w:spacing w:val="-2"/>
        </w:rPr>
        <w:t>无法适应新时代的需求，财税服务机构亟待利用数字化手段进行转型升级。此外，国家税务总局发布《国家税务总局关于坚</w:t>
      </w:r>
      <w:r>
        <w:rPr>
          <w:spacing w:val="-66"/>
        </w:rPr>
        <w:t> </w:t>
      </w:r>
      <w:r>
        <w:rPr>
          <w:spacing w:val="-66"/>
        </w:rPr>
      </w:r>
      <w:r>
        <w:rPr>
          <w:spacing w:val="-4"/>
        </w:rPr>
        <w:t>决查处第三方借减税降费服务巧立名目乱收费行为的通知》（税总发</w:t>
      </w:r>
      <w:r>
        <w:rPr>
          <w:rFonts w:ascii="Times New Roman" w:hAnsi="Times New Roman" w:cs="Times New Roman" w:eastAsia="Times New Roman" w:hint="default"/>
          <w:spacing w:val="-4"/>
        </w:rPr>
        <w:t>[2019]44</w:t>
      </w:r>
      <w:r>
        <w:rPr>
          <w:rFonts w:ascii="Times New Roman" w:hAnsi="Times New Roman" w:cs="Times New Roman" w:eastAsia="Times New Roman" w:hint="default"/>
          <w:spacing w:val="23"/>
        </w:rPr>
        <w:t> </w:t>
      </w:r>
      <w:r>
        <w:rPr>
          <w:spacing w:val="-6"/>
        </w:rPr>
        <w:t>号），依靠行政手段面向纳税人收费的模式一去</w:t>
      </w:r>
      <w:r>
        <w:rPr>
          <w:spacing w:val="-85"/>
        </w:rPr>
        <w:t> </w:t>
      </w:r>
      <w:r>
        <w:rPr>
          <w:spacing w:val="-85"/>
        </w:rPr>
      </w:r>
      <w:r>
        <w:rPr/>
        <w:t>不复返，依靠市场化手段的新财税服务迎来了春天。</w:t>
      </w:r>
    </w:p>
    <w:p>
      <w:pPr>
        <w:spacing w:line="338" w:lineRule="auto" w:before="65"/>
        <w:ind w:left="534" w:right="112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）公司发展战略</w:t>
      </w:r>
      <w:r>
        <w:rPr>
          <w:rFonts w:ascii="宋体" w:hAnsi="宋体" w:cs="宋体" w:eastAsia="宋体" w:hint="default"/>
          <w:b/>
          <w:bCs/>
          <w:w w:val="99"/>
          <w:sz w:val="18"/>
          <w:szCs w:val="18"/>
        </w:rPr>
        <w:t> </w:t>
      </w:r>
      <w:r>
        <w:rPr>
          <w:rFonts w:ascii="宋体" w:hAnsi="宋体" w:cs="宋体" w:eastAsia="宋体" w:hint="default"/>
          <w:sz w:val="18"/>
          <w:szCs w:val="18"/>
        </w:rPr>
        <w:t>为顺应互联网从连接到赋能的发展趋势，公司紧紧围绕着打造</w:t>
      </w:r>
      <w:r>
        <w:rPr>
          <w:rFonts w:ascii="宋体" w:hAnsi="宋体" w:cs="宋体" w:eastAsia="宋体" w:hint="default"/>
          <w:b/>
          <w:bCs/>
          <w:sz w:val="18"/>
          <w:szCs w:val="18"/>
        </w:rPr>
        <w:t>“新财税”</w:t>
      </w:r>
      <w:r>
        <w:rPr>
          <w:rFonts w:ascii="宋体" w:hAnsi="宋体" w:cs="宋体" w:eastAsia="宋体" w:hint="default"/>
          <w:sz w:val="18"/>
          <w:szCs w:val="18"/>
        </w:rPr>
        <w:t>综合服务平台这一战略目标，即利用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多年</w:t>
      </w:r>
    </w:p>
    <w:p>
      <w:pPr>
        <w:pStyle w:val="BodyText"/>
        <w:spacing w:line="217" w:lineRule="exact" w:before="0"/>
        <w:ind w:left="174" w:right="0"/>
        <w:jc w:val="both"/>
      </w:pPr>
      <w:r>
        <w:rPr/>
        <w:t>涉税基础服务积累的海量用户资源和技术能力，通过数据和技术赋能线下财税服务机构和专业人士，实现财税行业的数字化</w:t>
      </w:r>
    </w:p>
    <w:p>
      <w:pPr>
        <w:pStyle w:val="BodyText"/>
        <w:spacing w:line="319" w:lineRule="auto" w:before="76"/>
        <w:ind w:left="174" w:right="1042"/>
        <w:jc w:val="both"/>
      </w:pPr>
      <w:r>
        <w:rPr>
          <w:spacing w:val="-4"/>
        </w:rPr>
        <w:t>转型升级，面向中小企业和家庭个人“合规、降负、增利”的新财税服务需求，提供更专业、更优质、更高性价比的“财税、</w:t>
      </w:r>
      <w:r>
        <w:rPr>
          <w:spacing w:val="-48"/>
        </w:rPr>
        <w:t> </w:t>
      </w:r>
      <w:r>
        <w:rPr>
          <w:spacing w:val="-48"/>
        </w:rPr>
      </w:r>
      <w:r>
        <w:rPr/>
        <w:t>金融”新财税体验，让中小企业精准享受国家减税、降负的政策红利。</w:t>
      </w:r>
    </w:p>
    <w:p>
      <w:pPr>
        <w:pStyle w:val="BodyText"/>
        <w:spacing w:line="302" w:lineRule="auto" w:before="55"/>
        <w:ind w:left="174" w:right="1139" w:firstLine="360"/>
        <w:jc w:val="both"/>
      </w:pPr>
      <w:r>
        <w:rPr/>
        <w:t>为了抓住财税服务机构数字化转型升级的历史性机遇，我们需要赋能财税服务机构面向</w:t>
      </w:r>
      <w:r>
        <w:rPr>
          <w:spacing w:val="-4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多万中小企业提供专业服 务，利用数字化技术全面提升财税服务机构的获客、生产、运营以及增值产品能力。</w:t>
      </w:r>
    </w:p>
    <w:p>
      <w:pPr>
        <w:pStyle w:val="BodyText"/>
        <w:spacing w:line="300" w:lineRule="auto" w:before="69"/>
        <w:ind w:left="174" w:right="1185" w:firstLine="360"/>
        <w:jc w:val="both"/>
      </w:pPr>
      <w:r>
        <w:rPr/>
        <w:t>为实现“新财税”综合服务平台这一战略目标，核心就是构建财税领域的</w:t>
      </w:r>
      <w:r>
        <w:rPr>
          <w:spacing w:val="-46"/>
        </w:rPr>
        <w:t> </w:t>
      </w:r>
      <w:r>
        <w:rPr>
          <w:rFonts w:ascii="Times New Roman" w:hAnsi="Times New Roman" w:cs="Times New Roman" w:eastAsia="Times New Roman" w:hint="default"/>
        </w:rPr>
        <w:t>S2b2c</w:t>
      </w:r>
      <w:r>
        <w:rPr>
          <w:rFonts w:ascii="Times New Roman" w:hAnsi="Times New Roman" w:cs="Times New Roman" w:eastAsia="Times New Roman" w:hint="default"/>
          <w:spacing w:val="-1"/>
        </w:rPr>
        <w:t> </w:t>
      </w:r>
      <w:r>
        <w:rPr/>
        <w:t>的商业模式，即通过</w:t>
      </w:r>
      <w:r>
        <w:rPr>
          <w:spacing w:val="-46"/>
        </w:rPr>
        <w:t> </w:t>
      </w:r>
      <w:r>
        <w:rPr>
          <w:rFonts w:ascii="Times New Roman" w:hAnsi="Times New Roman" w:cs="Times New Roman" w:eastAsia="Times New Roman" w:hint="default"/>
        </w:rPr>
        <w:t>S</w:t>
      </w:r>
      <w:r>
        <w:rPr>
          <w:rFonts w:ascii="Times New Roman" w:hAnsi="Times New Roman" w:cs="Times New Roman" w:eastAsia="Times New Roman" w:hint="default"/>
          <w:spacing w:val="-2"/>
        </w:rPr>
        <w:t> </w:t>
      </w:r>
      <w:r>
        <w:rPr/>
        <w:t>端的资源整合 能力赋能线下的小</w:t>
      </w:r>
      <w:r>
        <w:rPr>
          <w:spacing w:val="-45"/>
        </w:rPr>
        <w:t> </w:t>
      </w:r>
      <w:r>
        <w:rPr>
          <w:rFonts w:ascii="Times New Roman" w:hAnsi="Times New Roman" w:cs="Times New Roman" w:eastAsia="Times New Roman" w:hint="default"/>
          <w:spacing w:val="-2"/>
        </w:rPr>
        <w:t>b</w:t>
      </w:r>
      <w:r>
        <w:rPr>
          <w:spacing w:val="-2"/>
        </w:rPr>
        <w:t>（代理记账公司、事务所），面向中小企业的会计、老板和员工提供服务。这一商业模式的核心就是围</w:t>
      </w:r>
      <w:r>
        <w:rPr/>
        <w:t> </w:t>
      </w:r>
      <w:r>
        <w:rPr>
          <w:spacing w:val="-3"/>
        </w:rPr>
        <w:t>绕“在线（端对端）连接、数据（驱动自动化）智能和网络协同”：</w:t>
      </w:r>
    </w:p>
    <w:p>
      <w:pPr>
        <w:pStyle w:val="BodyText"/>
        <w:tabs>
          <w:tab w:pos="954" w:val="left" w:leader="none"/>
        </w:tabs>
        <w:spacing w:line="302" w:lineRule="auto" w:before="70"/>
        <w:ind w:left="954" w:right="1166" w:hanging="4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在线连接。</w:t>
      </w:r>
      <w:r>
        <w:rPr/>
        <w:t>通过智能财税系列产品实现会计、老板以及员工的端对端在线化，通过数据化转型升级的整体解决方 案实现线下财税服务机构的在线化，并实现企业会计、老板以及员工和财税服务机构的在线连接。</w:t>
      </w:r>
    </w:p>
    <w:p>
      <w:pPr>
        <w:pStyle w:val="BodyText"/>
        <w:tabs>
          <w:tab w:pos="954" w:val="left" w:leader="none"/>
        </w:tabs>
        <w:spacing w:line="302" w:lineRule="auto" w:before="68"/>
        <w:ind w:left="954" w:right="1166" w:hanging="4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数据智能。</w:t>
      </w:r>
      <w:r>
        <w:rPr/>
        <w:t>平台利用海量用户在线化积累的海量业务数据、行为数据，通过大数据技术平台，实现数据驱动的自 动化、智能化，以及千人千面的个性化服务，降低服务成本。</w:t>
      </w:r>
    </w:p>
    <w:p>
      <w:pPr>
        <w:pStyle w:val="BodyText"/>
        <w:tabs>
          <w:tab w:pos="954" w:val="left" w:leader="none"/>
        </w:tabs>
        <w:spacing w:line="302" w:lineRule="auto" w:before="69"/>
        <w:ind w:left="954" w:right="1166" w:hanging="4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网络协同。</w:t>
      </w:r>
      <w:r>
        <w:rPr/>
        <w:t>利用海量用户的规模优势，以及线下财税服务机构的网点优势，可以实现低成本的供应链资源整合， 形成强大的网络协同能力。</w:t>
      </w:r>
    </w:p>
    <w:p>
      <w:pPr>
        <w:spacing w:after="0" w:line="302"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Heading4"/>
        <w:spacing w:line="240" w:lineRule="auto" w:before="44"/>
        <w:ind w:right="0"/>
        <w:jc w:val="left"/>
        <w:rPr>
          <w:b w:val="0"/>
          <w:bCs w:val="0"/>
        </w:rPr>
      </w:pPr>
      <w:r>
        <w:rPr/>
        <w:t>（</w:t>
      </w:r>
      <w:r>
        <w:rPr>
          <w:rFonts w:ascii="Times New Roman" w:hAnsi="Times New Roman" w:cs="Times New Roman" w:eastAsia="Times New Roman" w:hint="default"/>
        </w:rPr>
        <w:t>3</w:t>
      </w:r>
      <w:r>
        <w:rPr/>
        <w:t>）经营计划</w:t>
      </w:r>
      <w:r>
        <w:rPr>
          <w:b w:val="0"/>
          <w:bCs w:val="0"/>
        </w:rPr>
      </w:r>
    </w:p>
    <w:p>
      <w:pPr>
        <w:pStyle w:val="BodyText"/>
        <w:spacing w:line="240" w:lineRule="auto" w:before="102"/>
        <w:ind w:right="0"/>
        <w:jc w:val="left"/>
      </w:pPr>
      <w:r>
        <w:rPr/>
        <w:t>①回顾前期披露的发展战略和经营计划在报告期内的进展</w:t>
      </w:r>
    </w:p>
    <w:p>
      <w:pPr>
        <w:pStyle w:val="BodyText"/>
        <w:spacing w:line="240" w:lineRule="auto" w:before="116"/>
        <w:ind w:right="0"/>
        <w:jc w:val="left"/>
        <w:rPr>
          <w:rFonts w:ascii="Times New Roman" w:hAnsi="Times New Roman" w:cs="Times New Roman" w:eastAsia="Times New Roman"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1"/>
        </w:rPr>
        <w:t> </w:t>
      </w:r>
      <w:r>
        <w:rPr/>
        <w:t>报告期内</w:t>
      </w:r>
      <w:r>
        <w:rPr>
          <w:spacing w:val="-90"/>
        </w:rPr>
        <w:t>，</w:t>
      </w:r>
      <w:r>
        <w:rPr>
          <w:spacing w:val="-2"/>
        </w:rPr>
        <w:t>公</w:t>
      </w:r>
      <w:r>
        <w:rPr/>
        <w:t>司互联网财税业务实现营业收入</w:t>
      </w:r>
      <w:r>
        <w:rPr>
          <w:spacing w:val="-55"/>
        </w:rPr>
        <w:t> </w:t>
      </w:r>
      <w:r>
        <w:rPr>
          <w:rFonts w:ascii="Times New Roman" w:hAnsi="Times New Roman" w:cs="Times New Roman" w:eastAsia="Times New Roman" w:hint="default"/>
        </w:rPr>
        <w:t>69,422.03</w:t>
      </w:r>
      <w:r>
        <w:rPr>
          <w:rFonts w:ascii="Times New Roman" w:hAnsi="Times New Roman" w:cs="Times New Roman" w:eastAsia="Times New Roman" w:hint="default"/>
          <w:spacing w:val="-11"/>
        </w:rPr>
        <w:t> </w:t>
      </w:r>
      <w:r>
        <w:rPr/>
        <w:t>万元</w:t>
      </w:r>
      <w:r>
        <w:rPr>
          <w:spacing w:val="-90"/>
        </w:rPr>
        <w:t>，</w:t>
      </w:r>
      <w:r>
        <w:rPr/>
        <w:t>比上年同期增长</w:t>
      </w:r>
      <w:r>
        <w:rPr>
          <w:spacing w:val="-56"/>
        </w:rPr>
        <w:t> </w:t>
      </w:r>
      <w:r>
        <w:rPr>
          <w:rFonts w:ascii="Times New Roman" w:hAnsi="Times New Roman" w:cs="Times New Roman" w:eastAsia="Times New Roman" w:hint="default"/>
        </w:rPr>
        <w:t>37.29%</w:t>
      </w:r>
      <w:r>
        <w:rPr>
          <w:spacing w:val="-92"/>
        </w:rPr>
        <w:t>，</w:t>
      </w:r>
      <w:r>
        <w:rPr/>
        <w:t>其中财税云服务收入</w:t>
      </w:r>
      <w:r>
        <w:rPr>
          <w:spacing w:val="-56"/>
        </w:rPr>
        <w:t> </w:t>
      </w:r>
      <w:r>
        <w:rPr>
          <w:rFonts w:ascii="Times New Roman" w:hAnsi="Times New Roman" w:cs="Times New Roman" w:eastAsia="Times New Roman" w:hint="default"/>
        </w:rPr>
        <w:t>34,769.</w:t>
      </w:r>
      <w:r>
        <w:rPr>
          <w:rFonts w:ascii="Times New Roman" w:hAnsi="Times New Roman" w:cs="Times New Roman" w:eastAsia="Times New Roman" w:hint="default"/>
          <w:spacing w:val="-2"/>
        </w:rPr>
        <w:t>4</w:t>
      </w:r>
      <w:r>
        <w:rPr>
          <w:rFonts w:ascii="Times New Roman" w:hAnsi="Times New Roman" w:cs="Times New Roman" w:eastAsia="Times New Roman" w:hint="default"/>
        </w:rPr>
        <w:t>6</w:t>
      </w:r>
    </w:p>
    <w:p>
      <w:pPr>
        <w:pStyle w:val="BodyText"/>
        <w:spacing w:line="302" w:lineRule="auto" w:before="63"/>
        <w:ind w:left="174" w:right="0"/>
        <w:jc w:val="left"/>
      </w:pPr>
      <w:r>
        <w:rPr>
          <w:spacing w:val="-5"/>
        </w:rPr>
        <w:t>万元，技术服务收入</w:t>
      </w:r>
      <w:r>
        <w:rPr>
          <w:spacing w:val="-46"/>
        </w:rPr>
        <w:t> </w:t>
      </w:r>
      <w:r>
        <w:rPr>
          <w:rFonts w:ascii="Times New Roman" w:hAnsi="Times New Roman" w:cs="Times New Roman" w:eastAsia="Times New Roman" w:hint="default"/>
        </w:rPr>
        <w:t>10,108.65</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t>产品及开发服务收入</w:t>
      </w:r>
      <w:r>
        <w:rPr>
          <w:spacing w:val="-46"/>
        </w:rPr>
        <w:t> </w:t>
      </w:r>
      <w:r>
        <w:rPr>
          <w:rFonts w:ascii="Times New Roman" w:hAnsi="Times New Roman" w:cs="Times New Roman" w:eastAsia="Times New Roman" w:hint="default"/>
        </w:rPr>
        <w:t>17,439.61</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系统集成收入</w:t>
      </w:r>
      <w:r>
        <w:rPr>
          <w:spacing w:val="-46"/>
        </w:rPr>
        <w:t> </w:t>
      </w:r>
      <w:r>
        <w:rPr>
          <w:rFonts w:ascii="Times New Roman" w:hAnsi="Times New Roman" w:cs="Times New Roman" w:eastAsia="Times New Roman" w:hint="default"/>
        </w:rPr>
        <w:t>6,945.83 </w:t>
      </w:r>
      <w:r>
        <w:rPr>
          <w:spacing w:val="-4"/>
        </w:rPr>
        <w:t>万元；实现利润总额及归属</w:t>
      </w:r>
      <w:r>
        <w:rPr/>
        <w:t> 于上市公司股东的净利润分别为</w:t>
      </w:r>
      <w:r>
        <w:rPr>
          <w:spacing w:val="-47"/>
        </w:rPr>
        <w:t> </w:t>
      </w:r>
      <w:r>
        <w:rPr>
          <w:rFonts w:ascii="Times New Roman" w:hAnsi="Times New Roman" w:cs="Times New Roman" w:eastAsia="Times New Roman" w:hint="default"/>
        </w:rPr>
        <w:t>27,424.51</w:t>
      </w:r>
      <w:r>
        <w:rPr>
          <w:rFonts w:ascii="Times New Roman" w:hAnsi="Times New Roman" w:cs="Times New Roman" w:eastAsia="Times New Roman" w:hint="default"/>
          <w:spacing w:val="-2"/>
        </w:rPr>
        <w:t> </w:t>
      </w:r>
      <w:r>
        <w:rPr/>
        <w:t>万元和</w:t>
      </w:r>
      <w:r>
        <w:rPr>
          <w:spacing w:val="-47"/>
        </w:rPr>
        <w:t> </w:t>
      </w:r>
      <w:r>
        <w:rPr>
          <w:rFonts w:ascii="Times New Roman" w:hAnsi="Times New Roman" w:cs="Times New Roman" w:eastAsia="Times New Roman" w:hint="default"/>
        </w:rPr>
        <w:t>24,559.16</w:t>
      </w:r>
      <w:r>
        <w:rPr>
          <w:rFonts w:ascii="Times New Roman" w:hAnsi="Times New Roman" w:cs="Times New Roman" w:eastAsia="Times New Roman" w:hint="default"/>
          <w:spacing w:val="-2"/>
        </w:rPr>
        <w:t> </w:t>
      </w:r>
      <w:r>
        <w:rPr/>
        <w:t>万元，较上年同期分别增长</w:t>
      </w:r>
      <w:r>
        <w:rPr>
          <w:spacing w:val="-47"/>
        </w:rPr>
        <w:t> </w:t>
      </w:r>
      <w:r>
        <w:rPr>
          <w:rFonts w:ascii="Times New Roman" w:hAnsi="Times New Roman" w:cs="Times New Roman" w:eastAsia="Times New Roman" w:hint="default"/>
        </w:rPr>
        <w:t>39.33%</w:t>
      </w:r>
      <w:r>
        <w:rPr/>
        <w:t>和</w:t>
      </w:r>
      <w:r>
        <w:rPr>
          <w:spacing w:val="-47"/>
        </w:rPr>
        <w:t> </w:t>
      </w:r>
      <w:r>
        <w:rPr>
          <w:rFonts w:ascii="Times New Roman" w:hAnsi="Times New Roman" w:cs="Times New Roman" w:eastAsia="Times New Roman" w:hint="default"/>
        </w:rPr>
        <w:t>38.38%</w:t>
      </w:r>
      <w:r>
        <w:rPr/>
        <w:t>。</w:t>
      </w:r>
    </w:p>
    <w:p>
      <w:pPr>
        <w:pStyle w:val="BodyText"/>
        <w:spacing w:line="302" w:lineRule="auto" w:before="49"/>
        <w:ind w:left="174" w:right="1023" w:firstLine="36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报告期内，方欣科技的金税业务开拓了国家税务总局、上海市税务局等战略市场，进一步巩固了广东、北京等市场， 覆盖全国</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个省市，服务</w:t>
      </w:r>
      <w:r>
        <w:rPr>
          <w:spacing w:val="-46"/>
        </w:rPr>
        <w:t> </w:t>
      </w:r>
      <w:r>
        <w:rPr>
          <w:rFonts w:ascii="Times New Roman" w:hAnsi="Times New Roman" w:cs="Times New Roman" w:eastAsia="Times New Roman" w:hint="default"/>
        </w:rPr>
        <w:t>1000+</w:t>
      </w:r>
      <w:r>
        <w:rPr/>
        <w:t>万企业，各项经营业绩指标较</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年再上新的台阶。</w:t>
      </w:r>
    </w:p>
    <w:p>
      <w:pPr>
        <w:pStyle w:val="BodyText"/>
        <w:spacing w:line="304" w:lineRule="auto" w:before="49"/>
        <w:ind w:left="174" w:right="1120" w:firstLine="36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4"/>
        </w:rPr>
        <w:t> </w:t>
      </w:r>
      <w:r>
        <w:rPr/>
        <w:t>报告期内，方欣科技的金财业务在商业模式、产品体系、用户集聚、伙伴拓展、伙伴赋能等方面全面加速，形成了 支撑财税行业</w:t>
      </w:r>
      <w:r>
        <w:rPr>
          <w:spacing w:val="-45"/>
        </w:rPr>
        <w:t> </w:t>
      </w:r>
      <w:r>
        <w:rPr>
          <w:rFonts w:ascii="Times New Roman" w:hAnsi="Times New Roman" w:cs="Times New Roman" w:eastAsia="Times New Roman" w:hint="default"/>
        </w:rPr>
        <w:t>S2b2c</w:t>
      </w:r>
      <w:r>
        <w:rPr>
          <w:rFonts w:ascii="Times New Roman" w:hAnsi="Times New Roman" w:cs="Times New Roman" w:eastAsia="Times New Roman" w:hint="default"/>
          <w:spacing w:val="1"/>
        </w:rPr>
        <w:t> </w:t>
      </w:r>
      <w:r>
        <w:rPr>
          <w:spacing w:val="-2"/>
        </w:rPr>
        <w:t>商业模式的产品体系。形成了面向税务局、代理记账机构、税务师事务所、企业会计、老板、员工的全</w:t>
      </w:r>
      <w:r>
        <w:rPr/>
        <w:t> </w:t>
      </w:r>
      <w:r>
        <w:rPr>
          <w:spacing w:val="-2"/>
        </w:rPr>
        <w:t>系列智能财税产品体系。平台积累了</w:t>
      </w:r>
      <w:r>
        <w:rPr>
          <w:spacing w:val="-37"/>
        </w:rPr>
        <w:t> </w:t>
      </w:r>
      <w:r>
        <w:rPr>
          <w:rFonts w:ascii="Times New Roman" w:hAnsi="Times New Roman" w:cs="Times New Roman" w:eastAsia="Times New Roman" w:hint="default"/>
          <w:spacing w:val="-1"/>
        </w:rPr>
        <w:t>1000+</w:t>
      </w:r>
      <w:r>
        <w:rPr>
          <w:spacing w:val="-1"/>
        </w:rPr>
        <w:t>万企业用户，</w:t>
      </w:r>
      <w:r>
        <w:rPr>
          <w:rFonts w:ascii="Times New Roman" w:hAnsi="Times New Roman" w:cs="Times New Roman" w:eastAsia="Times New Roman" w:hint="default"/>
          <w:spacing w:val="-1"/>
        </w:rPr>
        <w:t>200+</w:t>
      </w:r>
      <w:r>
        <w:rPr>
          <w:spacing w:val="-1"/>
        </w:rPr>
        <w:t>万付费用户。伙伴拓展方面完成了核心电局省份合作伙伴的发</w:t>
      </w:r>
      <w:r>
        <w:rPr>
          <w:spacing w:val="-88"/>
        </w:rPr>
        <w:t> </w:t>
      </w:r>
      <w:r>
        <w:rPr>
          <w:spacing w:val="-88"/>
        </w:rPr>
      </w:r>
      <w:r>
        <w:rPr>
          <w:spacing w:val="-2"/>
        </w:rPr>
        <w:t>展。伙伴赋能方面形成了面向代理记账公司和事务所的完整赋能体系，包括用户资源、数据资源、技术资源、专业能力、品</w:t>
      </w:r>
      <w:r>
        <w:rPr>
          <w:spacing w:val="-67"/>
        </w:rPr>
        <w:t> </w:t>
      </w:r>
      <w:r>
        <w:rPr>
          <w:spacing w:val="-67"/>
        </w:rPr>
      </w:r>
      <w:r>
        <w:rPr/>
        <w:t>牌资源以及增值产品。</w:t>
      </w:r>
    </w:p>
    <w:p>
      <w:pPr>
        <w:pStyle w:val="BodyText"/>
        <w:spacing w:line="240" w:lineRule="auto" w:before="68"/>
        <w:ind w:right="0"/>
        <w:jc w:val="left"/>
      </w:pPr>
      <w:r>
        <w:rPr/>
        <w:t>②</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年方欣科技经营目标</w:t>
      </w:r>
    </w:p>
    <w:p>
      <w:pPr>
        <w:pStyle w:val="BodyText"/>
        <w:spacing w:line="302" w:lineRule="auto" w:before="101"/>
        <w:ind w:left="174" w:right="1157" w:firstLine="360"/>
        <w:jc w:val="left"/>
      </w:pPr>
      <w:r>
        <w:rPr>
          <w:spacing w:val="-4"/>
        </w:rPr>
        <w:t>为了实现“在线连接、数据智能、网络协同”，</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
        </w:rPr>
        <w:t> </w:t>
      </w:r>
      <w:r>
        <w:rPr/>
        <w:t>年力争实现全国</w:t>
      </w:r>
      <w:r>
        <w:rPr>
          <w:spacing w:val="-44"/>
        </w:rPr>
        <w:t> </w:t>
      </w:r>
      <w:r>
        <w:rPr>
          <w:rFonts w:ascii="Times New Roman" w:hAnsi="Times New Roman" w:cs="Times New Roman" w:eastAsia="Times New Roman" w:hint="default"/>
        </w:rPr>
        <w:t>36</w:t>
      </w:r>
      <w:r>
        <w:rPr>
          <w:rFonts w:ascii="Times New Roman" w:hAnsi="Times New Roman" w:cs="Times New Roman" w:eastAsia="Times New Roman" w:hint="default"/>
          <w:spacing w:val="2"/>
        </w:rPr>
        <w:t> </w:t>
      </w:r>
      <w:r>
        <w:rPr/>
        <w:t>个省份的平台接入，实现在线用户数</w:t>
      </w:r>
      <w:r>
        <w:rPr>
          <w:spacing w:val="-44"/>
        </w:rPr>
        <w:t> </w:t>
      </w:r>
      <w:r>
        <w:rPr>
          <w:rFonts w:ascii="Times New Roman" w:hAnsi="Times New Roman" w:cs="Times New Roman" w:eastAsia="Times New Roman" w:hint="default"/>
        </w:rPr>
        <w:t>30%</w:t>
      </w:r>
      <w:r>
        <w:rPr/>
        <w:t>以上 的增长，付费收入</w:t>
      </w:r>
      <w:r>
        <w:rPr>
          <w:spacing w:val="-46"/>
        </w:rPr>
        <w:t> </w:t>
      </w:r>
      <w:r>
        <w:rPr>
          <w:rFonts w:ascii="Times New Roman" w:hAnsi="Times New Roman" w:cs="Times New Roman" w:eastAsia="Times New Roman" w:hint="default"/>
        </w:rPr>
        <w:t>40%</w:t>
      </w:r>
      <w:r>
        <w:rPr/>
        <w:t>以上的增长。</w:t>
      </w:r>
    </w:p>
    <w:p>
      <w:pPr>
        <w:pStyle w:val="BodyText"/>
        <w:spacing w:line="240" w:lineRule="auto" w:before="50"/>
        <w:ind w:right="0"/>
        <w:jc w:val="left"/>
      </w:pPr>
      <w:r>
        <w:rPr/>
        <w:t>③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年方欣科技经营计划</w:t>
      </w:r>
    </w:p>
    <w:p>
      <w:pPr>
        <w:pStyle w:val="BodyText"/>
        <w:spacing w:line="309" w:lineRule="auto" w:before="102"/>
        <w:ind w:left="174" w:right="0" w:firstLine="36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4"/>
        </w:rPr>
        <w:t> </w:t>
      </w:r>
      <w:r>
        <w:rPr/>
        <w:t>继续加大“大中台”和精准用户体验提升的“小前端”的投入。大中台包含的“业务中台”和“数据中台”是提升 </w:t>
      </w:r>
      <w:r>
        <w:rPr>
          <w:spacing w:val="-2"/>
        </w:rPr>
        <w:t>用户体验，建立用户体验监测体系，实时感受用户的感受，并快速反馈改进的底层支撑平台，因此要继续加大“大中台”平</w:t>
      </w:r>
      <w:r>
        <w:rPr>
          <w:spacing w:val="-65"/>
        </w:rPr>
        <w:t> </w:t>
      </w:r>
      <w:r>
        <w:rPr>
          <w:spacing w:val="-65"/>
        </w:rPr>
      </w:r>
      <w:r>
        <w:rPr/>
        <w:t>台的投入。同时为了更精准地面向不同用户群提供更精细化的服务，继续加大“小前端”产品的研发。</w:t>
      </w:r>
    </w:p>
    <w:p>
      <w:pPr>
        <w:pStyle w:val="BodyText"/>
        <w:spacing w:line="302" w:lineRule="auto" w:before="62"/>
        <w:ind w:left="174" w:right="1023" w:firstLine="36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9"/>
        </w:rPr>
        <w:t> </w:t>
      </w:r>
      <w:r>
        <w:rPr/>
        <w:t>加速财税服务机构的市场渗透。利用公司完整的数字化解决方案以及领先的工具软件免费增值业务分成的商业模式， 加速赋能代理记账公司、事务所等线下财税服务机构，实现财税服务机构的数字化转型升级。</w:t>
      </w:r>
    </w:p>
    <w:p>
      <w:pPr>
        <w:pStyle w:val="BodyText"/>
        <w:spacing w:line="309" w:lineRule="auto" w:before="68"/>
        <w:ind w:left="174" w:right="1032" w:firstLine="360"/>
        <w:jc w:val="left"/>
      </w:pPr>
      <w:r>
        <w:rPr>
          <w:rFonts w:ascii="Times New Roman" w:hAnsi="Times New Roman" w:cs="Times New Roman" w:eastAsia="Times New Roman" w:hint="default"/>
        </w:rPr>
        <w:t>c. </w:t>
      </w:r>
      <w:r>
        <w:rPr/>
        <w:t>快速拓展中小企业市场，提升用户体验。加速拓展中小企业用户，深耕电子税务局市场，实现中小企业用户的在线 化，通过内容加强用户的活跃度，建立用户体验监测体系，实时感受客户的感受，并快速反馈改进。在强大的“业务中台” 和“数据中台”的支撑下，以智能化方式向线上客户经理及合作伙伴的财税专家赋能，从根本上提升客户体验。</w:t>
      </w:r>
    </w:p>
    <w:p>
      <w:pPr>
        <w:pStyle w:val="BodyText"/>
        <w:spacing w:line="309" w:lineRule="auto" w:before="64"/>
        <w:ind w:left="174" w:right="1133" w:firstLine="36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44"/>
        </w:rPr>
        <w:t> </w:t>
      </w:r>
      <w:r>
        <w:rPr/>
        <w:t>布局家庭个人蓝海市场。利用财税服务机构和中小企业市场积累的企业用户资源，基于个人电子发票管理、企业电 </w:t>
      </w:r>
      <w:r>
        <w:rPr>
          <w:spacing w:val="-2"/>
        </w:rPr>
        <w:t>子报销的刚性需求，覆盖企业员工群体，实现个人和家庭税赋管理的布局。特别是《电子商务法》实施带动社交电商用户的</w:t>
      </w:r>
      <w:r>
        <w:rPr>
          <w:spacing w:val="-66"/>
        </w:rPr>
        <w:t> </w:t>
      </w:r>
      <w:r>
        <w:rPr>
          <w:spacing w:val="-66"/>
        </w:rPr>
      </w:r>
      <w:r>
        <w:rPr/>
        <w:t>井喷。</w:t>
      </w:r>
    </w:p>
    <w:p>
      <w:pPr>
        <w:pStyle w:val="BodyText"/>
        <w:spacing w:line="312" w:lineRule="auto" w:before="62"/>
        <w:ind w:left="174" w:right="1032" w:firstLine="360"/>
        <w:jc w:val="left"/>
      </w:pPr>
      <w:r>
        <w:rPr>
          <w:spacing w:val="-2"/>
        </w:rPr>
        <w:t>完成财税服务机构、中小企业以及家庭个人用户布局之后，接下来的重点就是赋能合作伙伴。通过“会员制</w:t>
      </w:r>
      <w:r>
        <w:rPr>
          <w:rFonts w:ascii="Times New Roman" w:hAnsi="Times New Roman" w:cs="Times New Roman" w:eastAsia="Times New Roman" w:hint="default"/>
          <w:spacing w:val="-2"/>
        </w:rPr>
        <w:t>+</w:t>
      </w:r>
      <w:r>
        <w:rPr>
          <w:spacing w:val="-2"/>
        </w:rPr>
        <w:t>专项服务”</w:t>
      </w:r>
      <w:r>
        <w:rPr/>
        <w:t> </w:t>
      </w:r>
      <w:r>
        <w:rPr>
          <w:spacing w:val="-2"/>
        </w:rPr>
        <w:t>的付费模式，实现免费用户向付费用户的转化，不断提升付费用户的转化比例。加大合作伙伴赋能力度，从用户资源、数据</w:t>
      </w:r>
      <w:r>
        <w:rPr>
          <w:spacing w:val="-66"/>
        </w:rPr>
        <w:t> </w:t>
      </w:r>
      <w:r>
        <w:rPr>
          <w:spacing w:val="-66"/>
        </w:rPr>
      </w:r>
      <w:r>
        <w:rPr/>
        <w:t>资源、技术资源、专业能力、品牌资源等方面全方位赋能，特别是针对中小企业“合规经营”这一刚性需求，推出惠票通、 惠税宝、惠用工、产业税筹等系列增值产品，全面挖掘企业财税需求，不断提升</w:t>
      </w:r>
      <w:r>
        <w:rPr>
          <w:spacing w:val="-47"/>
        </w:rPr>
        <w:t> </w:t>
      </w:r>
      <w:r>
        <w:rPr>
          <w:rFonts w:ascii="Times New Roman" w:hAnsi="Times New Roman" w:cs="Times New Roman" w:eastAsia="Times New Roman" w:hint="default"/>
        </w:rPr>
        <w:t>ARPU</w:t>
      </w:r>
      <w:r>
        <w:rPr>
          <w:rFonts w:ascii="Times New Roman" w:hAnsi="Times New Roman" w:cs="Times New Roman" w:eastAsia="Times New Roman" w:hint="default"/>
          <w:spacing w:val="-3"/>
        </w:rPr>
        <w:t> </w:t>
      </w:r>
      <w:r>
        <w:rPr/>
        <w:t>值。</w:t>
      </w:r>
    </w:p>
    <w:p>
      <w:pPr>
        <w:pStyle w:val="Heading4"/>
        <w:spacing w:line="240" w:lineRule="auto" w:before="42"/>
        <w:ind w:right="0"/>
        <w:jc w:val="left"/>
        <w:rPr>
          <w:b w:val="0"/>
          <w:bCs w:val="0"/>
        </w:rPr>
      </w:pPr>
      <w:r>
        <w:rPr/>
        <w:t>（</w:t>
      </w:r>
      <w:r>
        <w:rPr>
          <w:rFonts w:ascii="Times New Roman" w:hAnsi="Times New Roman" w:cs="Times New Roman" w:eastAsia="Times New Roman" w:hint="default"/>
        </w:rPr>
        <w:t>4</w:t>
      </w:r>
      <w:r>
        <w:rPr/>
        <w:t>）公司面临的风险和应对措施</w:t>
      </w:r>
      <w:r>
        <w:rPr>
          <w:b w:val="0"/>
          <w:bCs w:val="0"/>
        </w:rPr>
      </w:r>
    </w:p>
    <w:p>
      <w:pPr>
        <w:pStyle w:val="BodyText"/>
        <w:spacing w:line="312" w:lineRule="auto" w:before="102"/>
        <w:ind w:left="174" w:right="0" w:firstLine="360"/>
        <w:jc w:val="left"/>
      </w:pPr>
      <w:r>
        <w:rPr>
          <w:spacing w:val="-2"/>
        </w:rPr>
        <w:t>①竞争加剧的风险。互联网的发展已经进入下半场，产业互联网成为当前资本投资以及创业的热点，财税服务领域作为</w:t>
      </w:r>
      <w:r>
        <w:rPr/>
        <w:t> 企业服务领域最具价值的细分领域之一，成为当前投资与创业的热点之一，特别是</w:t>
      </w:r>
      <w:r>
        <w:rPr>
          <w:spacing w:val="-46"/>
        </w:rPr>
        <w:t> </w:t>
      </w:r>
      <w:r>
        <w:rPr>
          <w:rFonts w:ascii="Times New Roman" w:hAnsi="Times New Roman" w:cs="Times New Roman" w:eastAsia="Times New Roman" w:hint="default"/>
        </w:rPr>
        <w:t>TO</w:t>
      </w:r>
      <w:r>
        <w:rPr>
          <w:rFonts w:ascii="Times New Roman" w:hAnsi="Times New Roman" w:cs="Times New Roman" w:eastAsia="Times New Roman" w:hint="default"/>
          <w:spacing w:val="-1"/>
        </w:rPr>
        <w:t> </w:t>
      </w:r>
      <w:r>
        <w:rPr>
          <w:rFonts w:ascii="Times New Roman" w:hAnsi="Times New Roman" w:cs="Times New Roman" w:eastAsia="Times New Roman" w:hint="default"/>
        </w:rPr>
        <w:t>C</w:t>
      </w:r>
      <w:r>
        <w:rPr>
          <w:rFonts w:ascii="Times New Roman" w:hAnsi="Times New Roman" w:cs="Times New Roman" w:eastAsia="Times New Roman" w:hint="default"/>
          <w:spacing w:val="-2"/>
        </w:rPr>
        <w:t> </w:t>
      </w:r>
      <w:r>
        <w:rPr/>
        <w:t>领域的巨头</w:t>
      </w:r>
      <w:r>
        <w:rPr>
          <w:spacing w:val="-47"/>
        </w:rPr>
        <w:t> </w:t>
      </w:r>
      <w:r>
        <w:rPr>
          <w:rFonts w:ascii="Times New Roman" w:hAnsi="Times New Roman" w:cs="Times New Roman" w:eastAsia="Times New Roman" w:hint="default"/>
          <w:spacing w:val="-7"/>
        </w:rPr>
        <w:t>BAT</w:t>
      </w:r>
      <w:r>
        <w:rPr>
          <w:rFonts w:ascii="Times New Roman" w:hAnsi="Times New Roman" w:cs="Times New Roman" w:eastAsia="Times New Roman" w:hint="default"/>
          <w:spacing w:val="-2"/>
        </w:rPr>
        <w:t> </w:t>
      </w:r>
      <w:r>
        <w:rPr/>
        <w:t>纷纷布局财税领 </w:t>
      </w:r>
      <w:r>
        <w:rPr>
          <w:spacing w:val="-2"/>
        </w:rPr>
        <w:t>域，加剧了这个市场的竞争程度。由于财税领域的专业性，需要有一个时间窗口完成产品的研发及商业模式的验证，我们要</w:t>
      </w:r>
      <w:r>
        <w:rPr>
          <w:spacing w:val="-66"/>
        </w:rPr>
        <w:t> </w:t>
      </w:r>
      <w:r>
        <w:rPr>
          <w:spacing w:val="-66"/>
        </w:rPr>
      </w:r>
      <w:r>
        <w:rPr/>
        <w:t>利用这个时间窗口快速积累用户和吸引合作伙伴，形成市场壁垒。</w:t>
      </w:r>
    </w:p>
    <w:p>
      <w:pPr>
        <w:pStyle w:val="BodyText"/>
        <w:spacing w:line="302" w:lineRule="auto" w:before="61"/>
        <w:ind w:left="174" w:right="1132" w:firstLine="360"/>
        <w:jc w:val="both"/>
      </w:pPr>
      <w:r>
        <w:rPr/>
        <w:t>②应收账款过高的风险。由于平台以前采用合作伙伴付款方式，导致应收账款存在过高的风险。</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年下半年开始， </w:t>
      </w:r>
      <w:r>
        <w:rPr>
          <w:spacing w:val="-1"/>
        </w:rPr>
        <w:t>平台尝试采用赋能线下财税服务机构、面向企业提供“会员制</w:t>
      </w:r>
      <w:r>
        <w:rPr>
          <w:rFonts w:ascii="Times New Roman" w:hAnsi="Times New Roman" w:cs="Times New Roman" w:eastAsia="Times New Roman" w:hint="default"/>
          <w:spacing w:val="-1"/>
        </w:rPr>
        <w:t>+</w:t>
      </w:r>
      <w:r>
        <w:rPr>
          <w:spacing w:val="-1"/>
        </w:rPr>
        <w:t>专项服务”这一模式，即以企业付费为主，付费后与合作伙</w:t>
      </w:r>
      <w:r>
        <w:rPr>
          <w:spacing w:val="-44"/>
        </w:rPr>
        <w:t> </w:t>
      </w:r>
      <w:r>
        <w:rPr>
          <w:spacing w:val="-44"/>
        </w:rPr>
      </w:r>
      <w:r>
        <w:rPr/>
        <w:t>伴进行分成，未来应收账款过高的风险将会得到有效控制。</w:t>
      </w:r>
    </w:p>
    <w:p>
      <w:pPr>
        <w:pStyle w:val="BodyText"/>
        <w:spacing w:line="309" w:lineRule="auto" w:before="68"/>
        <w:ind w:left="174" w:right="0" w:firstLine="360"/>
        <w:jc w:val="left"/>
      </w:pPr>
      <w:r>
        <w:rPr/>
        <w:t>③公司人才重塑以及组织重构的速度与业务高速发展匹配的风险。公司经过</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多年的发展，业务模式发生了几次重大 </w:t>
      </w:r>
      <w:r>
        <w:rPr>
          <w:spacing w:val="-4"/>
        </w:rPr>
        <w:t>转型，从早期政府项目型到产品型，从产品型到现在的平台运营型，不同业务模式对人才的要求和组织架构模式都不尽相同。</w:t>
      </w:r>
      <w:r>
        <w:rPr>
          <w:spacing w:val="-44"/>
        </w:rPr>
        <w:t> </w:t>
      </w:r>
      <w:r>
        <w:rPr>
          <w:spacing w:val="-44"/>
        </w:rPr>
      </w:r>
      <w:r>
        <w:rPr>
          <w:spacing w:val="-2"/>
        </w:rPr>
        <w:t>为了实现公司的战略目标，在竞争激烈的财税行业中长期处于领跑地位，公司现有人才和组织都需要重塑以适应现有业务模</w:t>
      </w:r>
    </w:p>
    <w:p>
      <w:pPr>
        <w:spacing w:after="0" w:line="309"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1130"/>
        <w:jc w:val="both"/>
      </w:pPr>
      <w:r>
        <w:rPr>
          <w:spacing w:val="-2"/>
        </w:rPr>
        <w:t>式。从目前公司的人才结构看，项目型、产品型人才如何转型为符合当前及未来业务需要的具备互联网平台运营思维的综合</w:t>
      </w:r>
      <w:r>
        <w:rPr>
          <w:spacing w:val="-66"/>
        </w:rPr>
        <w:t> </w:t>
      </w:r>
      <w:r>
        <w:rPr>
          <w:spacing w:val="-66"/>
        </w:rPr>
      </w:r>
      <w:r>
        <w:rPr>
          <w:spacing w:val="-2"/>
        </w:rPr>
        <w:t>型人才，现有的人才队伍中能否重塑自我、重构组织的速度，外部引进的人才有多少行业匹配度、有多快可以创造价值，公</w:t>
      </w:r>
      <w:r>
        <w:rPr>
          <w:spacing w:val="-66"/>
        </w:rPr>
        <w:t> </w:t>
      </w:r>
      <w:r>
        <w:rPr>
          <w:spacing w:val="-66"/>
        </w:rPr>
      </w:r>
      <w:r>
        <w:rPr>
          <w:spacing w:val="-2"/>
        </w:rPr>
        <w:t>司人才结构和组织能力成长的速度是否能匹配业务的高速发展将成为公司经营面临的主要内部风险。为此，公司通过引进和</w:t>
      </w:r>
      <w:r>
        <w:rPr>
          <w:spacing w:val="-63"/>
        </w:rPr>
        <w:t> </w:t>
      </w:r>
      <w:r>
        <w:rPr>
          <w:spacing w:val="-63"/>
        </w:rPr>
      </w:r>
      <w:r>
        <w:rPr>
          <w:spacing w:val="-2"/>
        </w:rPr>
        <w:t>实战培养，锻练出了一批具备运营能力的互联网、数据思维的干部队伍，把他们作为教练团，加速培养并在实战中完成人才</w:t>
      </w:r>
      <w:r>
        <w:rPr>
          <w:spacing w:val="-66"/>
        </w:rPr>
        <w:t> </w:t>
      </w:r>
      <w:r>
        <w:rPr>
          <w:spacing w:val="-66"/>
        </w:rPr>
      </w:r>
      <w:r>
        <w:rPr/>
        <w:t>重塑升级。</w:t>
      </w:r>
    </w:p>
    <w:p>
      <w:pPr>
        <w:pStyle w:val="Heading4"/>
        <w:spacing w:line="240" w:lineRule="auto" w:before="56"/>
        <w:ind w:right="0"/>
        <w:jc w:val="left"/>
        <w:rPr>
          <w:b w:val="0"/>
          <w:bCs w:val="0"/>
        </w:rPr>
      </w:pPr>
      <w:r>
        <w:rPr>
          <w:rFonts w:ascii="Times New Roman" w:hAnsi="Times New Roman" w:cs="Times New Roman" w:eastAsia="Times New Roman" w:hint="default"/>
        </w:rPr>
        <w:t>2</w:t>
      </w:r>
      <w:r>
        <w:rPr/>
        <w:t>、热处理业务</w:t>
      </w:r>
      <w:r>
        <w:rPr>
          <w:b w:val="0"/>
          <w:bCs w:val="0"/>
        </w:rPr>
      </w:r>
    </w:p>
    <w:p>
      <w:pPr>
        <w:pStyle w:val="Heading4"/>
        <w:spacing w:line="240" w:lineRule="auto" w:before="103"/>
        <w:ind w:right="0"/>
        <w:jc w:val="left"/>
        <w:rPr>
          <w:b w:val="0"/>
          <w:bCs w:val="0"/>
        </w:rPr>
      </w:pPr>
      <w:r>
        <w:rPr/>
        <w:t>（</w:t>
      </w:r>
      <w:r>
        <w:rPr>
          <w:rFonts w:ascii="Times New Roman" w:hAnsi="Times New Roman" w:cs="Times New Roman" w:eastAsia="Times New Roman" w:hint="default"/>
        </w:rPr>
        <w:t>1</w:t>
      </w:r>
      <w:r>
        <w:rPr/>
        <w:t>）行业格局和趋势</w:t>
      </w:r>
      <w:r>
        <w:rPr>
          <w:b w:val="0"/>
          <w:bCs w:val="0"/>
        </w:rPr>
      </w:r>
    </w:p>
    <w:p>
      <w:pPr>
        <w:pStyle w:val="BodyText"/>
        <w:spacing w:line="314" w:lineRule="auto" w:before="101"/>
        <w:ind w:left="174" w:right="1132" w:firstLine="360"/>
        <w:jc w:val="both"/>
      </w:pPr>
      <w:r>
        <w:rPr/>
        <w:t>《中国制造</w:t>
      </w:r>
      <w:r>
        <w:rPr>
          <w:spacing w:val="-46"/>
        </w:rPr>
        <w:t> </w:t>
      </w:r>
      <w:r>
        <w:rPr>
          <w:rFonts w:ascii="Times New Roman" w:hAnsi="Times New Roman" w:cs="Times New Roman" w:eastAsia="Times New Roman" w:hint="default"/>
        </w:rPr>
        <w:t>2025</w:t>
      </w:r>
      <w:r>
        <w:rPr/>
        <w:t>》强国战略规划坚持创新驱动、智能转型、强化基础、绿色发展，加快从制造大国转向制造强国。随 </w:t>
      </w:r>
      <w:r>
        <w:rPr>
          <w:spacing w:val="-2"/>
        </w:rPr>
        <w:t>着机械行业的健康发展及市场机制不断完善和融入世界经济一体化的需求，全球发达国家和新兴发展中国家，无不以发展先</w:t>
      </w:r>
      <w:r>
        <w:rPr>
          <w:spacing w:val="-64"/>
        </w:rPr>
        <w:t> </w:t>
      </w:r>
      <w:r>
        <w:rPr>
          <w:spacing w:val="-64"/>
        </w:rPr>
      </w:r>
      <w:r>
        <w:rPr>
          <w:spacing w:val="-2"/>
        </w:rPr>
        <w:t>进制造业和高端制造业为产业战略导向。我国从国家战略和提高国家综合竞争力出发，提出实施制造业强国战略，参与世界</w:t>
      </w:r>
      <w:r>
        <w:rPr>
          <w:spacing w:val="-66"/>
        </w:rPr>
        <w:t> </w:t>
      </w:r>
      <w:r>
        <w:rPr>
          <w:spacing w:val="-66"/>
        </w:rPr>
      </w:r>
      <w:r>
        <w:rPr>
          <w:spacing w:val="-2"/>
        </w:rPr>
        <w:t>先进制造技术竞争，这是实现中华民族伟大复兴的中国梦的一个重要组成部分。热处理是机械制造的重要组成部分，是强化</w:t>
      </w:r>
      <w:r>
        <w:rPr>
          <w:spacing w:val="-66"/>
        </w:rPr>
        <w:t> </w:t>
      </w:r>
      <w:r>
        <w:rPr>
          <w:spacing w:val="-66"/>
        </w:rPr>
      </w:r>
      <w:r>
        <w:rPr>
          <w:spacing w:val="-2"/>
        </w:rPr>
        <w:t>金属材料，发挥其潜在能力的重要工艺措施，是保证我国立足未来制造业的制高点、提高机械产品质量、延长产品寿命、创</w:t>
      </w:r>
      <w:r>
        <w:rPr>
          <w:spacing w:val="-65"/>
        </w:rPr>
        <w:t> </w:t>
      </w:r>
      <w:r>
        <w:rPr>
          <w:spacing w:val="-65"/>
        </w:rPr>
      </w:r>
      <w:r>
        <w:rPr/>
        <w:t>造中国品牌、增强国际市场竞争力的关键技术之一。</w:t>
      </w:r>
    </w:p>
    <w:p>
      <w:pPr>
        <w:pStyle w:val="BodyText"/>
        <w:spacing w:line="309" w:lineRule="auto" w:before="59"/>
        <w:ind w:left="174" w:right="1131" w:firstLine="360"/>
        <w:jc w:val="both"/>
      </w:pPr>
      <w:r>
        <w:rPr>
          <w:spacing w:val="-1"/>
        </w:rPr>
        <w:t>绿色制造是《国家中长期科学和技术发展规划纲要（</w:t>
      </w:r>
      <w:r>
        <w:rPr>
          <w:rFonts w:ascii="Times New Roman" w:hAnsi="Times New Roman" w:cs="Times New Roman" w:eastAsia="Times New Roman" w:hint="default"/>
          <w:spacing w:val="-1"/>
        </w:rPr>
        <w:t>2006</w:t>
      </w:r>
      <w:r>
        <w:rPr>
          <w:spacing w:val="-1"/>
        </w:rPr>
        <w:t>～</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17"/>
        </w:rPr>
        <w:t> </w:t>
      </w:r>
      <w:r>
        <w:rPr>
          <w:spacing w:val="-5"/>
        </w:rPr>
        <w:t>年）》制造业发展的重要趋势以及科技开发优先支持的</w:t>
      </w:r>
      <w:r>
        <w:rPr/>
        <w:t> </w:t>
      </w:r>
      <w:r>
        <w:rPr>
          <w:spacing w:val="-2"/>
        </w:rPr>
        <w:t>主题，绿色制造是综合考虑环境影响和资源效益的现代制造模式，是可持续发展的必由之路，同时也给热处理工艺与装备的</w:t>
      </w:r>
      <w:r>
        <w:rPr>
          <w:spacing w:val="-66"/>
        </w:rPr>
        <w:t> </w:t>
      </w:r>
      <w:r>
        <w:rPr>
          <w:spacing w:val="-66"/>
        </w:rPr>
      </w:r>
      <w:r>
        <w:rPr/>
        <w:t>发展提出了更高的要求。</w:t>
      </w:r>
    </w:p>
    <w:p>
      <w:pPr>
        <w:pStyle w:val="BodyText"/>
        <w:spacing w:line="302" w:lineRule="auto" w:before="64"/>
        <w:ind w:left="174" w:right="1041" w:firstLine="360"/>
        <w:jc w:val="both"/>
      </w:pPr>
      <w:r>
        <w:rPr>
          <w:spacing w:val="-7"/>
        </w:rPr>
        <w:t>近年来智能制造引起了国内外的广泛关注，《中国制造 </w:t>
      </w:r>
      <w:r>
        <w:rPr>
          <w:rFonts w:ascii="Times New Roman" w:hAnsi="Times New Roman" w:cs="Times New Roman" w:eastAsia="Times New Roman" w:hint="default"/>
          <w:spacing w:val="-3"/>
        </w:rPr>
        <w:t>2025</w:t>
      </w:r>
      <w:r>
        <w:rPr>
          <w:spacing w:val="-3"/>
        </w:rPr>
        <w:t>》也明确提出了以加快新一代信息技术与制造业融合为主线，</w:t>
      </w:r>
      <w:r>
        <w:rPr/>
        <w:t> 以推进智能制造为主攻方向。因此，加快推进热处理信息化与智能制造，是未来热处理发展方向。</w:t>
      </w:r>
    </w:p>
    <w:p>
      <w:pPr>
        <w:pStyle w:val="Heading4"/>
        <w:spacing w:line="240" w:lineRule="auto" w:before="69"/>
        <w:ind w:right="0"/>
        <w:jc w:val="left"/>
        <w:rPr>
          <w:b w:val="0"/>
          <w:bCs w:val="0"/>
        </w:rPr>
      </w:pPr>
      <w:r>
        <w:rPr/>
        <w:t>（</w:t>
      </w:r>
      <w:r>
        <w:rPr>
          <w:rFonts w:ascii="Times New Roman" w:hAnsi="Times New Roman" w:cs="Times New Roman" w:eastAsia="Times New Roman" w:hint="default"/>
        </w:rPr>
        <w:t>2</w:t>
      </w:r>
      <w:r>
        <w:rPr/>
        <w:t>）发展战略</w:t>
      </w:r>
      <w:r>
        <w:rPr>
          <w:b w:val="0"/>
          <w:bCs w:val="0"/>
        </w:rPr>
      </w:r>
    </w:p>
    <w:p>
      <w:pPr>
        <w:pStyle w:val="BodyText"/>
        <w:spacing w:line="309" w:lineRule="auto" w:before="101"/>
        <w:ind w:left="174" w:right="1133" w:firstLine="360"/>
        <w:jc w:val="both"/>
      </w:pPr>
      <w:r>
        <w:rPr/>
        <w:t>公司将积极响应国务院《中国制造</w:t>
      </w:r>
      <w:r>
        <w:rPr>
          <w:spacing w:val="-46"/>
        </w:rPr>
        <w:t> </w:t>
      </w:r>
      <w:r>
        <w:rPr>
          <w:rFonts w:ascii="Times New Roman" w:hAnsi="Times New Roman" w:cs="Times New Roman" w:eastAsia="Times New Roman" w:hint="default"/>
        </w:rPr>
        <w:t>2025</w:t>
      </w:r>
      <w:r>
        <w:rPr/>
        <w:t>》行动纲领，把握制造强国战略和战略性新兴产业成长为热处理发展注入新动 </w:t>
      </w:r>
      <w:r>
        <w:rPr>
          <w:spacing w:val="-2"/>
        </w:rPr>
        <w:t>力的历史机遇，坚持技术创新，深入推进两化融合，为客户提供优质、高效、节能、环保的先进热处理装备及服务。与此同</w:t>
      </w:r>
      <w:r>
        <w:rPr>
          <w:spacing w:val="-71"/>
        </w:rPr>
        <w:t> </w:t>
      </w:r>
      <w:r>
        <w:rPr>
          <w:spacing w:val="-71"/>
        </w:rPr>
      </w:r>
      <w:r>
        <w:rPr/>
        <w:t>时，公司将积极布局与高性能材料生产和新材料开发有关的新领域项目，培育新的业务增长点。</w:t>
      </w:r>
    </w:p>
    <w:p>
      <w:pPr>
        <w:pStyle w:val="Heading4"/>
        <w:spacing w:line="240" w:lineRule="auto" w:before="65"/>
        <w:ind w:right="0"/>
        <w:jc w:val="left"/>
        <w:rPr>
          <w:b w:val="0"/>
          <w:bCs w:val="0"/>
        </w:rPr>
      </w:pPr>
      <w:r>
        <w:rPr/>
        <w:t>（</w:t>
      </w:r>
      <w:r>
        <w:rPr>
          <w:rFonts w:ascii="Times New Roman" w:hAnsi="Times New Roman" w:cs="Times New Roman" w:eastAsia="Times New Roman" w:hint="default"/>
        </w:rPr>
        <w:t>3</w:t>
      </w:r>
      <w:r>
        <w:rPr/>
        <w:t>）经营计划</w:t>
      </w:r>
      <w:r>
        <w:rPr>
          <w:b w:val="0"/>
          <w:bCs w:val="0"/>
        </w:rPr>
      </w:r>
    </w:p>
    <w:p>
      <w:pPr>
        <w:pStyle w:val="BodyText"/>
        <w:spacing w:line="240" w:lineRule="auto" w:before="102"/>
        <w:ind w:right="0"/>
        <w:jc w:val="left"/>
      </w:pPr>
      <w:r>
        <w:rPr/>
        <w:t>①回顾总结前期披露的发展战略和经营计划在报告期内的进展</w:t>
      </w:r>
    </w:p>
    <w:p>
      <w:pPr>
        <w:pStyle w:val="BodyText"/>
        <w:spacing w:line="302" w:lineRule="auto" w:before="115"/>
        <w:ind w:left="174" w:right="1135" w:firstLine="360"/>
        <w:jc w:val="both"/>
      </w:pPr>
      <w:r>
        <w:rPr>
          <w:rFonts w:ascii="Times New Roman" w:hAnsi="Times New Roman" w:cs="Times New Roman" w:eastAsia="Times New Roman" w:hint="default"/>
        </w:rPr>
        <w:t>a. </w:t>
      </w:r>
      <w:r>
        <w:rPr/>
        <w:t>报告期内，公司热处理板块圆满完成了</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年度经营目标：实现营业收入</w:t>
      </w:r>
      <w:r>
        <w:rPr>
          <w:spacing w:val="-47"/>
        </w:rPr>
        <w:t> </w:t>
      </w:r>
      <w:r>
        <w:rPr>
          <w:rFonts w:ascii="Times New Roman" w:hAnsi="Times New Roman" w:cs="Times New Roman" w:eastAsia="Times New Roman" w:hint="default"/>
        </w:rPr>
        <w:t>57,024.31</w:t>
      </w:r>
      <w:r>
        <w:rPr>
          <w:rFonts w:ascii="Times New Roman" w:hAnsi="Times New Roman" w:cs="Times New Roman" w:eastAsia="Times New Roman" w:hint="default"/>
          <w:spacing w:val="-1"/>
        </w:rPr>
        <w:t> </w:t>
      </w:r>
      <w:r>
        <w:rPr/>
        <w:t>万元，较上年增长</w:t>
      </w:r>
      <w:r>
        <w:rPr>
          <w:spacing w:val="-47"/>
        </w:rPr>
        <w:t> </w:t>
      </w:r>
      <w:r>
        <w:rPr>
          <w:rFonts w:ascii="Times New Roman" w:hAnsi="Times New Roman" w:cs="Times New Roman" w:eastAsia="Times New Roman" w:hint="default"/>
        </w:rPr>
        <w:t>16.19%</w:t>
      </w:r>
      <w:r>
        <w:rPr/>
        <w:t>，实 现归属于母公司股东的净利润</w:t>
      </w:r>
      <w:r>
        <w:rPr>
          <w:spacing w:val="-46"/>
        </w:rPr>
        <w:t> </w:t>
      </w:r>
      <w:r>
        <w:rPr>
          <w:rFonts w:ascii="Times New Roman" w:hAnsi="Times New Roman" w:cs="Times New Roman" w:eastAsia="Times New Roman" w:hint="default"/>
        </w:rPr>
        <w:t>6,536.02</w:t>
      </w:r>
      <w:r>
        <w:rPr>
          <w:rFonts w:ascii="Times New Roman" w:hAnsi="Times New Roman" w:cs="Times New Roman" w:eastAsia="Times New Roman" w:hint="default"/>
          <w:spacing w:val="-1"/>
        </w:rPr>
        <w:t> </w:t>
      </w:r>
      <w:r>
        <w:rPr/>
        <w:t>万元，较上年增长</w:t>
      </w:r>
      <w:r>
        <w:rPr>
          <w:spacing w:val="-46"/>
        </w:rPr>
        <w:t> </w:t>
      </w:r>
      <w:r>
        <w:rPr>
          <w:rFonts w:ascii="Times New Roman" w:hAnsi="Times New Roman" w:cs="Times New Roman" w:eastAsia="Times New Roman" w:hint="default"/>
        </w:rPr>
        <w:t>23.61%</w:t>
      </w:r>
      <w:r>
        <w:rPr/>
        <w:t>。</w:t>
      </w:r>
    </w:p>
    <w:p>
      <w:pPr>
        <w:pStyle w:val="BodyText"/>
        <w:spacing w:line="300" w:lineRule="auto" w:before="50"/>
        <w:ind w:left="174" w:right="1185" w:firstLine="36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公司实施建设的“国家智能制造专项</w:t>
      </w:r>
      <w:r>
        <w:rPr>
          <w:rFonts w:ascii="Times New Roman" w:hAnsi="Times New Roman" w:cs="Times New Roman" w:eastAsia="Times New Roman" w:hint="default"/>
        </w:rPr>
        <w:t>——</w:t>
      </w:r>
      <w:r>
        <w:rPr/>
        <w:t>无人化智能热处理工厂”项目顺利通过国家工信部终验收，得到行业专家 的高度评价，标志着公司在热处理智能制造方面处于国内领先水平。</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年，公司将重点对该项目进行使用和验证，在此 基础上，对设备进行改进和完善并推向终端外部市场。</w:t>
      </w:r>
    </w:p>
    <w:p>
      <w:pPr>
        <w:pStyle w:val="BodyText"/>
        <w:spacing w:line="302" w:lineRule="auto" w:before="70"/>
        <w:ind w:left="174" w:right="1195" w:firstLine="360"/>
        <w:jc w:val="both"/>
      </w:pPr>
      <w:r>
        <w:rPr>
          <w:rFonts w:ascii="Times New Roman" w:hAnsi="Times New Roman" w:cs="Times New Roman" w:eastAsia="Times New Roman" w:hint="default"/>
        </w:rPr>
        <w:t>c. 2018</w:t>
      </w:r>
      <w:r>
        <w:rPr>
          <w:rFonts w:ascii="Times New Roman" w:hAnsi="Times New Roman" w:cs="Times New Roman" w:eastAsia="Times New Roman" w:hint="default"/>
          <w:spacing w:val="-2"/>
        </w:rPr>
        <w:t> </w:t>
      </w:r>
      <w:r>
        <w:rPr/>
        <w:t>年，公司实施了烟台丰东建设，相关负责人抢工期抓进度，克服了烟台地区土质条件差、基础施工难度大等困 难，基本上按照年初制定的项目建设计划，满足了客户项目配套的进度要求，目前正在进行测试生产。</w:t>
      </w:r>
    </w:p>
    <w:p>
      <w:pPr>
        <w:pStyle w:val="BodyText"/>
        <w:spacing w:line="300" w:lineRule="auto" w:before="68"/>
        <w:ind w:left="174" w:right="1139" w:firstLine="36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44"/>
        </w:rPr>
        <w:t> </w:t>
      </w:r>
      <w:r>
        <w:rPr/>
        <w:t>为建立与公司核心经营管理团队的利益分享机制，提高优秀人才的凝聚力，并形成长效激励体系，公司组织核心管 </w:t>
      </w:r>
      <w:r>
        <w:rPr>
          <w:spacing w:val="-2"/>
        </w:rPr>
        <w:t>理人员及技术、业务团队成立了员工持股平台</w:t>
      </w:r>
      <w:r>
        <w:rPr>
          <w:rFonts w:ascii="Times New Roman" w:hAnsi="Times New Roman" w:cs="Times New Roman" w:eastAsia="Times New Roman" w:hint="default"/>
          <w:spacing w:val="-2"/>
        </w:rPr>
        <w:t>——</w:t>
      </w:r>
      <w:r>
        <w:rPr>
          <w:spacing w:val="-2"/>
        </w:rPr>
        <w:t>盐城大丰东鑫投资管理合伙企业（有限合伙），报告期内，员工持股平台</w:t>
      </w:r>
      <w:r>
        <w:rPr>
          <w:spacing w:val="-72"/>
        </w:rPr>
        <w:t> </w:t>
      </w:r>
      <w:r>
        <w:rPr>
          <w:spacing w:val="-72"/>
        </w:rPr>
      </w:r>
      <w:r>
        <w:rPr/>
        <w:t>参与了南京丰东的增资项目。</w:t>
      </w:r>
    </w:p>
    <w:p>
      <w:pPr>
        <w:pStyle w:val="BodyText"/>
        <w:spacing w:line="302" w:lineRule="auto" w:before="71"/>
        <w:ind w:left="174" w:right="1194" w:firstLine="360"/>
        <w:jc w:val="both"/>
      </w:pPr>
      <w:r>
        <w:rPr>
          <w:rFonts w:ascii="Times New Roman" w:hAnsi="Times New Roman" w:cs="Times New Roman" w:eastAsia="Times New Roman" w:hint="default"/>
        </w:rPr>
        <w:t>e.</w:t>
      </w:r>
      <w:r>
        <w:rPr>
          <w:rFonts w:ascii="Times New Roman" w:hAnsi="Times New Roman" w:cs="Times New Roman" w:eastAsia="Times New Roman" w:hint="default"/>
          <w:spacing w:val="1"/>
        </w:rPr>
        <w:t> </w:t>
      </w:r>
      <w:r>
        <w:rPr/>
        <w:t>丰东热技术在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年内通过高新技术企业资质认定，自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年起，丰东热技术将享受高新技术企业的所得税优惠 政策。</w:t>
      </w:r>
    </w:p>
    <w:p>
      <w:pPr>
        <w:pStyle w:val="BodyText"/>
        <w:spacing w:line="240" w:lineRule="auto" w:before="69"/>
        <w:ind w:right="0"/>
        <w:jc w:val="left"/>
      </w:pPr>
      <w:r>
        <w:rPr/>
        <w:t>②下一年度的经营计划</w:t>
      </w:r>
    </w:p>
    <w:p>
      <w:pPr>
        <w:pStyle w:val="BodyText"/>
        <w:spacing w:line="240" w:lineRule="auto" w:before="116"/>
        <w:ind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4"/>
        </w:rPr>
        <w:t> </w:t>
      </w:r>
      <w:r>
        <w:rPr/>
        <w:t>下一年度热处理业务总体经营目标</w:t>
      </w:r>
    </w:p>
    <w:p>
      <w:pPr>
        <w:pStyle w:val="BodyText"/>
        <w:spacing w:line="300" w:lineRule="auto" w:before="103"/>
        <w:ind w:left="174" w:right="1139"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年我国发展面临的环境更复杂更严峻，可以预料和难以预料的风险挑战更多更大，受中美贸易摩擦以及汽车产业 整体下滑的影响，</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年热处理板块整体销售形势不容乐观。同时，我们也看到，我国发展仍处于重要战略机遇期，拥有 足够的韧性、巨大的潜力和不断迸发的创新活力。国内制造业尤其是高端制造业，在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年已经成为经济发展的新引擎、 新动力。当前，政府对制造业也是前所未有地重视，</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年政府工作报告中明确提出了减税、降费等措施，重点降低制造</w:t>
      </w:r>
    </w:p>
    <w:p>
      <w:pPr>
        <w:spacing w:after="0" w:line="300" w:lineRule="auto"/>
        <w:jc w:val="both"/>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02" w:lineRule="auto"/>
        <w:ind w:left="174" w:right="1124"/>
        <w:jc w:val="left"/>
      </w:pPr>
      <w:r>
        <w:rPr/>
        <w:t>业和小微企业税收负担。因此，尽管公司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年销售形势尚存在较大不确定性，但公司立足于中高端热处理装备制造与服 务，面临的机遇仍将大于挑战。</w:t>
      </w:r>
    </w:p>
    <w:p>
      <w:pPr>
        <w:pStyle w:val="BodyText"/>
        <w:spacing w:line="240" w:lineRule="auto" w:before="68"/>
        <w:ind w:right="0"/>
        <w:jc w:val="left"/>
      </w:pPr>
      <w:r>
        <w:rPr/>
        <w:t>综合分析</w:t>
      </w:r>
      <w:r>
        <w:rPr>
          <w:spacing w:val="-46"/>
        </w:rPr>
        <w:t> </w:t>
      </w:r>
      <w:r>
        <w:rPr>
          <w:rFonts w:ascii="Times New Roman" w:hAnsi="Times New Roman" w:cs="Times New Roman" w:eastAsia="Times New Roman" w:hint="default"/>
        </w:rPr>
        <w:t>2019 </w:t>
      </w:r>
      <w:r>
        <w:rPr/>
        <w:t>年的市场预期、潜在的不确定因素以及公司生产制造能力，确定</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年公司热处理板块的经营目标为：</w:t>
      </w:r>
    </w:p>
    <w:p>
      <w:pPr>
        <w:pStyle w:val="BodyText"/>
        <w:spacing w:line="240" w:lineRule="auto" w:before="64"/>
        <w:ind w:left="174"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年度实现营业收入比</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年度增长</w:t>
      </w:r>
      <w:r>
        <w:rPr>
          <w:spacing w:val="-46"/>
        </w:rPr>
        <w:t> </w:t>
      </w:r>
      <w:r>
        <w:rPr>
          <w:rFonts w:ascii="Times New Roman" w:hAnsi="Times New Roman" w:cs="Times New Roman" w:eastAsia="Times New Roman" w:hint="default"/>
        </w:rPr>
        <w:t>10%</w:t>
      </w:r>
      <w:r>
        <w:rPr/>
        <w:t>以上，归属于母公司股东的净利润比</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年度增长</w:t>
      </w:r>
      <w:r>
        <w:rPr>
          <w:spacing w:val="-46"/>
        </w:rPr>
        <w:t> </w:t>
      </w:r>
      <w:r>
        <w:rPr>
          <w:rFonts w:ascii="Times New Roman" w:hAnsi="Times New Roman" w:cs="Times New Roman" w:eastAsia="Times New Roman" w:hint="default"/>
        </w:rPr>
        <w:t>5%</w:t>
      </w:r>
      <w:r>
        <w:rPr/>
        <w:t>以上。</w:t>
      </w:r>
    </w:p>
    <w:p>
      <w:pPr>
        <w:pStyle w:val="BodyText"/>
        <w:spacing w:line="309" w:lineRule="auto" w:before="103"/>
        <w:ind w:left="174" w:right="1131" w:firstLine="360"/>
        <w:jc w:val="both"/>
      </w:pPr>
      <w:r>
        <w:rPr/>
        <w:t>说明：以上目标仅为公司董事会确定的</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年度热处理板块经营目标，不代表公司对</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spacing w:val="-3"/>
        </w:rPr>
        <w:t>年度的盈利预测，实现情况</w:t>
      </w:r>
      <w:r>
        <w:rPr/>
        <w:t> </w:t>
      </w:r>
      <w:r>
        <w:rPr>
          <w:spacing w:val="-2"/>
        </w:rPr>
        <w:t>如何取决于宏观经济环境、行业发展状况、市场状况变化及经营团队的努力程度等诸多因素，存在一定的不确定性，敬请广</w:t>
      </w:r>
      <w:r>
        <w:rPr>
          <w:spacing w:val="-66"/>
        </w:rPr>
        <w:t> </w:t>
      </w:r>
      <w:r>
        <w:rPr>
          <w:spacing w:val="-66"/>
        </w:rPr>
      </w:r>
      <w:r>
        <w:rPr/>
        <w:t>大投资者注意投资风险。</w:t>
      </w:r>
    </w:p>
    <w:p>
      <w:pPr>
        <w:pStyle w:val="BodyText"/>
        <w:spacing w:line="240" w:lineRule="auto" w:before="64"/>
        <w:ind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下一年度经营计划</w:t>
      </w:r>
    </w:p>
    <w:p>
      <w:pPr>
        <w:pStyle w:val="BodyText"/>
        <w:spacing w:line="240" w:lineRule="auto" w:before="102"/>
        <w:ind w:right="0"/>
        <w:jc w:val="left"/>
      </w:pPr>
      <w:r>
        <w:rPr>
          <w:rFonts w:ascii="Times New Roman" w:hAnsi="Times New Roman" w:cs="Times New Roman" w:eastAsia="Times New Roman" w:hint="default"/>
        </w:rPr>
        <w:t>b-1.</w:t>
      </w:r>
      <w:r>
        <w:rPr>
          <w:rFonts w:ascii="Times New Roman" w:hAnsi="Times New Roman" w:cs="Times New Roman" w:eastAsia="Times New Roman" w:hint="default"/>
          <w:spacing w:val="43"/>
        </w:rPr>
        <w:t> </w:t>
      </w:r>
      <w:r>
        <w:rPr/>
        <w:t>立足市场和服务，全力抢抓订单扩大销售。</w:t>
      </w:r>
    </w:p>
    <w:p>
      <w:pPr>
        <w:pStyle w:val="BodyText"/>
        <w:spacing w:line="314" w:lineRule="auto" w:before="102"/>
        <w:ind w:left="174" w:right="0" w:firstLine="360"/>
        <w:jc w:val="left"/>
      </w:pPr>
      <w:r>
        <w:rPr>
          <w:rFonts w:ascii="Times New Roman" w:hAnsi="Times New Roman" w:cs="Times New Roman" w:eastAsia="Times New Roman" w:hint="default"/>
        </w:rPr>
        <w:t>b-1-1. </w:t>
      </w:r>
      <w:r>
        <w:rPr/>
        <w:t>设备方面：根据目前的国际、国内市场环境，初步判断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年市场需求将会有所下降。尽管如此，公司制定了 </w:t>
      </w:r>
      <w:r>
        <w:rPr>
          <w:spacing w:val="-4"/>
        </w:rPr>
        <w:t>积极的市场战略：对国内市场逢单必争，在完善成本核算的基础上优化定价机制，同时加强订单评审，争取更多高质量订单；</w:t>
      </w:r>
      <w:r>
        <w:rPr>
          <w:spacing w:val="-46"/>
        </w:rPr>
        <w:t> </w:t>
      </w:r>
      <w:r>
        <w:rPr>
          <w:spacing w:val="-46"/>
        </w:rPr>
      </w:r>
      <w:r>
        <w:rPr>
          <w:spacing w:val="-2"/>
        </w:rPr>
        <w:t>积极开拓海外新兴市场，加大泰国、越南、俄罗斯、土耳其、印尼、印度、伊朗等海外市场的开拓力度；继续积极参与各相</w:t>
      </w:r>
      <w:r>
        <w:rPr>
          <w:spacing w:val="-67"/>
        </w:rPr>
        <w:t> </w:t>
      </w:r>
      <w:r>
        <w:rPr>
          <w:spacing w:val="-67"/>
        </w:rPr>
      </w:r>
      <w:r>
        <w:rPr>
          <w:spacing w:val="-2"/>
        </w:rPr>
        <w:t>关行业的展会与学术会议，尤其是两年一度的北京国际热处理展，公司将做好充分的准备，向全球同行以及上下游客户展示</w:t>
      </w:r>
      <w:r>
        <w:rPr>
          <w:spacing w:val="-66"/>
        </w:rPr>
        <w:t> </w:t>
      </w:r>
      <w:r>
        <w:rPr>
          <w:spacing w:val="-66"/>
        </w:rPr>
      </w:r>
      <w:r>
        <w:rPr/>
        <w:t>丰东良好的形象。</w:t>
      </w:r>
    </w:p>
    <w:p>
      <w:pPr>
        <w:pStyle w:val="BodyText"/>
        <w:spacing w:line="302" w:lineRule="auto" w:before="59"/>
        <w:ind w:left="174" w:right="0" w:firstLine="360"/>
        <w:jc w:val="left"/>
      </w:pPr>
      <w:r>
        <w:rPr>
          <w:rFonts w:ascii="Times New Roman" w:hAnsi="Times New Roman" w:cs="Times New Roman" w:eastAsia="Times New Roman" w:hint="default"/>
        </w:rPr>
        <w:t>b-1-2.</w:t>
      </w:r>
      <w:r>
        <w:rPr>
          <w:rFonts w:ascii="Times New Roman" w:hAnsi="Times New Roman" w:cs="Times New Roman" w:eastAsia="Times New Roman" w:hint="default"/>
          <w:spacing w:val="36"/>
        </w:rPr>
        <w:t> </w:t>
      </w:r>
      <w:r>
        <w:rPr>
          <w:spacing w:val="-4"/>
        </w:rPr>
        <w:t>热处理加工方面：公司加工事业部积极研发新工艺；各热处理连锁加工中心加强管理规范，利用各自的地缘优势，</w:t>
      </w:r>
      <w:r>
        <w:rPr/>
        <w:t> 积聚优质客户。</w:t>
      </w:r>
    </w:p>
    <w:p>
      <w:pPr>
        <w:pStyle w:val="BodyText"/>
        <w:spacing w:line="302" w:lineRule="auto" w:before="68"/>
        <w:ind w:left="174" w:right="0" w:firstLine="360"/>
        <w:jc w:val="left"/>
      </w:pPr>
      <w:r>
        <w:rPr>
          <w:rFonts w:ascii="Times New Roman" w:hAnsi="Times New Roman" w:cs="Times New Roman" w:eastAsia="Times New Roman" w:hint="default"/>
        </w:rPr>
        <w:t>b-1-3.</w:t>
      </w:r>
      <w:r>
        <w:rPr>
          <w:rFonts w:ascii="Times New Roman" w:hAnsi="Times New Roman" w:cs="Times New Roman" w:eastAsia="Times New Roman" w:hint="default"/>
          <w:spacing w:val="23"/>
        </w:rPr>
        <w:t> </w:t>
      </w:r>
      <w:r>
        <w:rPr>
          <w:spacing w:val="-2"/>
        </w:rPr>
        <w:t>售后服务方面：公司将加大售后服务市场的开拓和营销力度，一方面扩大备品、备件、易耗品的销售份额；另一</w:t>
      </w:r>
      <w:r>
        <w:rPr/>
        <w:t> 方面争取更多的设备保养和维修业务，同时推出油烟净化装置和真空泵的维修新业务。</w:t>
      </w:r>
    </w:p>
    <w:p>
      <w:pPr>
        <w:pStyle w:val="BodyText"/>
        <w:spacing w:line="240" w:lineRule="auto" w:before="70"/>
        <w:ind w:right="0"/>
        <w:jc w:val="left"/>
      </w:pPr>
      <w:r>
        <w:rPr>
          <w:rFonts w:ascii="Times New Roman" w:hAnsi="Times New Roman" w:cs="Times New Roman" w:eastAsia="Times New Roman" w:hint="default"/>
        </w:rPr>
        <w:t>b-2.</w:t>
      </w:r>
      <w:r>
        <w:rPr>
          <w:rFonts w:ascii="Times New Roman" w:hAnsi="Times New Roman" w:cs="Times New Roman" w:eastAsia="Times New Roman" w:hint="default"/>
          <w:spacing w:val="43"/>
        </w:rPr>
        <w:t> </w:t>
      </w:r>
      <w:r>
        <w:rPr/>
        <w:t>加强研发与投入，确保重点项目顺利实施。</w:t>
      </w:r>
    </w:p>
    <w:p>
      <w:pPr>
        <w:pStyle w:val="BodyText"/>
        <w:spacing w:line="300" w:lineRule="auto" w:before="101"/>
        <w:ind w:left="174" w:right="1130" w:firstLine="360"/>
        <w:jc w:val="left"/>
      </w:pPr>
      <w:r>
        <w:rPr/>
        <w:t>新产品研发将是公司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年工作的重中之重：</w:t>
      </w: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公司将投资建设</w:t>
      </w:r>
      <w:r>
        <w:rPr>
          <w:spacing w:val="-56"/>
        </w:rPr>
        <w:t> </w:t>
      </w:r>
      <w:r>
        <w:rPr>
          <w:rFonts w:ascii="Times New Roman" w:hAnsi="Times New Roman" w:cs="Times New Roman" w:eastAsia="Times New Roman" w:hint="default"/>
        </w:rPr>
        <w:t>B</w:t>
      </w:r>
      <w:r>
        <w:rPr>
          <w:rFonts w:ascii="Times New Roman" w:hAnsi="Times New Roman" w:cs="Times New Roman" w:eastAsia="Times New Roman" w:hint="default"/>
          <w:spacing w:val="-11"/>
        </w:rPr>
        <w:t> </w:t>
      </w:r>
      <w:r>
        <w:rPr/>
        <w:t>厂房，作为工程中心工艺技术研发的平台，并将工 </w:t>
      </w:r>
      <w:r>
        <w:rPr>
          <w:spacing w:val="-8"/>
        </w:rPr>
        <w:t>程中心打造成“国家级热处理装备创新平台”、“国家级</w:t>
      </w:r>
      <w:r>
        <w:rPr>
          <w:spacing w:val="-38"/>
        </w:rPr>
        <w:t> </w:t>
      </w:r>
      <w:r>
        <w:rPr>
          <w:rFonts w:ascii="Times New Roman" w:hAnsi="Times New Roman" w:cs="Times New Roman" w:eastAsia="Times New Roman" w:hint="default"/>
          <w:w w:val="99"/>
        </w:rPr>
        <w:t>CNAS</w:t>
      </w:r>
      <w:r>
        <w:rPr>
          <w:rFonts w:ascii="Times New Roman" w:hAnsi="Times New Roman" w:cs="Times New Roman" w:eastAsia="Times New Roman" w:hint="default"/>
          <w:spacing w:val="7"/>
          <w:w w:val="99"/>
        </w:rPr>
        <w:t> </w:t>
      </w:r>
      <w:r>
        <w:rPr>
          <w:spacing w:val="-7"/>
        </w:rPr>
        <w:t>检测中心”、“热处理先进智能装备示范中心”三位一体的实</w:t>
      </w:r>
      <w:r>
        <w:rPr>
          <w:spacing w:val="-76"/>
        </w:rPr>
        <w:t> </w:t>
      </w:r>
      <w:r>
        <w:rPr>
          <w:spacing w:val="-76"/>
        </w:rPr>
      </w:r>
      <w:r>
        <w:rPr/>
        <w:t>体平台；</w:t>
      </w:r>
      <w:r>
        <w:rPr>
          <w:rFonts w:ascii="Times New Roman" w:hAnsi="Times New Roman" w:cs="Times New Roman" w:eastAsia="Times New Roman" w:hint="default"/>
        </w:rPr>
        <w:t>b. </w:t>
      </w:r>
      <w:r>
        <w:rPr/>
        <w:t>自主研发 </w:t>
      </w:r>
      <w:r>
        <w:rPr>
          <w:rFonts w:ascii="Times New Roman" w:hAnsi="Times New Roman" w:cs="Times New Roman" w:eastAsia="Times New Roman" w:hint="default"/>
        </w:rPr>
        <w:t>BBH-9090150 </w:t>
      </w:r>
      <w:r>
        <w:rPr/>
        <w:t>全自动智能生产线、真空氮化炉工艺开发装备以及新一代无氧气体渗碳炉；</w:t>
      </w:r>
      <w:r>
        <w:rPr>
          <w:rFonts w:ascii="Times New Roman" w:hAnsi="Times New Roman" w:cs="Times New Roman" w:eastAsia="Times New Roman" w:hint="default"/>
        </w:rPr>
        <w:t>c.</w:t>
      </w:r>
      <w:r>
        <w:rPr>
          <w:rFonts w:ascii="Times New Roman" w:hAnsi="Times New Roman" w:cs="Times New Roman" w:eastAsia="Times New Roman" w:hint="default"/>
          <w:spacing w:val="-5"/>
        </w:rPr>
        <w:t> </w:t>
      </w:r>
      <w:r>
        <w:rPr/>
        <w:t>建设 </w:t>
      </w:r>
      <w:r>
        <w:rPr>
          <w:rFonts w:ascii="Times New Roman" w:hAnsi="Times New Roman" w:cs="Times New Roman" w:eastAsia="Times New Roman" w:hint="default"/>
          <w:spacing w:val="-1"/>
          <w:w w:val="99"/>
        </w:rPr>
        <w:t>FBQ-9090150</w:t>
      </w:r>
      <w:r>
        <w:rPr>
          <w:rFonts w:ascii="Times New Roman" w:hAnsi="Times New Roman" w:cs="Times New Roman" w:eastAsia="Times New Roman" w:hint="default"/>
          <w:spacing w:val="11"/>
          <w:w w:val="99"/>
        </w:rPr>
        <w:t> </w:t>
      </w:r>
      <w:r>
        <w:rPr>
          <w:spacing w:val="-7"/>
          <w:w w:val="99"/>
        </w:rPr>
        <w:t>生产线，正式推出新一代“智能化多用炉”，丰富设备本身的智能化管理能力，减少人为操作、保全因素；</w:t>
      </w:r>
      <w:r>
        <w:rPr>
          <w:rFonts w:ascii="Times New Roman" w:hAnsi="Times New Roman" w:cs="Times New Roman" w:eastAsia="Times New Roman" w:hint="default"/>
          <w:spacing w:val="-7"/>
          <w:w w:val="99"/>
        </w:rPr>
        <w:t>d.</w:t>
      </w:r>
      <w:r>
        <w:rPr>
          <w:rFonts w:ascii="Times New Roman" w:hAnsi="Times New Roman" w:cs="Times New Roman" w:eastAsia="Times New Roman" w:hint="default"/>
          <w:spacing w:val="22"/>
          <w:w w:val="99"/>
        </w:rPr>
        <w:t> </w:t>
      </w:r>
      <w:r>
        <w:rPr>
          <w:w w:val="99"/>
        </w:rPr>
        <w:t>完</w:t>
      </w:r>
      <w:r>
        <w:rPr>
          <w:spacing w:val="-87"/>
          <w:w w:val="99"/>
        </w:rPr>
        <w:t> </w:t>
      </w:r>
      <w:r>
        <w:rPr/>
        <w:t>成新一代网带炉 </w:t>
      </w:r>
      <w:r>
        <w:rPr>
          <w:rFonts w:ascii="Times New Roman" w:hAnsi="Times New Roman" w:cs="Times New Roman" w:eastAsia="Times New Roman" w:hint="default"/>
        </w:rPr>
        <w:t>FD-19 </w:t>
      </w:r>
      <w:r>
        <w:rPr/>
        <w:t>项目的设计、制造与交付；</w:t>
      </w:r>
      <w:r>
        <w:rPr>
          <w:rFonts w:ascii="Times New Roman" w:hAnsi="Times New Roman" w:cs="Times New Roman" w:eastAsia="Times New Roman" w:hint="default"/>
        </w:rPr>
        <w:t>e.</w:t>
      </w:r>
      <w:r>
        <w:rPr>
          <w:rFonts w:ascii="Times New Roman" w:hAnsi="Times New Roman" w:cs="Times New Roman" w:eastAsia="Times New Roman" w:hint="default"/>
          <w:spacing w:val="-4"/>
        </w:rPr>
        <w:t> </w:t>
      </w:r>
      <w:r>
        <w:rPr/>
        <w:t>立项启动新一代无氧气体渗碳炉的研发，引领国内气氛热处理技术发</w:t>
      </w:r>
      <w:r>
        <w:rPr>
          <w:w w:val="99"/>
        </w:rPr>
        <w:t> </w:t>
      </w:r>
      <w:r>
        <w:rPr/>
        <w:t>展；</w:t>
      </w:r>
      <w:r>
        <w:rPr>
          <w:rFonts w:ascii="Times New Roman" w:hAnsi="Times New Roman" w:cs="Times New Roman" w:eastAsia="Times New Roman" w:hint="default"/>
        </w:rPr>
        <w:t>f.</w:t>
      </w:r>
      <w:r>
        <w:rPr>
          <w:rFonts w:ascii="Times New Roman" w:hAnsi="Times New Roman" w:cs="Times New Roman" w:eastAsia="Times New Roman" w:hint="default"/>
          <w:spacing w:val="43"/>
        </w:rPr>
        <w:t> </w:t>
      </w:r>
      <w:r>
        <w:rPr/>
        <w:t>完成大型辊棒盐浴炉的技术开发储备，积极开拓轴承应用市场。</w:t>
      </w:r>
    </w:p>
    <w:p>
      <w:pPr>
        <w:pStyle w:val="BodyText"/>
        <w:spacing w:line="240" w:lineRule="auto" w:before="52"/>
        <w:ind w:right="0"/>
        <w:jc w:val="left"/>
      </w:pPr>
      <w:r>
        <w:rPr>
          <w:spacing w:val="-4"/>
        </w:rPr>
        <w:t>通过产品创新，进一步拓宽公司产品线和应用领域，建设丰东自身的工艺和设备研发体系，进一步打造公司核心竞争力。</w:t>
      </w:r>
    </w:p>
    <w:p>
      <w:pPr>
        <w:pStyle w:val="BodyText"/>
        <w:spacing w:line="240" w:lineRule="auto" w:before="117"/>
        <w:ind w:right="0"/>
        <w:jc w:val="left"/>
      </w:pPr>
      <w:r>
        <w:rPr>
          <w:rFonts w:ascii="Times New Roman" w:hAnsi="Times New Roman" w:cs="Times New Roman" w:eastAsia="Times New Roman" w:hint="default"/>
        </w:rPr>
        <w:t>b-3.</w:t>
      </w:r>
      <w:r>
        <w:rPr>
          <w:rFonts w:ascii="Times New Roman" w:hAnsi="Times New Roman" w:cs="Times New Roman" w:eastAsia="Times New Roman" w:hint="default"/>
          <w:spacing w:val="43"/>
        </w:rPr>
        <w:t> </w:t>
      </w:r>
      <w:r>
        <w:rPr/>
        <w:t>完善评估与论证，稳步推进项目投资建设。</w:t>
      </w:r>
    </w:p>
    <w:p>
      <w:pPr>
        <w:pStyle w:val="BodyText"/>
        <w:spacing w:line="300" w:lineRule="auto" w:before="101"/>
        <w:ind w:left="174" w:right="1025" w:firstLine="360"/>
        <w:jc w:val="left"/>
      </w:pPr>
      <w:r>
        <w:rPr/>
        <w:t>伴随着公司热处理连锁加工服务业务的持续稳健发展，</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年将在完善项目评估与论证的基础上，着力进行如下项目 建设：</w:t>
      </w:r>
      <w:r>
        <w:rPr>
          <w:rFonts w:ascii="Times New Roman" w:hAnsi="Times New Roman" w:cs="Times New Roman" w:eastAsia="Times New Roman" w:hint="default"/>
        </w:rPr>
        <w:t>a.</w:t>
      </w:r>
      <w:r>
        <w:rPr>
          <w:rFonts w:ascii="Times New Roman" w:hAnsi="Times New Roman" w:cs="Times New Roman" w:eastAsia="Times New Roman" w:hint="default"/>
          <w:spacing w:val="37"/>
        </w:rPr>
        <w:t> </w:t>
      </w:r>
      <w:r>
        <w:rPr/>
        <w:t>增资烟台丰东，力争</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月底之前全面建成一期项目生产线，同时完成烟台丰东的生产许可和切换，以及质 量、环境等体系的认证，尽早正式投入生产运行；</w:t>
      </w:r>
      <w:r>
        <w:rPr>
          <w:rFonts w:ascii="Times New Roman" w:hAnsi="Times New Roman" w:cs="Times New Roman" w:eastAsia="Times New Roman" w:hint="default"/>
        </w:rPr>
        <w:t>b. </w:t>
      </w:r>
      <w:r>
        <w:rPr/>
        <w:t>为进一步拓展公司 </w:t>
      </w:r>
      <w:r>
        <w:rPr>
          <w:rFonts w:ascii="Times New Roman" w:hAnsi="Times New Roman" w:cs="Times New Roman" w:eastAsia="Times New Roman" w:hint="default"/>
        </w:rPr>
        <w:t>ADI</w:t>
      </w:r>
      <w:r>
        <w:rPr>
          <w:rFonts w:ascii="Times New Roman" w:hAnsi="Times New Roman" w:cs="Times New Roman" w:eastAsia="Times New Roman" w:hint="default"/>
          <w:spacing w:val="-3"/>
        </w:rPr>
        <w:t> </w:t>
      </w:r>
      <w:r>
        <w:rPr/>
        <w:t>和贝氏体等温淬火钢业务的发展，加强贝氏体 工艺技术及应用的研发，同时缓解苏州艾普、上海丰东生产空间紧张的局面，公司将在</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年正式启动苏州（太仓）丰东 的建设，将其打造成贝氏体工艺应用研发中心、商业热处理加工服务中心及公司新领域项目的制造基地；</w:t>
      </w:r>
      <w:r>
        <w:rPr>
          <w:rFonts w:ascii="Times New Roman" w:hAnsi="Times New Roman" w:cs="Times New Roman" w:eastAsia="Times New Roman" w:hint="default"/>
        </w:rPr>
        <w:t>c.</w:t>
      </w:r>
      <w:r>
        <w:rPr>
          <w:rFonts w:ascii="Times New Roman" w:hAnsi="Times New Roman" w:cs="Times New Roman" w:eastAsia="Times New Roman" w:hint="default"/>
          <w:spacing w:val="17"/>
        </w:rPr>
        <w:t> </w:t>
      </w:r>
      <w:r>
        <w:rPr/>
        <w:t>增资工程中心， 主要用于对</w:t>
      </w:r>
      <w:r>
        <w:rPr>
          <w:spacing w:val="-48"/>
        </w:rPr>
        <w:t> </w:t>
      </w:r>
      <w:r>
        <w:rPr>
          <w:rFonts w:ascii="Times New Roman" w:hAnsi="Times New Roman" w:cs="Times New Roman" w:eastAsia="Times New Roman" w:hint="default"/>
        </w:rPr>
        <w:t>CNAS</w:t>
      </w:r>
      <w:r>
        <w:rPr>
          <w:rFonts w:ascii="Times New Roman" w:hAnsi="Times New Roman" w:cs="Times New Roman" w:eastAsia="Times New Roman" w:hint="default"/>
          <w:spacing w:val="-4"/>
        </w:rPr>
        <w:t> </w:t>
      </w:r>
      <w:r>
        <w:rPr/>
        <w:t>实验室装备进行升级、配合公司进行设备和工艺技术研发、建设全自动智能生产线</w:t>
      </w:r>
      <w:r>
        <w:rPr>
          <w:spacing w:val="-47"/>
        </w:rPr>
        <w:t> </w:t>
      </w:r>
      <w:r>
        <w:rPr>
          <w:rFonts w:ascii="Times New Roman" w:hAnsi="Times New Roman" w:cs="Times New Roman" w:eastAsia="Times New Roman" w:hint="default"/>
        </w:rPr>
        <w:t>BBH-9090150</w:t>
      </w:r>
      <w:r>
        <w:rPr>
          <w:rFonts w:ascii="Times New Roman" w:hAnsi="Times New Roman" w:cs="Times New Roman" w:eastAsia="Times New Roman" w:hint="default"/>
          <w:spacing w:val="-3"/>
        </w:rPr>
        <w:t> </w:t>
      </w:r>
      <w:r>
        <w:rPr/>
        <w:t>等，进 一步提升工程中心的研发能力。</w:t>
      </w:r>
    </w:p>
    <w:p>
      <w:pPr>
        <w:pStyle w:val="BodyText"/>
        <w:spacing w:line="338" w:lineRule="auto" w:before="71"/>
        <w:ind w:right="0"/>
        <w:jc w:val="left"/>
      </w:pPr>
      <w:r>
        <w:rPr>
          <w:rFonts w:ascii="Times New Roman" w:hAnsi="Times New Roman" w:cs="Times New Roman" w:eastAsia="Times New Roman" w:hint="default"/>
        </w:rPr>
        <w:t>b-4.</w:t>
      </w:r>
      <w:r>
        <w:rPr>
          <w:rFonts w:ascii="Times New Roman" w:hAnsi="Times New Roman" w:cs="Times New Roman" w:eastAsia="Times New Roman" w:hint="default"/>
          <w:spacing w:val="44"/>
        </w:rPr>
        <w:t> </w:t>
      </w:r>
      <w:r>
        <w:rPr/>
        <w:t>加强精细化管理，全面提升公司运营质量。 </w:t>
      </w:r>
      <w:r>
        <w:rPr>
          <w:spacing w:val="-2"/>
        </w:rPr>
        <w:t>管理贯穿于公司运营的全过程，只有不断加强精细化管理，才能保证各项工作的管理规范，并进而全面提升公司运营质</w:t>
      </w:r>
    </w:p>
    <w:p>
      <w:pPr>
        <w:pStyle w:val="BodyText"/>
        <w:spacing w:line="304" w:lineRule="auto" w:before="2"/>
        <w:ind w:left="174" w:right="1032"/>
        <w:jc w:val="left"/>
      </w:pPr>
      <w:r>
        <w:rPr/>
        <w:t>量。</w:t>
      </w:r>
      <w:r>
        <w:rPr>
          <w:rFonts w:ascii="Times New Roman" w:hAnsi="Times New Roman" w:cs="Times New Roman" w:eastAsia="Times New Roman" w:hint="default"/>
        </w:rPr>
        <w:t>a. </w:t>
      </w:r>
      <w:r>
        <w:rPr/>
        <w:t>加强项目预、决算的精细化管理，将预、决算的执行情况与员工个人及管理者的</w:t>
      </w:r>
      <w:r>
        <w:rPr>
          <w:spacing w:val="-47"/>
        </w:rPr>
        <w:t> </w:t>
      </w:r>
      <w:r>
        <w:rPr>
          <w:rFonts w:ascii="Times New Roman" w:hAnsi="Times New Roman" w:cs="Times New Roman" w:eastAsia="Times New Roman" w:hint="default"/>
        </w:rPr>
        <w:t>KPI</w:t>
      </w:r>
      <w:r>
        <w:rPr>
          <w:rFonts w:ascii="Times New Roman" w:hAnsi="Times New Roman" w:cs="Times New Roman" w:eastAsia="Times New Roman" w:hint="default"/>
          <w:spacing w:val="-1"/>
        </w:rPr>
        <w:t> </w:t>
      </w:r>
      <w:r>
        <w:rPr/>
        <w:t>紧密关联，重点加强工时定额 和项目安装调试的工时管理和考核，不断提升项目管理水平；</w:t>
      </w: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加强供应商管理，从质量、技术、价格、成本管理等多方 面进行综合考虑和评价，本着合作、开放的态度，实现与优质、长期稳定的供应商共同成长；</w:t>
      </w:r>
      <w:r>
        <w:rPr>
          <w:rFonts w:ascii="Times New Roman" w:hAnsi="Times New Roman" w:cs="Times New Roman" w:eastAsia="Times New Roman" w:hint="default"/>
        </w:rPr>
        <w:t>c.</w:t>
      </w:r>
      <w:r>
        <w:rPr>
          <w:rFonts w:ascii="Times New Roman" w:hAnsi="Times New Roman" w:cs="Times New Roman" w:eastAsia="Times New Roman" w:hint="default"/>
          <w:spacing w:val="44"/>
        </w:rPr>
        <w:t> </w:t>
      </w:r>
      <w:r>
        <w:rPr/>
        <w:t>进一步梳理公司各项业务 及管理流程，加强流程培训，使全员树立流程意识，并在实际工作中严格遵章执行；</w:t>
      </w:r>
      <w:r>
        <w:rPr>
          <w:rFonts w:ascii="Times New Roman" w:hAnsi="Times New Roman" w:cs="Times New Roman" w:eastAsia="Times New Roman" w:hint="default"/>
        </w:rPr>
        <w:t>d.</w:t>
      </w:r>
      <w:r>
        <w:rPr>
          <w:rFonts w:ascii="Times New Roman" w:hAnsi="Times New Roman" w:cs="Times New Roman" w:eastAsia="Times New Roman" w:hint="default"/>
          <w:spacing w:val="44"/>
        </w:rPr>
        <w:t> </w:t>
      </w:r>
      <w:r>
        <w:rPr/>
        <w:t>进一步加强企业文化建设，充分发 </w:t>
      </w:r>
      <w:r>
        <w:rPr>
          <w:spacing w:val="-4"/>
        </w:rPr>
        <w:t>挥好党员活动、职代会、项目技术沙龙和质量控制成果交流等多种形式的活动，在公司上下营造比、学、赶、帮、超的氛围，</w:t>
      </w:r>
      <w:r>
        <w:rPr>
          <w:spacing w:val="-46"/>
        </w:rPr>
        <w:t> </w:t>
      </w:r>
      <w:r>
        <w:rPr>
          <w:spacing w:val="-46"/>
        </w:rPr>
      </w:r>
      <w:r>
        <w:rPr/>
        <w:t>打造积极向上、简单务实的学习型公司；</w:t>
      </w:r>
      <w:r>
        <w:rPr>
          <w:rFonts w:ascii="Times New Roman" w:hAnsi="Times New Roman" w:cs="Times New Roman" w:eastAsia="Times New Roman" w:hint="default"/>
        </w:rPr>
        <w:t>e.</w:t>
      </w:r>
      <w:r>
        <w:rPr>
          <w:rFonts w:ascii="Times New Roman" w:hAnsi="Times New Roman" w:cs="Times New Roman" w:eastAsia="Times New Roman" w:hint="default"/>
          <w:spacing w:val="34"/>
        </w:rPr>
        <w:t> </w:t>
      </w:r>
      <w:r>
        <w:rPr/>
        <w:t>努力提升</w:t>
      </w:r>
      <w:r>
        <w:rPr>
          <w:spacing w:val="-51"/>
        </w:rPr>
        <w:t> </w:t>
      </w:r>
      <w:r>
        <w:rPr>
          <w:rFonts w:ascii="Times New Roman" w:hAnsi="Times New Roman" w:cs="Times New Roman" w:eastAsia="Times New Roman" w:hint="default"/>
        </w:rPr>
        <w:t>EHS</w:t>
      </w:r>
      <w:r>
        <w:rPr/>
        <w:t>（环境、职业健康、安全）管理水平，确保</w:t>
      </w:r>
      <w:r>
        <w:rPr>
          <w:spacing w:val="-50"/>
        </w:rPr>
        <w:t> </w:t>
      </w:r>
      <w:r>
        <w:rPr>
          <w:rFonts w:ascii="Times New Roman" w:hAnsi="Times New Roman" w:cs="Times New Roman" w:eastAsia="Times New Roman" w:hint="default"/>
        </w:rPr>
        <w:t>EHS</w:t>
      </w:r>
      <w:r>
        <w:rPr>
          <w:rFonts w:ascii="Times New Roman" w:hAnsi="Times New Roman" w:cs="Times New Roman" w:eastAsia="Times New Roman" w:hint="default"/>
          <w:spacing w:val="-7"/>
        </w:rPr>
        <w:t> </w:t>
      </w:r>
      <w:r>
        <w:rPr/>
        <w:t>管理体系的真正 落地。</w:t>
      </w:r>
    </w:p>
    <w:p>
      <w:pPr>
        <w:spacing w:after="0" w:line="304"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Heading4"/>
        <w:spacing w:line="240" w:lineRule="auto" w:before="44"/>
        <w:ind w:right="0"/>
        <w:jc w:val="left"/>
        <w:rPr>
          <w:b w:val="0"/>
          <w:bCs w:val="0"/>
        </w:rPr>
      </w:pPr>
      <w:r>
        <w:rPr/>
        <w:t>（</w:t>
      </w:r>
      <w:r>
        <w:rPr>
          <w:rFonts w:ascii="Times New Roman" w:hAnsi="Times New Roman" w:cs="Times New Roman" w:eastAsia="Times New Roman" w:hint="default"/>
        </w:rPr>
        <w:t>4</w:t>
      </w:r>
      <w:r>
        <w:rPr/>
        <w:t>）可能面对的风险</w:t>
      </w:r>
      <w:r>
        <w:rPr>
          <w:b w:val="0"/>
          <w:bCs w:val="0"/>
        </w:rPr>
      </w:r>
    </w:p>
    <w:p>
      <w:pPr>
        <w:pStyle w:val="BodyText"/>
        <w:spacing w:line="240" w:lineRule="auto" w:before="102"/>
        <w:ind w:right="0"/>
        <w:jc w:val="left"/>
      </w:pPr>
      <w:r>
        <w:rPr/>
        <w:t>①市场风险</w:t>
      </w:r>
    </w:p>
    <w:p>
      <w:pPr>
        <w:pStyle w:val="BodyText"/>
        <w:spacing w:line="302" w:lineRule="auto" w:before="116"/>
        <w:ind w:left="174" w:right="1116"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年下半年以来，宏观经济进入下行轨道，预计</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年热处理板块整体销售形势不容乐观。为此，公司制定了积极 的市场战略，全力抢抓订单占领市场。</w:t>
      </w:r>
    </w:p>
    <w:p>
      <w:pPr>
        <w:pStyle w:val="BodyText"/>
        <w:spacing w:line="240" w:lineRule="auto" w:before="69"/>
        <w:ind w:right="0"/>
        <w:jc w:val="left"/>
      </w:pPr>
      <w:r>
        <w:rPr/>
        <w:t>②投资风险</w:t>
      </w:r>
    </w:p>
    <w:p>
      <w:pPr>
        <w:pStyle w:val="BodyText"/>
        <w:spacing w:line="312" w:lineRule="auto" w:before="115"/>
        <w:ind w:left="174" w:right="1132" w:firstLine="360"/>
        <w:jc w:val="both"/>
      </w:pPr>
      <w:r>
        <w:rPr/>
        <w:t>为满足公司持续发展的需要，公司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年度新增多项投资计划，投资金额较大，一方面会给公司现金流带来一定的压 </w:t>
      </w:r>
      <w:r>
        <w:rPr>
          <w:spacing w:val="-2"/>
        </w:rPr>
        <w:t>力，造成财务费用增加，影响公司经营业绩；另一方面新项目在短期内无法快速形成收益，在规模化效应产生之前，项目建</w:t>
      </w:r>
      <w:r>
        <w:rPr>
          <w:spacing w:val="-66"/>
        </w:rPr>
        <w:t> </w:t>
      </w:r>
      <w:r>
        <w:rPr>
          <w:spacing w:val="-66"/>
        </w:rPr>
      </w:r>
      <w:r>
        <w:rPr>
          <w:spacing w:val="-2"/>
        </w:rPr>
        <w:t>成后的折旧摊销也会直接影响到公司经营业绩。公司将按照项目实际进展及需求情况进行分步投资，提高资金的使用效率和</w:t>
      </w:r>
      <w:r>
        <w:rPr>
          <w:spacing w:val="-64"/>
        </w:rPr>
        <w:t> </w:t>
      </w:r>
      <w:r>
        <w:rPr>
          <w:spacing w:val="-64"/>
        </w:rPr>
      </w:r>
      <w:r>
        <w:rPr/>
        <w:t>效益，与此同时公司将督促项目单位积极开拓市场，尽早实现投资回报。</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接待调研、沟通、采访等活动" w:id="81"/>
      <w:bookmarkEnd w:id="81"/>
      <w:r>
        <w:rPr>
          <w:b w:val="0"/>
          <w:bCs w:val="0"/>
        </w:rPr>
      </w:r>
      <w:r>
        <w:rPr/>
        <w:t>十、接待调研、沟通、采访等活动</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报告期内接待调研、沟通、采访等活动登记表" w:id="82"/>
      <w:bookmarkEnd w:id="8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pStyle w:val="BodyText"/>
        <w:spacing w:line="240" w:lineRule="auto" w:before="15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1702"/>
        <w:gridCol w:w="1700"/>
        <w:gridCol w:w="1702"/>
        <w:gridCol w:w="446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7"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57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4"/>
              <w:ind w:left="22" w:right="62"/>
              <w:jc w:val="left"/>
              <w:rPr>
                <w:rFonts w:ascii="Times New Roman" w:hAnsi="Times New Roman" w:cs="Times New Roman" w:eastAsia="Times New Roman" w:hint="default"/>
                <w:sz w:val="18"/>
                <w:szCs w:val="18"/>
              </w:rPr>
            </w:pPr>
            <w:hyperlink r:id="rId14">
              <w:r>
                <w:rPr>
                  <w:rFonts w:ascii="Times New Roman"/>
                  <w:spacing w:val="-1"/>
                  <w:sz w:val="18"/>
                </w:rPr>
                <w:t>http://www.cninfo.com.cn/new/disclosure/stock?orgId=9900</w:t>
              </w:r>
            </w:hyperlink>
            <w:r>
              <w:rPr>
                <w:rFonts w:ascii="Times New Roman"/>
                <w:spacing w:val="-17"/>
                <w:sz w:val="18"/>
              </w:rPr>
              <w:t> </w:t>
            </w:r>
            <w:r>
              <w:rPr>
                <w:rFonts w:ascii="Times New Roman"/>
                <w:spacing w:val="-17"/>
                <w:sz w:val="18"/>
              </w:rPr>
            </w:r>
            <w:r>
              <w:rPr>
                <w:rFonts w:ascii="Times New Roman"/>
                <w:sz w:val="18"/>
              </w:rPr>
              <w:t>016747&amp;stockCode=002530#</w:t>
            </w:r>
          </w:p>
        </w:tc>
      </w:tr>
    </w:tbl>
    <w:p>
      <w:pPr>
        <w:spacing w:after="0" w:line="278" w:lineRule="auto"/>
        <w:jc w:val="lef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right="958"/>
        <w:jc w:val="center"/>
        <w:rPr>
          <w:b w:val="0"/>
          <w:bCs w:val="0"/>
        </w:rPr>
      </w:pPr>
      <w:bookmarkStart w:name="第五节 重要事项" w:id="83"/>
      <w:bookmarkEnd w:id="83"/>
      <w:r>
        <w:rPr>
          <w:b w:val="0"/>
          <w:bCs w:val="0"/>
        </w:rPr>
      </w:r>
      <w:bookmarkStart w:name="_bookmark4" w:id="84"/>
      <w:bookmarkEnd w:id="84"/>
      <w:r>
        <w:rPr>
          <w:b w:val="0"/>
          <w:bCs w:val="0"/>
        </w:rPr>
      </w:r>
      <w:r>
        <w:rPr/>
        <w:t>第五节</w:t>
      </w:r>
      <w:r>
        <w:rPr>
          <w:spacing w:val="-5"/>
        </w:rPr>
        <w:t> </w:t>
      </w:r>
      <w:r>
        <w:rPr/>
        <w:t>重要事项</w:t>
      </w:r>
      <w:r>
        <w:rPr>
          <w:b w:val="0"/>
          <w:bCs w:val="0"/>
        </w:rPr>
      </w:r>
    </w:p>
    <w:p>
      <w:pPr>
        <w:spacing w:line="240" w:lineRule="auto" w:before="4"/>
        <w:rPr>
          <w:rFonts w:ascii="宋体" w:hAnsi="宋体" w:cs="宋体" w:eastAsia="宋体" w:hint="default"/>
          <w:b/>
          <w:bCs/>
          <w:sz w:val="42"/>
          <w:szCs w:val="42"/>
        </w:rPr>
      </w:pPr>
    </w:p>
    <w:p>
      <w:pPr>
        <w:pStyle w:val="Heading2"/>
        <w:spacing w:line="240" w:lineRule="auto"/>
        <w:ind w:right="0"/>
        <w:jc w:val="left"/>
        <w:rPr>
          <w:b w:val="0"/>
          <w:bCs w:val="0"/>
        </w:rPr>
      </w:pPr>
      <w:bookmarkStart w:name="一、公司普通股利润分配及资本公积金转增股本情况" w:id="85"/>
      <w:bookmarkEnd w:id="85"/>
      <w:r>
        <w:rPr>
          <w:b w:val="0"/>
          <w:bCs w:val="0"/>
        </w:rPr>
      </w:r>
      <w:r>
        <w:rPr/>
        <w:t>一、公司普通股利润分配及资本公积金转增股本情况</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551" w:footer="979" w:top="1120" w:bottom="1160" w:left="960" w:right="0"/>
        </w:sectPr>
      </w:pPr>
    </w:p>
    <w:p>
      <w:pPr>
        <w:pStyle w:val="BodyText"/>
        <w:spacing w:line="240" w:lineRule="auto"/>
        <w:ind w:right="-19"/>
        <w:jc w:val="left"/>
      </w:pPr>
      <w:r>
        <w:rPr/>
        <w:t>报告期内普通股利润分配政策，特别是现金分红政策的制定、执行或调整情况</w:t>
      </w:r>
    </w:p>
    <w:p>
      <w:pPr>
        <w:pStyle w:val="BodyText"/>
        <w:spacing w:line="240" w:lineRule="auto" w:before="11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509" w:right="0"/>
        <w:jc w:val="left"/>
      </w:pPr>
      <w:r>
        <w:rPr/>
        <w:t>单位：元</w:t>
      </w:r>
    </w:p>
    <w:p>
      <w:pPr>
        <w:spacing w:after="0" w:line="240" w:lineRule="auto"/>
        <w:jc w:val="left"/>
        <w:sectPr>
          <w:type w:val="continuous"/>
          <w:pgSz w:w="11910" w:h="16840"/>
          <w:pgMar w:top="1060" w:bottom="1160" w:left="960" w:right="0"/>
          <w:cols w:num="2" w:equalWidth="0">
            <w:col w:w="8545" w:space="40"/>
            <w:col w:w="2365"/>
          </w:cols>
        </w:sectPr>
      </w:pPr>
    </w:p>
    <w:p>
      <w:pPr>
        <w:spacing w:line="240" w:lineRule="auto" w:before="5"/>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994"/>
        <w:gridCol w:w="8647"/>
      </w:tblGrid>
      <w:tr>
        <w:trPr>
          <w:trHeight w:val="340"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86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利润分配方案</w:t>
            </w:r>
            <w:r>
              <w:rPr>
                <w:rFonts w:ascii="Times New Roman" w:hAnsi="Times New Roman" w:cs="Times New Roman" w:eastAsia="Times New Roman" w:hint="default"/>
                <w:sz w:val="18"/>
                <w:szCs w:val="18"/>
              </w:rPr>
              <w:t>/</w:t>
            </w:r>
            <w:r>
              <w:rPr>
                <w:rFonts w:ascii="宋体" w:hAnsi="宋体" w:cs="宋体" w:eastAsia="宋体" w:hint="default"/>
                <w:sz w:val="18"/>
                <w:szCs w:val="18"/>
              </w:rPr>
              <w:t>预案</w:t>
            </w:r>
          </w:p>
        </w:tc>
      </w:tr>
      <w:tr>
        <w:trPr>
          <w:trHeight w:val="356"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8647"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32"/>
              <w:ind w:right="1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年度公司不派发现金红利，不送红股，不以公积金转增股本，</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年末未分配利润结转下一年度。</w:t>
            </w:r>
          </w:p>
        </w:tc>
      </w:tr>
      <w:tr>
        <w:trPr>
          <w:trHeight w:val="990"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8647"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before="9"/>
              <w:ind w:left="1" w:right="2" w:firstLine="360"/>
              <w:jc w:val="both"/>
              <w:rPr>
                <w:rFonts w:ascii="宋体" w:hAnsi="宋体" w:cs="宋体" w:eastAsia="宋体" w:hint="default"/>
                <w:sz w:val="18"/>
                <w:szCs w:val="18"/>
              </w:rPr>
            </w:pPr>
            <w:r>
              <w:rPr>
                <w:rFonts w:ascii="宋体" w:hAnsi="宋体" w:cs="宋体" w:eastAsia="宋体" w:hint="default"/>
                <w:spacing w:val="-2"/>
                <w:sz w:val="18"/>
                <w:szCs w:val="18"/>
              </w:rPr>
              <w:t>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日的公司总股本</w:t>
            </w:r>
            <w:r>
              <w:rPr>
                <w:rFonts w:ascii="Times New Roman" w:hAnsi="Times New Roman" w:cs="Times New Roman" w:eastAsia="Times New Roman" w:hint="default"/>
                <w:spacing w:val="-2"/>
                <w:sz w:val="18"/>
                <w:szCs w:val="18"/>
              </w:rPr>
              <w:t>490,741,853</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股派发现金红利</w:t>
            </w:r>
            <w:r>
              <w:rPr>
                <w:rFonts w:ascii="Times New Roman" w:hAnsi="Times New Roman" w:cs="Times New Roman" w:eastAsia="Times New Roman" w:hint="default"/>
                <w:spacing w:val="-2"/>
                <w:sz w:val="18"/>
                <w:szCs w:val="18"/>
              </w:rPr>
              <w:t>0.50</w:t>
            </w:r>
            <w:r>
              <w:rPr>
                <w:rFonts w:ascii="宋体" w:hAnsi="宋体" w:cs="宋体" w:eastAsia="宋体" w:hint="default"/>
                <w:spacing w:val="-2"/>
                <w:sz w:val="18"/>
                <w:szCs w:val="18"/>
              </w:rPr>
              <w:t>元（含税），共</w:t>
            </w:r>
            <w:r>
              <w:rPr>
                <w:rFonts w:ascii="宋体" w:hAnsi="宋体" w:cs="宋体" w:eastAsia="宋体" w:hint="default"/>
                <w:sz w:val="18"/>
                <w:szCs w:val="18"/>
              </w:rPr>
              <w:t> </w:t>
            </w:r>
            <w:r>
              <w:rPr>
                <w:rFonts w:ascii="宋体" w:hAnsi="宋体" w:cs="宋体" w:eastAsia="宋体" w:hint="default"/>
                <w:spacing w:val="13"/>
                <w:sz w:val="18"/>
                <w:szCs w:val="18"/>
              </w:rPr>
              <w:t>计派发现金红利</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24,537,092.65</w:t>
            </w:r>
            <w:r>
              <w:rPr>
                <w:rFonts w:ascii="Times New Roman" w:hAnsi="Times New Roman" w:cs="Times New Roman" w:eastAsia="Times New Roman" w:hint="default"/>
                <w:spacing w:val="-28"/>
                <w:sz w:val="18"/>
                <w:szCs w:val="18"/>
              </w:rPr>
              <w:t> </w:t>
            </w:r>
            <w:r>
              <w:rPr>
                <w:rFonts w:ascii="宋体" w:hAnsi="宋体" w:cs="宋体" w:eastAsia="宋体" w:hint="default"/>
                <w:spacing w:val="8"/>
                <w:sz w:val="18"/>
                <w:szCs w:val="18"/>
              </w:rPr>
              <w:t>元；</w:t>
            </w:r>
            <w:r>
              <w:rPr>
                <w:rFonts w:ascii="宋体" w:hAnsi="宋体" w:cs="宋体" w:eastAsia="宋体" w:hint="default"/>
                <w:spacing w:val="-74"/>
                <w:sz w:val="18"/>
                <w:szCs w:val="18"/>
              </w:rPr>
              <w:t> </w:t>
            </w:r>
            <w:r>
              <w:rPr>
                <w:rFonts w:ascii="宋体" w:hAnsi="宋体" w:cs="宋体" w:eastAsia="宋体" w:hint="default"/>
                <w:spacing w:val="15"/>
                <w:sz w:val="18"/>
                <w:szCs w:val="18"/>
              </w:rPr>
              <w:t>同时以资本公积转增股本方式向全体股东每</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9"/>
                <w:sz w:val="18"/>
                <w:szCs w:val="18"/>
              </w:rPr>
              <w:t> </w:t>
            </w:r>
            <w:r>
              <w:rPr>
                <w:rFonts w:ascii="宋体" w:hAnsi="宋体" w:cs="宋体" w:eastAsia="宋体" w:hint="default"/>
                <w:spacing w:val="11"/>
                <w:sz w:val="18"/>
                <w:szCs w:val="18"/>
              </w:rPr>
              <w:t>股转增</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9"/>
                <w:sz w:val="18"/>
                <w:szCs w:val="18"/>
              </w:rPr>
              <w:t> </w:t>
            </w:r>
            <w:r>
              <w:rPr>
                <w:rFonts w:ascii="宋体" w:hAnsi="宋体" w:cs="宋体" w:eastAsia="宋体" w:hint="default"/>
                <w:spacing w:val="8"/>
                <w:sz w:val="18"/>
                <w:szCs w:val="18"/>
              </w:rPr>
              <w:t>股，</w:t>
            </w:r>
            <w:r>
              <w:rPr>
                <w:rFonts w:ascii="宋体" w:hAnsi="宋体" w:cs="宋体" w:eastAsia="宋体" w:hint="default"/>
                <w:spacing w:val="-74"/>
                <w:sz w:val="18"/>
                <w:szCs w:val="18"/>
              </w:rPr>
              <w:t> </w:t>
            </w:r>
            <w:r>
              <w:rPr>
                <w:rFonts w:ascii="宋体" w:hAnsi="宋体" w:cs="宋体" w:eastAsia="宋体" w:hint="default"/>
                <w:spacing w:val="12"/>
                <w:sz w:val="18"/>
                <w:szCs w:val="18"/>
              </w:rPr>
              <w:t>共计转增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294,445,111</w:t>
            </w:r>
            <w:r>
              <w:rPr>
                <w:rFonts w:ascii="宋体" w:hAnsi="宋体" w:cs="宋体" w:eastAsia="宋体" w:hint="default"/>
                <w:sz w:val="18"/>
                <w:szCs w:val="18"/>
              </w:rPr>
              <w:t>股；送红股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股（含税）。本次利润分配及资本公积转增股本方案实施后，公司的总股本由目前的</w:t>
            </w:r>
          </w:p>
          <w:p>
            <w:pPr>
              <w:pStyle w:val="TableParagraph"/>
              <w:spacing w:line="231"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490,741,853</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785,186,964</w:t>
            </w:r>
            <w:r>
              <w:rPr>
                <w:rFonts w:ascii="宋体" w:hAnsi="宋体" w:cs="宋体" w:eastAsia="宋体" w:hint="default"/>
                <w:sz w:val="18"/>
                <w:szCs w:val="18"/>
              </w:rPr>
              <w:t>股。转增金额未超过报告期末“资本公积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股本溢价”的余额。</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864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32"/>
              <w:ind w:right="1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年度公司不派发现金红利，不送红股，不以公积金转增股本，</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年末未分配利润结转下一年度。</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983"/>
        <w:gridCol w:w="1274"/>
        <w:gridCol w:w="1430"/>
        <w:gridCol w:w="1265"/>
        <w:gridCol w:w="862"/>
        <w:gridCol w:w="1265"/>
        <w:gridCol w:w="1146"/>
        <w:gridCol w:w="1322"/>
      </w:tblGrid>
      <w:tr>
        <w:trPr>
          <w:trHeight w:val="126" w:hRule="exact"/>
        </w:trPr>
        <w:tc>
          <w:tcPr>
            <w:tcW w:w="983"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2"/>
              <w:ind w:left="81" w:right="9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2"/>
              <w:ind w:left="81" w:right="9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46" w:type="dxa"/>
            <w:vMerge w:val="restart"/>
            <w:tcBorders>
              <w:top w:val="single" w:sz="4" w:space="0" w:color="000000"/>
              <w:left w:val="single" w:sz="4" w:space="0" w:color="000000"/>
              <w:right w:val="single" w:sz="4" w:space="0" w:color="000000"/>
            </w:tcBorders>
            <w:shd w:val="clear" w:color="auto" w:fill="D2D2D2"/>
          </w:tcPr>
          <w:p>
            <w:pPr/>
          </w:p>
        </w:tc>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4" w:lineRule="auto" w:before="4"/>
              <w:ind w:left="25" w:right="26"/>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110" w:hRule="exact"/>
        </w:trPr>
        <w:tc>
          <w:tcPr>
            <w:tcW w:w="98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862"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60" w:right="71"/>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265"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250" w:hRule="exact"/>
        </w:trPr>
        <w:tc>
          <w:tcPr>
            <w:tcW w:w="98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31"/>
              <w:ind w:left="73" w:right="86"/>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265"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11"/>
              <w:ind w:left="472" w:right="122" w:hanging="360"/>
              <w:jc w:val="left"/>
              <w:rPr>
                <w:rFonts w:ascii="宋体" w:hAnsi="宋体" w:cs="宋体" w:eastAsia="宋体" w:hint="default"/>
                <w:sz w:val="18"/>
                <w:szCs w:val="18"/>
              </w:rPr>
            </w:pPr>
            <w:r>
              <w:rPr>
                <w:rFonts w:ascii="宋体" w:hAnsi="宋体" w:cs="宋体" w:eastAsia="宋体" w:hint="default"/>
                <w:sz w:val="18"/>
                <w:szCs w:val="18"/>
              </w:rPr>
              <w:t>现金分红总 额</w:t>
            </w:r>
          </w:p>
          <w:p>
            <w:pPr>
              <w:pStyle w:val="TableParagraph"/>
              <w:spacing w:line="244" w:lineRule="auto" w:before="41"/>
              <w:ind w:left="382" w:right="122"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322" w:type="dxa"/>
            <w:vMerge/>
            <w:tcBorders>
              <w:left w:val="single" w:sz="4" w:space="0" w:color="000000"/>
              <w:right w:val="single" w:sz="4" w:space="0" w:color="000000"/>
            </w:tcBorders>
            <w:shd w:val="clear" w:color="auto" w:fill="D2D2D2"/>
          </w:tcPr>
          <w:p>
            <w:pPr/>
          </w:p>
        </w:tc>
      </w:tr>
      <w:tr>
        <w:trPr>
          <w:trHeight w:val="120"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30"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320"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19"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20"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250" w:hRule="exact"/>
        </w:trPr>
        <w:tc>
          <w:tcPr>
            <w:tcW w:w="983"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235"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pacing w:val="-1"/>
                <w:sz w:val="18"/>
              </w:rPr>
              <w:t>291,043,046.39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0.00%</w:t>
            </w:r>
          </w:p>
        </w:tc>
        <w:tc>
          <w:tcPr>
            <w:tcW w:w="862" w:type="dxa"/>
            <w:tcBorders>
              <w:top w:val="single" w:sz="48" w:space="0" w:color="D2D2D2"/>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z w:val="18"/>
              </w:rPr>
              <w:t>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24,537,092.65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pacing w:val="-1"/>
                <w:sz w:val="18"/>
              </w:rPr>
              <w:t>227,912,897.73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10.77%</w:t>
            </w:r>
          </w:p>
        </w:tc>
        <w:tc>
          <w:tcPr>
            <w:tcW w:w="8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pacing w:val="-1"/>
                <w:sz w:val="18"/>
              </w:rPr>
              <w:t>24,537,092.65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z w:val="18"/>
              </w:rPr>
              <w:t>10.77%</w:t>
            </w:r>
          </w:p>
        </w:tc>
      </w:tr>
      <w:tr>
        <w:trPr>
          <w:trHeight w:val="331"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pacing w:val="-1"/>
                <w:sz w:val="18"/>
              </w:rPr>
              <w:t>46,556,799.86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2"/>
              <w:jc w:val="right"/>
              <w:rPr>
                <w:rFonts w:ascii="Times New Roman" w:hAnsi="Times New Roman" w:cs="Times New Roman" w:eastAsia="Times New Roman" w:hint="default"/>
                <w:sz w:val="18"/>
                <w:szCs w:val="18"/>
              </w:rPr>
            </w:pPr>
            <w:r>
              <w:rPr>
                <w:rFonts w:ascii="Times New Roman"/>
                <w:sz w:val="18"/>
              </w:rPr>
              <w:t>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9"/>
        <w:rPr>
          <w:rFonts w:ascii="宋体" w:hAnsi="宋体" w:cs="宋体" w:eastAsia="宋体" w:hint="default"/>
          <w:sz w:val="6"/>
          <w:szCs w:val="6"/>
        </w:rPr>
      </w:pPr>
    </w:p>
    <w:p>
      <w:pPr>
        <w:pStyle w:val="BodyText"/>
        <w:spacing w:line="415" w:lineRule="auto"/>
        <w:ind w:right="1032"/>
        <w:jc w:val="left"/>
      </w:pPr>
      <w:r>
        <w:rPr>
          <w:spacing w:val="-12"/>
        </w:rPr>
        <w:t>注：公司近三年（包含本报告期）合计分配现金红利</w:t>
      </w:r>
      <w:r>
        <w:rPr>
          <w:spacing w:val="-37"/>
        </w:rPr>
        <w:t> </w:t>
      </w:r>
      <w:r>
        <w:rPr>
          <w:rFonts w:ascii="Times New Roman" w:hAnsi="Times New Roman" w:cs="Times New Roman" w:eastAsia="Times New Roman" w:hint="default"/>
          <w:spacing w:val="-1"/>
        </w:rPr>
        <w:t>24,537,092.65</w:t>
      </w:r>
      <w:r>
        <w:rPr>
          <w:rFonts w:ascii="Times New Roman" w:hAnsi="Times New Roman" w:cs="Times New Roman" w:eastAsia="Times New Roman" w:hint="default"/>
          <w:spacing w:val="7"/>
        </w:rPr>
        <w:t> </w:t>
      </w:r>
      <w:r>
        <w:rPr>
          <w:spacing w:val="-5"/>
        </w:rPr>
        <w:t>元，占该三年实现的母公司年均可分配利润的</w:t>
      </w:r>
      <w:r>
        <w:rPr>
          <w:spacing w:val="-38"/>
        </w:rPr>
        <w:t> </w:t>
      </w:r>
      <w:r>
        <w:rPr>
          <w:rFonts w:ascii="Times New Roman" w:hAnsi="Times New Roman" w:cs="Times New Roman" w:eastAsia="Times New Roman" w:hint="default"/>
          <w:spacing w:val="-1"/>
        </w:rPr>
        <w:t>142.25%</w:t>
      </w:r>
      <w:r>
        <w:rPr>
          <w:spacing w:val="-1"/>
        </w:rPr>
        <w:t>。</w:t>
      </w:r>
      <w:r>
        <w:rPr>
          <w:spacing w:val="-88"/>
        </w:rPr>
        <w:t> </w:t>
      </w:r>
      <w:r>
        <w:rPr/>
        <w:t>公司报告期内盈利且母公司可供普通股股东分配利润为正但未提出普通股现金红利分配预案</w:t>
      </w:r>
    </w:p>
    <w:p>
      <w:pPr>
        <w:pStyle w:val="BodyText"/>
        <w:spacing w:line="234" w:lineRule="exact"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5812"/>
        <w:gridCol w:w="3756"/>
      </w:tblGrid>
      <w:tr>
        <w:trPr>
          <w:trHeight w:val="570"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000" w:right="109" w:hanging="18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报告期内盈利且母公司可供普通股股东分配利润为正但未提出普通股现 金红利分配预案的原因</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523"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050"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382"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年度经营发展目标和业务拓展计划，以及项目建设资</w:t>
            </w:r>
          </w:p>
          <w:p>
            <w:pPr>
              <w:pStyle w:val="TableParagraph"/>
              <w:spacing w:line="240" w:lineRule="exact" w:before="14"/>
              <w:ind w:left="22" w:right="21"/>
              <w:jc w:val="left"/>
              <w:rPr>
                <w:rFonts w:ascii="宋体" w:hAnsi="宋体" w:cs="宋体" w:eastAsia="宋体" w:hint="default"/>
                <w:sz w:val="18"/>
                <w:szCs w:val="18"/>
              </w:rPr>
            </w:pPr>
            <w:r>
              <w:rPr>
                <w:rFonts w:ascii="宋体" w:hAnsi="宋体" w:cs="宋体" w:eastAsia="宋体" w:hint="default"/>
                <w:sz w:val="18"/>
                <w:szCs w:val="18"/>
              </w:rPr>
              <w:t>金需求，同时结合当前现金流不够充裕的现状，董事会提议公司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度不进行利润分配符合《公司章程》中规定的现金分红政策，该利润分配 预案具备合法性、合规性、合理性。</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3" w:right="120" w:firstLine="360"/>
              <w:jc w:val="left"/>
              <w:rPr>
                <w:rFonts w:ascii="宋体" w:hAnsi="宋体" w:cs="宋体" w:eastAsia="宋体" w:hint="default"/>
                <w:sz w:val="18"/>
                <w:szCs w:val="18"/>
              </w:rPr>
            </w:pPr>
            <w:r>
              <w:rPr>
                <w:rFonts w:ascii="宋体" w:hAnsi="宋体" w:cs="宋体" w:eastAsia="宋体" w:hint="default"/>
                <w:sz w:val="18"/>
                <w:szCs w:val="18"/>
              </w:rPr>
              <w:t>公司互联网财税和热处理两大业务板块业 务拓展及新项目建设。</w:t>
            </w:r>
          </w:p>
        </w:tc>
      </w:tr>
    </w:tbl>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二、本报告期利润分配及资本公积金转增股本预案情况" w:id="86"/>
      <w:bookmarkEnd w:id="86"/>
      <w:r>
        <w:rPr>
          <w:b w:val="0"/>
          <w:bCs w:val="0"/>
        </w:rPr>
      </w:r>
      <w:r>
        <w:rPr/>
        <w:t>二、本报告期利润分配及资本公积金转增股本预案情况</w:t>
      </w:r>
      <w:r>
        <w:rPr>
          <w:b w:val="0"/>
          <w:bCs w:val="0"/>
        </w:rPr>
      </w:r>
    </w:p>
    <w:p>
      <w:pPr>
        <w:spacing w:line="240" w:lineRule="auto" w:before="10"/>
        <w:rPr>
          <w:rFonts w:ascii="宋体" w:hAnsi="宋体" w:cs="宋体" w:eastAsia="宋体" w:hint="default"/>
          <w:b/>
          <w:bCs/>
          <w:sz w:val="26"/>
          <w:szCs w:val="26"/>
        </w:rPr>
      </w:pPr>
    </w:p>
    <w:p>
      <w:pPr>
        <w:pStyle w:val="BodyText"/>
        <w:spacing w:line="415" w:lineRule="auto" w:before="0"/>
        <w:ind w:right="5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after="0" w:line="415" w:lineRule="auto"/>
        <w:jc w:val="left"/>
        <w:sectPr>
          <w:type w:val="continuous"/>
          <w:pgSz w:w="11910" w:h="16840"/>
          <w:pgMar w:top="1060" w:bottom="1160" w:left="960" w:right="0"/>
        </w:sectPr>
      </w:pPr>
    </w:p>
    <w:p>
      <w:pPr>
        <w:spacing w:line="240" w:lineRule="auto" w:before="7"/>
        <w:rPr>
          <w:rFonts w:ascii="宋体" w:hAnsi="宋体" w:cs="宋体" w:eastAsia="宋体" w:hint="default"/>
          <w:sz w:val="22"/>
          <w:szCs w:val="22"/>
        </w:rPr>
      </w:pPr>
      <w:r>
        <w:rPr/>
        <w:pict>
          <v:shape style="position:absolute;margin-left:388.516998pt;margin-top:268.639984pt;width:79.150pt;height:118pt;mso-position-horizontal-relative:page;mso-position-vertical-relative:page;z-index:-10281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before="0"/>
                    <w:ind w:left="0" w:right="0"/>
                    <w:jc w:val="left"/>
                  </w:pPr>
                  <w:r>
                    <w:rPr/>
                    <w:t>组织以劳务、</w:t>
                  </w:r>
                </w:p>
              </w:txbxContent>
            </v:textbox>
            <w10:wrap type="none"/>
          </v:shape>
        </w:pict>
      </w:r>
      <w:r>
        <w:rPr/>
        <w:pict>
          <v:group style="position:absolute;margin-left:439.73999pt;margin-top:438.639984pt;width:27.9pt;height:118.05pt;mso-position-horizontal-relative:page;mso-position-vertical-relative:page;z-index:-1028128" coordorigin="8795,8773" coordsize="558,2361">
            <v:shape style="position:absolute;left:8795;top:8773;width:558;height:2361" coordorigin="8795,8773" coordsize="558,2361" path="m8795,11133l9353,11133,9353,8773,8795,8773,8795,11133xe" filled="true" fillcolor="#ffffff" stroked="false">
              <v:path arrowok="t"/>
              <v:fill type="solid"/>
            </v:shape>
            <w10:wrap type="none"/>
          </v:group>
        </w:pict>
      </w:r>
    </w:p>
    <w:p>
      <w:pPr>
        <w:pStyle w:val="Heading2"/>
        <w:spacing w:line="240" w:lineRule="auto" w:before="26"/>
        <w:ind w:right="0"/>
        <w:jc w:val="left"/>
        <w:rPr>
          <w:b w:val="0"/>
          <w:bCs w:val="0"/>
        </w:rPr>
      </w:pPr>
      <w:bookmarkStart w:name="三、承诺事项履行情况" w:id="87"/>
      <w:bookmarkEnd w:id="87"/>
      <w:r>
        <w:rPr>
          <w:b w:val="0"/>
          <w:bCs w:val="0"/>
        </w:rPr>
      </w:r>
      <w:r>
        <w:rPr/>
        <w:t>三、承诺事项履行情况</w:t>
      </w:r>
      <w:r>
        <w:rPr>
          <w:b w:val="0"/>
          <w:bCs w:val="0"/>
        </w:rPr>
      </w:r>
    </w:p>
    <w:p>
      <w:pPr>
        <w:spacing w:line="240" w:lineRule="auto" w:before="3"/>
        <w:rPr>
          <w:rFonts w:ascii="宋体" w:hAnsi="宋体" w:cs="宋体" w:eastAsia="宋体" w:hint="default"/>
          <w:b/>
          <w:bCs/>
          <w:sz w:val="29"/>
          <w:szCs w:val="29"/>
        </w:rPr>
      </w:pPr>
    </w:p>
    <w:p>
      <w:pPr>
        <w:pStyle w:val="Heading3"/>
        <w:spacing w:line="297" w:lineRule="auto" w:before="0"/>
        <w:ind w:left="174" w:right="0" w:firstLine="422"/>
        <w:jc w:val="left"/>
        <w:rPr>
          <w:b w:val="0"/>
          <w:bCs w:val="0"/>
        </w:rPr>
      </w:pPr>
      <w:bookmarkStart w:name="1、公司实际控制人、股东、关联方、收购人以及公司等承诺相关方在报告期内履行完毕及" w:id="88"/>
      <w:bookmarkEnd w:id="8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w:t>
      </w:r>
      <w:r>
        <w:rPr>
          <w:w w:val="99"/>
        </w:rPr>
        <w:t> </w:t>
      </w:r>
      <w:r>
        <w:rPr/>
        <w:t>期末尚未履行完毕的承诺事项</w:t>
      </w:r>
      <w:r>
        <w:rPr>
          <w:b w:val="0"/>
          <w:bCs w:val="0"/>
        </w:rPr>
      </w:r>
    </w:p>
    <w:p>
      <w:pPr>
        <w:pStyle w:val="BodyText"/>
        <w:spacing w:line="240" w:lineRule="auto" w:before="12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994"/>
        <w:gridCol w:w="850"/>
        <w:gridCol w:w="425"/>
        <w:gridCol w:w="5388"/>
        <w:gridCol w:w="568"/>
        <w:gridCol w:w="425"/>
        <w:gridCol w:w="920"/>
      </w:tblGrid>
      <w:tr>
        <w:trPr>
          <w:trHeight w:val="145"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1"/>
              <w:ind w:left="26" w:right="2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5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98" w:right="9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1"/>
              <w:ind w:left="26" w:right="2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20"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4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5" w:type="dxa"/>
            <w:vMerge/>
            <w:tcBorders>
              <w:left w:val="single" w:sz="4" w:space="0" w:color="000000"/>
              <w:right w:val="single" w:sz="4" w:space="0" w:color="000000"/>
            </w:tcBorders>
            <w:shd w:val="clear" w:color="auto" w:fill="D2D2D2"/>
          </w:tcPr>
          <w:p>
            <w:pPr/>
          </w:p>
        </w:tc>
        <w:tc>
          <w:tcPr>
            <w:tcW w:w="5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8"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44"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5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8" w:space="0" w:color="D2D2D2"/>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8" w:space="0" w:color="D2D2D2"/>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5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850"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10" w:hRule="exact"/>
        </w:trPr>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6" w:right="95"/>
              <w:jc w:val="left"/>
              <w:rPr>
                <w:rFonts w:ascii="宋体" w:hAnsi="宋体" w:cs="宋体" w:eastAsia="宋体" w:hint="default"/>
                <w:sz w:val="18"/>
                <w:szCs w:val="18"/>
              </w:rPr>
            </w:pPr>
            <w:r>
              <w:rPr>
                <w:rFonts w:ascii="宋体" w:hAnsi="宋体" w:cs="宋体" w:eastAsia="宋体" w:hint="default"/>
                <w:sz w:val="18"/>
                <w:szCs w:val="18"/>
              </w:rPr>
              <w:t>东润投资 朱文明 束昱辉</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30"/>
              <w:jc w:val="both"/>
              <w:rPr>
                <w:rFonts w:ascii="宋体" w:hAnsi="宋体" w:cs="宋体" w:eastAsia="宋体" w:hint="default"/>
                <w:sz w:val="18"/>
                <w:szCs w:val="18"/>
              </w:rPr>
            </w:pPr>
            <w:r>
              <w:rPr>
                <w:rFonts w:ascii="宋体" w:hAnsi="宋体" w:cs="宋体" w:eastAsia="宋体" w:hint="default"/>
                <w:sz w:val="18"/>
                <w:szCs w:val="18"/>
              </w:rPr>
              <w:t>避免 同业 竞争</w:t>
            </w:r>
          </w:p>
        </w:tc>
        <w:tc>
          <w:tcPr>
            <w:tcW w:w="5388" w:type="dxa"/>
            <w:vMerge w:val="restart"/>
            <w:tcBorders>
              <w:top w:val="single" w:sz="4" w:space="0" w:color="000000"/>
              <w:left w:val="single" w:sz="4" w:space="0" w:color="000000"/>
              <w:right w:val="single" w:sz="4" w:space="0" w:color="000000"/>
            </w:tcBorders>
          </w:tcPr>
          <w:p>
            <w:pPr>
              <w:pStyle w:val="TableParagraph"/>
              <w:spacing w:line="240" w:lineRule="auto" w:before="22"/>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、截止本承诺函签署之日，本企业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本人未在、将来也不会在中</w:t>
            </w:r>
            <w:r>
              <w:rPr>
                <w:rFonts w:ascii="宋体" w:hAnsi="宋体" w:cs="宋体" w:eastAsia="宋体" w:hint="default"/>
                <w:sz w:val="18"/>
                <w:szCs w:val="18"/>
              </w:rPr>
              <w:t> 国境内或境外以任何方式（包括但不限于单独经营、通过合资</w:t>
            </w:r>
            <w:r>
              <w:rPr>
                <w:rFonts w:ascii="Times New Roman" w:hAnsi="Times New Roman" w:cs="Times New Roman" w:eastAsia="Times New Roman" w:hint="default"/>
                <w:sz w:val="18"/>
                <w:szCs w:val="18"/>
              </w:rPr>
              <w:t>/</w:t>
            </w:r>
            <w:r>
              <w:rPr>
                <w:rFonts w:ascii="宋体" w:hAnsi="宋体" w:cs="宋体" w:eastAsia="宋体" w:hint="default"/>
                <w:sz w:val="18"/>
                <w:szCs w:val="18"/>
              </w:rPr>
              <w:t>合伙 </w:t>
            </w:r>
            <w:r>
              <w:rPr>
                <w:rFonts w:ascii="宋体" w:hAnsi="宋体" w:cs="宋体" w:eastAsia="宋体" w:hint="default"/>
                <w:spacing w:val="-3"/>
                <w:sz w:val="18"/>
                <w:szCs w:val="18"/>
              </w:rPr>
              <w:t>经营或拥有另一公司或企业的股权及其它权益等方式）直接或间接从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事或参与任何与上市公司及其下属子公司相同、相似或在商业上构成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任何竞争的业务及活动，或拥有与上市公司及其下属子公司存在竞争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关系的任何经济实体、机构、经济组织的权益，或以其他任何形式取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得该经济实体、机构、经济组织的控制权，或者为该等与上市公司及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7"/>
                <w:sz w:val="18"/>
                <w:szCs w:val="18"/>
              </w:rPr>
              <w:t>其下属子公司业务构成竞争关系的经济实体、机构、经济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顾问或咨询等方式提供服务。</w:t>
            </w:r>
          </w:p>
          <w:p>
            <w:pPr>
              <w:pStyle w:val="TableParagraph"/>
              <w:spacing w:line="240" w:lineRule="auto" w:before="44"/>
              <w:ind w:left="22" w:right="2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本人如从任何第三方获得的商业机会与上市公司及其</w:t>
            </w:r>
            <w:r>
              <w:rPr>
                <w:rFonts w:ascii="宋体" w:hAnsi="宋体" w:cs="宋体" w:eastAsia="宋体" w:hint="default"/>
                <w:sz w:val="18"/>
                <w:szCs w:val="18"/>
              </w:rPr>
              <w:t> </w:t>
            </w:r>
            <w:r>
              <w:rPr>
                <w:rFonts w:ascii="宋体" w:hAnsi="宋体" w:cs="宋体" w:eastAsia="宋体" w:hint="default"/>
                <w:spacing w:val="-3"/>
                <w:sz w:val="18"/>
                <w:szCs w:val="18"/>
              </w:rPr>
              <w:t>下属子公司经营的业务构成竞争或可能构成竞争，则应立即通知上市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公司或其下属子公司，并应促成将该商业机会让予上市公司或其下属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子公司。</w:t>
            </w:r>
          </w:p>
          <w:p>
            <w:pPr>
              <w:pStyle w:val="TableParagraph"/>
              <w:spacing w:line="240" w:lineRule="exact" w:before="63"/>
              <w:ind w:left="22" w:right="-45"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、若发现本企业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本人控制的其他企业在以后任何</w:t>
            </w:r>
            <w:r>
              <w:rPr>
                <w:rFonts w:ascii="宋体" w:hAnsi="宋体" w:cs="宋体" w:eastAsia="宋体" w:hint="default"/>
                <w:sz w:val="18"/>
                <w:szCs w:val="18"/>
              </w:rPr>
              <w:t> 时间从事与上市公司及其下属子公司的产品或业务存在竞争的业务， 则本企业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本人控制的其他企业承诺将以停止生产经营 </w:t>
            </w:r>
            <w:r>
              <w:rPr>
                <w:rFonts w:ascii="宋体" w:hAnsi="宋体" w:cs="宋体" w:eastAsia="宋体" w:hint="default"/>
                <w:spacing w:val="-3"/>
                <w:sz w:val="18"/>
                <w:szCs w:val="18"/>
              </w:rPr>
              <w:t>相竞争的业务或产品的方式，或者将相竞争的业务无偿转让给上市公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司及其下属子公司的方式，或者将相竞争的业务转让给无关联关系的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第三方的方式避免同业竞争。</w:t>
            </w:r>
          </w:p>
          <w:p>
            <w:pPr>
              <w:pStyle w:val="TableParagraph"/>
              <w:spacing w:line="240" w:lineRule="exact" w:before="39"/>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、在本企业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本人作为上市公司控股股东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实际控制人期间，本承</w:t>
            </w:r>
            <w:r>
              <w:rPr>
                <w:rFonts w:ascii="宋体" w:hAnsi="宋体" w:cs="宋体" w:eastAsia="宋体" w:hint="default"/>
                <w:sz w:val="18"/>
                <w:szCs w:val="18"/>
              </w:rPr>
              <w:t> 诺函持续有效，不可撤销。</w:t>
            </w:r>
          </w:p>
          <w:p>
            <w:pPr>
              <w:pStyle w:val="TableParagraph"/>
              <w:spacing w:line="240" w:lineRule="exact" w:before="39"/>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、如上述承诺被证明是不真实的或未被遵守，本企业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本人愿意</w:t>
            </w:r>
            <w:r>
              <w:rPr>
                <w:rFonts w:ascii="宋体" w:hAnsi="宋体" w:cs="宋体" w:eastAsia="宋体" w:hint="default"/>
                <w:sz w:val="18"/>
                <w:szCs w:val="18"/>
              </w:rPr>
              <w:t> 承担因违反上述承诺而给上市公司造成的全部经济损失。</w:t>
            </w:r>
          </w:p>
        </w:tc>
        <w:tc>
          <w:tcPr>
            <w:tcW w:w="568" w:type="dxa"/>
            <w:vMerge w:val="restart"/>
            <w:tcBorders>
              <w:top w:val="single" w:sz="4" w:space="0" w:color="000000"/>
              <w:left w:val="single" w:sz="4" w:space="0" w:color="000000"/>
              <w:right w:val="single" w:sz="4" w:space="0" w:color="000000"/>
            </w:tcBorders>
          </w:tcPr>
          <w:p>
            <w:pPr>
              <w:pStyle w:val="TableParagraph"/>
              <w:spacing w:line="2359" w:lineRule="exact"/>
              <w:ind w:right="-50"/>
              <w:jc w:val="left"/>
              <w:rPr>
                <w:rFonts w:ascii="宋体" w:hAnsi="宋体" w:cs="宋体" w:eastAsia="宋体" w:hint="default"/>
                <w:sz w:val="20"/>
                <w:szCs w:val="20"/>
              </w:rPr>
            </w:pPr>
            <w:r>
              <w:rPr>
                <w:rFonts w:ascii="宋体" w:hAnsi="宋体" w:cs="宋体" w:eastAsia="宋体" w:hint="default"/>
                <w:position w:val="-46"/>
                <w:sz w:val="20"/>
                <w:szCs w:val="20"/>
              </w:rPr>
              <w:pict>
                <v:group style="width:27.9pt;height:118pt;mso-position-horizontal-relative:char;mso-position-vertical-relative:line" coordorigin="0,0" coordsize="558,2360">
                  <v:group style="position:absolute;left:0;top:0;width:558;height:2360" coordorigin="0,0" coordsize="558,2360">
                    <v:shape style="position:absolute;left:0;top:0;width:558;height:2360" coordorigin="0,0" coordsize="558,2360" path="m0,2359l558,2359,558,0,0,0,0,2359xe" filled="true" fillcolor="#ffffff" stroked="false">
                      <v:path arrowok="t"/>
                      <v:fill type="solid"/>
                    </v:shape>
                  </v:group>
                </v:group>
              </w:pict>
            </w:r>
            <w:r>
              <w:rPr>
                <w:rFonts w:ascii="宋体" w:hAnsi="宋体" w:cs="宋体" w:eastAsia="宋体" w:hint="default"/>
                <w:position w:val="-46"/>
                <w:sz w:val="20"/>
                <w:szCs w:val="20"/>
              </w:rPr>
            </w:r>
          </w:p>
          <w:p>
            <w:pPr>
              <w:pStyle w:val="TableParagraph"/>
              <w:spacing w:line="203" w:lineRule="exact" w:before="63"/>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7"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2"/>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560"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22" w:right="5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850" w:type="dxa"/>
            <w:vMerge/>
            <w:tcBorders>
              <w:left w:val="single" w:sz="9" w:space="0" w:color="D2D2D2"/>
              <w:right w:val="single" w:sz="4" w:space="0" w:color="000000"/>
            </w:tcBorders>
          </w:tcPr>
          <w:p>
            <w:pPr/>
          </w:p>
        </w:tc>
        <w:tc>
          <w:tcPr>
            <w:tcW w:w="425" w:type="dxa"/>
            <w:vMerge/>
            <w:tcBorders>
              <w:left w:val="single" w:sz="4" w:space="0" w:color="000000"/>
              <w:right w:val="single" w:sz="4" w:space="0" w:color="000000"/>
            </w:tcBorders>
          </w:tcPr>
          <w:p>
            <w:pPr/>
          </w:p>
        </w:tc>
        <w:tc>
          <w:tcPr>
            <w:tcW w:w="538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500"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38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nil" w:sz="6" w:space="0" w:color="auto"/>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4210"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4" w:lineRule="auto"/>
              <w:ind w:left="22" w:right="95"/>
              <w:jc w:val="left"/>
              <w:rPr>
                <w:rFonts w:ascii="宋体" w:hAnsi="宋体" w:cs="宋体" w:eastAsia="宋体" w:hint="default"/>
                <w:sz w:val="18"/>
                <w:szCs w:val="18"/>
              </w:rPr>
            </w:pPr>
            <w:r>
              <w:rPr>
                <w:rFonts w:ascii="宋体" w:hAnsi="宋体" w:cs="宋体" w:eastAsia="宋体" w:hint="default"/>
                <w:sz w:val="18"/>
                <w:szCs w:val="18"/>
              </w:rPr>
              <w:t>东润投资 朱文明 束昱辉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减少 和规 避关 联交 易</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、于本次交易完成后，本企业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本人将尽量避免或减少本企业</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本人控制的其他企业与上市公司及其子公司（包括方 </w:t>
            </w:r>
            <w:r>
              <w:rPr>
                <w:rFonts w:ascii="宋体" w:hAnsi="宋体" w:cs="宋体" w:eastAsia="宋体" w:hint="default"/>
                <w:spacing w:val="-3"/>
                <w:sz w:val="18"/>
                <w:szCs w:val="18"/>
              </w:rPr>
              <w:t>欣科技及其子公司，下同）之间的关联交易。对于上市公司及其子公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司能够通过市场与第三方之间发生的交易，将由上市公司及其子公司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独立与第三方进行；对于本企业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 </w:t>
            </w:r>
            <w:r>
              <w:rPr>
                <w:rFonts w:ascii="宋体" w:hAnsi="宋体" w:cs="宋体" w:eastAsia="宋体" w:hint="default"/>
                <w:spacing w:val="-3"/>
                <w:sz w:val="18"/>
                <w:szCs w:val="18"/>
              </w:rPr>
              <w:t>与上市公司及其子公司无法避免的关联交易，均将严格遵守市场化原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则，本着平等互利、等价、有偿的一般原则，公平合理地进行。</w:t>
            </w:r>
          </w:p>
          <w:p>
            <w:pPr>
              <w:pStyle w:val="TableParagraph"/>
              <w:spacing w:line="237" w:lineRule="auto" w:before="24"/>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、本次交易过程中及交易完成后，除开展正常业务所需备用金 </w:t>
            </w:r>
            <w:r>
              <w:rPr>
                <w:rFonts w:ascii="宋体" w:hAnsi="宋体" w:cs="宋体" w:eastAsia="宋体" w:hint="default"/>
                <w:spacing w:val="-3"/>
                <w:sz w:val="18"/>
                <w:szCs w:val="18"/>
              </w:rPr>
              <w:t>外，不会以任何方式占用或使用上市公司及其子公司的资金、资产或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其他资源，也不会要求上市公司及其子公司为本企业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本人及本企业</w:t>
            </w:r>
            <w:r>
              <w:rPr>
                <w:rFonts w:ascii="Times New Roman" w:hAnsi="Times New Roman" w:cs="Times New Roman" w:eastAsia="Times New Roman" w:hint="default"/>
                <w:sz w:val="18"/>
                <w:szCs w:val="18"/>
              </w:rPr>
              <w:t>/ </w:t>
            </w:r>
            <w:r>
              <w:rPr>
                <w:rFonts w:ascii="宋体" w:hAnsi="宋体" w:cs="宋体" w:eastAsia="宋体" w:hint="default"/>
                <w:sz w:val="18"/>
                <w:szCs w:val="18"/>
              </w:rPr>
              <w:t>本人控制的其他企业代垫款项、代偿债务，本企业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本人不会以任何 直接或间接的方式从事损害或可能损害上市公司及其子公司利益的 行为。</w:t>
            </w:r>
          </w:p>
          <w:p>
            <w:pPr>
              <w:pStyle w:val="TableParagraph"/>
              <w:spacing w:line="240" w:lineRule="auto" w:before="44"/>
              <w:ind w:left="22" w:right="2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本人控制的其他企业与上市公司及其子</w:t>
            </w:r>
            <w:r>
              <w:rPr>
                <w:rFonts w:ascii="宋体" w:hAnsi="宋体" w:cs="宋体" w:eastAsia="宋体" w:hint="default"/>
                <w:sz w:val="18"/>
                <w:szCs w:val="18"/>
              </w:rPr>
              <w:t> </w:t>
            </w:r>
            <w:r>
              <w:rPr>
                <w:rFonts w:ascii="宋体" w:hAnsi="宋体" w:cs="宋体" w:eastAsia="宋体" w:hint="default"/>
                <w:spacing w:val="-9"/>
                <w:sz w:val="18"/>
                <w:szCs w:val="18"/>
              </w:rPr>
              <w:t>公司发生关联交易时，将严格按照有关法律、法规、规范性文件及《江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苏丰东热技术股份有限公司章程》等公司治理制度的有关规定履行审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批程序和信息披露义务，保证不通过关联交易损害上市公司及其子公</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bl>
    <w:p>
      <w:pPr>
        <w:spacing w:after="0" w:line="244"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r>
        <w:rPr/>
        <w:pict>
          <v:shape style="position:absolute;margin-left:298.526001pt;margin-top:670.059998pt;width:169.15pt;height:18pt;mso-position-horizontal-relative:page;mso-position-vertical-relative:page;z-index:-1028080" type="#_x0000_t202" filled="false" stroked="false">
            <v:textbox inset="0,0,0,0">
              <w:txbxContent>
                <w:p>
                  <w:pPr>
                    <w:pStyle w:val="BodyText"/>
                    <w:spacing w:line="240" w:lineRule="auto" w:before="21"/>
                    <w:ind w:left="0" w:right="0"/>
                    <w:jc w:val="left"/>
                  </w:pPr>
                  <w:r>
                    <w:rPr/>
                    <w:t>除方欣科技及其控制的其他企业外，</w:t>
                  </w:r>
                </w:p>
              </w:txbxContent>
            </v:textbox>
            <w10:wrap type="none"/>
          </v:shape>
        </w:pict>
      </w:r>
    </w:p>
    <w:tbl>
      <w:tblPr>
        <w:tblW w:w="0" w:type="auto"/>
        <w:jc w:val="left"/>
        <w:tblInd w:w="169" w:type="dxa"/>
        <w:tblLayout w:type="fixed"/>
        <w:tblCellMar>
          <w:top w:w="0" w:type="dxa"/>
          <w:left w:w="0" w:type="dxa"/>
          <w:bottom w:w="0" w:type="dxa"/>
          <w:right w:w="0" w:type="dxa"/>
        </w:tblCellMar>
        <w:tblLook w:val="01E0"/>
      </w:tblPr>
      <w:tblGrid>
        <w:gridCol w:w="993"/>
        <w:gridCol w:w="850"/>
        <w:gridCol w:w="425"/>
        <w:gridCol w:w="5388"/>
        <w:gridCol w:w="568"/>
        <w:gridCol w:w="425"/>
        <w:gridCol w:w="920"/>
      </w:tblGrid>
      <w:tr>
        <w:trPr>
          <w:trHeight w:val="129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z w:val="18"/>
                <w:szCs w:val="18"/>
              </w:rPr>
              <w:t>司、广大中小股东的合法权益。本企业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本人在上市公司董事会或股 </w:t>
            </w:r>
            <w:r>
              <w:rPr>
                <w:rFonts w:ascii="宋体" w:hAnsi="宋体" w:cs="宋体" w:eastAsia="宋体" w:hint="default"/>
                <w:spacing w:val="-3"/>
                <w:sz w:val="18"/>
                <w:szCs w:val="18"/>
              </w:rPr>
              <w:t>东大会审议该等关联交易事项时，主动依法履行回避义务，并在议案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获得通过后方可实施。</w:t>
            </w:r>
          </w:p>
          <w:p>
            <w:pPr>
              <w:pStyle w:val="TableParagraph"/>
              <w:spacing w:line="240" w:lineRule="exact" w:before="41"/>
              <w:ind w:left="22" w:right="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、如果因违反上述承诺导致上市公司及其子公司利益损失的， 该等损失由本企业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本人承担。</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6490"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4" w:lineRule="auto"/>
              <w:ind w:left="23" w:right="275"/>
              <w:jc w:val="left"/>
              <w:rPr>
                <w:rFonts w:ascii="宋体" w:hAnsi="宋体" w:cs="宋体" w:eastAsia="宋体" w:hint="default"/>
                <w:sz w:val="18"/>
                <w:szCs w:val="18"/>
              </w:rPr>
            </w:pPr>
            <w:r>
              <w:rPr>
                <w:rFonts w:ascii="宋体" w:hAnsi="宋体" w:cs="宋体" w:eastAsia="宋体" w:hint="default"/>
                <w:sz w:val="18"/>
                <w:szCs w:val="18"/>
              </w:rPr>
              <w:t>徐正军 王金根 曹锋 邓国庭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股份 锁定</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自上市公司本次股份发行结束之日起算，交易对方通过本次重组</w:t>
            </w:r>
            <w:r>
              <w:rPr>
                <w:rFonts w:ascii="宋体" w:hAnsi="宋体" w:cs="宋体" w:eastAsia="宋体" w:hint="default"/>
                <w:sz w:val="18"/>
                <w:szCs w:val="18"/>
              </w:rPr>
              <w:t> 所取得的上市公司股份锁定期不得低于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pStyle w:val="TableParagraph"/>
              <w:spacing w:line="244" w:lineRule="auto" w:before="26"/>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经上市公司及业绩承诺方友好协商，业绩承诺方保证，业绩承诺</w:t>
            </w:r>
            <w:r>
              <w:rPr>
                <w:rFonts w:ascii="宋体" w:hAnsi="宋体" w:cs="宋体" w:eastAsia="宋体" w:hint="default"/>
                <w:sz w:val="18"/>
                <w:szCs w:val="18"/>
              </w:rPr>
              <w:t> 方通过本次重组取得的上市公司股份的锁定期自上市公司本次股份 </w:t>
            </w:r>
            <w:r>
              <w:rPr>
                <w:rFonts w:ascii="宋体" w:hAnsi="宋体" w:cs="宋体" w:eastAsia="宋体" w:hint="default"/>
                <w:spacing w:val="-3"/>
                <w:sz w:val="18"/>
                <w:szCs w:val="18"/>
              </w:rPr>
              <w:t>发行结束之日起算，并分三期解锁，每期解锁日及可解锁股份数量如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下：</w:t>
            </w:r>
          </w:p>
          <w:p>
            <w:pPr>
              <w:pStyle w:val="TableParagraph"/>
              <w:spacing w:line="240" w:lineRule="auto" w:before="40"/>
              <w:ind w:left="22" w:right="21"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、于标的公司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年度专项财务审计报告正式出具后，且业绩 </w:t>
            </w:r>
            <w:r>
              <w:rPr>
                <w:rFonts w:ascii="宋体" w:hAnsi="宋体" w:cs="宋体" w:eastAsia="宋体" w:hint="default"/>
                <w:spacing w:val="-3"/>
                <w:sz w:val="18"/>
                <w:szCs w:val="18"/>
              </w:rPr>
              <w:t>承诺方与上市公司就本次交易签署的《业绩补偿协议》约定的当年度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各项业绩补偿均实施完毕后的第一个工作日为第一期股份解锁日，第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一期可解锁股份的数量为：业绩承诺方取得的全部上市公司股份</w:t>
            </w:r>
          </w:p>
          <w:p>
            <w:pPr>
              <w:pStyle w:val="TableParagraph"/>
              <w:spacing w:line="245" w:lineRule="exact" w:before="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年度业绩未完成应补偿的股份数</w:t>
            </w:r>
            <w:r>
              <w:rPr>
                <w:rFonts w:ascii="宋体" w:hAnsi="宋体" w:cs="宋体" w:eastAsia="宋体" w:hint="default"/>
                <w:spacing w:val="-85"/>
                <w:sz w:val="18"/>
                <w:szCs w:val="18"/>
              </w:rPr>
              <w:t>，</w:t>
            </w:r>
            <w:r>
              <w:rPr>
                <w:rFonts w:ascii="宋体" w:hAnsi="宋体" w:cs="宋体" w:eastAsia="宋体" w:hint="default"/>
                <w:sz w:val="18"/>
                <w:szCs w:val="18"/>
              </w:rPr>
              <w:t>可解锁股份数量小于</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计算；</w:t>
            </w:r>
          </w:p>
          <w:p>
            <w:pPr>
              <w:pStyle w:val="TableParagraph"/>
              <w:spacing w:line="240" w:lineRule="auto" w:before="31"/>
              <w:ind w:left="22" w:right="21"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、于标的公司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年度专项财务审计报告正式出具后，且业绩 </w:t>
            </w:r>
            <w:r>
              <w:rPr>
                <w:rFonts w:ascii="宋体" w:hAnsi="宋体" w:cs="宋体" w:eastAsia="宋体" w:hint="default"/>
                <w:spacing w:val="-3"/>
                <w:sz w:val="18"/>
                <w:szCs w:val="18"/>
              </w:rPr>
              <w:t>承诺方与上市公司就本次交易签署的《业绩补偿协议》约定的当年度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各项业绩补偿均实施完毕后的第一个工作日为第二期股份解锁日，第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二期可解锁股份的数量为：业绩承诺方取得的全部上市公司股份</w:t>
            </w:r>
          </w:p>
          <w:p>
            <w:pPr>
              <w:pStyle w:val="TableParagraph"/>
              <w:spacing w:line="240" w:lineRule="exact" w:before="22"/>
              <w:ind w:left="22" w:right="7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年度业绩未完成应补偿的股份数合计－第 一期可解锁股份的数量，可解锁股份数量小于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计算；</w:t>
            </w:r>
          </w:p>
          <w:p>
            <w:pPr>
              <w:pStyle w:val="TableParagraph"/>
              <w:spacing w:line="240" w:lineRule="auto" w:before="21"/>
              <w:ind w:left="22" w:right="23"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、于标的公司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年度专项财务审计报告正式出具后，且业绩 </w:t>
            </w:r>
            <w:r>
              <w:rPr>
                <w:rFonts w:ascii="宋体" w:hAnsi="宋体" w:cs="宋体" w:eastAsia="宋体" w:hint="default"/>
                <w:spacing w:val="-3"/>
                <w:sz w:val="18"/>
                <w:szCs w:val="18"/>
              </w:rPr>
              <w:t>承诺方与上市公司就本次交易签署的《业绩补偿协议》约定的当年度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各项业绩补偿及减值测试补偿均实施完毕后的第一个工作日为第三 </w:t>
            </w:r>
            <w:r>
              <w:rPr>
                <w:rFonts w:ascii="宋体" w:hAnsi="宋体" w:cs="宋体" w:eastAsia="宋体" w:hint="default"/>
                <w:spacing w:val="-3"/>
                <w:sz w:val="18"/>
                <w:szCs w:val="18"/>
              </w:rPr>
              <w:t>期股份解锁日，第三期可解锁股份的数量为：业绩承诺方通过本次交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易取得的全部上市公司股份－</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年度、</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 未完成应补偿的股份数及资产减值应补偿的股份数合计－第一期可 解锁股份的数量－第二期可解锁股份的数量，可解锁股份数量小于</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计算。</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exact"/>
              <w:ind w:left="22"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徐正 军、 王金 根、 曹 锋、 邓国 庭股 份锁 定期 限最 长为 </w:t>
            </w:r>
            <w:r>
              <w:rPr>
                <w:rFonts w:ascii="Times New Roman" w:hAnsi="Times New Roman" w:cs="Times New Roman" w:eastAsia="Times New Roman" w:hint="default"/>
                <w:sz w:val="18"/>
                <w:szCs w:val="18"/>
              </w:rPr>
              <w:t>2016</w:t>
            </w:r>
          </w:p>
          <w:p>
            <w:pPr>
              <w:pStyle w:val="TableParagraph"/>
              <w:spacing w:line="278" w:lineRule="auto" w:before="24"/>
              <w:ind w:left="22" w:right="23"/>
              <w:jc w:val="left"/>
              <w:rPr>
                <w:rFonts w:ascii="Times New Roman" w:hAnsi="Times New Roman" w:cs="Times New Roman" w:eastAsia="Times New Roman" w:hint="default"/>
                <w:sz w:val="18"/>
                <w:szCs w:val="18"/>
              </w:rPr>
            </w:pPr>
            <w:r>
              <w:rPr>
                <w:rFonts w:ascii="Times New Roman"/>
                <w:sz w:val="18"/>
              </w:rPr>
              <w:t>.11.2 1~20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02" w:lineRule="exact" w:before="33"/>
              <w:ind w:left="22"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，分 三期 解锁</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8"/>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4170"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3"/>
              <w:ind w:left="23" w:right="275"/>
              <w:jc w:val="left"/>
              <w:rPr>
                <w:rFonts w:ascii="宋体" w:hAnsi="宋体" w:cs="宋体" w:eastAsia="宋体" w:hint="default"/>
                <w:sz w:val="18"/>
                <w:szCs w:val="18"/>
              </w:rPr>
            </w:pPr>
            <w:r>
              <w:rPr>
                <w:rFonts w:ascii="宋体" w:hAnsi="宋体" w:cs="宋体" w:eastAsia="宋体" w:hint="default"/>
                <w:sz w:val="18"/>
                <w:szCs w:val="18"/>
              </w:rPr>
              <w:t>徐正军 王金根 曹锋 邓国庭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业绩 承诺</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exact"/>
              <w:ind w:left="22" w:right="23" w:firstLine="360"/>
              <w:jc w:val="left"/>
              <w:rPr>
                <w:rFonts w:ascii="宋体" w:hAnsi="宋体" w:cs="宋体" w:eastAsia="宋体" w:hint="default"/>
                <w:sz w:val="18"/>
                <w:szCs w:val="18"/>
              </w:rPr>
            </w:pPr>
            <w:r>
              <w:rPr>
                <w:rFonts w:ascii="宋体" w:hAnsi="宋体" w:cs="宋体" w:eastAsia="宋体" w:hint="default"/>
                <w:sz w:val="18"/>
                <w:szCs w:val="18"/>
              </w:rPr>
              <w:t>业绩承诺期内，标的公司于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2017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年度经 审计的合并报表口径下归属于母公司股东的净利润，分别不低于 </w:t>
            </w:r>
            <w:r>
              <w:rPr>
                <w:rFonts w:ascii="Times New Roman" w:hAnsi="Times New Roman" w:cs="Times New Roman" w:eastAsia="Times New Roman" w:hint="default"/>
                <w:sz w:val="18"/>
                <w:szCs w:val="18"/>
              </w:rPr>
              <w:t>12,000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16,800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23,500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4" w:lineRule="auto" w:before="22"/>
              <w:ind w:left="22" w:right="22" w:firstLine="360"/>
              <w:jc w:val="left"/>
              <w:rPr>
                <w:rFonts w:ascii="宋体" w:hAnsi="宋体" w:cs="宋体" w:eastAsia="宋体" w:hint="default"/>
                <w:sz w:val="18"/>
                <w:szCs w:val="18"/>
              </w:rPr>
            </w:pPr>
            <w:r>
              <w:rPr>
                <w:rFonts w:ascii="宋体" w:hAnsi="宋体" w:cs="宋体" w:eastAsia="宋体" w:hint="default"/>
                <w:sz w:val="18"/>
                <w:szCs w:val="18"/>
              </w:rPr>
              <w:t>如标的公司于业绩承诺期内实现的实际净利润未达到承诺净利 </w:t>
            </w:r>
            <w:r>
              <w:rPr>
                <w:rFonts w:ascii="宋体" w:hAnsi="宋体" w:cs="宋体" w:eastAsia="宋体" w:hint="default"/>
                <w:spacing w:val="-3"/>
                <w:sz w:val="18"/>
                <w:szCs w:val="18"/>
              </w:rPr>
              <w:t>润，则补偿义务人应向上市公司足额补偿，具体为首先补偿义务人以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其在本次交易中取得的上市公司股份进行补偿，若补偿义务人在本次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交易中取得的上市公司股份不足以补偿上市公司的，则该差额部分由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补偿义务人以现金方式进行补偿。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66" w:lineRule="auto"/>
              <w:ind w:left="22"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 至 </w:t>
            </w:r>
            <w:r>
              <w:rPr>
                <w:rFonts w:ascii="Times New Roman" w:hAnsi="Times New Roman" w:cs="Times New Roman" w:eastAsia="Times New Roman" w:hint="default"/>
                <w:sz w:val="18"/>
                <w:szCs w:val="18"/>
              </w:rPr>
              <w:t>2018</w:t>
            </w:r>
          </w:p>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2" w:right="-13"/>
              <w:jc w:val="left"/>
              <w:rPr>
                <w:rFonts w:ascii="宋体" w:hAnsi="宋体" w:cs="宋体" w:eastAsia="宋体" w:hint="default"/>
                <w:sz w:val="18"/>
                <w:szCs w:val="18"/>
              </w:rPr>
            </w:pPr>
            <w:r>
              <w:rPr>
                <w:rFonts w:ascii="宋体" w:hAnsi="宋体" w:cs="宋体" w:eastAsia="宋体" w:hint="default"/>
                <w:sz w:val="18"/>
                <w:szCs w:val="18"/>
              </w:rPr>
              <w:t>标的公司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实现的归 属于母公 司股东的 净利润未 达到当年 承诺业绩， 完成率为 </w:t>
            </w:r>
            <w:r>
              <w:rPr>
                <w:rFonts w:ascii="Times New Roman" w:hAnsi="Times New Roman" w:cs="Times New Roman" w:eastAsia="Times New Roman" w:hint="default"/>
                <w:spacing w:val="-13"/>
                <w:sz w:val="18"/>
                <w:szCs w:val="18"/>
              </w:rPr>
              <w:t>93.36%</w:t>
            </w:r>
            <w:r>
              <w:rPr>
                <w:rFonts w:ascii="宋体" w:hAnsi="宋体" w:cs="宋体" w:eastAsia="宋体" w:hint="default"/>
                <w:spacing w:val="-13"/>
                <w:sz w:val="18"/>
                <w:szCs w:val="18"/>
              </w:rPr>
              <w:t>，承</w:t>
            </w:r>
            <w:r>
              <w:rPr>
                <w:rFonts w:ascii="宋体" w:hAnsi="宋体" w:cs="宋体" w:eastAsia="宋体" w:hint="default"/>
                <w:sz w:val="18"/>
                <w:szCs w:val="18"/>
              </w:rPr>
            </w:r>
          </w:p>
          <w:p>
            <w:pPr>
              <w:pStyle w:val="TableParagraph"/>
              <w:spacing w:line="240" w:lineRule="exact" w:before="7"/>
              <w:ind w:left="22" w:right="167"/>
              <w:jc w:val="both"/>
              <w:rPr>
                <w:rFonts w:ascii="宋体" w:hAnsi="宋体" w:cs="宋体" w:eastAsia="宋体" w:hint="default"/>
                <w:sz w:val="18"/>
                <w:szCs w:val="18"/>
              </w:rPr>
            </w:pPr>
            <w:r>
              <w:rPr>
                <w:rFonts w:ascii="宋体" w:hAnsi="宋体" w:cs="宋体" w:eastAsia="宋体" w:hint="default"/>
                <w:sz w:val="18"/>
                <w:szCs w:val="18"/>
              </w:rPr>
              <w:t>诺人将在 公司完成 股东大会 审议程序 之后履行 业绩补偿 业务。</w:t>
            </w:r>
          </w:p>
        </w:tc>
      </w:tr>
      <w:tr>
        <w:trPr>
          <w:trHeight w:val="177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3" w:right="95"/>
              <w:jc w:val="left"/>
              <w:rPr>
                <w:rFonts w:ascii="宋体" w:hAnsi="宋体" w:cs="宋体" w:eastAsia="宋体" w:hint="default"/>
                <w:sz w:val="18"/>
                <w:szCs w:val="18"/>
              </w:rPr>
            </w:pPr>
            <w:r>
              <w:rPr>
                <w:rFonts w:ascii="宋体" w:hAnsi="宋体" w:cs="宋体" w:eastAsia="宋体" w:hint="default"/>
                <w:sz w:val="18"/>
                <w:szCs w:val="18"/>
              </w:rPr>
              <w:t>徐正军 王金根 北京众诚 深圳金蝶 苏州松禾 广州西域 曹锋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避免 同业 竞争</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6"/>
              <w:ind w:left="22" w:right="8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、截至本承诺函签署之日，</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本企业目前在中国境内外任何地区没有以任何形式直接或间接 从事和经营与方欣科技及其控制的其他企业构成或可能构成竞争的 业务。</w:t>
            </w:r>
          </w:p>
          <w:p>
            <w:pPr>
              <w:pStyle w:val="TableParagraph"/>
              <w:spacing w:line="240" w:lineRule="exact" w:before="62"/>
              <w:ind w:left="22" w:right="2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、本次重组完成后，在作为上市公司股东期间，本人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本企业控</w:t>
            </w:r>
            <w:r>
              <w:rPr>
                <w:rFonts w:ascii="宋体" w:hAnsi="宋体" w:cs="宋体" w:eastAsia="宋体" w:hint="default"/>
                <w:sz w:val="18"/>
                <w:szCs w:val="18"/>
              </w:rPr>
              <w:t> </w:t>
            </w:r>
            <w:r>
              <w:rPr>
                <w:rFonts w:ascii="宋体" w:hAnsi="宋体" w:cs="宋体" w:eastAsia="宋体" w:hint="default"/>
                <w:spacing w:val="-3"/>
                <w:sz w:val="18"/>
                <w:szCs w:val="18"/>
              </w:rPr>
              <w:t>制的其他企业不会直接或间接从事任何与上市公司及其下属公司（包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括方欣科技及其子公司，下同）经营业务构成竞争或潜在竞争关系的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7.9pt;height:18pt;mso-position-horizontal-relative:char;mso-position-vertical-relative:line" coordorigin="0,0" coordsize="558,360">
                  <v:group style="position:absolute;left:0;top:0;width:558;height:360" coordorigin="0,0" coordsize="558,360">
                    <v:shape style="position:absolute;left:0;top:0;width:558;height:360" coordorigin="0,0" coordsize="558,360" path="m0,360l558,360,558,0,0,0,0,360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03" w:lineRule="exact" w:before="63"/>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作为 上市 公司 股东 期间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bl>
    <w:p>
      <w:pPr>
        <w:spacing w:after="0" w:line="244"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r>
        <w:rPr/>
        <w:pict>
          <v:shape style="position:absolute;margin-left:415.580017pt;margin-top:223.039978pt;width:52.1pt;height:92pt;mso-position-horizontal-relative:page;mso-position-vertical-relative:page;z-index:-1028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6"/>
                      <w:szCs w:val="16"/>
                    </w:rPr>
                  </w:pPr>
                </w:p>
                <w:p>
                  <w:pPr>
                    <w:pStyle w:val="BodyText"/>
                    <w:spacing w:line="244" w:lineRule="auto" w:before="0"/>
                    <w:ind w:left="0" w:right="499" w:hanging="1"/>
                    <w:jc w:val="left"/>
                  </w:pPr>
                  <w:r>
                    <w:rPr/>
                    <w:t>公允、 法规、</w:t>
                  </w:r>
                </w:p>
              </w:txbxContent>
            </v:textbox>
            <w10:wrap type="none"/>
          </v:shape>
        </w:pict>
      </w:r>
      <w:r>
        <w:rPr/>
        <w:pict>
          <v:group style="position:absolute;margin-left:439.73999pt;margin-top:72.47998pt;width:27.9pt;height:242.55pt;mso-position-horizontal-relative:page;mso-position-vertical-relative:page;z-index:-1028032" coordorigin="8795,1450" coordsize="558,4851">
            <v:group style="position:absolute;left:8795;top:1450;width:558;height:3001" coordorigin="8795,1450" coordsize="558,3001">
              <v:shape style="position:absolute;left:8795;top:1450;width:558;height:3001" coordorigin="8795,1450" coordsize="558,3001" path="m8795,4450l9353,4450,9353,1450,8795,1450,8795,4450xe" filled="true" fillcolor="#ffffff" stroked="false">
                <v:path arrowok="t"/>
                <v:fill type="solid"/>
              </v:shape>
            </v:group>
            <v:group style="position:absolute;left:8795;top:4461;width:558;height:1840" coordorigin="8795,4461" coordsize="558,1840">
              <v:shape style="position:absolute;left:8795;top:4461;width:558;height:1840" coordorigin="8795,4461" coordsize="558,1840" path="m8795,6300l9353,6300,9353,4461,8795,4461,8795,6300xe" filled="true" fillcolor="#ffffff" stroked="false">
                <v:path arrowok="t"/>
                <v:fill type="solid"/>
              </v:shape>
            </v:group>
            <w10:wrap type="none"/>
          </v:group>
        </w:pict>
      </w:r>
    </w:p>
    <w:tbl>
      <w:tblPr>
        <w:tblW w:w="0" w:type="auto"/>
        <w:jc w:val="left"/>
        <w:tblInd w:w="169" w:type="dxa"/>
        <w:tblLayout w:type="fixed"/>
        <w:tblCellMar>
          <w:top w:w="0" w:type="dxa"/>
          <w:left w:w="0" w:type="dxa"/>
          <w:bottom w:w="0" w:type="dxa"/>
          <w:right w:w="0" w:type="dxa"/>
        </w:tblCellMar>
        <w:tblLook w:val="01E0"/>
      </w:tblPr>
      <w:tblGrid>
        <w:gridCol w:w="993"/>
        <w:gridCol w:w="850"/>
        <w:gridCol w:w="425"/>
        <w:gridCol w:w="5388"/>
        <w:gridCol w:w="568"/>
        <w:gridCol w:w="425"/>
        <w:gridCol w:w="920"/>
      </w:tblGrid>
      <w:tr>
        <w:trPr>
          <w:trHeight w:val="301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邓国庭</w:t>
            </w:r>
          </w:p>
        </w:tc>
        <w:tc>
          <w:tcPr>
            <w:tcW w:w="425" w:type="dxa"/>
            <w:tcBorders>
              <w:top w:val="single" w:sz="4" w:space="0" w:color="000000"/>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3"/>
                <w:sz w:val="18"/>
                <w:szCs w:val="18"/>
              </w:rPr>
              <w:t>生产与经营，亦不会投资任何与上市公司及其下属公司经营业务构成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竞争或潜在竞争关系的其他企业。</w:t>
            </w:r>
          </w:p>
          <w:p>
            <w:pPr>
              <w:pStyle w:val="TableParagraph"/>
              <w:spacing w:line="242" w:lineRule="auto" w:before="22"/>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、作为上市公司股东期间，如本人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本企业控制的其他企业获得</w:t>
            </w:r>
            <w:r>
              <w:rPr>
                <w:rFonts w:ascii="宋体" w:hAnsi="宋体" w:cs="宋体" w:eastAsia="宋体" w:hint="default"/>
                <w:sz w:val="18"/>
                <w:szCs w:val="18"/>
              </w:rPr>
              <w:t> 的商业机会与上市公司及其下属公司主营业务构成同业竞争或可能 </w:t>
            </w:r>
            <w:r>
              <w:rPr>
                <w:rFonts w:ascii="宋体" w:hAnsi="宋体" w:cs="宋体" w:eastAsia="宋体" w:hint="default"/>
                <w:spacing w:val="-3"/>
                <w:sz w:val="18"/>
                <w:szCs w:val="18"/>
              </w:rPr>
              <w:t>构成同业竞争的，将立即通知上市公司，并优先将该商业机会给予上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市公司，避免与上市公司及其下属公司业务构成同业竞争或潜在同业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竞争，以确保上市公司及上市公司其他股东利益不受损害。</w:t>
            </w:r>
          </w:p>
          <w:p>
            <w:pPr>
              <w:pStyle w:val="TableParagraph"/>
              <w:spacing w:line="240" w:lineRule="exact" w:before="60"/>
              <w:ind w:left="22" w:right="-4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本企业保证有权签署本承诺函，且本承诺函一经签署即 构成有效的、合法的、具有约束力的责任，且本人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本企业作为上市 公司股东期间持续有效，不可撤销。本人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本企业保证严格履行本承 诺函中各项承诺，如因违反相关承诺并因此给上市公司造成损失的，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本企业将承担相应的法律责任并赔偿损失。</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40"/>
              <w:ind w:left="23" w:right="95"/>
              <w:jc w:val="left"/>
              <w:rPr>
                <w:rFonts w:ascii="宋体" w:hAnsi="宋体" w:cs="宋体" w:eastAsia="宋体" w:hint="default"/>
                <w:sz w:val="18"/>
                <w:szCs w:val="18"/>
              </w:rPr>
            </w:pPr>
            <w:r>
              <w:rPr>
                <w:rFonts w:ascii="宋体" w:hAnsi="宋体" w:cs="宋体" w:eastAsia="宋体" w:hint="default"/>
                <w:sz w:val="18"/>
                <w:szCs w:val="18"/>
              </w:rPr>
              <w:t>徐正军 王金根 北京众诚 深圳金蝶 苏州松禾 广州西域 曹锋 邓国庭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减少 和规 范关 联交 易</w:t>
            </w:r>
          </w:p>
        </w:tc>
        <w:tc>
          <w:tcPr>
            <w:tcW w:w="5388" w:type="dxa"/>
            <w:tcBorders>
              <w:top w:val="single" w:sz="4" w:space="0" w:color="000000"/>
              <w:left w:val="single" w:sz="4" w:space="0" w:color="000000"/>
              <w:bottom w:val="single" w:sz="4" w:space="0" w:color="000000"/>
              <w:right w:val="single" w:sz="9" w:space="0" w:color="FFFFFF"/>
            </w:tcBorders>
          </w:tcPr>
          <w:p>
            <w:pPr>
              <w:pStyle w:val="TableParagraph"/>
              <w:spacing w:line="240" w:lineRule="exact" w:before="41"/>
              <w:ind w:left="22" w:right="-5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本企业控制的企业将尽可能避免和减少与</w:t>
            </w:r>
            <w:r>
              <w:rPr>
                <w:rFonts w:ascii="宋体" w:hAnsi="宋体" w:cs="宋体" w:eastAsia="宋体" w:hint="default"/>
                <w:sz w:val="18"/>
                <w:szCs w:val="18"/>
              </w:rPr>
              <w:t> </w:t>
            </w:r>
            <w:r>
              <w:rPr>
                <w:rFonts w:ascii="宋体" w:hAnsi="宋体" w:cs="宋体" w:eastAsia="宋体" w:hint="default"/>
                <w:spacing w:val="-3"/>
                <w:sz w:val="18"/>
                <w:szCs w:val="18"/>
              </w:rPr>
              <w:t>上市公司及其子公司的关联交易，不会利用自身作为上市公司股东之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地位谋求上市公司在业务合作等方面给予优于市场第三方的权利；不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会利用自身作为上市公司股东之地位谋求与上市公司达成交易的优 先权利。对于无法避免或有合理理由存在的关联交易，本人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本企业控制的企业将与上市公司及其子公司按照公平、 </w:t>
            </w:r>
            <w:r>
              <w:rPr>
                <w:rFonts w:ascii="宋体" w:hAnsi="宋体" w:cs="宋体" w:eastAsia="宋体" w:hint="default"/>
                <w:spacing w:val="-4"/>
                <w:sz w:val="18"/>
                <w:szCs w:val="18"/>
              </w:rPr>
              <w:t>等价、有偿等原则依法签订协议，并由上市公司按照有关法律、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其他规范性文件以及《江苏丰东热技术股份有限公司章程》等规定， 依法履行相关内部决策批准程序并及时履行信息披露义务。</w:t>
            </w:r>
          </w:p>
          <w:p>
            <w:pPr>
              <w:pStyle w:val="TableParagraph"/>
              <w:spacing w:line="240" w:lineRule="auto" w:before="21"/>
              <w:ind w:left="22" w:right="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本企业保证本人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本企业控制的企业不以 </w:t>
            </w:r>
            <w:r>
              <w:rPr>
                <w:rFonts w:ascii="宋体" w:hAnsi="宋体" w:cs="宋体" w:eastAsia="宋体" w:hint="default"/>
                <w:spacing w:val="-3"/>
                <w:sz w:val="18"/>
                <w:szCs w:val="18"/>
              </w:rPr>
              <w:t>与市场价格相比显失公允的条件与上市公司及其子公司进行交易，不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利用关联交易非法转移上市公司的资金、利润，亦不利用该类交易从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事任何损害上市公司及其他股东合法权益的行为。</w:t>
            </w:r>
          </w:p>
          <w:p>
            <w:pPr>
              <w:pStyle w:val="TableParagraph"/>
              <w:spacing w:line="230" w:lineRule="auto" w:before="53"/>
              <w:ind w:left="22" w:right="7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本企业保证有权签署本承诺函，且本承诺函一经本人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本企业签署即对本人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本企业构成有效的、合法的、具有约束力的责 任，且在本人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本企业作为上市公司股东期间持续有效，不可撤销。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本企业保证严格履行本承诺函中各项承诺，如因违反相关承诺 并因此给上市公司或其子公司造成损失的，本人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本企业将承担相应 的法律责任并赔偿损失。</w:t>
            </w:r>
          </w:p>
        </w:tc>
        <w:tc>
          <w:tcPr>
            <w:tcW w:w="5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02" w:lineRule="exact"/>
              <w:ind w:left="1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605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4" w:lineRule="auto"/>
              <w:ind w:left="23" w:right="95"/>
              <w:jc w:val="left"/>
              <w:rPr>
                <w:rFonts w:ascii="宋体" w:hAnsi="宋体" w:cs="宋体" w:eastAsia="宋体" w:hint="default"/>
                <w:sz w:val="18"/>
                <w:szCs w:val="18"/>
              </w:rPr>
            </w:pPr>
            <w:r>
              <w:rPr>
                <w:rFonts w:ascii="宋体" w:hAnsi="宋体" w:cs="宋体" w:eastAsia="宋体" w:hint="default"/>
                <w:sz w:val="18"/>
                <w:szCs w:val="18"/>
              </w:rPr>
              <w:t>徐正军 王金根 北京众诚 深圳金蝶 苏州松禾 广州西域 曹锋 邓国庭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22" w:right="30"/>
              <w:jc w:val="both"/>
              <w:rPr>
                <w:rFonts w:ascii="宋体" w:hAnsi="宋体" w:cs="宋体" w:eastAsia="宋体" w:hint="default"/>
                <w:sz w:val="18"/>
                <w:szCs w:val="18"/>
              </w:rPr>
            </w:pPr>
            <w:r>
              <w:rPr>
                <w:rFonts w:ascii="宋体" w:hAnsi="宋体" w:cs="宋体" w:eastAsia="宋体" w:hint="default"/>
                <w:sz w:val="18"/>
                <w:szCs w:val="18"/>
              </w:rPr>
              <w:t>保持 上市 公司 独立 性</w:t>
            </w:r>
          </w:p>
        </w:tc>
        <w:tc>
          <w:tcPr>
            <w:tcW w:w="5388" w:type="dxa"/>
            <w:tcBorders>
              <w:top w:val="single" w:sz="4" w:space="0" w:color="000000"/>
              <w:left w:val="single" w:sz="4" w:space="0" w:color="000000"/>
              <w:bottom w:val="single" w:sz="4" w:space="0" w:color="000000"/>
              <w:right w:val="single" w:sz="9" w:space="0" w:color="FFFFFF"/>
            </w:tcBorders>
          </w:tcPr>
          <w:p>
            <w:pPr>
              <w:pStyle w:val="TableParagraph"/>
              <w:spacing w:line="271" w:lineRule="auto" w:before="21"/>
              <w:ind w:left="38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、人员独立 </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、保证上市公司的生产经营与行政管理（包括劳动、人事及工</w:t>
            </w:r>
          </w:p>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资管理等）完全独立于本人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本企业及其关联方。</w:t>
            </w:r>
          </w:p>
          <w:p>
            <w:pPr>
              <w:pStyle w:val="TableParagraph"/>
              <w:spacing w:line="240" w:lineRule="exact" w:before="48"/>
              <w:ind w:left="22" w:right="1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、保证上市公司的总经理、副总经理、财务负责人、董事会秘 书等高级管理人员的独立性，不在本人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本企业控制的企业及其关联 方担任除董事、监事以外的其它职务。</w:t>
            </w:r>
          </w:p>
          <w:p>
            <w:pPr>
              <w:pStyle w:val="TableParagraph"/>
              <w:spacing w:line="240" w:lineRule="exact" w:before="40"/>
              <w:ind w:left="22" w:right="16"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、保证本人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本企业及关联方提名出任上市公司董事、监事和高</w:t>
            </w:r>
            <w:r>
              <w:rPr>
                <w:rFonts w:ascii="宋体" w:hAnsi="宋体" w:cs="宋体" w:eastAsia="宋体" w:hint="default"/>
                <w:sz w:val="18"/>
                <w:szCs w:val="18"/>
              </w:rPr>
              <w:t> 级管理人员的人选都通过合法的程序进行，本人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本企业及关联方不 干预上市公司董事会和股东大会已经作出的人事任免决定。</w:t>
            </w:r>
          </w:p>
          <w:p>
            <w:pPr>
              <w:pStyle w:val="TableParagraph"/>
              <w:spacing w:line="268" w:lineRule="auto" w:before="21"/>
              <w:ind w:left="38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、资产独立 </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、保证上市公司具有独立完整的资产、其资产全部处于上市公</w:t>
            </w:r>
          </w:p>
          <w:p>
            <w:pPr>
              <w:pStyle w:val="TableParagraph"/>
              <w:spacing w:line="202" w:lineRule="exact"/>
              <w:ind w:left="22" w:right="-43"/>
              <w:jc w:val="left"/>
              <w:rPr>
                <w:rFonts w:ascii="宋体" w:hAnsi="宋体" w:cs="宋体" w:eastAsia="宋体" w:hint="default"/>
                <w:sz w:val="18"/>
                <w:szCs w:val="18"/>
              </w:rPr>
            </w:pPr>
            <w:r>
              <w:rPr>
                <w:rFonts w:ascii="宋体" w:hAnsi="宋体" w:cs="宋体" w:eastAsia="宋体" w:hint="default"/>
                <w:sz w:val="18"/>
                <w:szCs w:val="18"/>
              </w:rPr>
              <w:t>司的控制之下，并为上市公司独立拥有和运营。</w:t>
            </w:r>
          </w:p>
          <w:p>
            <w:pPr>
              <w:pStyle w:val="TableParagraph"/>
              <w:spacing w:line="240" w:lineRule="exact" w:before="63"/>
              <w:ind w:left="22" w:right="-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、确保上市公司与本人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本企业及其关联方之间产权关系明确， </w:t>
            </w:r>
            <w:r>
              <w:rPr>
                <w:rFonts w:ascii="宋体" w:hAnsi="宋体" w:cs="宋体" w:eastAsia="宋体" w:hint="default"/>
                <w:spacing w:val="-3"/>
                <w:sz w:val="18"/>
                <w:szCs w:val="18"/>
              </w:rPr>
              <w:t>上市公司对所属资产拥有完整的所有权，确保上市公司资产的独立完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整。</w:t>
            </w:r>
          </w:p>
          <w:p>
            <w:pPr>
              <w:pStyle w:val="TableParagraph"/>
              <w:spacing w:line="240" w:lineRule="exact" w:before="39"/>
              <w:ind w:left="22" w:right="16"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本企业及其关联方本次重组前没有、重组完成后也不以</w:t>
            </w:r>
            <w:r>
              <w:rPr>
                <w:rFonts w:ascii="宋体" w:hAnsi="宋体" w:cs="宋体" w:eastAsia="宋体" w:hint="default"/>
                <w:sz w:val="18"/>
                <w:szCs w:val="18"/>
              </w:rPr>
              <w:t> 任何方式违规占用上市公司的资金、资产。</w:t>
            </w:r>
          </w:p>
          <w:p>
            <w:pPr>
              <w:pStyle w:val="TableParagraph"/>
              <w:spacing w:line="271" w:lineRule="auto" w:before="21"/>
              <w:ind w:left="38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、财务独立 </w:t>
            </w:r>
            <w:r>
              <w:rPr>
                <w:rFonts w:ascii="Times New Roman" w:hAnsi="Times New Roman" w:cs="Times New Roman" w:eastAsia="Times New Roman" w:hint="default"/>
                <w:sz w:val="18"/>
                <w:szCs w:val="18"/>
              </w:rPr>
              <w:t>A</w:t>
            </w:r>
            <w:r>
              <w:rPr>
                <w:rFonts w:ascii="宋体" w:hAnsi="宋体" w:cs="宋体" w:eastAsia="宋体" w:hint="default"/>
                <w:sz w:val="18"/>
                <w:szCs w:val="18"/>
              </w:rPr>
              <w:t>、保证上市公司拥有独立的财务部门和独立的财务核算体系。 </w:t>
            </w:r>
            <w:r>
              <w:rPr>
                <w:rFonts w:ascii="Times New Roman" w:hAnsi="Times New Roman" w:cs="Times New Roman" w:eastAsia="Times New Roman" w:hint="default"/>
                <w:sz w:val="18"/>
                <w:szCs w:val="18"/>
              </w:rPr>
              <w:t>B</w:t>
            </w:r>
            <w:r>
              <w:rPr>
                <w:rFonts w:ascii="宋体" w:hAnsi="宋体" w:cs="宋体" w:eastAsia="宋体" w:hint="default"/>
                <w:sz w:val="18"/>
                <w:szCs w:val="18"/>
              </w:rPr>
              <w:t>、保证上市公司具有规范、独立的财务会计制度和对分公司、</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子公司的财务管理制度。</w:t>
            </w:r>
          </w:p>
          <w:p>
            <w:pPr>
              <w:pStyle w:val="TableParagraph"/>
              <w:spacing w:line="240" w:lineRule="exact" w:before="62"/>
              <w:ind w:left="22" w:right="15"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、保证上市公司独立在银行开户，不与本人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本企业及其关联方</w:t>
            </w:r>
            <w:r>
              <w:rPr>
                <w:rFonts w:ascii="宋体" w:hAnsi="宋体" w:cs="宋体" w:eastAsia="宋体" w:hint="default"/>
                <w:sz w:val="18"/>
                <w:szCs w:val="18"/>
              </w:rPr>
              <w:t> 共用一个银行账户。</w:t>
            </w:r>
          </w:p>
        </w:tc>
        <w:tc>
          <w:tcPr>
            <w:tcW w:w="5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02" w:lineRule="exact"/>
              <w:ind w:left="1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5"/>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bl>
    <w:p>
      <w:pPr>
        <w:spacing w:after="0" w:line="244"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r>
        <w:rPr/>
        <w:pict>
          <v:shape style="position:absolute;margin-left:397.580017pt;margin-top:72.47998pt;width:70.1pt;height:186.05pt;mso-position-horizontal-relative:page;mso-position-vertical-relative:page;z-index:-1027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pStyle w:val="BodyText"/>
                    <w:spacing w:line="240" w:lineRule="auto" w:before="0"/>
                    <w:ind w:left="0" w:right="0"/>
                    <w:jc w:val="left"/>
                  </w:pPr>
                  <w:r>
                    <w:rPr/>
                    <w:t>拥有独立、</w:t>
                  </w:r>
                </w:p>
              </w:txbxContent>
            </v:textbox>
            <w10:wrap type="none"/>
          </v:shape>
        </w:pict>
      </w:r>
      <w:r>
        <w:rPr/>
        <w:pict>
          <v:group style="position:absolute;margin-left:439.73999pt;margin-top:400.039978pt;width:27.9pt;height:12pt;mso-position-horizontal-relative:page;mso-position-vertical-relative:page;z-index:-1027960" coordorigin="8795,8001" coordsize="558,240">
            <v:shape style="position:absolute;left:8795;top:8001;width:558;height:240" coordorigin="8795,8001" coordsize="558,240" path="m8795,8241l9353,8241,9353,8001,8795,8001,8795,8241xe" filled="true" fillcolor="#ffffff" stroked="false">
              <v:path arrowok="t"/>
              <v:fill type="solid"/>
            </v:shape>
            <w10:wrap type="none"/>
          </v:group>
        </w:pict>
      </w:r>
      <w:r>
        <w:rPr/>
        <w:pict>
          <v:group style="position:absolute;margin-left:439.73999pt;margin-top:476.559998pt;width:27.9pt;height:55pt;mso-position-horizontal-relative:page;mso-position-vertical-relative:page;z-index:-1027936" coordorigin="8795,9531" coordsize="558,1100">
            <v:shape style="position:absolute;left:8795;top:9531;width:558;height:1100" coordorigin="8795,9531" coordsize="558,1100" path="m8795,10630l9353,10630,9353,9531,8795,9531,8795,10630xe" filled="true" fillcolor="#ffffff" stroked="false">
              <v:path arrowok="t"/>
              <v:fill type="solid"/>
            </v:shape>
            <w10:wrap type="none"/>
          </v:group>
        </w:pict>
      </w:r>
    </w:p>
    <w:tbl>
      <w:tblPr>
        <w:tblW w:w="0" w:type="auto"/>
        <w:jc w:val="left"/>
        <w:tblInd w:w="169" w:type="dxa"/>
        <w:tblLayout w:type="fixed"/>
        <w:tblCellMar>
          <w:top w:w="0" w:type="dxa"/>
          <w:left w:w="0" w:type="dxa"/>
          <w:bottom w:w="0" w:type="dxa"/>
          <w:right w:w="0" w:type="dxa"/>
        </w:tblCellMar>
        <w:tblLook w:val="01E0"/>
      </w:tblPr>
      <w:tblGrid>
        <w:gridCol w:w="993"/>
        <w:gridCol w:w="850"/>
        <w:gridCol w:w="425"/>
        <w:gridCol w:w="5388"/>
        <w:gridCol w:w="568"/>
        <w:gridCol w:w="425"/>
        <w:gridCol w:w="920"/>
      </w:tblGrid>
      <w:tr>
        <w:trPr>
          <w:trHeight w:val="27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5388"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、保证上市公司能够作出独立的财务决策。</w:t>
            </w:r>
          </w:p>
        </w:tc>
        <w:tc>
          <w:tcPr>
            <w:tcW w:w="568" w:type="dxa"/>
            <w:vMerge w:val="restart"/>
            <w:tcBorders>
              <w:top w:val="single" w:sz="4" w:space="0" w:color="000000"/>
              <w:left w:val="single" w:sz="4" w:space="0" w:color="000000"/>
              <w:right w:val="single" w:sz="4" w:space="0" w:color="000000"/>
            </w:tcBorders>
          </w:tcPr>
          <w:p>
            <w:pPr>
              <w:pStyle w:val="TableParagraph"/>
              <w:spacing w:line="372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3"/>
                <w:sz w:val="20"/>
                <w:szCs w:val="20"/>
              </w:rPr>
              <w:pict>
                <v:group style="width:27.9pt;height:186.05pt;mso-position-horizontal-relative:char;mso-position-vertical-relative:line" coordorigin="0,0" coordsize="558,3721">
                  <v:group style="position:absolute;left:0;top:0;width:558;height:3721" coordorigin="0,0" coordsize="558,3721">
                    <v:shape style="position:absolute;left:0;top:0;width:558;height:3721" coordorigin="0,0" coordsize="558,3721" path="m0,3720l558,3720,558,0,0,0,0,3720xe" filled="true" fillcolor="#ffffff" stroked="false">
                      <v:path arrowok="t"/>
                      <v:fill type="solid"/>
                    </v:shape>
                  </v:group>
                </v:group>
              </w:pict>
            </w:r>
            <w:r>
              <w:rPr>
                <w:rFonts w:ascii="Times New Roman" w:hAnsi="Times New Roman" w:cs="Times New Roman" w:eastAsia="Times New Roman" w:hint="default"/>
                <w:position w:val="-73"/>
                <w:sz w:val="20"/>
                <w:szCs w:val="20"/>
              </w:rPr>
            </w:r>
          </w:p>
        </w:tc>
        <w:tc>
          <w:tcPr>
            <w:tcW w:w="425"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260"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2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E</w:t>
            </w:r>
            <w:r>
              <w:rPr>
                <w:rFonts w:ascii="宋体" w:hAnsi="宋体" w:cs="宋体" w:eastAsia="宋体" w:hint="default"/>
                <w:spacing w:val="-2"/>
                <w:sz w:val="18"/>
                <w:szCs w:val="18"/>
              </w:rPr>
              <w:t>、保证上市公司的财务人员独立，不在本人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本企业控制企业及</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55"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其关联方处兼职和领取报酬。</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85"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、保证上市公司依法独立纳税。</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80"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、机构独立</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61"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、保证上市公司拥有健全的股份公司法人治理结构，</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55"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完整的组织机构。</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65"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、保证上市公司的股东大会、董事会、独立董事、监事会、总</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55"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经理等依照法律、法规和公司章程独立行使职权。</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85"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、业务独立</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60"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、保证上市公司拥有独立开展经营活动的资产、人员、资质和</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55"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能力，具有面向市场独立自主持续经营的能力。</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65"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、除通过行使股东权利之外，不对上市公司的业务活动进行干</w:t>
            </w:r>
          </w:p>
        </w:tc>
        <w:tc>
          <w:tcPr>
            <w:tcW w:w="56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272" w:hRule="exact"/>
        </w:trPr>
        <w:tc>
          <w:tcPr>
            <w:tcW w:w="993"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38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预。</w:t>
            </w:r>
          </w:p>
        </w:tc>
        <w:tc>
          <w:tcPr>
            <w:tcW w:w="56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1290"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4" w:lineRule="auto"/>
              <w:ind w:left="23" w:right="275"/>
              <w:jc w:val="left"/>
              <w:rPr>
                <w:rFonts w:ascii="宋体" w:hAnsi="宋体" w:cs="宋体" w:eastAsia="宋体" w:hint="default"/>
                <w:sz w:val="18"/>
                <w:szCs w:val="18"/>
              </w:rPr>
            </w:pPr>
            <w:r>
              <w:rPr>
                <w:rFonts w:ascii="宋体" w:hAnsi="宋体" w:cs="宋体" w:eastAsia="宋体" w:hint="default"/>
                <w:sz w:val="18"/>
                <w:szCs w:val="18"/>
              </w:rPr>
              <w:t>徐正军 王金根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30"/>
              <w:jc w:val="both"/>
              <w:rPr>
                <w:rFonts w:ascii="宋体" w:hAnsi="宋体" w:cs="宋体" w:eastAsia="宋体" w:hint="default"/>
                <w:sz w:val="18"/>
                <w:szCs w:val="18"/>
              </w:rPr>
            </w:pPr>
            <w:r>
              <w:rPr>
                <w:rFonts w:ascii="宋体" w:hAnsi="宋体" w:cs="宋体" w:eastAsia="宋体" w:hint="default"/>
                <w:sz w:val="18"/>
                <w:szCs w:val="18"/>
              </w:rPr>
              <w:t>不谋 求上 市公 司控 制权</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21" w:firstLine="360"/>
              <w:jc w:val="both"/>
              <w:rPr>
                <w:rFonts w:ascii="宋体" w:hAnsi="宋体" w:cs="宋体" w:eastAsia="宋体" w:hint="default"/>
                <w:sz w:val="18"/>
                <w:szCs w:val="18"/>
              </w:rPr>
            </w:pPr>
            <w:r>
              <w:rPr>
                <w:rFonts w:ascii="宋体" w:hAnsi="宋体" w:cs="宋体" w:eastAsia="宋体" w:hint="default"/>
                <w:spacing w:val="-4"/>
                <w:sz w:val="18"/>
                <w:szCs w:val="18"/>
              </w:rPr>
              <w:t>徐正军及王金根出具了《关于不谋求上市公司控制权的承诺》，</w:t>
            </w:r>
            <w:r>
              <w:rPr>
                <w:rFonts w:ascii="宋体" w:hAnsi="宋体" w:cs="宋体" w:eastAsia="宋体" w:hint="default"/>
                <w:sz w:val="18"/>
                <w:szCs w:val="18"/>
              </w:rPr>
              <w:t> 承诺自本次重组非公开发行的股票上市之日起的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个月内，本人及 </w:t>
            </w:r>
            <w:r>
              <w:rPr>
                <w:rFonts w:ascii="宋体" w:hAnsi="宋体" w:cs="宋体" w:eastAsia="宋体" w:hint="default"/>
                <w:spacing w:val="-3"/>
                <w:sz w:val="18"/>
                <w:szCs w:val="18"/>
              </w:rPr>
              <w:t>一致行动人不通过任何方式，包括但不限于增持、协议、合作、关联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关系、一致行动等主动扩大对上市公司股份的控制比例以谋求对丰东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股份的控制权。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78" w:lineRule="auto" w:before="33"/>
              <w:ind w:left="22" w:right="23"/>
              <w:jc w:val="left"/>
              <w:rPr>
                <w:rFonts w:ascii="Times New Roman" w:hAnsi="Times New Roman" w:cs="Times New Roman" w:eastAsia="Times New Roman" w:hint="default"/>
                <w:sz w:val="18"/>
                <w:szCs w:val="18"/>
              </w:rPr>
            </w:pPr>
            <w:r>
              <w:rPr>
                <w:rFonts w:ascii="Times New Roman"/>
                <w:sz w:val="18"/>
              </w:rPr>
              <w:t>.11.2 1~20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1530"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30"/>
              <w:jc w:val="both"/>
              <w:rPr>
                <w:rFonts w:ascii="宋体" w:hAnsi="宋体" w:cs="宋体" w:eastAsia="宋体" w:hint="default"/>
                <w:sz w:val="18"/>
                <w:szCs w:val="18"/>
              </w:rPr>
            </w:pPr>
            <w:r>
              <w:rPr>
                <w:rFonts w:ascii="宋体" w:hAnsi="宋体" w:cs="宋体" w:eastAsia="宋体" w:hint="default"/>
                <w:sz w:val="18"/>
                <w:szCs w:val="18"/>
              </w:rPr>
              <w:t>关于 或有 损失 的补 偿承 诺</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4" w:lineRule="auto"/>
              <w:ind w:left="22" w:right="22" w:firstLine="360"/>
              <w:jc w:val="both"/>
              <w:rPr>
                <w:rFonts w:ascii="宋体" w:hAnsi="宋体" w:cs="宋体" w:eastAsia="宋体" w:hint="default"/>
                <w:sz w:val="18"/>
                <w:szCs w:val="18"/>
              </w:rPr>
            </w:pPr>
            <w:r>
              <w:rPr>
                <w:rFonts w:ascii="宋体" w:hAnsi="宋体" w:cs="宋体" w:eastAsia="宋体" w:hint="default"/>
                <w:spacing w:val="-3"/>
                <w:sz w:val="18"/>
                <w:szCs w:val="18"/>
              </w:rPr>
              <w:t>在本次交易中或交易完成后，如因四川方欣或北京方欣注销而产</w:t>
            </w:r>
            <w:r>
              <w:rPr>
                <w:rFonts w:ascii="宋体" w:hAnsi="宋体" w:cs="宋体" w:eastAsia="宋体" w:hint="default"/>
                <w:sz w:val="18"/>
                <w:szCs w:val="18"/>
              </w:rPr>
              <w:t> </w:t>
            </w:r>
            <w:r>
              <w:rPr>
                <w:rFonts w:ascii="宋体" w:hAnsi="宋体" w:cs="宋体" w:eastAsia="宋体" w:hint="default"/>
                <w:spacing w:val="-3"/>
                <w:sz w:val="18"/>
                <w:szCs w:val="18"/>
              </w:rPr>
              <w:t>生任何负债或损失的，上述全部损失或负债由本人向上市公司或方欣</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科技进行全额补偿。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1530"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2"/>
              <w:ind w:left="23" w:right="95"/>
              <w:jc w:val="left"/>
              <w:rPr>
                <w:rFonts w:ascii="宋体" w:hAnsi="宋体" w:cs="宋体" w:eastAsia="宋体" w:hint="default"/>
                <w:sz w:val="18"/>
                <w:szCs w:val="18"/>
              </w:rPr>
            </w:pPr>
            <w:r>
              <w:rPr>
                <w:rFonts w:ascii="宋体" w:hAnsi="宋体" w:cs="宋体" w:eastAsia="宋体" w:hint="default"/>
                <w:sz w:val="18"/>
                <w:szCs w:val="18"/>
              </w:rPr>
              <w:t>朱文明 束昱辉 民生方欣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号计划 谢兵 徐锦宏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股份 锁定</w:t>
            </w:r>
          </w:p>
        </w:tc>
        <w:tc>
          <w:tcPr>
            <w:tcW w:w="5388" w:type="dxa"/>
            <w:tcBorders>
              <w:top w:val="single" w:sz="4" w:space="0" w:color="000000"/>
              <w:left w:val="single" w:sz="4" w:space="0" w:color="000000"/>
              <w:bottom w:val="single" w:sz="4" w:space="0" w:color="000000"/>
              <w:right w:val="single" w:sz="9" w:space="0" w:color="FFFFFF"/>
            </w:tcBorders>
          </w:tcPr>
          <w:p>
            <w:pPr>
              <w:pStyle w:val="TableParagraph"/>
              <w:spacing w:line="245" w:lineRule="exact" w:before="142"/>
              <w:ind w:left="382" w:right="0"/>
              <w:jc w:val="left"/>
              <w:rPr>
                <w:rFonts w:ascii="宋体" w:hAnsi="宋体" w:cs="宋体" w:eastAsia="宋体" w:hint="default"/>
                <w:sz w:val="18"/>
                <w:szCs w:val="18"/>
              </w:rPr>
            </w:pPr>
            <w:r>
              <w:rPr>
                <w:rFonts w:ascii="宋体" w:hAnsi="宋体" w:cs="宋体" w:eastAsia="宋体" w:hint="default"/>
                <w:sz w:val="18"/>
                <w:szCs w:val="18"/>
              </w:rPr>
              <w:t>本次交易配套融资认购方朱文明、束昱辉、民生方欣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号计划</w:t>
            </w:r>
          </w:p>
          <w:p>
            <w:pPr>
              <w:pStyle w:val="TableParagraph"/>
              <w:spacing w:line="240" w:lineRule="auto"/>
              <w:ind w:left="22" w:right="15"/>
              <w:jc w:val="both"/>
              <w:rPr>
                <w:rFonts w:ascii="宋体" w:hAnsi="宋体" w:cs="宋体" w:eastAsia="宋体" w:hint="default"/>
                <w:sz w:val="18"/>
                <w:szCs w:val="18"/>
              </w:rPr>
            </w:pPr>
            <w:r>
              <w:rPr>
                <w:rFonts w:ascii="宋体" w:hAnsi="宋体" w:cs="宋体" w:eastAsia="宋体" w:hint="default"/>
                <w:sz w:val="18"/>
                <w:szCs w:val="18"/>
              </w:rPr>
              <w:t>谢兵及徐锦宏所认购的股份自发行结束之日起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 </w:t>
            </w:r>
            <w:r>
              <w:rPr>
                <w:rFonts w:ascii="宋体" w:hAnsi="宋体" w:cs="宋体" w:eastAsia="宋体" w:hint="default"/>
                <w:spacing w:val="-3"/>
                <w:sz w:val="18"/>
                <w:szCs w:val="18"/>
              </w:rPr>
              <w:t>本次发行结束后，前述股份由于上市公司送红股、转增股本等原因增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加的公司股份，亦遵守上述约定。锁定期结束后，将按中国证监会及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深交所的有关规定执行。</w:t>
            </w:r>
          </w:p>
        </w:tc>
        <w:tc>
          <w:tcPr>
            <w:tcW w:w="568" w:type="dxa"/>
            <w:tcBorders>
              <w:top w:val="single" w:sz="4" w:space="0" w:color="000000"/>
              <w:left w:val="single" w:sz="9" w:space="0" w:color="FFFFFF"/>
              <w:bottom w:val="single" w:sz="4" w:space="0" w:color="000000"/>
              <w:right w:val="single" w:sz="4" w:space="0" w:color="000000"/>
            </w:tcBorders>
          </w:tcPr>
          <w:p>
            <w:pPr>
              <w:pStyle w:val="TableParagraph"/>
              <w:spacing w:line="199" w:lineRule="exact" w:before="142"/>
              <w:ind w:left="-15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6" w:lineRule="exact"/>
              <w:ind w:left="16"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78" w:lineRule="auto" w:before="33"/>
              <w:ind w:left="22" w:right="23"/>
              <w:jc w:val="left"/>
              <w:rPr>
                <w:rFonts w:ascii="Times New Roman" w:hAnsi="Times New Roman" w:cs="Times New Roman" w:eastAsia="Times New Roman" w:hint="default"/>
                <w:sz w:val="18"/>
                <w:szCs w:val="18"/>
              </w:rPr>
            </w:pPr>
            <w:r>
              <w:rPr>
                <w:rFonts w:ascii="Times New Roman"/>
                <w:sz w:val="18"/>
              </w:rPr>
              <w:t>.11.2 1~20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293"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3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hAnsi="宋体" w:cs="宋体" w:eastAsia="宋体" w:hint="default"/>
                <w:spacing w:val="-3"/>
                <w:sz w:val="18"/>
                <w:szCs w:val="18"/>
              </w:rPr>
              <w:t>对于本次交易前本公司已持有的丰东股份的股份，本公司承诺自</w:t>
            </w:r>
          </w:p>
        </w:tc>
        <w:tc>
          <w:tcPr>
            <w:tcW w:w="568"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245"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本次交易募集配套资金的增发股份上市之日起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个月内自愿锁定、</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不以任何方式转让或减持，亦不委托他人管理本公司持有的上市公司</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720"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东润投资</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4" w:lineRule="auto" w:before="113"/>
              <w:ind w:left="22" w:right="30"/>
              <w:jc w:val="both"/>
              <w:rPr>
                <w:rFonts w:ascii="宋体" w:hAnsi="宋体" w:cs="宋体" w:eastAsia="宋体" w:hint="default"/>
                <w:sz w:val="18"/>
                <w:szCs w:val="18"/>
              </w:rPr>
            </w:pPr>
            <w:r>
              <w:rPr>
                <w:rFonts w:ascii="宋体" w:hAnsi="宋体" w:cs="宋体" w:eastAsia="宋体" w:hint="default"/>
                <w:sz w:val="18"/>
                <w:szCs w:val="18"/>
              </w:rPr>
              <w:t>股份 锁定 及不 放弃 控制 权</w:t>
            </w: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股份，不会将本公司持有的上市公司股份的表决权委托给他人行使</w:t>
            </w:r>
          </w:p>
          <w:p>
            <w:pPr>
              <w:pStyle w:val="TableParagraph"/>
              <w:spacing w:line="240" w:lineRule="auto" w:before="4"/>
              <w:ind w:left="22" w:right="21"/>
              <w:jc w:val="left"/>
              <w:rPr>
                <w:rFonts w:ascii="宋体" w:hAnsi="宋体" w:cs="宋体" w:eastAsia="宋体" w:hint="default"/>
                <w:sz w:val="18"/>
                <w:szCs w:val="18"/>
              </w:rPr>
            </w:pPr>
            <w:r>
              <w:rPr>
                <w:rFonts w:ascii="宋体" w:hAnsi="宋体" w:cs="宋体" w:eastAsia="宋体" w:hint="default"/>
                <w:sz w:val="18"/>
                <w:szCs w:val="18"/>
              </w:rPr>
              <w:t>如丰东股份自本承诺函出具之日起至本次交易募集配套资金的增发 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个月内进行送股、公积金转增股本等，则本公司 </w:t>
            </w:r>
            <w:r>
              <w:rPr>
                <w:rFonts w:ascii="宋体" w:hAnsi="宋体" w:cs="宋体" w:eastAsia="宋体" w:hint="default"/>
                <w:spacing w:val="-3"/>
                <w:sz w:val="18"/>
                <w:szCs w:val="18"/>
              </w:rPr>
              <w:t>基于本次交易前所持丰东股份的股份而衍生取得的新增股份，亦遵守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上述承诺。</w:t>
            </w:r>
          </w:p>
          <w:p>
            <w:pPr>
              <w:pStyle w:val="TableParagraph"/>
              <w:spacing w:line="240" w:lineRule="exact" w:before="62"/>
              <w:ind w:left="22" w:right="22" w:firstLine="360"/>
              <w:jc w:val="left"/>
              <w:rPr>
                <w:rFonts w:ascii="宋体" w:hAnsi="宋体" w:cs="宋体" w:eastAsia="宋体" w:hint="default"/>
                <w:sz w:val="18"/>
                <w:szCs w:val="18"/>
              </w:rPr>
            </w:pPr>
            <w:r>
              <w:rPr>
                <w:rFonts w:ascii="宋体" w:hAnsi="宋体" w:cs="宋体" w:eastAsia="宋体" w:hint="default"/>
                <w:sz w:val="18"/>
                <w:szCs w:val="18"/>
              </w:rPr>
              <w:t>在本次交易募集配套资金的增发股份上市之日起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 </w:t>
            </w:r>
            <w:r>
              <w:rPr>
                <w:rFonts w:ascii="宋体" w:hAnsi="宋体" w:cs="宋体" w:eastAsia="宋体" w:hint="default"/>
                <w:spacing w:val="-3"/>
                <w:sz w:val="18"/>
                <w:szCs w:val="18"/>
              </w:rPr>
              <w:t>公司不放弃作为上市公司股东所享有的董事、监事提名权、表决权等</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78" w:lineRule="auto" w:before="34"/>
              <w:ind w:left="22" w:right="23"/>
              <w:jc w:val="left"/>
              <w:rPr>
                <w:rFonts w:ascii="Times New Roman" w:hAnsi="Times New Roman" w:cs="Times New Roman" w:eastAsia="Times New Roman" w:hint="default"/>
                <w:sz w:val="18"/>
                <w:szCs w:val="18"/>
              </w:rPr>
            </w:pPr>
            <w:r>
              <w:rPr>
                <w:rFonts w:ascii="Times New Roman"/>
                <w:sz w:val="18"/>
              </w:rPr>
              <w:t>.11.2 1~20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1.20</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240"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一切股东控制权利。同时，要求本公司提名的董事积极行使相关法律</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法规及公司章程赋予上市公司董事的知情权、表决权、管理权等一切</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38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权利，不会将其拥有的董事表决权委托给他人行使。</w:t>
            </w:r>
          </w:p>
        </w:tc>
        <w:tc>
          <w:tcPr>
            <w:tcW w:w="568"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257"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388" w:type="dxa"/>
            <w:tcBorders>
              <w:top w:val="single" w:sz="4" w:space="0" w:color="000000"/>
              <w:left w:val="single" w:sz="4" w:space="0" w:color="000000"/>
              <w:bottom w:val="nil" w:sz="6" w:space="0" w:color="auto"/>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、在本次交易完成后的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个月内，本人并要求本人一致行动人</w:t>
            </w:r>
          </w:p>
        </w:tc>
        <w:tc>
          <w:tcPr>
            <w:tcW w:w="568"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束昱辉以及本人控制的东润投资不以任何方式转让或减持其直接或</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440"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7"/>
              <w:ind w:left="22" w:right="30"/>
              <w:jc w:val="both"/>
              <w:rPr>
                <w:rFonts w:ascii="宋体" w:hAnsi="宋体" w:cs="宋体" w:eastAsia="宋体" w:hint="default"/>
                <w:sz w:val="18"/>
                <w:szCs w:val="18"/>
              </w:rPr>
            </w:pPr>
            <w:r>
              <w:rPr>
                <w:rFonts w:ascii="宋体" w:hAnsi="宋体" w:cs="宋体" w:eastAsia="宋体" w:hint="default"/>
                <w:sz w:val="18"/>
                <w:szCs w:val="18"/>
              </w:rPr>
              <w:t>不放 弃控 制权</w:t>
            </w: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间接持有的上市公司股份，亦不委托他人管理其直接或间接持有的上</w:t>
            </w:r>
          </w:p>
          <w:p>
            <w:pPr>
              <w:pStyle w:val="TableParagraph"/>
              <w:spacing w:line="244" w:lineRule="auto" w:before="4"/>
              <w:ind w:left="22" w:right="22"/>
              <w:jc w:val="left"/>
              <w:rPr>
                <w:rFonts w:ascii="宋体" w:hAnsi="宋体" w:cs="宋体" w:eastAsia="宋体" w:hint="default"/>
                <w:sz w:val="18"/>
                <w:szCs w:val="18"/>
              </w:rPr>
            </w:pPr>
            <w:r>
              <w:rPr>
                <w:rFonts w:ascii="宋体" w:hAnsi="宋体" w:cs="宋体" w:eastAsia="宋体" w:hint="default"/>
                <w:spacing w:val="-3"/>
                <w:sz w:val="18"/>
                <w:szCs w:val="18"/>
              </w:rPr>
              <w:t>市公司股份，不会将其直接或间接持有的上市公司股份的表决权委托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给他人行使。</w:t>
            </w:r>
          </w:p>
          <w:p>
            <w:pPr>
              <w:pStyle w:val="TableParagraph"/>
              <w:spacing w:line="240" w:lineRule="exact" w:before="19"/>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、在本次交易完成后的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个月内，本人并要求本人一致行动人</w:t>
            </w:r>
            <w:r>
              <w:rPr>
                <w:rFonts w:ascii="宋体" w:hAnsi="宋体" w:cs="宋体" w:eastAsia="宋体" w:hint="default"/>
                <w:sz w:val="18"/>
                <w:szCs w:val="18"/>
              </w:rPr>
              <w:t> 束昱辉以及本人控制的东润投资不放弃作为上市公司股东所享有的 </w:t>
            </w:r>
            <w:r>
              <w:rPr>
                <w:rFonts w:ascii="宋体" w:hAnsi="宋体" w:cs="宋体" w:eastAsia="宋体" w:hint="default"/>
                <w:spacing w:val="-3"/>
                <w:sz w:val="18"/>
                <w:szCs w:val="18"/>
              </w:rPr>
              <w:t>董事、监事提名权、表决权等一切股东控制权利，不放弃对上市公司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78" w:lineRule="auto" w:before="33"/>
              <w:ind w:left="22" w:right="23"/>
              <w:jc w:val="left"/>
              <w:rPr>
                <w:rFonts w:ascii="Times New Roman" w:hAnsi="Times New Roman" w:cs="Times New Roman" w:eastAsia="Times New Roman" w:hint="default"/>
                <w:sz w:val="18"/>
                <w:szCs w:val="18"/>
              </w:rPr>
            </w:pPr>
            <w:r>
              <w:rPr>
                <w:rFonts w:ascii="Times New Roman"/>
                <w:sz w:val="18"/>
              </w:rPr>
              <w:t>.11.2 1~20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1.20</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240" w:hRule="exact"/>
        </w:trPr>
        <w:tc>
          <w:tcPr>
            <w:tcW w:w="993"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38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董事会的控制力。同时，作为上市公司董事，本人将积极行使相关法</w:t>
            </w:r>
          </w:p>
        </w:tc>
        <w:tc>
          <w:tcPr>
            <w:tcW w:w="568"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38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律法规及公司章程赋予上市公司董事的知情权、表决权、管理权等一</w:t>
            </w:r>
          </w:p>
        </w:tc>
        <w:tc>
          <w:tcPr>
            <w:tcW w:w="568"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993"/>
        <w:gridCol w:w="850"/>
        <w:gridCol w:w="425"/>
        <w:gridCol w:w="5388"/>
        <w:gridCol w:w="568"/>
        <w:gridCol w:w="425"/>
        <w:gridCol w:w="920"/>
      </w:tblGrid>
      <w:tr>
        <w:trPr>
          <w:trHeight w:val="1210"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3"/>
                <w:sz w:val="18"/>
                <w:szCs w:val="18"/>
              </w:rPr>
              <w:t>切权利，不会将本人拥有的董事表决权委托给他人行使，本人将一并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要求本人及本人一致行动人束昱辉以及本人控制的东润投资提名的 董事遵守上述承诺。</w:t>
            </w:r>
          </w:p>
          <w:p>
            <w:pPr>
              <w:pStyle w:val="TableParagraph"/>
              <w:spacing w:line="240" w:lineRule="exact"/>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、在上述承诺的基础上，在本次交易完成后的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个月内，不以</w:t>
            </w:r>
            <w:r>
              <w:rPr>
                <w:rFonts w:ascii="宋体" w:hAnsi="宋体" w:cs="宋体" w:eastAsia="宋体" w:hint="default"/>
                <w:sz w:val="18"/>
                <w:szCs w:val="18"/>
              </w:rPr>
              <w:t> 任何形式放弃其对上市公司的控制权。</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371" w:hRule="exact"/>
        </w:trPr>
        <w:tc>
          <w:tcPr>
            <w:tcW w:w="993"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协助 维持 控制 权稳 定</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2"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、在本次交易完成后的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个月内，本人不会以任何方式转让或</w:t>
            </w:r>
            <w:r>
              <w:rPr>
                <w:rFonts w:ascii="宋体" w:hAnsi="宋体" w:cs="宋体" w:eastAsia="宋体" w:hint="default"/>
                <w:sz w:val="18"/>
                <w:szCs w:val="18"/>
              </w:rPr>
              <w:t> </w:t>
            </w:r>
            <w:r>
              <w:rPr>
                <w:rFonts w:ascii="宋体" w:hAnsi="宋体" w:cs="宋体" w:eastAsia="宋体" w:hint="default"/>
                <w:spacing w:val="-3"/>
                <w:sz w:val="18"/>
                <w:szCs w:val="18"/>
              </w:rPr>
              <w:t>减持本人直接或间接持有的上市公司股份，亦不委托他人管理本人直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接或间接持有的上市公司股份，不会将本人直接或间接持有的上市公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司股份的表决权委托给他人行使。</w:t>
            </w:r>
          </w:p>
          <w:p>
            <w:pPr>
              <w:pStyle w:val="TableParagraph"/>
              <w:spacing w:line="240" w:lineRule="exact"/>
              <w:ind w:left="22" w:right="21"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、在本次交易完成后的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个月内，作为上市公司实际控制人朱</w:t>
            </w:r>
            <w:r>
              <w:rPr>
                <w:rFonts w:ascii="宋体" w:hAnsi="宋体" w:cs="宋体" w:eastAsia="宋体" w:hint="default"/>
                <w:sz w:val="18"/>
                <w:szCs w:val="18"/>
              </w:rPr>
              <w:t> </w:t>
            </w:r>
            <w:r>
              <w:rPr>
                <w:rFonts w:ascii="宋体" w:hAnsi="宋体" w:cs="宋体" w:eastAsia="宋体" w:hint="default"/>
                <w:spacing w:val="-3"/>
                <w:sz w:val="18"/>
                <w:szCs w:val="18"/>
              </w:rPr>
              <w:t>文明的一致行动人，在遵守本人与朱文明签署的《一致行动协议》约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定的前提下，本人承诺将不放弃作为上市公司股东所享有的董事、监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事提名权、表决权等一切股东控制权利，配合朱文明不主动放弃对上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市公司董事会的控制力。同时，本人将要求本人提名的董事，积极行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使相关法律法规及公司章程赋予上市公司董事的知情权、表决权、管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理权等一切权利，不会将其拥有的董事表决权委托给他人行使。</w:t>
            </w:r>
          </w:p>
          <w:p>
            <w:pPr>
              <w:pStyle w:val="TableParagraph"/>
              <w:spacing w:line="240" w:lineRule="exact"/>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、在上述承诺的基础上，在本次交易完成后的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个月内，本人</w:t>
            </w:r>
            <w:r>
              <w:rPr>
                <w:rFonts w:ascii="宋体" w:hAnsi="宋体" w:cs="宋体" w:eastAsia="宋体" w:hint="default"/>
                <w:sz w:val="18"/>
                <w:szCs w:val="18"/>
              </w:rPr>
              <w:t> 将配合上市公司实际控制人朱文明不以其他任何方式主动放弃其对 上市公司的控制权。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78" w:lineRule="auto" w:before="33"/>
              <w:ind w:left="22" w:right="23"/>
              <w:jc w:val="left"/>
              <w:rPr>
                <w:rFonts w:ascii="Times New Roman" w:hAnsi="Times New Roman" w:cs="Times New Roman" w:eastAsia="Times New Roman" w:hint="default"/>
                <w:sz w:val="18"/>
                <w:szCs w:val="18"/>
              </w:rPr>
            </w:pPr>
            <w:r>
              <w:rPr>
                <w:rFonts w:ascii="Times New Roman"/>
                <w:sz w:val="18"/>
              </w:rPr>
              <w:t>.11.2 1~20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289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47"/>
              <w:ind w:left="23" w:right="275"/>
              <w:jc w:val="left"/>
              <w:rPr>
                <w:rFonts w:ascii="宋体" w:hAnsi="宋体" w:cs="宋体" w:eastAsia="宋体" w:hint="default"/>
                <w:sz w:val="18"/>
                <w:szCs w:val="18"/>
              </w:rPr>
            </w:pPr>
            <w:r>
              <w:rPr>
                <w:rFonts w:ascii="宋体" w:hAnsi="宋体" w:cs="宋体" w:eastAsia="宋体" w:hint="default"/>
                <w:sz w:val="18"/>
                <w:szCs w:val="18"/>
              </w:rPr>
              <w:t>徐正军 王金根</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30"/>
              <w:jc w:val="left"/>
              <w:rPr>
                <w:rFonts w:ascii="宋体" w:hAnsi="宋体" w:cs="宋体" w:eastAsia="宋体" w:hint="default"/>
                <w:sz w:val="18"/>
                <w:szCs w:val="18"/>
              </w:rPr>
            </w:pPr>
            <w:r>
              <w:rPr>
                <w:rFonts w:ascii="宋体" w:hAnsi="宋体" w:cs="宋体" w:eastAsia="宋体" w:hint="default"/>
                <w:sz w:val="18"/>
                <w:szCs w:val="18"/>
              </w:rPr>
              <w:t>向上 市公 司提 名、 推荐 董 事、 监事 及高 级管</w:t>
            </w:r>
          </w:p>
          <w:p>
            <w:pPr>
              <w:pStyle w:val="TableParagraph"/>
              <w:spacing w:line="240" w:lineRule="exact"/>
              <w:ind w:left="22" w:right="30"/>
              <w:jc w:val="left"/>
              <w:rPr>
                <w:rFonts w:ascii="宋体" w:hAnsi="宋体" w:cs="宋体" w:eastAsia="宋体" w:hint="default"/>
                <w:sz w:val="18"/>
                <w:szCs w:val="18"/>
              </w:rPr>
            </w:pPr>
            <w:r>
              <w:rPr>
                <w:rFonts w:ascii="宋体" w:hAnsi="宋体" w:cs="宋体" w:eastAsia="宋体" w:hint="default"/>
                <w:sz w:val="18"/>
                <w:szCs w:val="18"/>
              </w:rPr>
              <w:t>理人 员</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4" w:lineRule="auto"/>
              <w:ind w:left="22" w:right="22" w:firstLine="360"/>
              <w:jc w:val="both"/>
              <w:rPr>
                <w:rFonts w:ascii="宋体" w:hAnsi="宋体" w:cs="宋体" w:eastAsia="宋体" w:hint="default"/>
                <w:sz w:val="18"/>
                <w:szCs w:val="18"/>
              </w:rPr>
            </w:pPr>
            <w:r>
              <w:rPr>
                <w:rFonts w:ascii="宋体" w:hAnsi="宋体" w:cs="宋体" w:eastAsia="宋体" w:hint="default"/>
                <w:spacing w:val="-3"/>
                <w:sz w:val="18"/>
                <w:szCs w:val="18"/>
              </w:rPr>
              <w:t>本次交易完成后三年内，本人与一致行动人作为上市公司的股东</w:t>
            </w:r>
            <w:r>
              <w:rPr>
                <w:rFonts w:ascii="宋体" w:hAnsi="宋体" w:cs="宋体" w:eastAsia="宋体" w:hint="default"/>
                <w:sz w:val="18"/>
                <w:szCs w:val="18"/>
              </w:rPr>
              <w:t> </w:t>
            </w:r>
            <w:r>
              <w:rPr>
                <w:rFonts w:ascii="宋体" w:hAnsi="宋体" w:cs="宋体" w:eastAsia="宋体" w:hint="default"/>
                <w:spacing w:val="-3"/>
                <w:sz w:val="18"/>
                <w:szCs w:val="18"/>
              </w:rPr>
              <w:t>除提名一名董事人选外，放弃上市公司董事会其他席位董事人选的提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名权。</w:t>
            </w:r>
          </w:p>
          <w:p>
            <w:pPr>
              <w:pStyle w:val="TableParagraph"/>
              <w:spacing w:line="244" w:lineRule="auto" w:before="1"/>
              <w:ind w:left="22" w:right="23" w:firstLine="360"/>
              <w:jc w:val="both"/>
              <w:rPr>
                <w:rFonts w:ascii="宋体" w:hAnsi="宋体" w:cs="宋体" w:eastAsia="宋体" w:hint="default"/>
                <w:sz w:val="18"/>
                <w:szCs w:val="18"/>
              </w:rPr>
            </w:pPr>
            <w:r>
              <w:rPr>
                <w:rFonts w:ascii="宋体" w:hAnsi="宋体" w:cs="宋体" w:eastAsia="宋体" w:hint="default"/>
                <w:spacing w:val="-3"/>
                <w:sz w:val="18"/>
                <w:szCs w:val="18"/>
              </w:rPr>
              <w:t>本次交易完成后三年内，本人及一致行动人向上市公司的监事会</w:t>
            </w:r>
            <w:r>
              <w:rPr>
                <w:rFonts w:ascii="宋体" w:hAnsi="宋体" w:cs="宋体" w:eastAsia="宋体" w:hint="default"/>
                <w:sz w:val="18"/>
                <w:szCs w:val="18"/>
              </w:rPr>
              <w:t> </w:t>
            </w:r>
            <w:r>
              <w:rPr>
                <w:rFonts w:ascii="宋体" w:hAnsi="宋体" w:cs="宋体" w:eastAsia="宋体" w:hint="default"/>
                <w:spacing w:val="-3"/>
                <w:sz w:val="18"/>
                <w:szCs w:val="18"/>
              </w:rPr>
              <w:t>提名的监事不得超过一名，本人及一致行动人除向上市公司总经理推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荐的一名副总经理外，不再推荐其他高级管理人员。</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2" w:lineRule="exact" w:before="156"/>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78" w:lineRule="auto" w:before="33"/>
              <w:ind w:left="22" w:right="23"/>
              <w:jc w:val="left"/>
              <w:rPr>
                <w:rFonts w:ascii="Times New Roman" w:hAnsi="Times New Roman" w:cs="Times New Roman" w:eastAsia="Times New Roman" w:hint="default"/>
                <w:sz w:val="18"/>
                <w:szCs w:val="18"/>
              </w:rPr>
            </w:pPr>
            <w:r>
              <w:rPr>
                <w:rFonts w:ascii="Times New Roman"/>
                <w:sz w:val="18"/>
              </w:rPr>
              <w:t>.11.2 1~20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承诺人均 严格履行 了承诺内 容。</w:t>
            </w:r>
          </w:p>
        </w:tc>
      </w:tr>
      <w:tr>
        <w:trPr>
          <w:trHeight w:val="5250"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4" w:lineRule="auto"/>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4" w:lineRule="auto"/>
              <w:ind w:left="23" w:right="95"/>
              <w:jc w:val="both"/>
              <w:rPr>
                <w:rFonts w:ascii="宋体" w:hAnsi="宋体" w:cs="宋体" w:eastAsia="宋体" w:hint="default"/>
                <w:sz w:val="18"/>
                <w:szCs w:val="18"/>
              </w:rPr>
            </w:pPr>
            <w:r>
              <w:rPr>
                <w:rFonts w:ascii="宋体" w:hAnsi="宋体" w:cs="宋体" w:eastAsia="宋体" w:hint="default"/>
                <w:sz w:val="18"/>
                <w:szCs w:val="18"/>
              </w:rPr>
              <w:t>公司股东 东方工程 株式会社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4" w:lineRule="auto"/>
              <w:ind w:left="22" w:right="30"/>
              <w:jc w:val="both"/>
              <w:rPr>
                <w:rFonts w:ascii="宋体" w:hAnsi="宋体" w:cs="宋体" w:eastAsia="宋体" w:hint="default"/>
                <w:sz w:val="18"/>
                <w:szCs w:val="18"/>
              </w:rPr>
            </w:pPr>
            <w:r>
              <w:rPr>
                <w:rFonts w:ascii="宋体" w:hAnsi="宋体" w:cs="宋体" w:eastAsia="宋体" w:hint="default"/>
                <w:sz w:val="18"/>
                <w:szCs w:val="18"/>
              </w:rPr>
              <w:t>避免 同业 竞争</w:t>
            </w:r>
          </w:p>
        </w:tc>
        <w:tc>
          <w:tcPr>
            <w:tcW w:w="5388" w:type="dxa"/>
            <w:tcBorders>
              <w:top w:val="single" w:sz="4" w:space="0" w:color="000000"/>
              <w:left w:val="single" w:sz="4" w:space="0" w:color="000000"/>
              <w:bottom w:val="single" w:sz="4" w:space="0" w:color="000000"/>
              <w:right w:val="single" w:sz="9" w:space="0" w:color="FFFFFF"/>
            </w:tcBorders>
          </w:tcPr>
          <w:p>
            <w:pPr>
              <w:pStyle w:val="TableParagraph"/>
              <w:spacing w:line="242" w:lineRule="auto" w:before="21"/>
              <w:ind w:left="22" w:right="-5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、在销售市场方面：在日本国市场上，日本东方可销售自有产 </w:t>
            </w:r>
            <w:r>
              <w:rPr>
                <w:rFonts w:ascii="宋体" w:hAnsi="宋体" w:cs="宋体" w:eastAsia="宋体" w:hint="default"/>
                <w:spacing w:val="-3"/>
                <w:sz w:val="18"/>
                <w:szCs w:val="18"/>
              </w:rPr>
              <w:t>品，本公司不得销售自有产品；在东南亚国家市场，日本东方只向日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资控股的企业销售自有产品，本公司则可向除日资控股的企业以外的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所有企业销售自有产品；对于除日本国及东南亚的世界任何其他市 场，日本东方不得以任何方式销售自有产品，本公司则可自由销售。</w:t>
            </w:r>
          </w:p>
          <w:p>
            <w:pPr>
              <w:pStyle w:val="TableParagraph"/>
              <w:spacing w:line="242" w:lineRule="auto" w:before="42"/>
              <w:ind w:left="22" w:right="1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、热处理加工业务方面：日本东方可继续在日本国从事热处理 </w:t>
            </w:r>
            <w:r>
              <w:rPr>
                <w:rFonts w:ascii="宋体" w:hAnsi="宋体" w:cs="宋体" w:eastAsia="宋体" w:hint="default"/>
                <w:spacing w:val="-3"/>
                <w:sz w:val="18"/>
                <w:szCs w:val="18"/>
              </w:rPr>
              <w:t>加工业务，但本公司不得在日本国从事该等业务；在东南亚国家，日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本东方只能承接日资控股企业的热处理加工业务，本公司则可承接除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日资控股企业以外的所有企业的热处理加工业务；在除日本国及东南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亚的世界任何其它国家和地区，本公司可从事热处理加工业务，但日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本东方不得从事该等业务。</w:t>
            </w:r>
          </w:p>
          <w:p>
            <w:pPr>
              <w:pStyle w:val="TableParagraph"/>
              <w:spacing w:line="240" w:lineRule="exact" w:before="60"/>
              <w:ind w:left="22" w:right="3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、在投资方面：本公司可继续在中国以任何方式进行投资以从 事热处理设备销售和热处理加工业务；除</w:t>
            </w:r>
            <w:r>
              <w:rPr>
                <w:rFonts w:ascii="Times New Roman" w:hAnsi="Times New Roman" w:cs="Times New Roman" w:eastAsia="Times New Roman" w:hint="default"/>
                <w:sz w:val="18"/>
                <w:szCs w:val="18"/>
              </w:rPr>
              <w:t>“</w:t>
            </w:r>
            <w:r>
              <w:rPr>
                <w:rFonts w:ascii="宋体" w:hAnsi="宋体" w:cs="宋体" w:eastAsia="宋体" w:hint="default"/>
                <w:sz w:val="18"/>
                <w:szCs w:val="18"/>
              </w:rPr>
              <w:t>本协议生效之前，日本东 方已与本公司共同投资设 立的合营企业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且</w:t>
            </w:r>
            <w:r>
              <w:rPr>
                <w:rFonts w:ascii="Times New Roman" w:hAnsi="Times New Roman" w:cs="Times New Roman" w:eastAsia="Times New Roman" w:hint="default"/>
                <w:sz w:val="18"/>
                <w:szCs w:val="18"/>
              </w:rPr>
              <w:t>“</w:t>
            </w:r>
            <w:r>
              <w:rPr>
                <w:rFonts w:ascii="宋体" w:hAnsi="宋体" w:cs="宋体" w:eastAsia="宋体" w:hint="default"/>
                <w:sz w:val="18"/>
                <w:szCs w:val="18"/>
              </w:rPr>
              <w:t>合营企业为本公司所控 股</w:t>
            </w:r>
            <w:r>
              <w:rPr>
                <w:rFonts w:ascii="Times New Roman" w:hAnsi="Times New Roman" w:cs="Times New Roman" w:eastAsia="Times New Roman" w:hint="default"/>
                <w:sz w:val="18"/>
                <w:szCs w:val="18"/>
              </w:rPr>
              <w:t>”</w:t>
            </w:r>
            <w:r>
              <w:rPr>
                <w:rFonts w:ascii="宋体" w:hAnsi="宋体" w:cs="宋体" w:eastAsia="宋体" w:hint="default"/>
                <w:sz w:val="18"/>
                <w:szCs w:val="18"/>
              </w:rPr>
              <w:t>的情形外，日本东方不得以直接投资、委托投资、受托经营等任 何方式在中国从事热处理设备销售和热处理加工业务。</w:t>
            </w:r>
          </w:p>
          <w:p>
            <w:pPr>
              <w:pStyle w:val="TableParagraph"/>
              <w:spacing w:line="242" w:lineRule="auto" w:before="22"/>
              <w:ind w:left="22" w:right="1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、在知识产权的转让方面：除非受让方明确承诺接受本协议的 </w:t>
            </w:r>
            <w:r>
              <w:rPr>
                <w:rFonts w:ascii="宋体" w:hAnsi="宋体" w:cs="宋体" w:eastAsia="宋体" w:hint="default"/>
                <w:spacing w:val="-3"/>
                <w:sz w:val="18"/>
                <w:szCs w:val="18"/>
              </w:rPr>
              <w:t>条款和条件并由其承继日本东方在本协议项下的全部义务和责任，否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则日本东方不得向其他自然人、公司、企业或其它组织转让或许可使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用与研发、生产和销售热处理设备以及从事热处理加工业务有关的知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识产权。</w:t>
            </w:r>
          </w:p>
        </w:tc>
        <w:tc>
          <w:tcPr>
            <w:tcW w:w="5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02" w:lineRule="exact" w:before="34"/>
              <w:ind w:left="16"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2" w:lineRule="auto"/>
              <w:ind w:left="16"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10"/>
                <w:sz w:val="18"/>
                <w:szCs w:val="18"/>
              </w:rPr>
              <w:t>日《避</w:t>
            </w:r>
            <w:r>
              <w:rPr>
                <w:rFonts w:ascii="宋体" w:hAnsi="宋体" w:cs="宋体" w:eastAsia="宋体" w:hint="default"/>
                <w:sz w:val="18"/>
                <w:szCs w:val="18"/>
              </w:rPr>
              <w:t> 免同 业竞 争协 议》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02" w:lineRule="exact" w:before="31"/>
              <w:ind w:left="16"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exact" w:before="13"/>
              <w:ind w:left="16" w:right="-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10"/>
                <w:sz w:val="18"/>
                <w:szCs w:val="18"/>
              </w:rPr>
              <w:t>日《关</w:t>
            </w:r>
            <w:r>
              <w:rPr>
                <w:rFonts w:ascii="宋体" w:hAnsi="宋体" w:cs="宋体" w:eastAsia="宋体" w:hint="default"/>
                <w:sz w:val="18"/>
                <w:szCs w:val="18"/>
              </w:rPr>
              <w:t> 于</w:t>
            </w:r>
            <w:r>
              <w:rPr>
                <w:rFonts w:ascii="Times New Roman" w:hAnsi="Times New Roman" w:cs="Times New Roman" w:eastAsia="Times New Roman" w:hint="default"/>
                <w:sz w:val="18"/>
                <w:szCs w:val="18"/>
              </w:rPr>
              <w:t>&lt;</w:t>
            </w:r>
            <w:r>
              <w:rPr>
                <w:rFonts w:ascii="宋体" w:hAnsi="宋体" w:cs="宋体" w:eastAsia="宋体" w:hint="default"/>
                <w:sz w:val="18"/>
                <w:szCs w:val="18"/>
              </w:rPr>
              <w:t>避 免同 业竞 争</w:t>
            </w:r>
            <w:r>
              <w:rPr>
                <w:rFonts w:ascii="Times New Roman" w:hAnsi="Times New Roman" w:cs="Times New Roman" w:eastAsia="Times New Roman" w:hint="default"/>
                <w:sz w:val="18"/>
                <w:szCs w:val="18"/>
              </w:rPr>
              <w:t>&gt;</w:t>
            </w:r>
            <w:r>
              <w:rPr>
                <w:rFonts w:ascii="宋体" w:hAnsi="宋体" w:cs="宋体" w:eastAsia="宋体" w:hint="default"/>
                <w:sz w:val="18"/>
                <w:szCs w:val="18"/>
              </w:rPr>
              <w:t>之 补充 协议》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承诺人严 格履行了 承诺内容。</w:t>
            </w:r>
          </w:p>
        </w:tc>
      </w:tr>
      <w:tr>
        <w:trPr>
          <w:trHeight w:val="1091"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1"/>
              <w:ind w:left="23" w:right="95"/>
              <w:jc w:val="both"/>
              <w:rPr>
                <w:rFonts w:ascii="宋体" w:hAnsi="宋体" w:cs="宋体" w:eastAsia="宋体" w:hint="default"/>
                <w:sz w:val="18"/>
                <w:szCs w:val="18"/>
              </w:rPr>
            </w:pPr>
            <w:r>
              <w:rPr>
                <w:rFonts w:ascii="宋体" w:hAnsi="宋体" w:cs="宋体" w:eastAsia="宋体" w:hint="default"/>
                <w:sz w:val="18"/>
                <w:szCs w:val="18"/>
              </w:rPr>
              <w:t>公司股东 和华株式 会社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1"/>
              <w:ind w:left="22" w:right="30"/>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、在日本市场上，和华可销售自有产品，本公司不得销售自有 产品。</w:t>
            </w:r>
          </w:p>
          <w:p>
            <w:pPr>
              <w:pStyle w:val="TableParagraph"/>
              <w:spacing w:line="240" w:lineRule="exact" w:before="39"/>
              <w:ind w:left="22" w:right="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、和华不得向除日本国的世界任何市场销售自有产品，本公司 可自由销售自有产品。</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84"/>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承诺人严 格履行了 承诺内容。</w:t>
            </w:r>
          </w:p>
        </w:tc>
      </w:tr>
    </w:tbl>
    <w:p>
      <w:pPr>
        <w:spacing w:after="0" w:line="244"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r>
        <w:rPr/>
        <w:pict>
          <v:group style="position:absolute;margin-left:440.880005pt;margin-top:199.999985pt;width:25.6pt;height:12pt;mso-position-horizontal-relative:page;mso-position-vertical-relative:page;z-index:-1027912" coordorigin="8818,4000" coordsize="512,240">
            <v:shape style="position:absolute;left:8818;top:4000;width:512;height:240" coordorigin="8818,4000" coordsize="512,240" path="m8818,4240l9329,4240,9329,4000,8818,4000,8818,4240xe" filled="true" fillcolor="#ffffff" stroked="false">
              <v:path arrowok="t"/>
              <v:fill type="solid"/>
            </v:shape>
            <w10:wrap type="none"/>
          </v:group>
        </w:pict>
      </w:r>
    </w:p>
    <w:tbl>
      <w:tblPr>
        <w:tblW w:w="0" w:type="auto"/>
        <w:jc w:val="left"/>
        <w:tblInd w:w="169" w:type="dxa"/>
        <w:tblLayout w:type="fixed"/>
        <w:tblCellMar>
          <w:top w:w="0" w:type="dxa"/>
          <w:left w:w="0" w:type="dxa"/>
          <w:bottom w:w="0" w:type="dxa"/>
          <w:right w:w="0" w:type="dxa"/>
        </w:tblCellMar>
        <w:tblLook w:val="01E0"/>
      </w:tblPr>
      <w:tblGrid>
        <w:gridCol w:w="993"/>
        <w:gridCol w:w="850"/>
        <w:gridCol w:w="425"/>
        <w:gridCol w:w="5388"/>
        <w:gridCol w:w="568"/>
        <w:gridCol w:w="425"/>
        <w:gridCol w:w="920"/>
      </w:tblGrid>
      <w:tr>
        <w:trPr>
          <w:trHeight w:val="57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6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38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970"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4" w:lineRule="auto"/>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利润 分配</w:t>
            </w:r>
          </w:p>
        </w:tc>
        <w:tc>
          <w:tcPr>
            <w:tcW w:w="5388" w:type="dxa"/>
            <w:tcBorders>
              <w:top w:val="single" w:sz="4" w:space="0" w:color="000000"/>
              <w:left w:val="single" w:sz="4" w:space="0" w:color="000000"/>
              <w:bottom w:val="single" w:sz="4" w:space="0" w:color="000000"/>
              <w:right w:val="single" w:sz="9" w:space="0" w:color="FFFFFF"/>
            </w:tcBorders>
          </w:tcPr>
          <w:p>
            <w:pPr>
              <w:pStyle w:val="TableParagraph"/>
              <w:tabs>
                <w:tab w:pos="5175" w:val="left" w:leader="none"/>
              </w:tabs>
              <w:spacing w:line="242" w:lineRule="auto" w:before="21"/>
              <w:ind w:left="22" w:right="-39" w:firstLine="360"/>
              <w:jc w:val="left"/>
              <w:rPr>
                <w:rFonts w:ascii="宋体" w:hAnsi="宋体" w:cs="宋体" w:eastAsia="宋体" w:hint="default"/>
                <w:sz w:val="18"/>
                <w:szCs w:val="18"/>
              </w:rPr>
            </w:pPr>
            <w:r>
              <w:rPr>
                <w:rFonts w:ascii="宋体" w:hAnsi="宋体" w:cs="宋体" w:eastAsia="宋体" w:hint="default"/>
                <w:spacing w:val="-3"/>
                <w:sz w:val="18"/>
                <w:szCs w:val="18"/>
              </w:rPr>
              <w:t>未来三年公司利润分配采取现金、股票、现金与股票相结合或者</w:t>
            </w:r>
            <w:r>
              <w:rPr>
                <w:rFonts w:ascii="宋体" w:hAnsi="宋体" w:cs="宋体" w:eastAsia="宋体" w:hint="default"/>
                <w:sz w:val="18"/>
                <w:szCs w:val="18"/>
              </w:rPr>
              <w:t> </w:t>
            </w:r>
            <w:r>
              <w:rPr>
                <w:rFonts w:ascii="宋体" w:hAnsi="宋体" w:cs="宋体" w:eastAsia="宋体" w:hint="default"/>
                <w:spacing w:val="-2"/>
                <w:sz w:val="18"/>
                <w:szCs w:val="18"/>
              </w:rPr>
              <w:t>法律、法规允许的其他式，优先采用现金分红方式分配股利。</w:t>
              <w:tab/>
            </w:r>
            <w:r>
              <w:rPr>
                <w:rFonts w:ascii="宋体" w:hAnsi="宋体" w:cs="宋体" w:eastAsia="宋体" w:hint="default"/>
                <w:sz w:val="18"/>
                <w:szCs w:val="18"/>
              </w:rPr>
              <w:t>在</w:t>
            </w:r>
            <w:r>
              <w:rPr>
                <w:rFonts w:ascii="宋体" w:hAnsi="宋体" w:cs="宋体" w:eastAsia="宋体" w:hint="default"/>
                <w:sz w:val="18"/>
                <w:szCs w:val="18"/>
              </w:rPr>
              <w:t> </w:t>
            </w:r>
            <w:r>
              <w:rPr>
                <w:rFonts w:ascii="宋体" w:hAnsi="宋体" w:cs="宋体" w:eastAsia="宋体" w:hint="default"/>
                <w:spacing w:val="-3"/>
                <w:sz w:val="18"/>
                <w:szCs w:val="18"/>
              </w:rPr>
              <w:t>满足现金分红条件、保证公司正常经营和长远发展的前提下，公司未</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来三年原则上每年年度股东大会审议通过后进行一次现金分红，公司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董事会可以根据公司的盈利状况及资金需求状况提议公司进行中期 </w:t>
            </w:r>
            <w:r>
              <w:rPr>
                <w:rFonts w:ascii="宋体" w:hAnsi="宋体" w:cs="宋体" w:eastAsia="宋体" w:hint="default"/>
                <w:spacing w:val="-3"/>
                <w:sz w:val="18"/>
                <w:szCs w:val="18"/>
              </w:rPr>
              <w:t>现金分红。公司应保持利润分配政策的连续性和稳定性，在满足现金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分红条件时，公司每年以现金方式分配的利润不少于当年实现的母公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司可分配利润的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，且任意三个连续会计年度内，公司以现金方式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累计分配的利润不少于该三年实现的母公司年均可分配利润的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w:t>
            </w:r>
            <w:r>
              <w:rPr>
                <w:rFonts w:ascii="宋体" w:hAnsi="宋体" w:cs="宋体" w:eastAsia="宋体" w:hint="default"/>
                <w:sz w:val="18"/>
                <w:szCs w:val="18"/>
              </w:rPr>
            </w:r>
          </w:p>
          <w:p>
            <w:pPr>
              <w:pStyle w:val="TableParagraph"/>
              <w:spacing w:line="244" w:lineRule="auto" w:before="28"/>
              <w:ind w:left="22" w:right="16" w:firstLine="360"/>
              <w:jc w:val="both"/>
              <w:rPr>
                <w:rFonts w:ascii="宋体" w:hAnsi="宋体" w:cs="宋体" w:eastAsia="宋体" w:hint="default"/>
                <w:sz w:val="18"/>
                <w:szCs w:val="18"/>
              </w:rPr>
            </w:pPr>
            <w:r>
              <w:rPr>
                <w:rFonts w:ascii="宋体" w:hAnsi="宋体" w:cs="宋体" w:eastAsia="宋体" w:hint="default"/>
                <w:spacing w:val="-3"/>
                <w:sz w:val="18"/>
                <w:szCs w:val="18"/>
              </w:rPr>
              <w:t>公司经营情况良好，并且董事会认为公司股票价格与公司股本规</w:t>
            </w:r>
            <w:r>
              <w:rPr>
                <w:rFonts w:ascii="宋体" w:hAnsi="宋体" w:cs="宋体" w:eastAsia="宋体" w:hint="default"/>
                <w:sz w:val="18"/>
                <w:szCs w:val="18"/>
              </w:rPr>
              <w:t> </w:t>
            </w:r>
            <w:r>
              <w:rPr>
                <w:rFonts w:ascii="宋体" w:hAnsi="宋体" w:cs="宋体" w:eastAsia="宋体" w:hint="default"/>
                <w:spacing w:val="-3"/>
                <w:sz w:val="18"/>
                <w:szCs w:val="18"/>
              </w:rPr>
              <w:t>模不匹配、发放股票股利有利于公司全体股东整体利益的，可以在满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足上述现金分红之余，提出股票股利分配预案，并经股东大会审议通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过后执行。公司在确定以股票方式分配利润的具体金额时，应充分考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虑以股票方式分配利润后的总股本是否与公司目前的经营规模、盈利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增长速度相适应，并考虑对未来债权融资成本的影响，以确保分配方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案符合全体股东的整体利益。</w:t>
            </w:r>
          </w:p>
        </w:tc>
        <w:tc>
          <w:tcPr>
            <w:tcW w:w="56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02" w:lineRule="exact"/>
              <w:ind w:left="16"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31"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78" w:lineRule="auto" w:before="33"/>
              <w:ind w:left="22" w:right="22"/>
              <w:jc w:val="left"/>
              <w:rPr>
                <w:rFonts w:ascii="Times New Roman" w:hAnsi="Times New Roman" w:cs="Times New Roman" w:eastAsia="Times New Roman" w:hint="default"/>
                <w:sz w:val="18"/>
                <w:szCs w:val="18"/>
              </w:rPr>
            </w:pPr>
            <w:r>
              <w:rPr>
                <w:rFonts w:ascii="Times New Roman"/>
                <w:sz w:val="18"/>
              </w:rPr>
              <w:t>.1.1~ 2020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4" w:lineRule="auto"/>
              <w:ind w:left="22" w:right="-13"/>
              <w:jc w:val="left"/>
              <w:rPr>
                <w:rFonts w:ascii="宋体" w:hAnsi="宋体" w:cs="宋体" w:eastAsia="宋体" w:hint="default"/>
                <w:sz w:val="18"/>
                <w:szCs w:val="18"/>
              </w:rPr>
            </w:pPr>
            <w:r>
              <w:rPr>
                <w:rFonts w:ascii="宋体" w:hAnsi="宋体" w:cs="宋体" w:eastAsia="宋体" w:hint="default"/>
                <w:sz w:val="18"/>
                <w:szCs w:val="18"/>
              </w:rPr>
              <w:t>报告期内， 承诺人严 格履行了 承诺内容。</w:t>
            </w:r>
          </w:p>
        </w:tc>
      </w:tr>
      <w:tr>
        <w:trPr>
          <w:trHeight w:val="129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4" w:lineRule="auto"/>
              <w:ind w:left="23" w:right="275"/>
              <w:jc w:val="both"/>
              <w:rPr>
                <w:rFonts w:ascii="宋体" w:hAnsi="宋体" w:cs="宋体" w:eastAsia="宋体" w:hint="default"/>
                <w:sz w:val="18"/>
                <w:szCs w:val="18"/>
              </w:rPr>
            </w:pPr>
            <w:r>
              <w:rPr>
                <w:rFonts w:ascii="宋体" w:hAnsi="宋体" w:cs="宋体" w:eastAsia="宋体" w:hint="default"/>
                <w:sz w:val="18"/>
                <w:szCs w:val="18"/>
              </w:rPr>
              <w:t>朱文明 徐正军 束昱辉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4" w:lineRule="auto"/>
              <w:ind w:left="22" w:right="30"/>
              <w:jc w:val="left"/>
              <w:rPr>
                <w:rFonts w:ascii="宋体" w:hAnsi="宋体" w:cs="宋体" w:eastAsia="宋体" w:hint="default"/>
                <w:sz w:val="18"/>
                <w:szCs w:val="18"/>
              </w:rPr>
            </w:pPr>
            <w:r>
              <w:rPr>
                <w:rFonts w:ascii="宋体" w:hAnsi="宋体" w:cs="宋体" w:eastAsia="宋体" w:hint="default"/>
                <w:sz w:val="18"/>
                <w:szCs w:val="18"/>
              </w:rPr>
              <w:t>增持 承诺</w:t>
            </w:r>
          </w:p>
        </w:tc>
        <w:tc>
          <w:tcPr>
            <w:tcW w:w="5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4" w:lineRule="auto"/>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为提振市场信心，基于对公司持续稳健发展的信心以及对公司内</w:t>
            </w:r>
            <w:r>
              <w:rPr>
                <w:rFonts w:ascii="宋体" w:hAnsi="宋体" w:cs="宋体" w:eastAsia="宋体" w:hint="default"/>
                <w:sz w:val="18"/>
                <w:szCs w:val="18"/>
              </w:rPr>
              <w:t> 在价值的认可，承诺人拟增持公司股票，增持金额合计在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 </w:t>
            </w:r>
            <w:r>
              <w:rPr>
                <w:rFonts w:ascii="宋体" w:hAnsi="宋体" w:cs="宋体" w:eastAsia="宋体" w:hint="default"/>
                <w:sz w:val="18"/>
                <w:szCs w:val="18"/>
              </w:rPr>
              <w:t>万</w:t>
            </w:r>
          </w:p>
          <w:p>
            <w:pPr>
              <w:pStyle w:val="TableParagraph"/>
              <w:spacing w:line="236" w:lineRule="exact"/>
              <w:ind w:left="22" w:right="0"/>
              <w:jc w:val="left"/>
              <w:rPr>
                <w:rFonts w:ascii="宋体" w:hAnsi="宋体" w:cs="宋体" w:eastAsia="宋体" w:hint="default"/>
                <w:sz w:val="18"/>
                <w:szCs w:val="18"/>
              </w:rPr>
            </w:pPr>
            <w:r>
              <w:rPr>
                <w:rFonts w:ascii="宋体" w:hAnsi="宋体" w:cs="宋体" w:eastAsia="宋体" w:hint="default"/>
                <w:sz w:val="18"/>
                <w:szCs w:val="18"/>
              </w:rPr>
              <w:t>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万元之间，人均增持金额为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~5,000 </w:t>
            </w:r>
            <w:r>
              <w:rPr>
                <w:rFonts w:ascii="宋体" w:hAnsi="宋体" w:cs="宋体" w:eastAsia="宋体" w:hint="default"/>
                <w:sz w:val="18"/>
                <w:szCs w:val="18"/>
              </w:rPr>
              <w:t>万元。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78" w:lineRule="auto" w:before="33"/>
              <w:ind w:left="22" w:right="23"/>
              <w:jc w:val="left"/>
              <w:rPr>
                <w:rFonts w:ascii="Times New Roman" w:hAnsi="Times New Roman" w:cs="Times New Roman" w:eastAsia="Times New Roman" w:hint="default"/>
                <w:sz w:val="18"/>
                <w:szCs w:val="18"/>
              </w:rPr>
            </w:pPr>
            <w:r>
              <w:rPr>
                <w:rFonts w:ascii="Times New Roman"/>
                <w:sz w:val="18"/>
              </w:rPr>
              <w:t>.06.2 2~20</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6.21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4" w:lineRule="auto"/>
              <w:ind w:left="22" w:right="167"/>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57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01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60"/>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Times New Roman" w:hAnsi="Times New Roman" w:cs="Times New Roman" w:eastAsia="Times New Roman" w:hint="default"/>
          <w:sz w:val="11"/>
          <w:szCs w:val="11"/>
        </w:rPr>
      </w:pPr>
    </w:p>
    <w:p>
      <w:pPr>
        <w:pStyle w:val="Heading3"/>
        <w:spacing w:line="297" w:lineRule="auto"/>
        <w:ind w:left="174" w:right="0" w:firstLine="422"/>
        <w:jc w:val="left"/>
        <w:rPr>
          <w:b w:val="0"/>
          <w:bCs w:val="0"/>
        </w:rPr>
      </w:pPr>
      <w:bookmarkStart w:name="2、公司资产或项目存在盈利预测，且报告期仍处在盈利预测期间，公司就资产或项目达到" w:id="89"/>
      <w:bookmarkEnd w:id="8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w:t>
      </w:r>
      <w:r>
        <w:rPr>
          <w:w w:val="99"/>
        </w:rPr>
        <w:t> </w:t>
      </w:r>
      <w:r>
        <w:rPr/>
        <w:t>测及其原因做出说明</w:t>
      </w:r>
      <w:r>
        <w:rPr>
          <w:b w:val="0"/>
          <w:bCs w:val="0"/>
        </w:rPr>
      </w:r>
    </w:p>
    <w:p>
      <w:pPr>
        <w:pStyle w:val="BodyText"/>
        <w:spacing w:line="240" w:lineRule="auto" w:before="122"/>
        <w:ind w:right="0"/>
        <w:jc w:val="left"/>
      </w:pPr>
      <w:r>
        <w:rPr/>
        <w:pict>
          <v:group style="position:absolute;margin-left:347.619995pt;margin-top:70.131729pt;width:34.950pt;height:18pt;mso-position-horizontal-relative:page;mso-position-vertical-relative:paragraph;z-index:-1027888" coordorigin="6952,1403" coordsize="699,360">
            <v:shape style="position:absolute;left:6952;top:1403;width:699;height:360" coordorigin="6952,1403" coordsize="699,360" path="m6952,1763l7651,1763,7651,1403,6952,1403,6952,1763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851"/>
        <w:gridCol w:w="851"/>
        <w:gridCol w:w="566"/>
        <w:gridCol w:w="709"/>
        <w:gridCol w:w="851"/>
        <w:gridCol w:w="1984"/>
        <w:gridCol w:w="709"/>
        <w:gridCol w:w="3045"/>
      </w:tblGrid>
      <w:tr>
        <w:trPr>
          <w:trHeight w:val="84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60" w:right="59"/>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41"/>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1"/>
              <w:ind w:left="98" w:right="96"/>
              <w:jc w:val="both"/>
              <w:rPr>
                <w:rFonts w:ascii="宋体" w:hAnsi="宋体" w:cs="宋体" w:eastAsia="宋体" w:hint="default"/>
                <w:sz w:val="18"/>
                <w:szCs w:val="18"/>
              </w:rPr>
            </w:pPr>
            <w:r>
              <w:rPr>
                <w:rFonts w:ascii="宋体" w:hAnsi="宋体" w:cs="宋体" w:eastAsia="宋体" w:hint="default"/>
                <w:sz w:val="18"/>
                <w:szCs w:val="18"/>
              </w:rPr>
              <w:t>预测 终止 时间</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9" w:right="78"/>
              <w:jc w:val="left"/>
              <w:rPr>
                <w:rFonts w:ascii="宋体" w:hAnsi="宋体" w:cs="宋体" w:eastAsia="宋体" w:hint="default"/>
                <w:sz w:val="18"/>
                <w:szCs w:val="18"/>
              </w:rPr>
            </w:pPr>
            <w:r>
              <w:rPr>
                <w:rFonts w:ascii="宋体" w:hAnsi="宋体" w:cs="宋体" w:eastAsia="宋体" w:hint="default"/>
                <w:sz w:val="18"/>
                <w:szCs w:val="18"/>
              </w:rPr>
              <w:t>当期预 测业绩</w:t>
            </w:r>
          </w:p>
          <w:p>
            <w:pPr>
              <w:pStyle w:val="TableParagraph"/>
              <w:spacing w:line="240" w:lineRule="auto" w:before="41"/>
              <w:ind w:left="22" w:right="-44"/>
              <w:jc w:val="left"/>
              <w:rPr>
                <w:rFonts w:ascii="宋体" w:hAnsi="宋体" w:cs="宋体" w:eastAsia="宋体" w:hint="default"/>
                <w:sz w:val="18"/>
                <w:szCs w:val="18"/>
              </w:rPr>
            </w:pPr>
            <w:r>
              <w:rPr>
                <w:rFonts w:ascii="宋体" w:hAnsi="宋体" w:cs="宋体" w:eastAsia="宋体" w:hint="default"/>
                <w:sz w:val="18"/>
                <w:szCs w:val="18"/>
              </w:rPr>
              <w:t>（万元）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60" w:right="59"/>
              <w:jc w:val="center"/>
              <w:rPr>
                <w:rFonts w:ascii="宋体" w:hAnsi="宋体" w:cs="宋体" w:eastAsia="宋体" w:hint="default"/>
                <w:sz w:val="18"/>
                <w:szCs w:val="18"/>
              </w:rPr>
            </w:pPr>
            <w:r>
              <w:rPr>
                <w:rFonts w:ascii="宋体" w:hAnsi="宋体" w:cs="宋体" w:eastAsia="宋体" w:hint="default"/>
                <w:sz w:val="18"/>
                <w:szCs w:val="18"/>
              </w:rPr>
              <w:t>当期实际 业绩（万 元）</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未达预测的原因</w:t>
            </w:r>
          </w:p>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（如适用）</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80" w:right="77"/>
              <w:jc w:val="center"/>
              <w:rPr>
                <w:rFonts w:ascii="宋体" w:hAnsi="宋体" w:cs="宋体" w:eastAsia="宋体" w:hint="default"/>
                <w:sz w:val="18"/>
                <w:szCs w:val="18"/>
              </w:rPr>
            </w:pPr>
            <w:r>
              <w:rPr>
                <w:rFonts w:ascii="宋体" w:hAnsi="宋体" w:cs="宋体" w:eastAsia="宋体" w:hint="default"/>
                <w:sz w:val="18"/>
                <w:szCs w:val="18"/>
              </w:rPr>
              <w:t>原预测 披露日 期</w:t>
            </w:r>
          </w:p>
        </w:tc>
        <w:tc>
          <w:tcPr>
            <w:tcW w:w="3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8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535" w:hRule="exact"/>
        </w:trPr>
        <w:tc>
          <w:tcPr>
            <w:tcW w:w="85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4" w:lineRule="auto"/>
              <w:ind w:left="22" w:right="96"/>
              <w:jc w:val="left"/>
              <w:rPr>
                <w:rFonts w:ascii="宋体" w:hAnsi="宋体" w:cs="宋体" w:eastAsia="宋体" w:hint="default"/>
                <w:sz w:val="18"/>
                <w:szCs w:val="18"/>
              </w:rPr>
            </w:pPr>
            <w:r>
              <w:rPr>
                <w:rFonts w:ascii="宋体" w:hAnsi="宋体" w:cs="宋体" w:eastAsia="宋体" w:hint="default"/>
                <w:sz w:val="18"/>
                <w:szCs w:val="18"/>
              </w:rPr>
              <w:t>方欣科技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23,500</w:t>
            </w:r>
          </w:p>
        </w:tc>
        <w:tc>
          <w:tcPr>
            <w:tcW w:w="85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21,938.85</w:t>
            </w:r>
          </w:p>
        </w:tc>
        <w:tc>
          <w:tcPr>
            <w:tcW w:w="198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26"/>
              <w:ind w:left="22" w:right="-41"/>
              <w:jc w:val="left"/>
              <w:rPr>
                <w:rFonts w:ascii="宋体" w:hAnsi="宋体" w:cs="宋体" w:eastAsia="宋体" w:hint="default"/>
                <w:sz w:val="18"/>
                <w:szCs w:val="18"/>
              </w:rPr>
            </w:pPr>
            <w:r>
              <w:rPr>
                <w:rFonts w:ascii="宋体" w:hAnsi="宋体" w:cs="宋体" w:eastAsia="宋体" w:hint="default"/>
                <w:sz w:val="18"/>
                <w:szCs w:val="18"/>
              </w:rPr>
              <w:t>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年省级和省级以 下国税和地税机构合并、 相关税制改革推进等影 </w:t>
            </w:r>
            <w:r>
              <w:rPr>
                <w:rFonts w:ascii="宋体" w:hAnsi="宋体" w:cs="宋体" w:eastAsia="宋体" w:hint="default"/>
                <w:spacing w:val="-5"/>
                <w:sz w:val="18"/>
                <w:szCs w:val="18"/>
              </w:rPr>
              <w:t>响，方欣科技部分项目收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入未能在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年内实 现，收入确认延后。</w:t>
            </w:r>
          </w:p>
        </w:tc>
        <w:tc>
          <w:tcPr>
            <w:tcW w:w="70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5" w:lineRule="exact" w:before="1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8" w:lineRule="auto"/>
              <w:ind w:left="22" w:right="62"/>
              <w:jc w:val="both"/>
              <w:rPr>
                <w:rFonts w:ascii="Times New Roman" w:hAnsi="Times New Roman" w:cs="Times New Roman" w:eastAsia="Times New Roman" w:hint="default"/>
                <w:sz w:val="18"/>
                <w:szCs w:val="18"/>
              </w:rPr>
            </w:pPr>
            <w:hyperlink r:id="rId15">
              <w:r>
                <w:rPr>
                  <w:rFonts w:ascii="Times New Roman"/>
                  <w:sz w:val="18"/>
                </w:rPr>
                <w:t>http://www.cninfo.com.cn/new/disclosur</w:t>
              </w:r>
            </w:hyperlink>
            <w:r>
              <w:rPr>
                <w:rFonts w:ascii="Times New Roman"/>
                <w:w w:val="99"/>
                <w:sz w:val="18"/>
              </w:rPr>
              <w:t> </w:t>
            </w:r>
            <w:r>
              <w:rPr>
                <w:rFonts w:ascii="Times New Roman"/>
                <w:sz w:val="18"/>
              </w:rPr>
              <w:t>e/detail?plate=&amp;orgId=9900016747&amp;sto</w:t>
            </w:r>
            <w:r>
              <w:rPr>
                <w:rFonts w:ascii="Times New Roman"/>
                <w:sz w:val="18"/>
              </w:rPr>
              <w:t> ckCode=002530&amp;announcementId=120 </w:t>
            </w:r>
            <w:r>
              <w:rPr>
                <w:rFonts w:ascii="Times New Roman"/>
                <w:spacing w:val="-1"/>
                <w:sz w:val="18"/>
              </w:rPr>
              <w:t>2833639&amp;announcementTime=2016-11-</w:t>
            </w:r>
            <w:r>
              <w:rPr>
                <w:rFonts w:ascii="Times New Roman"/>
                <w:spacing w:val="-30"/>
                <w:sz w:val="18"/>
              </w:rPr>
              <w:t> </w:t>
            </w:r>
            <w:r>
              <w:rPr>
                <w:rFonts w:ascii="Times New Roman"/>
                <w:spacing w:val="-30"/>
                <w:sz w:val="18"/>
              </w:rPr>
            </w:r>
            <w:r>
              <w:rPr>
                <w:rFonts w:ascii="Times New Roman"/>
                <w:sz w:val="18"/>
              </w:rPr>
              <w:t>18</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公司股东、交易对手方在报告年度经营业绩做出的承诺情况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74" w:right="1122" w:firstLine="360"/>
        <w:jc w:val="left"/>
      </w:pPr>
      <w:r>
        <w:rPr>
          <w:spacing w:val="-3"/>
        </w:rPr>
        <w:t>徐正军、王金根、曹锋、邓国庭作为业绩承诺人，承诺方欣科技</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年度经审计的合并报表口 径下的归属于母公司股东的净利润（以扣除非经常性损益前后孰低者为准）分别不低于</w:t>
      </w:r>
      <w:r>
        <w:rPr>
          <w:spacing w:val="-45"/>
        </w:rPr>
        <w:t> </w:t>
      </w:r>
      <w:r>
        <w:rPr>
          <w:rFonts w:ascii="Times New Roman" w:hAnsi="Times New Roman" w:cs="Times New Roman" w:eastAsia="Times New Roman" w:hint="default"/>
        </w:rPr>
        <w:t>12,000 </w:t>
      </w:r>
      <w:r>
        <w:rPr/>
        <w:t>万元、</w:t>
      </w:r>
      <w:r>
        <w:rPr>
          <w:rFonts w:ascii="Times New Roman" w:hAnsi="Times New Roman" w:cs="Times New Roman" w:eastAsia="Times New Roman" w:hint="default"/>
        </w:rPr>
        <w:t>16,800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23,500 </w:t>
      </w:r>
      <w:r>
        <w:rPr>
          <w:spacing w:val="-2"/>
        </w:rPr>
        <w:t>万元。若方欣科技于业绩承诺期内实现的实际净利润未达到承诺净利润，则补偿义务人应向上市公司足额补偿，具体为首先</w:t>
      </w:r>
    </w:p>
    <w:p>
      <w:pPr>
        <w:spacing w:after="0" w:line="300"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0"/>
        <w:jc w:val="left"/>
      </w:pPr>
      <w:r>
        <w:rPr>
          <w:spacing w:val="-2"/>
        </w:rPr>
        <w:t>补偿义务人以其在本次交易中取得的上市公司股份进行补偿，若补偿义务人在本次交易中取得的上市公司股份不足以补偿上</w:t>
      </w:r>
      <w:r>
        <w:rPr>
          <w:spacing w:val="-64"/>
        </w:rPr>
        <w:t> </w:t>
      </w:r>
      <w:r>
        <w:rPr>
          <w:spacing w:val="-64"/>
        </w:rPr>
      </w:r>
      <w:r>
        <w:rPr/>
        <w:t>市公司的，则该差额部分由补偿义务人以现金方式进行补偿。</w:t>
      </w:r>
    </w:p>
    <w:p>
      <w:pPr>
        <w:pStyle w:val="BodyText"/>
        <w:spacing w:line="240" w:lineRule="auto" w:before="55"/>
        <w:ind w:right="0"/>
        <w:jc w:val="left"/>
      </w:pPr>
      <w:r>
        <w:rPr/>
        <w:t>方欣科技</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年度实现合并净利润为</w:t>
      </w:r>
      <w:r>
        <w:rPr>
          <w:spacing w:val="-49"/>
        </w:rPr>
        <w:t> </w:t>
      </w:r>
      <w:r>
        <w:rPr>
          <w:rFonts w:ascii="Times New Roman" w:hAnsi="Times New Roman" w:cs="Times New Roman" w:eastAsia="Times New Roman" w:hint="default"/>
        </w:rPr>
        <w:t>25,673.32</w:t>
      </w:r>
      <w:r>
        <w:rPr>
          <w:rFonts w:ascii="Times New Roman" w:hAnsi="Times New Roman" w:cs="Times New Roman" w:eastAsia="Times New Roman" w:hint="default"/>
          <w:spacing w:val="-3"/>
        </w:rPr>
        <w:t> </w:t>
      </w:r>
      <w:r>
        <w:rPr/>
        <w:t>万元，其中归属于母公司所有者的净利润为</w:t>
      </w:r>
      <w:r>
        <w:rPr>
          <w:spacing w:val="-49"/>
        </w:rPr>
        <w:t> </w:t>
      </w:r>
      <w:r>
        <w:rPr>
          <w:rFonts w:ascii="Times New Roman" w:hAnsi="Times New Roman" w:cs="Times New Roman" w:eastAsia="Times New Roman" w:hint="default"/>
        </w:rPr>
        <w:t>24,559.16</w:t>
      </w:r>
      <w:r>
        <w:rPr>
          <w:rFonts w:ascii="Times New Roman" w:hAnsi="Times New Roman" w:cs="Times New Roman" w:eastAsia="Times New Roman" w:hint="default"/>
          <w:spacing w:val="-4"/>
        </w:rPr>
        <w:t> </w:t>
      </w:r>
      <w:r>
        <w:rPr>
          <w:spacing w:val="-3"/>
        </w:rPr>
        <w:t>万元，</w:t>
      </w:r>
      <w:r>
        <w:rPr>
          <w:rFonts w:ascii="Times New Roman" w:hAnsi="Times New Roman" w:cs="Times New Roman" w:eastAsia="Times New Roman" w:hint="default"/>
          <w:spacing w:val="-3"/>
        </w:rPr>
        <w:t>2018 </w:t>
      </w:r>
      <w:r>
        <w:rPr/>
        <w:t>年度</w:t>
      </w:r>
    </w:p>
    <w:p>
      <w:pPr>
        <w:pStyle w:val="BodyText"/>
        <w:spacing w:line="240" w:lineRule="auto" w:before="63"/>
        <w:ind w:left="174" w:right="0"/>
        <w:jc w:val="left"/>
      </w:pPr>
      <w:r>
        <w:rPr/>
        <w:t>归属于母公司的非经常性损益为</w:t>
      </w:r>
      <w:r>
        <w:rPr>
          <w:spacing w:val="-46"/>
        </w:rPr>
        <w:t> </w:t>
      </w:r>
      <w:r>
        <w:rPr>
          <w:rFonts w:ascii="Times New Roman" w:hAnsi="Times New Roman" w:cs="Times New Roman" w:eastAsia="Times New Roman" w:hint="default"/>
        </w:rPr>
        <w:t>592.83</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年度募集资金占用利息及存放利息为</w:t>
      </w:r>
      <w:r>
        <w:rPr>
          <w:spacing w:val="-46"/>
        </w:rPr>
        <w:t> </w:t>
      </w:r>
      <w:r>
        <w:rPr>
          <w:rFonts w:ascii="Times New Roman" w:hAnsi="Times New Roman" w:cs="Times New Roman" w:eastAsia="Times New Roman" w:hint="default"/>
        </w:rPr>
        <w:t>2,027.48 </w:t>
      </w:r>
      <w:r>
        <w:rPr/>
        <w:t>万元。扣除非经常性损益</w:t>
      </w:r>
    </w:p>
    <w:p>
      <w:pPr>
        <w:pStyle w:val="BodyText"/>
        <w:spacing w:line="240" w:lineRule="auto" w:before="64"/>
        <w:ind w:left="174" w:right="0"/>
        <w:jc w:val="left"/>
      </w:pPr>
      <w:r>
        <w:rPr/>
        <w:t>及资金占用利息后的归属于母公司所有者的净利润为</w:t>
      </w:r>
      <w:r>
        <w:rPr>
          <w:spacing w:val="-45"/>
        </w:rPr>
        <w:t> </w:t>
      </w:r>
      <w:r>
        <w:rPr>
          <w:rFonts w:ascii="Times New Roman" w:hAnsi="Times New Roman" w:cs="Times New Roman" w:eastAsia="Times New Roman" w:hint="default"/>
        </w:rPr>
        <w:t>21,938.85</w:t>
      </w:r>
      <w:r>
        <w:rPr>
          <w:rFonts w:ascii="Times New Roman" w:hAnsi="Times New Roman" w:cs="Times New Roman" w:eastAsia="Times New Roman" w:hint="default"/>
          <w:spacing w:val="-1"/>
        </w:rPr>
        <w:t> </w:t>
      </w:r>
      <w:r>
        <w:rPr/>
        <w:t>万元，完成</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年度业绩承诺的</w:t>
      </w:r>
      <w:r>
        <w:rPr>
          <w:spacing w:val="-46"/>
        </w:rPr>
        <w:t> </w:t>
      </w:r>
      <w:r>
        <w:rPr>
          <w:rFonts w:ascii="Times New Roman" w:hAnsi="Times New Roman" w:cs="Times New Roman" w:eastAsia="Times New Roman" w:hint="default"/>
        </w:rPr>
        <w:t>93.36%</w:t>
      </w:r>
      <w:r>
        <w:rPr/>
        <w:t>。</w:t>
      </w:r>
    </w:p>
    <w:p>
      <w:pPr>
        <w:pStyle w:val="BodyText"/>
        <w:spacing w:line="300" w:lineRule="auto" w:before="102"/>
        <w:ind w:left="174" w:right="1132" w:firstLine="360"/>
        <w:jc w:val="both"/>
      </w:pPr>
      <w:r>
        <w:rPr/>
        <w:t>公司第四届董事会第二十四次会议审议通过了《关于重大资产重组标的公司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年度业绩承诺实现情况及相关补偿义 </w:t>
      </w:r>
      <w:r>
        <w:rPr>
          <w:spacing w:val="-5"/>
        </w:rPr>
        <w:t>务人拟对公司进行业绩补偿的议案》，方欣科技</w:t>
      </w:r>
      <w:r>
        <w:rPr>
          <w:spacing w:val="-44"/>
        </w:rPr>
        <w:t> </w:t>
      </w:r>
      <w:r>
        <w:rPr>
          <w:rFonts w:ascii="Times New Roman" w:hAnsi="Times New Roman" w:cs="Times New Roman" w:eastAsia="Times New Roman" w:hint="default"/>
        </w:rPr>
        <w:t>2016~2018</w:t>
      </w:r>
      <w:r>
        <w:rPr>
          <w:rFonts w:ascii="Times New Roman" w:hAnsi="Times New Roman" w:cs="Times New Roman" w:eastAsia="Times New Roman" w:hint="default"/>
          <w:spacing w:val="1"/>
        </w:rPr>
        <w:t> </w:t>
      </w:r>
      <w:r>
        <w:rPr/>
        <w:t>年度实际完成业绩</w:t>
      </w:r>
      <w:r>
        <w:rPr>
          <w:spacing w:val="-44"/>
        </w:rPr>
        <w:t> </w:t>
      </w:r>
      <w:r>
        <w:rPr>
          <w:rFonts w:ascii="Times New Roman" w:hAnsi="Times New Roman" w:cs="Times New Roman" w:eastAsia="Times New Roman" w:hint="default"/>
        </w:rPr>
        <w:t>50,980.82</w:t>
      </w:r>
      <w:r>
        <w:rPr>
          <w:rFonts w:ascii="Times New Roman" w:hAnsi="Times New Roman" w:cs="Times New Roman" w:eastAsia="Times New Roman" w:hint="default"/>
          <w:spacing w:val="1"/>
        </w:rPr>
        <w:t> </w:t>
      </w:r>
      <w:r>
        <w:rPr/>
        <w:t>万元，较承诺业绩</w:t>
      </w:r>
      <w:r>
        <w:rPr>
          <w:spacing w:val="-44"/>
        </w:rPr>
        <w:t> </w:t>
      </w:r>
      <w:r>
        <w:rPr>
          <w:rFonts w:ascii="Times New Roman" w:hAnsi="Times New Roman" w:cs="Times New Roman" w:eastAsia="Times New Roman" w:hint="default"/>
        </w:rPr>
        <w:t>52,300</w:t>
      </w:r>
      <w:r>
        <w:rPr>
          <w:rFonts w:ascii="Times New Roman" w:hAnsi="Times New Roman" w:cs="Times New Roman" w:eastAsia="Times New Roman" w:hint="default"/>
          <w:spacing w:val="1"/>
        </w:rPr>
        <w:t> </w:t>
      </w:r>
      <w:r>
        <w:rPr/>
        <w:t>万元差额</w:t>
      </w:r>
      <w:r>
        <w:rPr>
          <w:spacing w:val="-88"/>
        </w:rPr>
        <w:t> </w:t>
      </w:r>
      <w:r>
        <w:rPr/>
        <w:t>为</w:t>
      </w:r>
      <w:r>
        <w:rPr>
          <w:rFonts w:ascii="Times New Roman" w:hAnsi="Times New Roman" w:cs="Times New Roman" w:eastAsia="Times New Roman" w:hint="default"/>
        </w:rPr>
        <w:t>-1,319.18</w:t>
      </w:r>
      <w:r>
        <w:rPr>
          <w:rFonts w:ascii="Times New Roman" w:hAnsi="Times New Roman" w:cs="Times New Roman" w:eastAsia="Times New Roman" w:hint="default"/>
          <w:spacing w:val="14"/>
        </w:rPr>
        <w:t> </w:t>
      </w:r>
      <w:r>
        <w:rPr>
          <w:spacing w:val="-2"/>
        </w:rPr>
        <w:t>万元，完成率为</w:t>
      </w:r>
      <w:r>
        <w:rPr>
          <w:spacing w:val="-33"/>
        </w:rPr>
        <w:t> </w:t>
      </w:r>
      <w:r>
        <w:rPr>
          <w:rFonts w:ascii="Times New Roman" w:hAnsi="Times New Roman" w:cs="Times New Roman" w:eastAsia="Times New Roman" w:hint="default"/>
          <w:spacing w:val="-4"/>
        </w:rPr>
        <w:t>97.48%</w:t>
      </w:r>
      <w:r>
        <w:rPr>
          <w:spacing w:val="-4"/>
        </w:rPr>
        <w:t>。根据《业绩补偿协议》及《业绩补偿协议之补充协议》，补偿义务人合计需补偿金额为</w:t>
      </w:r>
      <w:r>
        <w:rPr>
          <w:spacing w:val="-87"/>
        </w:rPr>
        <w:t> </w:t>
      </w:r>
      <w:r>
        <w:rPr>
          <w:spacing w:val="-87"/>
        </w:rPr>
      </w:r>
      <w:r>
        <w:rPr>
          <w:rFonts w:ascii="Times New Roman" w:hAnsi="Times New Roman" w:cs="Times New Roman" w:eastAsia="Times New Roman" w:hint="default"/>
        </w:rPr>
        <w:t>4,540.2517</w:t>
      </w:r>
      <w:r>
        <w:rPr>
          <w:rFonts w:ascii="Times New Roman" w:hAnsi="Times New Roman" w:cs="Times New Roman" w:eastAsia="Times New Roman" w:hint="default"/>
          <w:spacing w:val="-2"/>
        </w:rPr>
        <w:t> </w:t>
      </w:r>
      <w:r>
        <w:rPr/>
        <w:t>万元，补偿义务人各自需补偿的股份及现金如下：</w:t>
      </w:r>
    </w:p>
    <w:p>
      <w:pPr>
        <w:spacing w:line="240" w:lineRule="auto" w:before="2"/>
        <w:rPr>
          <w:rFonts w:ascii="宋体" w:hAnsi="宋体" w:cs="宋体" w:eastAsia="宋体" w:hint="default"/>
          <w:sz w:val="3"/>
          <w:szCs w:val="3"/>
        </w:rPr>
      </w:pPr>
    </w:p>
    <w:tbl>
      <w:tblPr>
        <w:tblW w:w="0" w:type="auto"/>
        <w:jc w:val="left"/>
        <w:tblInd w:w="214" w:type="dxa"/>
        <w:tblLayout w:type="fixed"/>
        <w:tblCellMar>
          <w:top w:w="0" w:type="dxa"/>
          <w:left w:w="0" w:type="dxa"/>
          <w:bottom w:w="0" w:type="dxa"/>
          <w:right w:w="0" w:type="dxa"/>
        </w:tblCellMar>
        <w:tblLook w:val="01E0"/>
      </w:tblPr>
      <w:tblGrid>
        <w:gridCol w:w="932"/>
        <w:gridCol w:w="1723"/>
        <w:gridCol w:w="1724"/>
        <w:gridCol w:w="1723"/>
        <w:gridCol w:w="1724"/>
        <w:gridCol w:w="1722"/>
      </w:tblGrid>
      <w:tr>
        <w:trPr>
          <w:trHeight w:val="330" w:hRule="exact"/>
        </w:trPr>
        <w:tc>
          <w:tcPr>
            <w:tcW w:w="93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2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补偿义务人</w:t>
            </w:r>
          </w:p>
        </w:tc>
        <w:tc>
          <w:tcPr>
            <w:tcW w:w="172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需补偿股份数量</w:t>
            </w:r>
          </w:p>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16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需补偿现金（元）</w:t>
            </w:r>
          </w:p>
        </w:tc>
      </w:tr>
      <w:tr>
        <w:trPr>
          <w:trHeight w:val="490" w:hRule="exact"/>
        </w:trPr>
        <w:tc>
          <w:tcPr>
            <w:tcW w:w="932" w:type="dxa"/>
            <w:vMerge/>
            <w:tcBorders>
              <w:left w:val="single" w:sz="4" w:space="0" w:color="000000"/>
              <w:bottom w:val="single" w:sz="4" w:space="0" w:color="000000"/>
              <w:right w:val="single" w:sz="4" w:space="0" w:color="000000"/>
            </w:tcBorders>
            <w:shd w:val="clear" w:color="auto" w:fill="D9D9D9"/>
          </w:tcPr>
          <w:p>
            <w:pPr/>
          </w:p>
        </w:tc>
        <w:tc>
          <w:tcPr>
            <w:tcW w:w="1723" w:type="dxa"/>
            <w:vMerge/>
            <w:tcBorders>
              <w:left w:val="single" w:sz="4" w:space="0" w:color="000000"/>
              <w:bottom w:val="single" w:sz="4" w:space="0" w:color="000000"/>
              <w:right w:val="single" w:sz="4" w:space="0" w:color="000000"/>
            </w:tcBorders>
            <w:shd w:val="clear" w:color="auto" w:fill="D9D9D9"/>
          </w:tcPr>
          <w:p>
            <w:pPr/>
          </w:p>
        </w:tc>
        <w:tc>
          <w:tcPr>
            <w:tcW w:w="1724" w:type="dxa"/>
            <w:vMerge/>
            <w:tcBorders>
              <w:left w:val="single" w:sz="4" w:space="0" w:color="000000"/>
              <w:bottom w:val="single" w:sz="4" w:space="0" w:color="000000"/>
              <w:right w:val="single" w:sz="4" w:space="0" w:color="000000"/>
            </w:tcBorders>
            <w:shd w:val="clear" w:color="auto" w:fill="D9D9D9"/>
          </w:tcPr>
          <w:p>
            <w:pPr/>
          </w:p>
        </w:tc>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496" w:right="407" w:hanging="90"/>
              <w:jc w:val="left"/>
              <w:rPr>
                <w:rFonts w:ascii="宋体" w:hAnsi="宋体" w:cs="宋体" w:eastAsia="宋体" w:hint="default"/>
                <w:sz w:val="18"/>
                <w:szCs w:val="18"/>
              </w:rPr>
            </w:pPr>
            <w:r>
              <w:rPr>
                <w:rFonts w:ascii="宋体" w:hAnsi="宋体" w:cs="宋体" w:eastAsia="宋体" w:hint="default"/>
                <w:sz w:val="18"/>
                <w:szCs w:val="18"/>
              </w:rPr>
              <w:t>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 剩余对价</w:t>
            </w:r>
          </w:p>
        </w:tc>
        <w:tc>
          <w:tcPr>
            <w:tcW w:w="17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406" w:right="225" w:hanging="180"/>
              <w:jc w:val="left"/>
              <w:rPr>
                <w:rFonts w:ascii="宋体" w:hAnsi="宋体" w:cs="宋体" w:eastAsia="宋体" w:hint="default"/>
                <w:sz w:val="18"/>
                <w:szCs w:val="18"/>
              </w:rPr>
            </w:pPr>
            <w:r>
              <w:rPr>
                <w:rFonts w:ascii="宋体" w:hAnsi="宋体" w:cs="宋体" w:eastAsia="宋体" w:hint="default"/>
                <w:sz w:val="18"/>
                <w:szCs w:val="18"/>
              </w:rPr>
              <w:t>应补偿股份对应 的现金股利</w:t>
            </w:r>
          </w:p>
        </w:tc>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15" w:right="0"/>
              <w:jc w:val="left"/>
              <w:rPr>
                <w:rFonts w:ascii="宋体" w:hAnsi="宋体" w:cs="宋体" w:eastAsia="宋体" w:hint="default"/>
                <w:sz w:val="18"/>
                <w:szCs w:val="18"/>
              </w:rPr>
            </w:pPr>
            <w:r>
              <w:rPr>
                <w:rFonts w:ascii="宋体" w:hAnsi="宋体" w:cs="宋体" w:eastAsia="宋体" w:hint="default"/>
                <w:sz w:val="18"/>
                <w:szCs w:val="18"/>
              </w:rPr>
              <w:t>现金补偿小计</w:t>
            </w:r>
          </w:p>
        </w:tc>
      </w:tr>
      <w:tr>
        <w:trPr>
          <w:trHeight w:val="330"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4"/>
              <w:jc w:val="right"/>
              <w:rPr>
                <w:rFonts w:ascii="宋体" w:hAnsi="宋体" w:cs="宋体" w:eastAsia="宋体" w:hint="default"/>
                <w:sz w:val="18"/>
                <w:szCs w:val="18"/>
              </w:rPr>
            </w:pPr>
            <w:r>
              <w:rPr>
                <w:rFonts w:ascii="宋体" w:hAnsi="宋体" w:cs="宋体" w:eastAsia="宋体" w:hint="default"/>
                <w:sz w:val="18"/>
                <w:szCs w:val="18"/>
              </w:rPr>
              <w:t>徐正军</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4,384,393</w:t>
            </w:r>
            <w:r>
              <w:rPr>
                <w:rFonts w:ascii="Times New Roman"/>
                <w:sz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3.38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137,012.28</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137,015.66</w:t>
            </w:r>
            <w:r>
              <w:rPr>
                <w:rFonts w:ascii="Times New Roman"/>
                <w:sz w:val="18"/>
              </w:rPr>
            </w:r>
          </w:p>
        </w:tc>
      </w:tr>
      <w:tr>
        <w:trPr>
          <w:trHeight w:val="330"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4"/>
              <w:jc w:val="right"/>
              <w:rPr>
                <w:rFonts w:ascii="宋体" w:hAnsi="宋体" w:cs="宋体" w:eastAsia="宋体" w:hint="default"/>
                <w:sz w:val="18"/>
                <w:szCs w:val="18"/>
              </w:rPr>
            </w:pPr>
            <w:r>
              <w:rPr>
                <w:rFonts w:ascii="宋体" w:hAnsi="宋体" w:cs="宋体" w:eastAsia="宋体" w:hint="default"/>
                <w:sz w:val="18"/>
                <w:szCs w:val="18"/>
              </w:rPr>
              <w:t>王金根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1,375,026</w:t>
            </w:r>
            <w:r>
              <w:rPr>
                <w:rFonts w:ascii="Times New Roman"/>
                <w:sz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2.08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42,969.56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42,971.64</w:t>
            </w:r>
            <w:r>
              <w:rPr>
                <w:rFonts w:ascii="Times New Roman"/>
                <w:sz w:val="18"/>
              </w:rPr>
            </w:r>
          </w:p>
        </w:tc>
      </w:tr>
      <w:tr>
        <w:trPr>
          <w:trHeight w:val="330"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4"/>
              <w:jc w:val="right"/>
              <w:rPr>
                <w:rFonts w:ascii="宋体" w:hAnsi="宋体" w:cs="宋体" w:eastAsia="宋体" w:hint="default"/>
                <w:sz w:val="18"/>
                <w:szCs w:val="18"/>
              </w:rPr>
            </w:pPr>
            <w:r>
              <w:rPr>
                <w:rFonts w:ascii="宋体" w:hAnsi="宋体" w:cs="宋体" w:eastAsia="宋体" w:hint="default"/>
                <w:sz w:val="18"/>
                <w:szCs w:val="18"/>
              </w:rPr>
              <w:t>曹  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152,714</w:t>
            </w:r>
            <w:r>
              <w:rPr>
                <w:rFonts w:ascii="Times New Roman"/>
                <w:sz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1.18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4,772.31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4,773.49</w:t>
            </w:r>
            <w:r>
              <w:rPr>
                <w:rFonts w:ascii="Times New Roman"/>
                <w:sz w:val="18"/>
              </w:rPr>
            </w:r>
          </w:p>
        </w:tc>
      </w:tr>
      <w:tr>
        <w:trPr>
          <w:trHeight w:val="330"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84"/>
              <w:jc w:val="right"/>
              <w:rPr>
                <w:rFonts w:ascii="宋体" w:hAnsi="宋体" w:cs="宋体" w:eastAsia="宋体" w:hint="default"/>
                <w:sz w:val="18"/>
                <w:szCs w:val="18"/>
              </w:rPr>
            </w:pPr>
            <w:r>
              <w:rPr>
                <w:rFonts w:ascii="宋体" w:hAnsi="宋体" w:cs="宋体" w:eastAsia="宋体" w:hint="default"/>
                <w:sz w:val="18"/>
                <w:szCs w:val="18"/>
              </w:rPr>
              <w:t>邓国庭</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76,656</w:t>
            </w:r>
            <w:r>
              <w:rPr>
                <w:rFonts w:ascii="Times New Roman"/>
                <w:sz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3.92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2,395.50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2,399.42</w:t>
            </w:r>
            <w:r>
              <w:rPr>
                <w:rFonts w:ascii="Times New Roman"/>
                <w:sz w:val="18"/>
              </w:rPr>
            </w:r>
          </w:p>
        </w:tc>
      </w:tr>
      <w:tr>
        <w:trPr>
          <w:trHeight w:val="331" w:hRule="exact"/>
        </w:trPr>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5,988,789</w:t>
            </w:r>
            <w:r>
              <w:rPr>
                <w:rFonts w:ascii="Times New Roman"/>
                <w:sz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10.56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z w:val="18"/>
              </w:rPr>
              <w:t>187,149.65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b/>
                <w:sz w:val="18"/>
              </w:rPr>
              <w:t>187,160.21</w:t>
            </w:r>
            <w:r>
              <w:rPr>
                <w:rFonts w:ascii="Times New Roman"/>
                <w:sz w:val="18"/>
              </w:rPr>
            </w:r>
          </w:p>
        </w:tc>
      </w:tr>
    </w:tbl>
    <w:p>
      <w:pPr>
        <w:spacing w:line="314" w:lineRule="auto" w:before="21"/>
        <w:ind w:left="534" w:right="1136" w:firstLine="1"/>
        <w:jc w:val="left"/>
        <w:rPr>
          <w:rFonts w:ascii="宋体" w:hAnsi="宋体" w:cs="宋体" w:eastAsia="宋体" w:hint="default"/>
          <w:sz w:val="18"/>
          <w:szCs w:val="18"/>
        </w:rPr>
      </w:pPr>
      <w:r>
        <w:rPr>
          <w:rFonts w:ascii="宋体" w:hAnsi="宋体" w:cs="宋体" w:eastAsia="宋体" w:hint="default"/>
          <w:b/>
          <w:bCs/>
          <w:sz w:val="18"/>
          <w:szCs w:val="18"/>
        </w:rPr>
        <w:t>注：上表中“需补偿股份数量”按照精确至“分”的“需补偿金额”计算。</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根据众华会计师事务所（特殊普通合伙）出具的《重大资产重组补偿期届满标的资产减值测试专项审核报告》（众会字</w:t>
      </w:r>
    </w:p>
    <w:p>
      <w:pPr>
        <w:pStyle w:val="BodyText"/>
        <w:spacing w:line="417" w:lineRule="auto" w:before="20"/>
        <w:ind w:right="3915" w:hanging="360"/>
        <w:jc w:val="left"/>
      </w:pPr>
      <w:r>
        <w:rPr/>
        <w:t>（</w:t>
      </w:r>
      <w:r>
        <w:rPr>
          <w:rFonts w:ascii="Times New Roman" w:hAnsi="Times New Roman" w:cs="Times New Roman" w:eastAsia="Times New Roman" w:hint="default"/>
        </w:rPr>
        <w:t>2019</w:t>
      </w:r>
      <w:r>
        <w:rPr/>
        <w:t>）第</w:t>
      </w:r>
      <w:r>
        <w:rPr>
          <w:spacing w:val="-45"/>
        </w:rPr>
        <w:t> </w:t>
      </w:r>
      <w:r>
        <w:rPr>
          <w:rFonts w:ascii="Times New Roman" w:hAnsi="Times New Roman" w:cs="Times New Roman" w:eastAsia="Times New Roman" w:hint="default"/>
        </w:rPr>
        <w:t>3728 </w:t>
      </w:r>
      <w:r>
        <w:rPr>
          <w:spacing w:val="-3"/>
        </w:rPr>
        <w:t>号），本次交易未触发减值补偿条件，补偿义务人无需另行进行补偿。</w:t>
      </w:r>
      <w:r>
        <w:rPr/>
        <w:t> 业绩承诺的完成情况及其对商誉减值测试的影响</w:t>
      </w:r>
    </w:p>
    <w:p>
      <w:pPr>
        <w:pStyle w:val="BodyText"/>
        <w:spacing w:line="232" w:lineRule="exact" w:before="0"/>
        <w:ind w:right="0"/>
        <w:jc w:val="left"/>
      </w:pPr>
      <w:r>
        <w:rPr/>
        <w:t>方欣科技</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年度实现合并净利润为</w:t>
      </w:r>
      <w:r>
        <w:rPr>
          <w:spacing w:val="-49"/>
        </w:rPr>
        <w:t> </w:t>
      </w:r>
      <w:r>
        <w:rPr>
          <w:rFonts w:ascii="Times New Roman" w:hAnsi="Times New Roman" w:cs="Times New Roman" w:eastAsia="Times New Roman" w:hint="default"/>
        </w:rPr>
        <w:t>25,673.32</w:t>
      </w:r>
      <w:r>
        <w:rPr>
          <w:rFonts w:ascii="Times New Roman" w:hAnsi="Times New Roman" w:cs="Times New Roman" w:eastAsia="Times New Roman" w:hint="default"/>
          <w:spacing w:val="-3"/>
        </w:rPr>
        <w:t> </w:t>
      </w:r>
      <w:r>
        <w:rPr/>
        <w:t>万元，其中归属于母公司所有者的净利润为</w:t>
      </w:r>
      <w:r>
        <w:rPr>
          <w:spacing w:val="-49"/>
        </w:rPr>
        <w:t> </w:t>
      </w:r>
      <w:r>
        <w:rPr>
          <w:rFonts w:ascii="Times New Roman" w:hAnsi="Times New Roman" w:cs="Times New Roman" w:eastAsia="Times New Roman" w:hint="default"/>
        </w:rPr>
        <w:t>24,559.16</w:t>
      </w:r>
      <w:r>
        <w:rPr>
          <w:rFonts w:ascii="Times New Roman" w:hAnsi="Times New Roman" w:cs="Times New Roman" w:eastAsia="Times New Roman" w:hint="default"/>
          <w:spacing w:val="-4"/>
        </w:rPr>
        <w:t> </w:t>
      </w:r>
      <w:r>
        <w:rPr>
          <w:spacing w:val="-3"/>
        </w:rPr>
        <w:t>万元，</w:t>
      </w:r>
      <w:r>
        <w:rPr>
          <w:rFonts w:ascii="Times New Roman" w:hAnsi="Times New Roman" w:cs="Times New Roman" w:eastAsia="Times New Roman" w:hint="default"/>
          <w:spacing w:val="-3"/>
        </w:rPr>
        <w:t>2018 </w:t>
      </w:r>
      <w:r>
        <w:rPr/>
        <w:t>年度</w:t>
      </w:r>
    </w:p>
    <w:p>
      <w:pPr>
        <w:pStyle w:val="BodyText"/>
        <w:spacing w:line="240" w:lineRule="auto" w:before="63"/>
        <w:ind w:left="174" w:right="0"/>
        <w:jc w:val="left"/>
      </w:pPr>
      <w:r>
        <w:rPr/>
        <w:t>归属于母公司的非经常性损益为</w:t>
      </w:r>
      <w:r>
        <w:rPr>
          <w:spacing w:val="-46"/>
        </w:rPr>
        <w:t> </w:t>
      </w:r>
      <w:r>
        <w:rPr>
          <w:rFonts w:ascii="Times New Roman" w:hAnsi="Times New Roman" w:cs="Times New Roman" w:eastAsia="Times New Roman" w:hint="default"/>
        </w:rPr>
        <w:t>592.83</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年度募集资金占用利息及存放利息为</w:t>
      </w:r>
      <w:r>
        <w:rPr>
          <w:spacing w:val="-46"/>
        </w:rPr>
        <w:t> </w:t>
      </w:r>
      <w:r>
        <w:rPr>
          <w:rFonts w:ascii="Times New Roman" w:hAnsi="Times New Roman" w:cs="Times New Roman" w:eastAsia="Times New Roman" w:hint="default"/>
        </w:rPr>
        <w:t>2,027.48 </w:t>
      </w:r>
      <w:r>
        <w:rPr/>
        <w:t>万元。扣除非经常性损益</w:t>
      </w:r>
    </w:p>
    <w:p>
      <w:pPr>
        <w:pStyle w:val="BodyText"/>
        <w:spacing w:line="240" w:lineRule="auto" w:before="63"/>
        <w:ind w:left="174" w:right="0"/>
        <w:jc w:val="left"/>
      </w:pPr>
      <w:r>
        <w:rPr/>
        <w:t>及资金占用利息后的归属于母公司所有者的净利润为</w:t>
      </w:r>
      <w:r>
        <w:rPr>
          <w:spacing w:val="-45"/>
        </w:rPr>
        <w:t> </w:t>
      </w:r>
      <w:r>
        <w:rPr>
          <w:rFonts w:ascii="Times New Roman" w:hAnsi="Times New Roman" w:cs="Times New Roman" w:eastAsia="Times New Roman" w:hint="default"/>
        </w:rPr>
        <w:t>21,938.85</w:t>
      </w:r>
      <w:r>
        <w:rPr>
          <w:rFonts w:ascii="Times New Roman" w:hAnsi="Times New Roman" w:cs="Times New Roman" w:eastAsia="Times New Roman" w:hint="default"/>
          <w:spacing w:val="-1"/>
        </w:rPr>
        <w:t> </w:t>
      </w:r>
      <w:r>
        <w:rPr/>
        <w:t>万元，完成</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年度业绩承诺的</w:t>
      </w:r>
      <w:r>
        <w:rPr>
          <w:spacing w:val="-46"/>
        </w:rPr>
        <w:t> </w:t>
      </w:r>
      <w:r>
        <w:rPr>
          <w:rFonts w:ascii="Times New Roman" w:hAnsi="Times New Roman" w:cs="Times New Roman" w:eastAsia="Times New Roman" w:hint="default"/>
        </w:rPr>
        <w:t>93.36%</w:t>
      </w:r>
      <w:r>
        <w:rPr/>
        <w:t>。上述业绩承诺实</w:t>
      </w:r>
    </w:p>
    <w:p>
      <w:pPr>
        <w:pStyle w:val="BodyText"/>
        <w:spacing w:line="302" w:lineRule="auto" w:before="63"/>
        <w:ind w:left="174" w:right="1124"/>
        <w:jc w:val="left"/>
      </w:pPr>
      <w:r>
        <w:rPr/>
        <w:t>现结果已经众华会计师事务所（特殊普通合伙）审计，并于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日出具众会字（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3776</w:t>
      </w:r>
      <w:r>
        <w:rPr>
          <w:rFonts w:ascii="Times New Roman" w:hAnsi="Times New Roman" w:cs="Times New Roman" w:eastAsia="Times New Roman" w:hint="default"/>
          <w:spacing w:val="-7"/>
        </w:rPr>
        <w:t> </w:t>
      </w:r>
      <w:r>
        <w:rPr/>
        <w:t>号标准无保留意见的 审计报告。</w:t>
      </w:r>
    </w:p>
    <w:p>
      <w:pPr>
        <w:pStyle w:val="BodyText"/>
        <w:spacing w:line="302" w:lineRule="auto" w:before="68"/>
        <w:ind w:left="174" w:right="1036" w:firstLine="360"/>
        <w:jc w:val="left"/>
      </w:pPr>
      <w:r>
        <w:rPr/>
        <w:t>方欣科技</w:t>
      </w:r>
      <w:r>
        <w:rPr>
          <w:spacing w:val="-47"/>
        </w:rPr>
        <w:t> </w:t>
      </w:r>
      <w:r>
        <w:rPr>
          <w:rFonts w:ascii="Times New Roman" w:hAnsi="Times New Roman" w:cs="Times New Roman" w:eastAsia="Times New Roman" w:hint="default"/>
        </w:rPr>
        <w:t>2016~2018</w:t>
      </w:r>
      <w:r>
        <w:rPr>
          <w:rFonts w:ascii="Times New Roman" w:hAnsi="Times New Roman" w:cs="Times New Roman" w:eastAsia="Times New Roman" w:hint="default"/>
          <w:spacing w:val="-3"/>
        </w:rPr>
        <w:t> </w:t>
      </w:r>
      <w:r>
        <w:rPr/>
        <w:t>年度实际完成业绩</w:t>
      </w:r>
      <w:r>
        <w:rPr>
          <w:spacing w:val="-48"/>
        </w:rPr>
        <w:t> </w:t>
      </w:r>
      <w:r>
        <w:rPr>
          <w:rFonts w:ascii="Times New Roman" w:hAnsi="Times New Roman" w:cs="Times New Roman" w:eastAsia="Times New Roman" w:hint="default"/>
        </w:rPr>
        <w:t>50,980.82</w:t>
      </w:r>
      <w:r>
        <w:rPr>
          <w:rFonts w:ascii="Times New Roman" w:hAnsi="Times New Roman" w:cs="Times New Roman" w:eastAsia="Times New Roman" w:hint="default"/>
          <w:spacing w:val="-2"/>
        </w:rPr>
        <w:t> </w:t>
      </w:r>
      <w:r>
        <w:rPr>
          <w:spacing w:val="-12"/>
        </w:rPr>
        <w:t>万元，较承诺业绩</w:t>
      </w:r>
      <w:r>
        <w:rPr>
          <w:spacing w:val="-48"/>
        </w:rPr>
        <w:t> </w:t>
      </w:r>
      <w:r>
        <w:rPr>
          <w:rFonts w:ascii="Times New Roman" w:hAnsi="Times New Roman" w:cs="Times New Roman" w:eastAsia="Times New Roman" w:hint="default"/>
        </w:rPr>
        <w:t>52,300</w:t>
      </w:r>
      <w:r>
        <w:rPr>
          <w:rFonts w:ascii="Times New Roman" w:hAnsi="Times New Roman" w:cs="Times New Roman" w:eastAsia="Times New Roman" w:hint="default"/>
          <w:spacing w:val="-2"/>
        </w:rPr>
        <w:t> </w:t>
      </w:r>
      <w:r>
        <w:rPr>
          <w:spacing w:val="-1"/>
        </w:rPr>
        <w:t>万元差额为</w:t>
      </w:r>
      <w:r>
        <w:rPr>
          <w:rFonts w:ascii="Times New Roman" w:hAnsi="Times New Roman" w:cs="Times New Roman" w:eastAsia="Times New Roman" w:hint="default"/>
          <w:spacing w:val="-1"/>
        </w:rPr>
        <w:t>-1,319.18</w:t>
      </w:r>
      <w:r>
        <w:rPr>
          <w:rFonts w:ascii="Times New Roman" w:hAnsi="Times New Roman" w:cs="Times New Roman" w:eastAsia="Times New Roman" w:hint="default"/>
          <w:spacing w:val="-2"/>
        </w:rPr>
        <w:t> </w:t>
      </w:r>
      <w:r>
        <w:rPr>
          <w:spacing w:val="-13"/>
        </w:rPr>
        <w:t>万元，完成率为</w:t>
      </w:r>
      <w:r>
        <w:rPr>
          <w:spacing w:val="-48"/>
        </w:rPr>
        <w:t> </w:t>
      </w:r>
      <w:r>
        <w:rPr>
          <w:rFonts w:ascii="Times New Roman" w:hAnsi="Times New Roman" w:cs="Times New Roman" w:eastAsia="Times New Roman" w:hint="default"/>
        </w:rPr>
        <w:t>97.48%</w:t>
      </w:r>
      <w:r>
        <w:rPr/>
        <w:t>。 具体完成情况如下表：</w:t>
      </w:r>
    </w:p>
    <w:p>
      <w:pPr>
        <w:spacing w:line="240" w:lineRule="auto" w:before="6"/>
        <w:rPr>
          <w:rFonts w:ascii="宋体" w:hAnsi="宋体" w:cs="宋体" w:eastAsia="宋体" w:hint="default"/>
          <w:sz w:val="4"/>
          <w:szCs w:val="4"/>
        </w:rPr>
      </w:pPr>
    </w:p>
    <w:tbl>
      <w:tblPr>
        <w:tblW w:w="0" w:type="auto"/>
        <w:jc w:val="left"/>
        <w:tblInd w:w="169" w:type="dxa"/>
        <w:tblLayout w:type="fixed"/>
        <w:tblCellMar>
          <w:top w:w="0" w:type="dxa"/>
          <w:left w:w="0" w:type="dxa"/>
          <w:bottom w:w="0" w:type="dxa"/>
          <w:right w:w="0" w:type="dxa"/>
        </w:tblCellMar>
        <w:tblLook w:val="01E0"/>
      </w:tblPr>
      <w:tblGrid>
        <w:gridCol w:w="2381"/>
        <w:gridCol w:w="2381"/>
        <w:gridCol w:w="2382"/>
        <w:gridCol w:w="2381"/>
      </w:tblGrid>
      <w:tr>
        <w:trPr>
          <w:trHeight w:val="370" w:hRule="exact"/>
        </w:trPr>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年度</w:t>
            </w:r>
            <w:r>
              <w:rPr>
                <w:rFonts w:ascii="宋体" w:hAnsi="宋体" w:cs="宋体" w:eastAsia="宋体" w:hint="default"/>
                <w:sz w:val="18"/>
                <w:szCs w:val="18"/>
              </w:rPr>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b/>
                <w:bCs/>
                <w:sz w:val="18"/>
                <w:szCs w:val="18"/>
              </w:rPr>
              <w:t>实现业绩（万元）</w:t>
            </w:r>
            <w:r>
              <w:rPr>
                <w:rFonts w:ascii="宋体" w:hAnsi="宋体" w:cs="宋体" w:eastAsia="宋体" w:hint="default"/>
                <w:sz w:val="18"/>
                <w:szCs w:val="18"/>
              </w:rPr>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b/>
                <w:bCs/>
                <w:sz w:val="18"/>
                <w:szCs w:val="18"/>
              </w:rPr>
              <w:t>承诺业绩（万元）</w:t>
            </w:r>
            <w:r>
              <w:rPr>
                <w:rFonts w:ascii="宋体" w:hAnsi="宋体" w:cs="宋体" w:eastAsia="宋体" w:hint="default"/>
                <w:sz w:val="18"/>
                <w:szCs w:val="18"/>
              </w:rPr>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完成率</w:t>
            </w:r>
            <w:r>
              <w:rPr>
                <w:rFonts w:ascii="宋体" w:hAnsi="宋体" w:cs="宋体" w:eastAsia="宋体" w:hint="default"/>
                <w:sz w:val="18"/>
                <w:szCs w:val="18"/>
              </w:rPr>
            </w:r>
          </w:p>
        </w:tc>
      </w:tr>
      <w:tr>
        <w:trPr>
          <w:trHeight w:val="370"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2016</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z w:val="18"/>
              </w:rPr>
              <w:t>12,127.50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sz w:val="18"/>
              </w:rPr>
              <w:t>12,000.00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101.06%</w:t>
            </w:r>
          </w:p>
        </w:tc>
      </w:tr>
      <w:tr>
        <w:trPr>
          <w:trHeight w:val="370"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2017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z w:val="18"/>
              </w:rPr>
              <w:t>16,914.47</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sz w:val="18"/>
              </w:rPr>
              <w:t>16,800.00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100.68%</w:t>
            </w:r>
          </w:p>
        </w:tc>
      </w:tr>
      <w:tr>
        <w:trPr>
          <w:trHeight w:val="37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2018</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21,938.85</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z w:val="18"/>
              </w:rPr>
              <w:t>23,500.00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93.36%</w:t>
            </w:r>
          </w:p>
        </w:tc>
      </w:tr>
      <w:tr>
        <w:trPr>
          <w:trHeight w:val="370"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b/>
                <w:sz w:val="18"/>
              </w:rPr>
              <w:t>50,980.82</w:t>
            </w:r>
            <w:r>
              <w:rPr>
                <w:rFonts w:ascii="Times New Roman"/>
                <w:sz w:val="18"/>
              </w:rPr>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b/>
                <w:sz w:val="18"/>
              </w:rPr>
              <w:t>52,300.00</w:t>
            </w:r>
            <w:r>
              <w:rPr>
                <w:rFonts w:ascii="Times New Roman"/>
                <w:sz w:val="18"/>
              </w:rPr>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b/>
                <w:sz w:val="18"/>
              </w:rPr>
              <w:t>97.48%</w:t>
            </w:r>
            <w:r>
              <w:rPr>
                <w:rFonts w:ascii="Times New Roman"/>
                <w:sz w:val="18"/>
              </w:rPr>
            </w:r>
          </w:p>
        </w:tc>
      </w:tr>
    </w:tbl>
    <w:p>
      <w:pPr>
        <w:pStyle w:val="BodyText"/>
        <w:spacing w:line="319" w:lineRule="auto" w:before="51"/>
        <w:ind w:left="174" w:right="0" w:firstLine="360"/>
        <w:jc w:val="left"/>
      </w:pPr>
      <w:r>
        <w:rPr>
          <w:spacing w:val="-2"/>
        </w:rPr>
        <w:t>公司本期对收购方欣科技产生的商誉进行减值测试，管理层根据历史经验及对市场发展的预测确定相关关键假设，结合</w:t>
      </w:r>
      <w:r>
        <w:rPr/>
        <w:t> 专业评估机构评估结果，本期计提商誉减值准备</w:t>
      </w:r>
      <w:r>
        <w:rPr>
          <w:spacing w:val="-45"/>
        </w:rPr>
        <w:t> </w:t>
      </w:r>
      <w:r>
        <w:rPr>
          <w:rFonts w:ascii="Times New Roman" w:hAnsi="Times New Roman" w:cs="Times New Roman" w:eastAsia="Times New Roman" w:hint="default"/>
        </w:rPr>
        <w:t>800.00</w:t>
      </w:r>
      <w:r>
        <w:rPr>
          <w:rFonts w:ascii="Times New Roman" w:hAnsi="Times New Roman" w:cs="Times New Roman" w:eastAsia="Times New Roman" w:hint="default"/>
          <w:spacing w:val="-1"/>
        </w:rPr>
        <w:t> </w:t>
      </w:r>
      <w:r>
        <w:rPr/>
        <w:t>万元。</w:t>
      </w:r>
    </w:p>
    <w:p>
      <w:pPr>
        <w:spacing w:line="240" w:lineRule="auto" w:before="4"/>
        <w:rPr>
          <w:rFonts w:ascii="宋体" w:hAnsi="宋体" w:cs="宋体" w:eastAsia="宋体" w:hint="default"/>
          <w:sz w:val="22"/>
          <w:szCs w:val="22"/>
        </w:rPr>
      </w:pPr>
    </w:p>
    <w:p>
      <w:pPr>
        <w:pStyle w:val="Heading2"/>
        <w:spacing w:line="240" w:lineRule="auto"/>
        <w:ind w:right="0"/>
        <w:jc w:val="left"/>
        <w:rPr>
          <w:b w:val="0"/>
          <w:bCs w:val="0"/>
        </w:rPr>
      </w:pPr>
      <w:bookmarkStart w:name="四、控股股东及其关联方对上市公司的非经营性占用资金情况" w:id="90"/>
      <w:bookmarkEnd w:id="90"/>
      <w:r>
        <w:rPr>
          <w:b w:val="0"/>
          <w:bCs w:val="0"/>
        </w:rPr>
      </w:r>
      <w:r>
        <w:rPr/>
        <w:t>四、控股股东及其关联方对上市公司的非经营性占用资金情况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before="0"/>
        <w:ind w:right="46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1910" w:h="16840"/>
          <w:pgMar w:header="551" w:footer="979" w:top="1120" w:bottom="1160" w:left="960" w:right="0"/>
        </w:sectPr>
      </w:pPr>
    </w:p>
    <w:p>
      <w:pPr>
        <w:spacing w:line="240" w:lineRule="auto" w:before="7"/>
        <w:rPr>
          <w:rFonts w:ascii="宋体" w:hAnsi="宋体" w:cs="宋体" w:eastAsia="宋体" w:hint="default"/>
          <w:sz w:val="22"/>
          <w:szCs w:val="22"/>
        </w:rPr>
      </w:pPr>
    </w:p>
    <w:p>
      <w:pPr>
        <w:pStyle w:val="Heading2"/>
        <w:spacing w:line="240" w:lineRule="auto" w:before="26"/>
        <w:ind w:right="0"/>
        <w:jc w:val="both"/>
        <w:rPr>
          <w:b w:val="0"/>
          <w:bCs w:val="0"/>
        </w:rPr>
      </w:pPr>
      <w:bookmarkStart w:name="五、董事会、监事会、独立董事（如有）对会计师事务所本报告期“非标准审计报告”的说" w:id="91"/>
      <w:bookmarkEnd w:id="9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2"/>
        <w:ind w:right="0"/>
        <w:jc w:val="both"/>
        <w:rPr>
          <w:b w:val="0"/>
          <w:bCs w:val="0"/>
        </w:rPr>
      </w:pPr>
      <w:bookmarkStart w:name="六、与上年度财务报告相比，会计政策、会计估计和核算方法发生变化的情况说明" w:id="92"/>
      <w:bookmarkEnd w:id="92"/>
      <w:r>
        <w:rPr>
          <w:b w:val="0"/>
          <w:bCs w:val="0"/>
        </w:rPr>
      </w:r>
      <w:r>
        <w:rPr/>
        <w:t>六、与上年度财务报告相比，会计政策、会计估计和核算方法发生变化的情况说明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02"/>
        <w:ind w:right="0"/>
        <w:jc w:val="left"/>
        <w:rPr>
          <w:b w:val="0"/>
          <w:bCs w:val="0"/>
        </w:rPr>
      </w:pPr>
      <w:r>
        <w:rPr>
          <w:rFonts w:ascii="Times New Roman" w:hAnsi="Times New Roman" w:cs="Times New Roman" w:eastAsia="Times New Roman" w:hint="default"/>
        </w:rPr>
        <w:t>1</w:t>
      </w:r>
      <w:r>
        <w:rPr/>
        <w:t>、变更后的会计政策</w:t>
      </w:r>
      <w:r>
        <w:rPr>
          <w:b w:val="0"/>
          <w:bCs w:val="0"/>
        </w:rPr>
      </w:r>
    </w:p>
    <w:p>
      <w:pPr>
        <w:pStyle w:val="BodyText"/>
        <w:spacing w:line="240" w:lineRule="auto" w:before="102"/>
        <w:ind w:right="0"/>
        <w:jc w:val="left"/>
      </w:pPr>
      <w:r>
        <w:rPr/>
        <w:t>（</w:t>
      </w:r>
      <w:r>
        <w:rPr>
          <w:rFonts w:ascii="Times New Roman" w:hAnsi="Times New Roman" w:cs="Times New Roman" w:eastAsia="Times New Roman" w:hint="default"/>
        </w:rPr>
        <w:t>1</w:t>
      </w:r>
      <w:r>
        <w:rPr/>
        <w:t>）本次变更后，公司将执行财政部于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年修订并发布的《企业会计准则第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t>金融工具确认和计量</w:t>
      </w:r>
      <w:r>
        <w:rPr>
          <w:spacing w:val="-90"/>
        </w:rPr>
        <w:t>》、</w:t>
      </w:r>
      <w:r>
        <w:rPr/>
        <w:t>《企业</w:t>
      </w:r>
    </w:p>
    <w:p>
      <w:pPr>
        <w:pStyle w:val="BodyText"/>
        <w:spacing w:line="300" w:lineRule="auto" w:before="63"/>
        <w:ind w:left="174" w:right="1130"/>
        <w:jc w:val="both"/>
      </w:pPr>
      <w:r>
        <w:rPr/>
        <w:t>会计准则第</w:t>
      </w:r>
      <w:r>
        <w:rPr>
          <w:spacing w:val="-42"/>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spacing w:val="-12"/>
        </w:rPr>
        <w:t>号</w:t>
      </w:r>
      <w:r>
        <w:rPr>
          <w:rFonts w:ascii="Times New Roman" w:hAnsi="Times New Roman" w:cs="Times New Roman" w:eastAsia="Times New Roman" w:hint="default"/>
          <w:spacing w:val="-12"/>
        </w:rPr>
        <w:t>—</w:t>
      </w:r>
      <w:r>
        <w:rPr>
          <w:spacing w:val="-12"/>
        </w:rPr>
        <w:t>金融资产转移》、《企业会计准则第</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套期会计》和《企业会计准则第</w:t>
      </w:r>
      <w:r>
        <w:rPr>
          <w:spacing w:val="-42"/>
        </w:rPr>
        <w:t> </w:t>
      </w:r>
      <w:r>
        <w:rPr>
          <w:rFonts w:ascii="Times New Roman" w:hAnsi="Times New Roman" w:cs="Times New Roman" w:eastAsia="Times New Roman" w:hint="default"/>
        </w:rPr>
        <w:t>37</w:t>
      </w:r>
      <w:r>
        <w:rPr>
          <w:rFonts w:ascii="Times New Roman" w:hAnsi="Times New Roman" w:cs="Times New Roman" w:eastAsia="Times New Roman" w:hint="default"/>
          <w:spacing w:val="3"/>
        </w:rPr>
        <w:t> </w:t>
      </w:r>
      <w:r>
        <w:rPr>
          <w:spacing w:val="-10"/>
        </w:rPr>
        <w:t>号</w:t>
      </w:r>
      <w:r>
        <w:rPr>
          <w:rFonts w:ascii="Times New Roman" w:hAnsi="Times New Roman" w:cs="Times New Roman" w:eastAsia="Times New Roman" w:hint="default"/>
          <w:spacing w:val="-10"/>
        </w:rPr>
        <w:t>—</w:t>
      </w:r>
      <w:r>
        <w:rPr>
          <w:spacing w:val="-10"/>
        </w:rPr>
        <w:t>金融工具列报》。其他</w:t>
      </w:r>
      <w:r>
        <w:rPr/>
        <w:t> </w:t>
      </w:r>
      <w:r>
        <w:rPr>
          <w:spacing w:val="-2"/>
        </w:rPr>
        <w:t>未变更部分，仍按照财政部前期颁布的《企业会计准则</w:t>
      </w:r>
      <w:r>
        <w:rPr>
          <w:rFonts w:ascii="Times New Roman" w:hAnsi="Times New Roman" w:cs="Times New Roman" w:eastAsia="Times New Roman" w:hint="default"/>
          <w:spacing w:val="-2"/>
        </w:rPr>
        <w:t>—</w:t>
      </w:r>
      <w:r>
        <w:rPr>
          <w:spacing w:val="-2"/>
        </w:rPr>
        <w:t>基本准则》和各项具体会计准则、企业会计准则应用指南、企业会</w:t>
      </w:r>
      <w:r>
        <w:rPr>
          <w:spacing w:val="-66"/>
        </w:rPr>
        <w:t> </w:t>
      </w:r>
      <w:r>
        <w:rPr>
          <w:spacing w:val="-66"/>
        </w:rPr>
      </w:r>
      <w:r>
        <w:rPr/>
        <w:t>计准则解释公告以及其他相关规定执行。</w:t>
      </w:r>
    </w:p>
    <w:p>
      <w:pPr>
        <w:pStyle w:val="BodyText"/>
        <w:spacing w:line="240" w:lineRule="auto" w:before="70"/>
        <w:ind w:right="0"/>
        <w:jc w:val="left"/>
      </w:pPr>
      <w:r>
        <w:rPr/>
        <w:t>（</w:t>
      </w:r>
      <w:r>
        <w:rPr>
          <w:rFonts w:ascii="Times New Roman" w:hAnsi="Times New Roman" w:cs="Times New Roman" w:eastAsia="Times New Roman" w:hint="default"/>
        </w:rPr>
        <w:t>2</w:t>
      </w:r>
      <w:r>
        <w:rPr/>
        <w:t>）本次变更后，公司执行财政部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日发布的《关于修订印发</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年度一般企业财务报表格式的通知》</w:t>
      </w:r>
    </w:p>
    <w:p>
      <w:pPr>
        <w:pStyle w:val="BodyText"/>
        <w:spacing w:line="240" w:lineRule="auto" w:before="63"/>
        <w:ind w:left="174" w:right="0"/>
        <w:jc w:val="both"/>
      </w:pPr>
      <w:r>
        <w:rPr>
          <w:spacing w:val="-1"/>
        </w:rPr>
        <w:t>（财会</w:t>
      </w:r>
      <w:r>
        <w:rPr>
          <w:rFonts w:ascii="Times New Roman" w:hAnsi="Times New Roman" w:cs="Times New Roman" w:eastAsia="Times New Roman" w:hint="default"/>
          <w:spacing w:val="-1"/>
        </w:rPr>
        <w:t>[2018]15</w:t>
      </w:r>
      <w:r>
        <w:rPr>
          <w:rFonts w:ascii="Times New Roman" w:hAnsi="Times New Roman" w:cs="Times New Roman" w:eastAsia="Times New Roman" w:hint="default"/>
          <w:spacing w:val="33"/>
        </w:rPr>
        <w:t> </w:t>
      </w:r>
      <w:r>
        <w:rPr>
          <w:spacing w:val="-2"/>
        </w:rPr>
        <w:t>号）的相关规定执行。除上述会计政策变更外，其他未变更部分，仍按照财政部前期颁布的《企业会计准则</w:t>
      </w:r>
    </w:p>
    <w:p>
      <w:pPr>
        <w:pStyle w:val="BodyText"/>
        <w:spacing w:line="240" w:lineRule="auto" w:before="64"/>
        <w:ind w:left="174" w:right="0"/>
        <w:jc w:val="both"/>
      </w:pPr>
      <w:r>
        <w:rPr>
          <w:rFonts w:ascii="Times New Roman" w:hAnsi="Times New Roman" w:cs="Times New Roman" w:eastAsia="Times New Roman" w:hint="default"/>
        </w:rPr>
        <w:t>——</w:t>
      </w:r>
      <w:r>
        <w:rPr/>
        <w:t>基本准则》和各项具体会计准则、企业会计准则应用指南、企业会计准则解释公告以及其他相关规定执行。</w:t>
      </w:r>
    </w:p>
    <w:p>
      <w:pPr>
        <w:pStyle w:val="Heading4"/>
        <w:spacing w:line="240" w:lineRule="auto" w:before="102"/>
        <w:ind w:right="0"/>
        <w:jc w:val="left"/>
        <w:rPr>
          <w:b w:val="0"/>
          <w:bCs w:val="0"/>
        </w:rPr>
      </w:pPr>
      <w:r>
        <w:rPr>
          <w:rFonts w:ascii="Times New Roman" w:hAnsi="Times New Roman" w:cs="Times New Roman" w:eastAsia="Times New Roman" w:hint="default"/>
        </w:rPr>
        <w:t>2</w:t>
      </w:r>
      <w:r>
        <w:rPr/>
        <w:t>、本次会计政策变更对公司的影响</w:t>
      </w:r>
      <w:r>
        <w:rPr>
          <w:b w:val="0"/>
          <w:bCs w:val="0"/>
        </w:rPr>
      </w:r>
    </w:p>
    <w:p>
      <w:pPr>
        <w:pStyle w:val="BodyText"/>
        <w:spacing w:line="240" w:lineRule="auto" w:before="103"/>
        <w:ind w:right="0"/>
        <w:jc w:val="left"/>
      </w:pPr>
      <w:r>
        <w:rPr/>
        <w:t>（</w:t>
      </w:r>
      <w:r>
        <w:rPr>
          <w:rFonts w:ascii="Times New Roman" w:hAnsi="Times New Roman" w:cs="Times New Roman" w:eastAsia="Times New Roman" w:hint="default"/>
        </w:rPr>
        <w:t>1</w:t>
      </w:r>
      <w:r>
        <w:rPr/>
        <w:t>）财政部新修订的金融工具相关准则、新修订的金融工具确认和计量准则修订内容主要包括：</w:t>
      </w:r>
    </w:p>
    <w:p>
      <w:pPr>
        <w:pStyle w:val="BodyText"/>
        <w:spacing w:line="319" w:lineRule="auto" w:before="101"/>
        <w:ind w:left="174" w:right="1130" w:firstLine="360"/>
        <w:jc w:val="both"/>
      </w:pPr>
      <w:r>
        <w:rPr>
          <w:spacing w:val="-2"/>
        </w:rPr>
        <w:t>①以企业持有金融资产的“业务模式”和“金融资产合同现金流量特征”作为金融资产分类的判断依据，将金融资产分</w:t>
      </w:r>
      <w:r>
        <w:rPr/>
        <w:t> </w:t>
      </w:r>
      <w:r>
        <w:rPr>
          <w:spacing w:val="-5"/>
        </w:rPr>
        <w:t>类为“以摊余成本计量的金融资产”、“以公允价值计量且其变动计入其他综合收益的金融资产”以及“以公允价值计量且其</w:t>
      </w:r>
      <w:r>
        <w:rPr>
          <w:spacing w:val="-79"/>
        </w:rPr>
        <w:t> </w:t>
      </w:r>
      <w:r>
        <w:rPr>
          <w:spacing w:val="-79"/>
        </w:rPr>
      </w:r>
      <w:r>
        <w:rPr/>
        <w:t>变动计入当期损益的金融资产”三类；</w:t>
      </w:r>
    </w:p>
    <w:p>
      <w:pPr>
        <w:pStyle w:val="BodyText"/>
        <w:spacing w:line="319" w:lineRule="auto" w:before="55"/>
        <w:ind w:left="174" w:right="1136" w:firstLine="360"/>
        <w:jc w:val="left"/>
      </w:pPr>
      <w:r>
        <w:rPr>
          <w:spacing w:val="-2"/>
        </w:rPr>
        <w:t>②将金融资产减值会计处理由“已发生损失法”修改为“预期损失法”，要求考虑金融资产未来预期信用损失情况，从</w:t>
      </w:r>
      <w:r>
        <w:rPr/>
        <w:t> 而更加及时、足额地计提金融资产减值准备；</w:t>
      </w:r>
    </w:p>
    <w:p>
      <w:pPr>
        <w:pStyle w:val="BodyText"/>
        <w:spacing w:line="319" w:lineRule="auto" w:before="56"/>
        <w:ind w:left="174" w:right="0" w:firstLine="360"/>
        <w:jc w:val="left"/>
      </w:pPr>
      <w:r>
        <w:rPr>
          <w:spacing w:val="-2"/>
        </w:rPr>
        <w:t>③将非交易性权益工具投资指定为以公允价值计量且其变动计入其他综合收益进行处理，但该指定不可撤销，且在处置</w:t>
      </w:r>
      <w:r>
        <w:rPr/>
        <w:t> 时不得将原计入其他综合收益的累计公允价值变动额结转计入当期损益；</w:t>
      </w:r>
    </w:p>
    <w:p>
      <w:pPr>
        <w:pStyle w:val="BodyText"/>
        <w:spacing w:line="240" w:lineRule="auto" w:before="56"/>
        <w:ind w:right="0"/>
        <w:jc w:val="left"/>
      </w:pPr>
      <w:r>
        <w:rPr/>
        <w:t>④进一步明确金融资产转移的判断原则及其会计处理；</w:t>
      </w:r>
    </w:p>
    <w:p>
      <w:pPr>
        <w:pStyle w:val="BodyText"/>
        <w:spacing w:line="357" w:lineRule="auto" w:before="116"/>
        <w:ind w:right="0"/>
        <w:jc w:val="left"/>
      </w:pPr>
      <w:r>
        <w:rPr/>
        <w:t>⑤套期会计准则更加强调套期会计与企业风险管理活动的有机结合，更好地反映企业的风险管理活动。 </w:t>
      </w:r>
      <w:r>
        <w:rPr>
          <w:spacing w:val="-2"/>
        </w:rPr>
        <w:t>根据衔接规定，企业应当按照金融工具准则的要求列报金融工具相关信息，企业比较财务报表列报的信息与本准则要求</w:t>
      </w:r>
    </w:p>
    <w:p>
      <w:pPr>
        <w:pStyle w:val="BodyText"/>
        <w:spacing w:line="224" w:lineRule="exact" w:before="0"/>
        <w:ind w:left="174" w:right="0"/>
        <w:jc w:val="both"/>
      </w:pPr>
      <w:r>
        <w:rPr/>
        <w:t>不一致的，不需要按照金融工具准则的要求进行追溯调整。公司将按照新金融工具准则的要求调整列报金融工具相关信息，</w:t>
      </w:r>
    </w:p>
    <w:p>
      <w:pPr>
        <w:pStyle w:val="BodyText"/>
        <w:spacing w:line="240" w:lineRule="auto" w:before="76"/>
        <w:ind w:left="174" w:right="0"/>
        <w:jc w:val="both"/>
      </w:pPr>
      <w:r>
        <w:rPr/>
        <w:t>包括对金融工具进行分类和计量（含减值）等，对</w:t>
      </w:r>
      <w:r>
        <w:rPr>
          <w:spacing w:val="-45"/>
        </w:rPr>
        <w:t> </w:t>
      </w:r>
      <w:r>
        <w:rPr>
          <w:rFonts w:ascii="Times New Roman" w:hAnsi="Times New Roman" w:cs="Times New Roman" w:eastAsia="Times New Roman" w:hint="default"/>
        </w:rPr>
        <w:t>2019 </w:t>
      </w:r>
      <w:r>
        <w:rPr/>
        <w:t>年期初留存收益和其他综合收益产生影响，但对公司净利润、总资</w:t>
      </w:r>
    </w:p>
    <w:p>
      <w:pPr>
        <w:pStyle w:val="BodyText"/>
        <w:spacing w:line="302" w:lineRule="auto" w:before="63"/>
        <w:ind w:left="174" w:right="1140"/>
        <w:jc w:val="both"/>
      </w:pPr>
      <w:r>
        <w:rPr/>
        <w:t>产和净资产不产生重大影响。公司在编制</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年各期间财务报告时，调整当年年初留存收益或其他综合收益及财务报表其 他相关项目金额，对可比期间信息不予调整。</w:t>
      </w:r>
    </w:p>
    <w:p>
      <w:pPr>
        <w:pStyle w:val="BodyText"/>
        <w:spacing w:line="240" w:lineRule="auto" w:before="69"/>
        <w:ind w:right="0"/>
        <w:jc w:val="left"/>
      </w:pPr>
      <w:r>
        <w:rPr/>
        <w:t>（</w:t>
      </w:r>
      <w:r>
        <w:rPr>
          <w:rFonts w:ascii="Times New Roman" w:hAnsi="Times New Roman" w:cs="Times New Roman" w:eastAsia="Times New Roman" w:hint="default"/>
        </w:rPr>
        <w:t>2</w:t>
      </w:r>
      <w:r>
        <w:rPr/>
        <w:t>）财务报表格式变更</w:t>
      </w:r>
    </w:p>
    <w:p>
      <w:pPr>
        <w:pStyle w:val="BodyText"/>
        <w:spacing w:line="302" w:lineRule="auto" w:before="101"/>
        <w:ind w:left="174" w:right="1126" w:firstLine="360"/>
        <w:jc w:val="left"/>
      </w:pPr>
      <w:r>
        <w:rPr/>
        <w:t>财政部于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2"/>
        </w:rPr>
        <w:t>月发布了《关于修订印发</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5"/>
        </w:rPr>
        <w:t>年度一般企业财务报表格式的通知》（财会</w:t>
      </w:r>
      <w:r>
        <w:rPr>
          <w:rFonts w:ascii="Times New Roman" w:hAnsi="Times New Roman" w:cs="Times New Roman" w:eastAsia="Times New Roman" w:hint="default"/>
          <w:spacing w:val="-5"/>
        </w:rPr>
        <w:t>[2018]15</w:t>
      </w:r>
      <w:r>
        <w:rPr>
          <w:rFonts w:ascii="Times New Roman" w:hAnsi="Times New Roman" w:cs="Times New Roman" w:eastAsia="Times New Roman" w:hint="default"/>
          <w:spacing w:val="4"/>
        </w:rPr>
        <w:t> </w:t>
      </w:r>
      <w:r>
        <w:rPr>
          <w:spacing w:val="-15"/>
        </w:rPr>
        <w:t>号），本公司根据</w:t>
      </w:r>
      <w:r>
        <w:rPr/>
        <w:t> 相关要求按照一般企业财务报表格式编制财务报表，影响如下：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p>
      <w:pPr>
        <w:spacing w:line="260" w:lineRule="exact"/>
        <w:ind w:left="5022"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234.7pt;height:13.05pt;mso-position-horizontal-relative:char;mso-position-vertical-relative:line" coordorigin="0,0" coordsize="4694,261">
            <v:group style="position:absolute;left:0;top:0;width:4694;height:261" coordorigin="0,0" coordsize="4694,261">
              <v:shape style="position:absolute;left:0;top:0;width:4694;height:261" coordorigin="0,0" coordsize="4694,261" path="m0,260l4694,260,4694,0,0,0,0,260xe" filled="true" fillcolor="#ffffff" stroked="false">
                <v:path arrowok="t"/>
                <v:fill type="solid"/>
              </v:shape>
            </v:group>
          </v:group>
        </w:pict>
      </w:r>
      <w:r>
        <w:rPr>
          <w:rFonts w:ascii="宋体" w:hAnsi="宋体" w:cs="宋体" w:eastAsia="宋体" w:hint="default"/>
          <w:position w:val="-4"/>
          <w:sz w:val="20"/>
          <w:szCs w:val="20"/>
        </w:rPr>
      </w:r>
    </w:p>
    <w:p>
      <w:pPr>
        <w:spacing w:line="240" w:lineRule="auto" w:before="5"/>
        <w:rPr>
          <w:rFonts w:ascii="宋体" w:hAnsi="宋体" w:cs="宋体" w:eastAsia="宋体" w:hint="default"/>
          <w:sz w:val="18"/>
          <w:szCs w:val="18"/>
        </w:rPr>
      </w:pPr>
    </w:p>
    <w:p>
      <w:pPr>
        <w:spacing w:line="240" w:lineRule="exact"/>
        <w:ind w:left="5022"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234.7pt;height:12pt;mso-position-horizontal-relative:char;mso-position-vertical-relative:line" coordorigin="0,0" coordsize="4694,240">
            <v:group style="position:absolute;left:0;top:0;width:4694;height:240" coordorigin="0,0" coordsize="4694,240">
              <v:shape style="position:absolute;left:0;top:0;width:4694;height:240" coordorigin="0,0" coordsize="4694,240" path="m0,240l4694,240,4694,0,0,0,0,240xe" filled="true" fillcolor="#ffffff" stroked="false">
                <v:path arrowok="t"/>
                <v:fill type="solid"/>
              </v:shape>
            </v:group>
          </v:group>
        </w:pict>
      </w:r>
      <w:r>
        <w:rPr>
          <w:rFonts w:ascii="宋体" w:hAnsi="宋体" w:cs="宋体" w:eastAsia="宋体" w:hint="default"/>
          <w:position w:val="-4"/>
          <w:sz w:val="20"/>
          <w:szCs w:val="20"/>
        </w:rPr>
      </w:r>
    </w:p>
    <w:p>
      <w:pPr>
        <w:spacing w:line="240" w:lineRule="auto" w:before="1"/>
        <w:rPr>
          <w:rFonts w:ascii="宋体" w:hAnsi="宋体" w:cs="宋体" w:eastAsia="宋体" w:hint="default"/>
          <w:sz w:val="15"/>
          <w:szCs w:val="15"/>
        </w:rPr>
      </w:pPr>
    </w:p>
    <w:p>
      <w:pPr>
        <w:pStyle w:val="BodyText"/>
        <w:spacing w:line="240" w:lineRule="auto"/>
        <w:ind w:left="0" w:right="1151"/>
        <w:jc w:val="right"/>
      </w:pPr>
      <w:r>
        <w:rPr/>
        <w:pict>
          <v:shape style="position:absolute;margin-left:56.459999pt;margin-top:-89.908325pt;width:479.25pt;height:131.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3"/>
                    <w:gridCol w:w="4737"/>
                  </w:tblGrid>
                  <w:tr>
                    <w:trPr>
                      <w:trHeight w:val="330"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321"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83"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2290" w:hRule="exact"/>
                    </w:trPr>
                    <w:tc>
                      <w:tcPr>
                        <w:tcW w:w="4833" w:type="dxa"/>
                        <w:tcBorders>
                          <w:top w:val="single" w:sz="4" w:space="0" w:color="000000"/>
                          <w:left w:val="single" w:sz="4" w:space="0" w:color="000000"/>
                          <w:bottom w:val="single" w:sz="4" w:space="0" w:color="000000"/>
                          <w:right w:val="single" w:sz="9" w:space="0" w:color="FFFFFF"/>
                        </w:tcBorders>
                      </w:tcPr>
                      <w:p>
                        <w:pPr>
                          <w:pStyle w:val="TableParagraph"/>
                          <w:spacing w:line="240" w:lineRule="exact" w:before="19"/>
                          <w:ind w:left="22" w:right="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、资产负债表中“应收票据”和“应收账款”项目，合 并为“应收票据及应收账款”项目；</w:t>
                        </w:r>
                      </w:p>
                      <w:p>
                        <w:pPr>
                          <w:pStyle w:val="TableParagraph"/>
                          <w:spacing w:line="238" w:lineRule="exact" w:before="22"/>
                          <w:ind w:left="22" w:right="-28" w:firstLine="36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、“应收利息”、“应收股利”项目并入“其他应收款”</w:t>
                        </w:r>
                        <w:r>
                          <w:rPr>
                            <w:rFonts w:ascii="宋体" w:hAnsi="宋体" w:cs="宋体" w:eastAsia="宋体" w:hint="default"/>
                            <w:spacing w:val="-34"/>
                            <w:sz w:val="18"/>
                            <w:szCs w:val="18"/>
                          </w:rPr>
                          <w:t> </w:t>
                        </w:r>
                        <w:r>
                          <w:rPr>
                            <w:rFonts w:ascii="宋体" w:hAnsi="宋体" w:cs="宋体" w:eastAsia="宋体" w:hint="default"/>
                            <w:sz w:val="18"/>
                            <w:szCs w:val="18"/>
                          </w:rPr>
                          <w:t>项目列报；</w:t>
                        </w:r>
                      </w:p>
                      <w:p>
                        <w:pPr>
                          <w:pStyle w:val="TableParagraph"/>
                          <w:spacing w:line="240" w:lineRule="auto" w:before="3"/>
                          <w:ind w:left="382" w:right="-2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、“固定资产清理”项目并入“固定资产”项目中列报；</w:t>
                        </w:r>
                        <w:r>
                          <w:rPr>
                            <w:rFonts w:ascii="宋体" w:hAnsi="宋体" w:cs="宋体" w:eastAsia="宋体" w:hint="default"/>
                            <w:sz w:val="18"/>
                            <w:szCs w:val="18"/>
                          </w:rPr>
                        </w:r>
                      </w:p>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、“工程物资”项目并入“在建工程”项目中列报；</w:t>
                        </w:r>
                      </w:p>
                      <w:p>
                        <w:pPr>
                          <w:pStyle w:val="TableParagraph"/>
                          <w:spacing w:line="238" w:lineRule="exact" w:before="31"/>
                          <w:ind w:left="22" w:right="2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、“应付票据”和“应付账款”项目，合并为“应付票 据及应付账款”项目；</w:t>
                        </w:r>
                      </w:p>
                      <w:p>
                        <w:pPr>
                          <w:pStyle w:val="TableParagraph"/>
                          <w:spacing w:line="240" w:lineRule="auto" w:before="3"/>
                          <w:ind w:left="38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、“应付利息”、“应付股利”项目并入“其他应付款</w:t>
                        </w:r>
                      </w:p>
                    </w:tc>
                    <w:tc>
                      <w:tcPr>
                        <w:tcW w:w="4737" w:type="dxa"/>
                        <w:tcBorders>
                          <w:top w:val="single" w:sz="4" w:space="0" w:color="000000"/>
                          <w:left w:val="single" w:sz="9" w:space="0" w:color="FFFFFF"/>
                          <w:bottom w:val="single" w:sz="4" w:space="0" w:color="000000"/>
                          <w:right w:val="single" w:sz="4" w:space="0" w:color="000000"/>
                        </w:tcBorders>
                      </w:tcPr>
                      <w:p>
                        <w:pPr>
                          <w:pStyle w:val="TableParagraph"/>
                          <w:spacing w:line="230" w:lineRule="auto" w:before="29"/>
                          <w:ind w:left="4" w:right="20"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、“应收票据”和“应收账款”合并列示为“应收票据</w:t>
                        </w:r>
                        <w:r>
                          <w:rPr>
                            <w:rFonts w:ascii="宋体" w:hAnsi="宋体" w:cs="宋体" w:eastAsia="宋体" w:hint="default"/>
                            <w:sz w:val="18"/>
                            <w:szCs w:val="18"/>
                          </w:rPr>
                          <w:t> </w:t>
                        </w:r>
                        <w:r>
                          <w:rPr>
                            <w:rFonts w:ascii="宋体" w:hAnsi="宋体" w:cs="宋体" w:eastAsia="宋体" w:hint="default"/>
                            <w:spacing w:val="24"/>
                            <w:sz w:val="18"/>
                            <w:szCs w:val="18"/>
                          </w:rPr>
                          <w:t>及应收账款</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本</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余</w:t>
                        </w:r>
                        <w:r>
                          <w:rPr>
                            <w:rFonts w:ascii="宋体" w:hAnsi="宋体" w:cs="宋体" w:eastAsia="宋体" w:hint="default"/>
                            <w:spacing w:val="-63"/>
                            <w:sz w:val="18"/>
                            <w:szCs w:val="18"/>
                          </w:rPr>
                          <w:t> </w:t>
                        </w:r>
                        <w:r>
                          <w:rPr>
                            <w:rFonts w:ascii="宋体" w:hAnsi="宋体" w:cs="宋体" w:eastAsia="宋体" w:hint="default"/>
                            <w:sz w:val="18"/>
                            <w:szCs w:val="18"/>
                          </w:rPr>
                          <w:t>额</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544,972,825.06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上</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3"/>
                            <w:sz w:val="18"/>
                            <w:szCs w:val="18"/>
                          </w:rPr>
                          <w:t> </w:t>
                        </w:r>
                        <w:r>
                          <w:rPr>
                            <w:rFonts w:ascii="宋体" w:hAnsi="宋体" w:cs="宋体" w:eastAsia="宋体" w:hint="default"/>
                            <w:sz w:val="18"/>
                            <w:szCs w:val="18"/>
                          </w:rPr>
                          <w:t>余</w:t>
                        </w:r>
                        <w:r>
                          <w:rPr>
                            <w:rFonts w:ascii="宋体" w:hAnsi="宋体" w:cs="宋体" w:eastAsia="宋体" w:hint="default"/>
                            <w:spacing w:val="-61"/>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423,195,355.30</w:t>
                        </w:r>
                        <w:r>
                          <w:rPr>
                            <w:rFonts w:ascii="宋体" w:hAnsi="宋体" w:cs="宋体" w:eastAsia="宋体" w:hint="default"/>
                            <w:sz w:val="18"/>
                            <w:szCs w:val="18"/>
                          </w:rPr>
                          <w:t>元；</w:t>
                        </w:r>
                      </w:p>
                      <w:p>
                        <w:pPr>
                          <w:pStyle w:val="TableParagraph"/>
                          <w:spacing w:line="230" w:lineRule="auto" w:before="22"/>
                          <w:ind w:left="4" w:right="20"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、“应付票据”和“应付账款”合并列示为“应付票据</w:t>
                        </w:r>
                        <w:r>
                          <w:rPr>
                            <w:rFonts w:ascii="宋体" w:hAnsi="宋体" w:cs="宋体" w:eastAsia="宋体" w:hint="default"/>
                            <w:sz w:val="18"/>
                            <w:szCs w:val="18"/>
                          </w:rPr>
                          <w:t> </w:t>
                        </w:r>
                        <w:r>
                          <w:rPr>
                            <w:rFonts w:ascii="宋体" w:hAnsi="宋体" w:cs="宋体" w:eastAsia="宋体" w:hint="default"/>
                            <w:spacing w:val="24"/>
                            <w:sz w:val="18"/>
                            <w:szCs w:val="18"/>
                          </w:rPr>
                          <w:t>及应付账款</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2"/>
                            <w:sz w:val="18"/>
                            <w:szCs w:val="18"/>
                          </w:rPr>
                          <w:t> </w:t>
                        </w:r>
                        <w:r>
                          <w:rPr>
                            <w:rFonts w:ascii="宋体" w:hAnsi="宋体" w:cs="宋体" w:eastAsia="宋体" w:hint="default"/>
                            <w:sz w:val="18"/>
                            <w:szCs w:val="18"/>
                          </w:rPr>
                          <w:t>本</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2"/>
                            <w:sz w:val="18"/>
                            <w:szCs w:val="18"/>
                          </w:rPr>
                          <w:t> </w:t>
                        </w:r>
                        <w:r>
                          <w:rPr>
                            <w:rFonts w:ascii="宋体" w:hAnsi="宋体" w:cs="宋体" w:eastAsia="宋体" w:hint="default"/>
                            <w:sz w:val="18"/>
                            <w:szCs w:val="18"/>
                          </w:rPr>
                          <w:t>余</w:t>
                        </w:r>
                        <w:r>
                          <w:rPr>
                            <w:rFonts w:ascii="宋体" w:hAnsi="宋体" w:cs="宋体" w:eastAsia="宋体" w:hint="default"/>
                            <w:spacing w:val="-63"/>
                            <w:sz w:val="18"/>
                            <w:szCs w:val="18"/>
                          </w:rPr>
                          <w:t> </w:t>
                        </w:r>
                        <w:r>
                          <w:rPr>
                            <w:rFonts w:ascii="宋体" w:hAnsi="宋体" w:cs="宋体" w:eastAsia="宋体" w:hint="default"/>
                            <w:sz w:val="18"/>
                            <w:szCs w:val="18"/>
                          </w:rPr>
                          <w:t>额</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263,173,345.17</w:t>
                        </w:r>
                        <w:r>
                          <w:rPr>
                            <w:rFonts w:ascii="Times New Roman" w:hAnsi="Times New Roman" w:cs="Times New Roman" w:eastAsia="Times New Roman" w:hint="default"/>
                            <w:spacing w:val="-16"/>
                            <w:sz w:val="18"/>
                            <w:szCs w:val="18"/>
                          </w:rPr>
                          <w:t> </w:t>
                        </w:r>
                        <w:r>
                          <w:rPr>
                            <w:rFonts w:ascii="宋体" w:hAnsi="宋体" w:cs="宋体" w:eastAsia="宋体" w:hint="default"/>
                            <w:spacing w:val="15"/>
                            <w:sz w:val="18"/>
                            <w:szCs w:val="18"/>
                          </w:rPr>
                          <w:t>元，</w:t>
                        </w:r>
                        <w:r>
                          <w:rPr>
                            <w:rFonts w:ascii="宋体" w:hAnsi="宋体" w:cs="宋体" w:eastAsia="宋体" w:hint="default"/>
                            <w:spacing w:val="-61"/>
                            <w:sz w:val="18"/>
                            <w:szCs w:val="18"/>
                          </w:rPr>
                          <w:t> </w:t>
                        </w:r>
                        <w:r>
                          <w:rPr>
                            <w:rFonts w:ascii="宋体" w:hAnsi="宋体" w:cs="宋体" w:eastAsia="宋体" w:hint="default"/>
                            <w:sz w:val="18"/>
                            <w:szCs w:val="18"/>
                          </w:rPr>
                          <w:t>上</w:t>
                        </w:r>
                        <w:r>
                          <w:rPr>
                            <w:rFonts w:ascii="宋体" w:hAnsi="宋体" w:cs="宋体" w:eastAsia="宋体" w:hint="default"/>
                            <w:spacing w:val="-62"/>
                            <w:sz w:val="18"/>
                            <w:szCs w:val="18"/>
                          </w:rPr>
                          <w:t> </w:t>
                        </w:r>
                        <w:r>
                          <w:rPr>
                            <w:rFonts w:ascii="宋体" w:hAnsi="宋体" w:cs="宋体" w:eastAsia="宋体" w:hint="default"/>
                            <w:sz w:val="18"/>
                            <w:szCs w:val="18"/>
                          </w:rPr>
                          <w:t>期</w:t>
                        </w:r>
                        <w:r>
                          <w:rPr>
                            <w:rFonts w:ascii="宋体" w:hAnsi="宋体" w:cs="宋体" w:eastAsia="宋体" w:hint="default"/>
                            <w:spacing w:val="-63"/>
                            <w:sz w:val="18"/>
                            <w:szCs w:val="18"/>
                          </w:rPr>
                          <w:t> </w:t>
                        </w:r>
                        <w:r>
                          <w:rPr>
                            <w:rFonts w:ascii="宋体" w:hAnsi="宋体" w:cs="宋体" w:eastAsia="宋体" w:hint="default"/>
                            <w:sz w:val="18"/>
                            <w:szCs w:val="18"/>
                          </w:rPr>
                          <w:t>余</w:t>
                        </w:r>
                        <w:r>
                          <w:rPr>
                            <w:rFonts w:ascii="宋体" w:hAnsi="宋体" w:cs="宋体" w:eastAsia="宋体" w:hint="default"/>
                            <w:spacing w:val="-61"/>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181,685,033.83</w:t>
                        </w:r>
                        <w:r>
                          <w:rPr>
                            <w:rFonts w:ascii="宋体" w:hAnsi="宋体" w:cs="宋体" w:eastAsia="宋体" w:hint="default"/>
                            <w:sz w:val="18"/>
                            <w:szCs w:val="18"/>
                          </w:rPr>
                          <w:t>元；</w:t>
                        </w:r>
                      </w:p>
                      <w:p>
                        <w:pPr>
                          <w:pStyle w:val="TableParagraph"/>
                          <w:spacing w:line="238" w:lineRule="exact" w:before="34"/>
                          <w:ind w:left="4" w:right="12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、“应收利息”及“应收股利”并入“其他应收款” 本期余额</w:t>
                        </w:r>
                        <w:r>
                          <w:rPr>
                            <w:rFonts w:ascii="Times New Roman" w:hAnsi="Times New Roman" w:cs="Times New Roman" w:eastAsia="Times New Roman" w:hint="default"/>
                            <w:sz w:val="18"/>
                            <w:szCs w:val="18"/>
                          </w:rPr>
                          <w:t>39,089,199.67</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22,496,152.89</w:t>
                        </w:r>
                        <w:r>
                          <w:rPr>
                            <w:rFonts w:ascii="宋体" w:hAnsi="宋体" w:cs="宋体" w:eastAsia="宋体" w:hint="default"/>
                            <w:sz w:val="18"/>
                            <w:szCs w:val="18"/>
                          </w:rPr>
                          <w:t>元；</w:t>
                        </w:r>
                      </w:p>
                      <w:p>
                        <w:pPr>
                          <w:pStyle w:val="TableParagraph"/>
                          <w:tabs>
                            <w:tab w:pos="364" w:val="left" w:leader="none"/>
                          </w:tabs>
                          <w:spacing w:line="240" w:lineRule="auto" w:before="2"/>
                          <w:ind w:left="-142" w:right="0"/>
                          <w:jc w:val="left"/>
                          <w:rPr>
                            <w:rFonts w:ascii="宋体" w:hAnsi="宋体" w:cs="宋体" w:eastAsia="宋体"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z w:val="18"/>
                            <w:szCs w:val="18"/>
                          </w:rPr>
                          <w:t>4</w:t>
                        </w:r>
                        <w:r>
                          <w:rPr>
                            <w:rFonts w:ascii="宋体" w:hAnsi="宋体" w:cs="宋体" w:eastAsia="宋体" w:hint="default"/>
                            <w:sz w:val="18"/>
                            <w:szCs w:val="18"/>
                          </w:rPr>
                          <w:t>、“应付利息”及“应付股利”并入“其他应付款”</w:t>
                        </w:r>
                      </w:p>
                    </w:tc>
                  </w:tr>
                </w:tbl>
                <w:p>
                  <w:pPr/>
                </w:p>
              </w:txbxContent>
            </v:textbox>
            <w10:wrap type="none"/>
          </v:shape>
        </w:pict>
      </w:r>
      <w:r>
        <w:rPr/>
        <w:t>，</w:t>
      </w:r>
    </w:p>
    <w:p>
      <w:pPr>
        <w:spacing w:line="240" w:lineRule="auto" w:before="7"/>
        <w:rPr>
          <w:rFonts w:ascii="宋体" w:hAnsi="宋体" w:cs="宋体" w:eastAsia="宋体" w:hint="default"/>
          <w:sz w:val="21"/>
          <w:szCs w:val="21"/>
        </w:rPr>
      </w:pPr>
    </w:p>
    <w:p>
      <w:pPr>
        <w:spacing w:line="240" w:lineRule="exact"/>
        <w:ind w:left="5022"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238.55pt;height:12pt;mso-position-horizontal-relative:char;mso-position-vertical-relative:line" coordorigin="0,0" coordsize="4771,240">
            <v:group style="position:absolute;left:0;top:0;width:4694;height:240" coordorigin="0,0" coordsize="4694,240">
              <v:shape style="position:absolute;left:0;top:0;width:4694;height:240" coordorigin="0,0" coordsize="4694,240" path="m0,240l4694,240,4694,0,0,0,0,240xe" filled="true" fillcolor="#ffffff" stroked="false">
                <v:path arrowok="t"/>
                <v:fill type="solid"/>
              </v:shape>
              <v:shape style="position:absolute;left:4590;top:3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4"/>
          <w:sz w:val="20"/>
          <w:szCs w:val="20"/>
        </w:rPr>
      </w:r>
    </w:p>
    <w:p>
      <w:pPr>
        <w:spacing w:after="0" w:line="240" w:lineRule="exact"/>
        <w:rPr>
          <w:rFonts w:ascii="宋体" w:hAnsi="宋体" w:cs="宋体" w:eastAsia="宋体" w:hint="default"/>
          <w:sz w:val="20"/>
          <w:szCs w:val="20"/>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4833"/>
        <w:gridCol w:w="4737"/>
      </w:tblGrid>
      <w:tr>
        <w:trPr>
          <w:trHeight w:val="530" w:hRule="exact"/>
        </w:trPr>
        <w:tc>
          <w:tcPr>
            <w:tcW w:w="4833" w:type="dxa"/>
            <w:tcBorders>
              <w:top w:val="single" w:sz="4" w:space="0" w:color="000000"/>
              <w:left w:val="single" w:sz="4" w:space="0" w:color="000000"/>
              <w:bottom w:val="single" w:sz="4" w:space="0" w:color="000000"/>
              <w:right w:val="single" w:sz="9" w:space="0" w:color="FFFFFF"/>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项目列报；</w:t>
            </w:r>
          </w:p>
          <w:p>
            <w:pPr>
              <w:pStyle w:val="TableParagraph"/>
              <w:spacing w:line="240" w:lineRule="auto" w:before="25"/>
              <w:ind w:left="38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、“专项应付款”项目并入“长期应付款”项目中列报</w:t>
            </w:r>
          </w:p>
        </w:tc>
        <w:tc>
          <w:tcPr>
            <w:tcW w:w="4737" w:type="dxa"/>
            <w:tcBorders>
              <w:top w:val="single" w:sz="4" w:space="0" w:color="000000"/>
              <w:left w:val="single" w:sz="9" w:space="0" w:color="FFFFFF"/>
              <w:bottom w:val="single" w:sz="4" w:space="0" w:color="000000"/>
              <w:right w:val="single" w:sz="4" w:space="0" w:color="000000"/>
            </w:tcBorders>
          </w:tcPr>
          <w:p>
            <w:pPr>
              <w:pStyle w:val="TableParagraph"/>
              <w:spacing w:line="230" w:lineRule="exact"/>
              <w:ind w:right="389"/>
              <w:jc w:val="center"/>
              <w:rPr>
                <w:rFonts w:ascii="宋体" w:hAnsi="宋体" w:cs="宋体" w:eastAsia="宋体" w:hint="default"/>
                <w:sz w:val="18"/>
                <w:szCs w:val="18"/>
              </w:rPr>
            </w:pPr>
            <w:r>
              <w:rPr>
                <w:rFonts w:ascii="宋体" w:hAnsi="宋体" w:cs="宋体" w:eastAsia="宋体" w:hint="default"/>
                <w:sz w:val="18"/>
                <w:szCs w:val="18"/>
              </w:rPr>
              <w:t>本期余额</w:t>
            </w:r>
            <w:r>
              <w:rPr>
                <w:rFonts w:ascii="Times New Roman" w:hAnsi="Times New Roman" w:cs="Times New Roman" w:eastAsia="Times New Roman" w:hint="default"/>
                <w:sz w:val="18"/>
                <w:szCs w:val="18"/>
              </w:rPr>
              <w:t>97,574,099.86</w:t>
            </w:r>
            <w:r>
              <w:rPr>
                <w:rFonts w:ascii="宋体" w:hAnsi="宋体" w:cs="宋体" w:eastAsia="宋体" w:hint="default"/>
                <w:sz w:val="18"/>
                <w:szCs w:val="18"/>
              </w:rPr>
              <w:t>元，上期余额</w:t>
            </w:r>
            <w:r>
              <w:rPr>
                <w:rFonts w:ascii="Times New Roman" w:hAnsi="Times New Roman" w:cs="Times New Roman" w:eastAsia="Times New Roman" w:hint="default"/>
                <w:sz w:val="18"/>
                <w:szCs w:val="18"/>
              </w:rPr>
              <w:t>119,934,532.36</w:t>
            </w:r>
            <w:r>
              <w:rPr>
                <w:rFonts w:ascii="宋体" w:hAnsi="宋体" w:cs="宋体" w:eastAsia="宋体" w:hint="default"/>
                <w:sz w:val="18"/>
                <w:szCs w:val="18"/>
              </w:rPr>
              <w:t>元；</w:t>
            </w:r>
          </w:p>
          <w:p>
            <w:pPr>
              <w:pStyle w:val="TableParagraph"/>
              <w:tabs>
                <w:tab w:pos="364" w:val="left" w:leader="none"/>
              </w:tabs>
              <w:spacing w:line="240" w:lineRule="auto" w:before="11"/>
              <w:ind w:left="-142" w:right="304"/>
              <w:jc w:val="center"/>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w:t>
            </w:r>
            <w:r>
              <w:rPr>
                <w:rFonts w:ascii="宋体" w:hAnsi="宋体" w:cs="宋体" w:eastAsia="宋体" w:hint="default"/>
                <w:sz w:val="18"/>
                <w:szCs w:val="18"/>
              </w:rPr>
              <w:t>、其他会计科目的调整对本公司财务报表无影响。</w:t>
            </w:r>
          </w:p>
        </w:tc>
      </w:tr>
      <w:tr>
        <w:trPr>
          <w:trHeight w:val="1030" w:hRule="exact"/>
        </w:trPr>
        <w:tc>
          <w:tcPr>
            <w:tcW w:w="4833" w:type="dxa"/>
            <w:tcBorders>
              <w:top w:val="single" w:sz="4" w:space="0" w:color="000000"/>
              <w:left w:val="single" w:sz="4" w:space="0" w:color="000000"/>
              <w:bottom w:val="single" w:sz="4" w:space="0" w:color="000000"/>
              <w:right w:val="single" w:sz="9" w:space="0" w:color="FFFFFF"/>
            </w:tcBorders>
          </w:tcPr>
          <w:p>
            <w:pPr>
              <w:pStyle w:val="TableParagraph"/>
              <w:spacing w:line="240" w:lineRule="exact" w:before="19"/>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、在利润表中新增“研发费用”项目，将原“管理费用</w:t>
            </w:r>
            <w:r>
              <w:rPr>
                <w:rFonts w:ascii="宋体" w:hAnsi="宋体" w:cs="宋体" w:eastAsia="宋体" w:hint="default"/>
                <w:sz w:val="18"/>
                <w:szCs w:val="18"/>
              </w:rPr>
              <w:t> 中的研发费用重分类至“研发费用”单独列示；</w:t>
            </w:r>
          </w:p>
          <w:p>
            <w:pPr>
              <w:pStyle w:val="TableParagraph"/>
              <w:spacing w:line="240" w:lineRule="exact" w:before="20"/>
              <w:ind w:left="22" w:right="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、在利润表中财务费用项下新增“其中：利息费用”和 “利息收入”项目，比较数据相应调整。</w:t>
            </w:r>
          </w:p>
        </w:tc>
        <w:tc>
          <w:tcPr>
            <w:tcW w:w="4737" w:type="dxa"/>
            <w:tcBorders>
              <w:top w:val="single" w:sz="4" w:space="0" w:color="000000"/>
              <w:left w:val="single" w:sz="9" w:space="0" w:color="FFFFFF"/>
              <w:bottom w:val="single" w:sz="4" w:space="0" w:color="000000"/>
              <w:right w:val="single" w:sz="4" w:space="0" w:color="000000"/>
            </w:tcBorders>
          </w:tcPr>
          <w:p>
            <w:pPr>
              <w:pStyle w:val="TableParagraph"/>
              <w:tabs>
                <w:tab w:pos="364" w:val="left" w:leader="none"/>
              </w:tabs>
              <w:spacing w:line="245" w:lineRule="exact" w:before="1"/>
              <w:ind w:left="-142" w:right="0"/>
              <w:jc w:val="lef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2"/>
                <w:sz w:val="18"/>
                <w:szCs w:val="18"/>
              </w:rPr>
              <w:t>调减“</w:t>
            </w:r>
            <w:r>
              <w:rPr>
                <w:rFonts w:ascii="宋体" w:hAnsi="宋体" w:cs="宋体" w:eastAsia="宋体" w:hint="default"/>
                <w:spacing w:val="-70"/>
                <w:sz w:val="18"/>
                <w:szCs w:val="18"/>
              </w:rPr>
              <w:t> </w:t>
            </w:r>
            <w:r>
              <w:rPr>
                <w:rFonts w:ascii="宋体" w:hAnsi="宋体" w:cs="宋体" w:eastAsia="宋体" w:hint="default"/>
                <w:spacing w:val="16"/>
                <w:sz w:val="18"/>
                <w:szCs w:val="18"/>
              </w:rPr>
              <w:t>管理费用”，本期</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64,060,229.80</w:t>
            </w:r>
            <w:r>
              <w:rPr>
                <w:rFonts w:ascii="Times New Roman" w:hAnsi="Times New Roman" w:cs="Times New Roman" w:eastAsia="Times New Roman" w:hint="default"/>
                <w:spacing w:val="-25"/>
                <w:sz w:val="18"/>
                <w:szCs w:val="18"/>
              </w:rPr>
              <w:t> </w:t>
            </w:r>
            <w:r>
              <w:rPr>
                <w:rFonts w:ascii="宋体" w:hAnsi="宋体" w:cs="宋体" w:eastAsia="宋体" w:hint="default"/>
                <w:spacing w:val="14"/>
                <w:sz w:val="18"/>
                <w:szCs w:val="18"/>
              </w:rPr>
              <w:t>元，上期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5"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60,700,880.22</w:t>
            </w:r>
            <w:r>
              <w:rPr>
                <w:rFonts w:ascii="宋体" w:hAnsi="宋体" w:cs="宋体" w:eastAsia="宋体" w:hint="default"/>
                <w:sz w:val="18"/>
                <w:szCs w:val="18"/>
              </w:rPr>
              <w:t>元；</w:t>
            </w:r>
          </w:p>
          <w:p>
            <w:pPr>
              <w:pStyle w:val="TableParagraph"/>
              <w:spacing w:line="244" w:lineRule="exact" w:before="1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2"/>
                <w:sz w:val="18"/>
                <w:szCs w:val="18"/>
              </w:rPr>
              <w:t>单列“</w:t>
            </w:r>
            <w:r>
              <w:rPr>
                <w:rFonts w:ascii="宋体" w:hAnsi="宋体" w:cs="宋体" w:eastAsia="宋体" w:hint="default"/>
                <w:spacing w:val="-70"/>
                <w:sz w:val="18"/>
                <w:szCs w:val="18"/>
              </w:rPr>
              <w:t> </w:t>
            </w:r>
            <w:r>
              <w:rPr>
                <w:rFonts w:ascii="宋体" w:hAnsi="宋体" w:cs="宋体" w:eastAsia="宋体" w:hint="default"/>
                <w:spacing w:val="16"/>
                <w:sz w:val="18"/>
                <w:szCs w:val="18"/>
              </w:rPr>
              <w:t>研发费用”，本期</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64,060,229.80</w:t>
            </w:r>
            <w:r>
              <w:rPr>
                <w:rFonts w:ascii="Times New Roman" w:hAnsi="Times New Roman" w:cs="Times New Roman" w:eastAsia="Times New Roman" w:hint="default"/>
                <w:spacing w:val="-25"/>
                <w:sz w:val="18"/>
                <w:szCs w:val="18"/>
              </w:rPr>
              <w:t> </w:t>
            </w:r>
            <w:r>
              <w:rPr>
                <w:rFonts w:ascii="宋体" w:hAnsi="宋体" w:cs="宋体" w:eastAsia="宋体" w:hint="default"/>
                <w:spacing w:val="14"/>
                <w:sz w:val="18"/>
                <w:szCs w:val="18"/>
              </w:rPr>
              <w:t>元，上期</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4"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60,700,880.22</w:t>
            </w:r>
            <w:r>
              <w:rPr>
                <w:rFonts w:ascii="宋体" w:hAnsi="宋体" w:cs="宋体" w:eastAsia="宋体" w:hint="default"/>
                <w:sz w:val="18"/>
                <w:szCs w:val="18"/>
              </w:rPr>
              <w:t>元。</w:t>
            </w:r>
          </w:p>
        </w:tc>
      </w:tr>
      <w:tr>
        <w:trPr>
          <w:trHeight w:val="530" w:hRule="exact"/>
        </w:trPr>
        <w:tc>
          <w:tcPr>
            <w:tcW w:w="483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31" w:firstLine="360"/>
              <w:jc w:val="left"/>
              <w:rPr>
                <w:rFonts w:ascii="宋体" w:hAnsi="宋体" w:cs="宋体" w:eastAsia="宋体" w:hint="default"/>
                <w:sz w:val="18"/>
                <w:szCs w:val="18"/>
              </w:rPr>
            </w:pPr>
            <w:r>
              <w:rPr>
                <w:rFonts w:ascii="宋体" w:hAnsi="宋体" w:cs="宋体" w:eastAsia="宋体" w:hint="default"/>
                <w:spacing w:val="3"/>
                <w:sz w:val="18"/>
                <w:szCs w:val="18"/>
              </w:rPr>
              <w:t>股东权益变动表中新增“设定受益计划变动额结转留存 </w:t>
            </w:r>
            <w:r>
              <w:rPr>
                <w:rFonts w:ascii="宋体" w:hAnsi="宋体" w:cs="宋体" w:eastAsia="宋体" w:hint="default"/>
                <w:sz w:val="18"/>
                <w:szCs w:val="18"/>
              </w:rPr>
              <w:t>收益”项目，比较数据相应调整。</w:t>
            </w:r>
          </w:p>
        </w:tc>
        <w:tc>
          <w:tcPr>
            <w:tcW w:w="4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71" w:right="0"/>
              <w:jc w:val="left"/>
              <w:rPr>
                <w:rFonts w:ascii="宋体" w:hAnsi="宋体" w:cs="宋体" w:eastAsia="宋体" w:hint="default"/>
                <w:sz w:val="18"/>
                <w:szCs w:val="18"/>
              </w:rPr>
            </w:pPr>
            <w:r>
              <w:rPr>
                <w:rFonts w:ascii="宋体" w:hAnsi="宋体" w:cs="宋体" w:eastAsia="宋体" w:hint="default"/>
                <w:sz w:val="18"/>
                <w:szCs w:val="18"/>
              </w:rPr>
              <w:t>对本公司财务报表无影响。</w:t>
            </w:r>
          </w:p>
        </w:tc>
      </w:tr>
    </w:tbl>
    <w:p>
      <w:pPr>
        <w:spacing w:line="240" w:lineRule="auto" w:before="8"/>
        <w:rPr>
          <w:rFonts w:ascii="宋体" w:hAnsi="宋体" w:cs="宋体" w:eastAsia="宋体" w:hint="default"/>
          <w:sz w:val="6"/>
          <w:szCs w:val="6"/>
        </w:rPr>
      </w:pPr>
    </w:p>
    <w:p>
      <w:pPr>
        <w:pStyle w:val="BodyText"/>
        <w:spacing w:line="316" w:lineRule="auto"/>
        <w:ind w:left="174" w:right="1131" w:firstLine="360"/>
        <w:jc w:val="both"/>
      </w:pPr>
      <w:r>
        <w:rPr/>
        <w:pict>
          <v:group style="position:absolute;margin-left:299.140015pt;margin-top:-95.848297pt;width:234.7pt;height:26.55pt;mso-position-horizontal-relative:page;mso-position-vertical-relative:paragraph;z-index:-1027744" coordorigin="5983,-1917" coordsize="4694,531">
            <v:group style="position:absolute;left:5983;top:-1917;width:4694;height:261" coordorigin="5983,-1917" coordsize="4694,261">
              <v:shape style="position:absolute;left:5983;top:-1917;width:4694;height:261" coordorigin="5983,-1917" coordsize="4694,261" path="m5983,-1657l10676,-1657,10676,-1917,5983,-1917,5983,-1657xe" filled="true" fillcolor="#ffffff" stroked="false">
                <v:path arrowok="t"/>
                <v:fill type="solid"/>
              </v:shape>
            </v:group>
            <v:group style="position:absolute;left:5983;top:-1647;width:4694;height:261" coordorigin="5983,-1647" coordsize="4694,261">
              <v:shape style="position:absolute;left:5983;top:-1647;width:4694;height:261" coordorigin="5983,-1647" coordsize="4694,261" path="m5983,-1387l10676,-1387,10676,-1647,5983,-1647,5983,-1387xe" filled="true" fillcolor="#ffffff" stroked="false">
                <v:path arrowok="t"/>
                <v:fill type="solid"/>
              </v:shape>
            </v:group>
            <w10:wrap type="none"/>
          </v:group>
        </w:pict>
      </w:r>
      <w:r>
        <w:rPr>
          <w:spacing w:val="-2"/>
        </w:rPr>
        <w:t>除上述项目变动影响外，本次会计政策变更仅影响财务报表的列报项目，对公司总资产、负债总额、净资产及净利润无</w:t>
      </w:r>
      <w:r>
        <w:rPr/>
        <w:t> 重大影响。</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七、报告期内发生重大会计差错更正需追溯重述的情况说明" w:id="93"/>
      <w:bookmarkEnd w:id="93"/>
      <w:r>
        <w:rPr>
          <w:b w:val="0"/>
          <w:bCs w:val="0"/>
        </w:rPr>
      </w:r>
      <w:r>
        <w:rPr/>
        <w:t>七、报告期内发生重大会计差错更正需追溯重述的情况说明</w:t>
      </w:r>
      <w:r>
        <w:rPr>
          <w:b w:val="0"/>
          <w:bCs w:val="0"/>
        </w:rPr>
      </w:r>
    </w:p>
    <w:p>
      <w:pPr>
        <w:spacing w:line="240" w:lineRule="auto" w:before="10"/>
        <w:rPr>
          <w:rFonts w:ascii="宋体" w:hAnsi="宋体" w:cs="宋体" w:eastAsia="宋体" w:hint="default"/>
          <w:b/>
          <w:bCs/>
          <w:sz w:val="26"/>
          <w:szCs w:val="26"/>
        </w:rPr>
      </w:pPr>
    </w:p>
    <w:p>
      <w:pPr>
        <w:pStyle w:val="BodyText"/>
        <w:spacing w:line="338" w:lineRule="auto" w:before="0"/>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bookmarkStart w:name="八、与上年度财务报告相比，合并报表范围发生变化的情况说明" w:id="94"/>
      <w:bookmarkEnd w:id="94"/>
      <w:r>
        <w:rPr>
          <w:b w:val="0"/>
          <w:bCs w:val="0"/>
        </w:rPr>
      </w:r>
      <w:r>
        <w:rPr/>
        <w:t>八、与上年度财务报告相比，合并报表范围发生变化的情况说明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left="174"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7"/>
        </w:rPr>
        <w:t> </w:t>
      </w:r>
      <w:r>
        <w:rPr>
          <w:spacing w:val="-1"/>
        </w:rPr>
        <w:t>年，公司全资子公司丰东热技术新纳入合并报表范围的子公司及下属公司有：青岛丰东热工技术有限公司和烟</w:t>
      </w:r>
      <w:r>
        <w:rPr/>
        <w:t> 台丰东热技术有限公司。</w:t>
      </w:r>
    </w:p>
    <w:p>
      <w:pPr>
        <w:pStyle w:val="BodyText"/>
        <w:spacing w:line="312" w:lineRule="auto" w:before="68"/>
        <w:ind w:left="174" w:right="113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7"/>
        </w:rPr>
        <w:t> </w:t>
      </w:r>
      <w:r>
        <w:rPr>
          <w:spacing w:val="-1"/>
        </w:rPr>
        <w:t>年，公司全资子公司方欣科技新纳入合并报表范围的子公司及下属公司有：北京金财纵横信息咨询服务有限公</w:t>
      </w:r>
      <w:r>
        <w:rPr/>
        <w:t> </w:t>
      </w:r>
      <w:r>
        <w:rPr>
          <w:spacing w:val="-2"/>
        </w:rPr>
        <w:t>司、广东益东金财资产管理中心（有限合伙）、青岛高新金财信息科技有限公司、广州金财互联区块链科技有限公司、广东</w:t>
      </w:r>
      <w:r>
        <w:rPr>
          <w:spacing w:val="-72"/>
        </w:rPr>
        <w:t> </w:t>
      </w:r>
      <w:r>
        <w:rPr>
          <w:spacing w:val="-72"/>
        </w:rPr>
      </w:r>
      <w:r>
        <w:rPr>
          <w:spacing w:val="-2"/>
        </w:rPr>
        <w:t>龙达财税服务有限公司、深圳龙达财税有限公司、青岛百旺金赋信息科技有限公司、金财慧盈保险经纪有限公司、浙江金财</w:t>
      </w:r>
      <w:r>
        <w:rPr>
          <w:spacing w:val="-66"/>
        </w:rPr>
        <w:t> </w:t>
      </w:r>
      <w:r>
        <w:rPr>
          <w:spacing w:val="-66"/>
        </w:rPr>
      </w:r>
      <w:r>
        <w:rPr/>
        <w:t>共享智能科技有限公司。</w:t>
      </w:r>
    </w:p>
    <w:p>
      <w:pPr>
        <w:pStyle w:val="BodyText"/>
        <w:spacing w:line="338" w:lineRule="auto" w:before="62"/>
        <w:ind w:right="117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年，公司全资子公司方欣科技下属公司浙江金财原下属子公司上海灏友企业服务有限公司于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年内注销。 注：</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日，公司召开了第四届董事会第二十次会议，审议通过了全资子公司方欣科技以交易对价</w:t>
      </w:r>
      <w:r>
        <w:rPr>
          <w:spacing w:val="-47"/>
        </w:rPr>
        <w:t> </w:t>
      </w:r>
      <w:r>
        <w:rPr>
          <w:rFonts w:ascii="Times New Roman" w:hAnsi="Times New Roman" w:cs="Times New Roman" w:eastAsia="Times New Roman" w:hint="default"/>
        </w:rPr>
        <w:t>11,270</w:t>
      </w:r>
    </w:p>
    <w:p>
      <w:pPr>
        <w:pStyle w:val="BodyText"/>
        <w:spacing w:line="230" w:lineRule="exact" w:before="0"/>
        <w:ind w:left="174" w:right="0"/>
        <w:jc w:val="left"/>
      </w:pPr>
      <w:r>
        <w:rPr/>
        <w:t>万元人民币向关联方朱文明先生及徐正军先生购买其二位拥有的广东益东金财资产管理中心（有限合伙）合计</w:t>
      </w:r>
      <w:r>
        <w:rPr>
          <w:spacing w:val="-45"/>
        </w:rPr>
        <w:t> </w:t>
      </w:r>
      <w:r>
        <w:rPr>
          <w:rFonts w:ascii="Times New Roman" w:hAnsi="Times New Roman" w:cs="Times New Roman" w:eastAsia="Times New Roman" w:hint="default"/>
        </w:rPr>
        <w:t>98%</w:t>
      </w:r>
      <w:r>
        <w:rPr/>
        <w:t>的投资</w:t>
      </w:r>
    </w:p>
    <w:p>
      <w:pPr>
        <w:pStyle w:val="BodyText"/>
        <w:spacing w:line="302" w:lineRule="auto" w:before="63"/>
        <w:ind w:left="174" w:right="1023"/>
        <w:jc w:val="left"/>
      </w:pPr>
      <w:r>
        <w:rPr/>
        <w:t>份额。</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日，公司召开了第四届董事会第二十一次会议，审议通过了全资二级子公司广州方欣现代信息产业 园有限公司以交易对价 </w:t>
      </w:r>
      <w:r>
        <w:rPr>
          <w:rFonts w:ascii="Times New Roman" w:hAnsi="Times New Roman" w:cs="Times New Roman" w:eastAsia="Times New Roman" w:hint="default"/>
        </w:rPr>
        <w:t>230  </w:t>
      </w:r>
      <w:r>
        <w:rPr/>
        <w:t>万元人民币向关联方朱文明先生及徐正军先生购买其二位拥有的益东金财合计</w:t>
      </w:r>
      <w:r>
        <w:rPr>
          <w:spacing w:val="-51"/>
        </w:rPr>
        <w:t> </w:t>
      </w:r>
      <w:r>
        <w:rPr>
          <w:rFonts w:ascii="Times New Roman" w:hAnsi="Times New Roman" w:cs="Times New Roman" w:eastAsia="Times New Roman" w:hint="default"/>
        </w:rPr>
        <w:t>2%</w:t>
      </w:r>
      <w:r>
        <w:rPr/>
        <w:t>的投资份额。</w:t>
      </w:r>
    </w:p>
    <w:p>
      <w:pPr>
        <w:pStyle w:val="BodyText"/>
        <w:spacing w:line="319" w:lineRule="auto" w:before="49"/>
        <w:ind w:left="174" w:right="1132" w:firstLine="360"/>
        <w:jc w:val="both"/>
      </w:pPr>
      <w:r>
        <w:rPr>
          <w:spacing w:val="-2"/>
        </w:rPr>
        <w:t>本次交易完成后，益东金财被纳入公司合并报表范围。由于益东金财的原合伙人为公司实际控制人朱文明先生及公司副</w:t>
      </w:r>
      <w:r>
        <w:rPr/>
        <w:t> 董事长徐正军先生，且该控制并非暂时性的， 因此公司全资子公司收购益东金财的财产份额为同一控制下的企业合并。公 </w:t>
      </w:r>
      <w:r>
        <w:rPr>
          <w:spacing w:val="-2"/>
        </w:rPr>
        <w:t>司在合并当期编制合并报表时，对合并资产负债表的期初数进行调整，同时对比较报表的相关项目进行调整，视同合并后的</w:t>
      </w:r>
      <w:r>
        <w:rPr>
          <w:spacing w:val="-66"/>
        </w:rPr>
        <w:t> </w:t>
      </w:r>
      <w:r>
        <w:rPr>
          <w:spacing w:val="-66"/>
        </w:rPr>
      </w:r>
      <w:r>
        <w:rPr/>
        <w:t>报告主体在以前期间一直存在。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九、聘任、解聘会计师事务所情况" w:id="95"/>
      <w:bookmarkEnd w:id="95"/>
      <w:r>
        <w:rPr>
          <w:b w:val="0"/>
          <w:bCs w:val="0"/>
        </w:rPr>
      </w:r>
      <w:r>
        <w:rPr/>
        <w:t>九、聘任、解聘会计师事务所情况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4792"/>
        <w:gridCol w:w="4777"/>
      </w:tblGrid>
      <w:tr>
        <w:trPr>
          <w:trHeight w:val="33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330"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174.50</w:t>
            </w:r>
          </w:p>
        </w:tc>
      </w:tr>
      <w:tr>
        <w:trPr>
          <w:trHeight w:val="330"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30"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hAnsi="宋体" w:cs="宋体" w:eastAsia="宋体" w:hint="default"/>
                <w:sz w:val="18"/>
                <w:szCs w:val="18"/>
              </w:rPr>
              <w:t>冯家俊、赵海蓉</w:t>
            </w:r>
          </w:p>
        </w:tc>
      </w:tr>
      <w:tr>
        <w:trPr>
          <w:trHeight w:val="33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t>当期是否改聘会计师事务所</w:t>
      </w:r>
    </w:p>
    <w:p>
      <w:pPr>
        <w:pStyle w:val="BodyText"/>
        <w:spacing w:line="340" w:lineRule="auto" w:before="116"/>
        <w:ind w:right="58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2"/>
        <w:ind w:right="0"/>
        <w:jc w:val="left"/>
        <w:rPr>
          <w:b w:val="0"/>
          <w:bCs w:val="0"/>
        </w:rPr>
      </w:pPr>
      <w:bookmarkStart w:name="十、年度报告披露后面临暂停上市和终止上市情况" w:id="96"/>
      <w:bookmarkEnd w:id="96"/>
      <w:r>
        <w:rPr>
          <w:b w:val="0"/>
          <w:bCs w:val="0"/>
        </w:rPr>
      </w:r>
      <w:r>
        <w:rPr/>
        <w:t>十、年度报告披露后面临暂停上市和终止上市情况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2"/>
        <w:ind w:right="0"/>
        <w:jc w:val="left"/>
        <w:rPr>
          <w:b w:val="0"/>
          <w:bCs w:val="0"/>
        </w:rPr>
      </w:pPr>
      <w:bookmarkStart w:name="十一、破产重整相关事项" w:id="97"/>
      <w:bookmarkEnd w:id="97"/>
      <w:r>
        <w:rPr>
          <w:b w:val="0"/>
          <w:bCs w:val="0"/>
        </w:rPr>
      </w:r>
      <w:r>
        <w:rPr/>
        <w:t>十一、破产重整相关事项</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before="0"/>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bookmarkStart w:name="十二、重大诉讼、仲裁事项" w:id="98"/>
      <w:bookmarkEnd w:id="98"/>
      <w:r>
        <w:rPr>
          <w:b w:val="0"/>
          <w:bCs w:val="0"/>
        </w:rPr>
      </w:r>
      <w:r>
        <w:rPr/>
        <w:t>十二、重大诉讼、仲裁事项</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before="0"/>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三、处罚及整改情况" w:id="99"/>
      <w:bookmarkEnd w:id="99"/>
      <w:r>
        <w:rPr>
          <w:b w:val="0"/>
          <w:bCs w:val="0"/>
        </w:rPr>
      </w:r>
      <w:r>
        <w:rPr/>
        <w:t>十三、处罚及整改情况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before="0"/>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十四、公司及其控股股东、实际控制人的诚信状况" w:id="100"/>
      <w:bookmarkEnd w:id="100"/>
      <w:r>
        <w:rPr>
          <w:b w:val="0"/>
          <w:bCs w:val="0"/>
        </w:rPr>
      </w:r>
      <w:r>
        <w:rPr/>
        <w:t>十四、公司及其控股股东、实际控制人的诚信状况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2"/>
        <w:ind w:right="0"/>
        <w:jc w:val="left"/>
        <w:rPr>
          <w:b w:val="0"/>
          <w:bCs w:val="0"/>
        </w:rPr>
      </w:pPr>
      <w:bookmarkStart w:name="十五、公司股权激励计划、员工持股计划或其他员工激励措施的实施情况" w:id="101"/>
      <w:bookmarkEnd w:id="101"/>
      <w:r>
        <w:rPr>
          <w:b w:val="0"/>
          <w:bCs w:val="0"/>
        </w:rPr>
      </w:r>
      <w:r>
        <w:rPr/>
        <w:t>十五、公司股权激励计划、员工持股计划或其他员工激励措施的实施情况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right="148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六、重大关联交易" w:id="102"/>
      <w:bookmarkEnd w:id="102"/>
      <w:r>
        <w:rPr>
          <w:b w:val="0"/>
          <w:bCs w:val="0"/>
        </w:rPr>
      </w:r>
      <w:r>
        <w:rPr/>
        <w:t>十六、重大关联交易</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与日常经营相关的关联交易" w:id="103"/>
      <w:bookmarkEnd w:id="103"/>
      <w:r>
        <w:rPr>
          <w:b w:val="0"/>
          <w:bCs w:val="0"/>
        </w:rPr>
      </w:r>
      <w:r>
        <w:rPr>
          <w:rFonts w:ascii="Times New Roman" w:hAnsi="Times New Roman" w:cs="Times New Roman" w:eastAsia="Times New Roman" w:hint="default"/>
        </w:rPr>
        <w:t>1</w:t>
      </w:r>
      <w:r>
        <w:rPr/>
        <w:t>、与日常经营相关的关联交易</w:t>
      </w:r>
      <w:r>
        <w:rPr>
          <w:b w:val="0"/>
          <w:bCs w:val="0"/>
        </w:rPr>
      </w:r>
    </w:p>
    <w:p>
      <w:pPr>
        <w:pStyle w:val="BodyText"/>
        <w:spacing w:line="240" w:lineRule="auto" w:before="15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851"/>
        <w:gridCol w:w="709"/>
        <w:gridCol w:w="568"/>
        <w:gridCol w:w="708"/>
        <w:gridCol w:w="566"/>
        <w:gridCol w:w="426"/>
        <w:gridCol w:w="708"/>
        <w:gridCol w:w="709"/>
        <w:gridCol w:w="709"/>
        <w:gridCol w:w="566"/>
        <w:gridCol w:w="568"/>
        <w:gridCol w:w="709"/>
        <w:gridCol w:w="708"/>
        <w:gridCol w:w="1063"/>
      </w:tblGrid>
      <w:tr>
        <w:trPr>
          <w:trHeight w:val="97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50" w:right="149" w:firstLine="90"/>
              <w:jc w:val="left"/>
              <w:rPr>
                <w:rFonts w:ascii="宋体" w:hAnsi="宋体" w:cs="宋体" w:eastAsia="宋体" w:hint="default"/>
                <w:sz w:val="18"/>
                <w:szCs w:val="18"/>
              </w:rPr>
            </w:pPr>
            <w:r>
              <w:rPr>
                <w:rFonts w:ascii="宋体" w:hAnsi="宋体" w:cs="宋体" w:eastAsia="宋体" w:hint="default"/>
                <w:sz w:val="18"/>
                <w:szCs w:val="18"/>
              </w:rPr>
              <w:t>关联 交易方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69" w:right="16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98" w:right="97"/>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77" w:right="7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8" w:right="96"/>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27" w:right="27"/>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78" w:right="78"/>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
              <w:ind w:left="22" w:right="-45"/>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9" w:right="78"/>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9" w:right="78"/>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8" w:right="96"/>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8" w:right="99"/>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79" w:right="7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3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96"/>
              <w:jc w:val="left"/>
              <w:rPr>
                <w:rFonts w:ascii="宋体" w:hAnsi="宋体" w:cs="宋体" w:eastAsia="宋体" w:hint="default"/>
                <w:sz w:val="18"/>
                <w:szCs w:val="18"/>
              </w:rPr>
            </w:pPr>
            <w:r>
              <w:rPr>
                <w:rFonts w:ascii="宋体" w:hAnsi="宋体" w:cs="宋体" w:eastAsia="宋体" w:hint="default"/>
                <w:sz w:val="18"/>
                <w:szCs w:val="18"/>
              </w:rPr>
              <w:t>东方工程 株式会社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3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东</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173"/>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313"/>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1227.20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8" w:lineRule="auto"/>
              <w:ind w:left="22" w:right="28"/>
              <w:jc w:val="left"/>
              <w:rPr>
                <w:rFonts w:ascii="Times New Roman" w:hAnsi="Times New Roman" w:cs="Times New Roman" w:eastAsia="Times New Roman" w:hint="default"/>
                <w:sz w:val="18"/>
                <w:szCs w:val="18"/>
              </w:rPr>
            </w:pPr>
            <w:r>
              <w:rPr>
                <w:rFonts w:ascii="Times New Roman"/>
                <w:sz w:val="18"/>
              </w:rPr>
              <w:t>http://www.c ninfo.com.cn/ new/disclosur</w:t>
            </w:r>
            <w:r>
              <w:rPr>
                <w:rFonts w:ascii="Times New Roman"/>
                <w:w w:val="99"/>
                <w:sz w:val="18"/>
              </w:rPr>
              <w:t> </w:t>
            </w:r>
            <w:r>
              <w:rPr>
                <w:rFonts w:ascii="Times New Roman"/>
                <w:sz w:val="18"/>
              </w:rPr>
              <w:t>e/detail?plate</w:t>
            </w:r>
          </w:p>
          <w:p>
            <w:pPr>
              <w:pStyle w:val="TableParagraph"/>
              <w:spacing w:line="278" w:lineRule="auto" w:before="1"/>
              <w:ind w:left="22" w:right="47"/>
              <w:jc w:val="both"/>
              <w:rPr>
                <w:rFonts w:ascii="Times New Roman" w:hAnsi="Times New Roman" w:cs="Times New Roman" w:eastAsia="Times New Roman" w:hint="default"/>
                <w:sz w:val="18"/>
                <w:szCs w:val="18"/>
              </w:rPr>
            </w:pPr>
            <w:r>
              <w:rPr>
                <w:rFonts w:ascii="Times New Roman"/>
                <w:sz w:val="18"/>
              </w:rPr>
              <w:t>=szse&amp;stock Code=00253 0&amp;announce mentId=1204 675371&amp;ann ouncementTi me=2018-04- 23</w:t>
            </w:r>
          </w:p>
        </w:tc>
      </w:tr>
      <w:tr>
        <w:trPr>
          <w:trHeight w:val="9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96"/>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314"/>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313"/>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3,071.97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6,000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3071.97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vMerge/>
            <w:tcBorders>
              <w:left w:val="single" w:sz="4" w:space="0" w:color="000000"/>
              <w:right w:val="single" w:sz="4" w:space="0" w:color="000000"/>
            </w:tcBorders>
          </w:tcPr>
          <w:p>
            <w:pPr/>
          </w:p>
        </w:tc>
      </w:tr>
      <w:tr>
        <w:trPr>
          <w:trHeight w:val="9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96"/>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314"/>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33"/>
              <w:jc w:val="both"/>
              <w:rPr>
                <w:rFonts w:ascii="宋体" w:hAnsi="宋体" w:cs="宋体" w:eastAsia="宋体" w:hint="default"/>
                <w:sz w:val="18"/>
                <w:szCs w:val="18"/>
              </w:rPr>
            </w:pPr>
            <w:r>
              <w:rPr>
                <w:rFonts w:ascii="宋体" w:hAnsi="宋体" w:cs="宋体" w:eastAsia="宋体" w:hint="default"/>
                <w:sz w:val="18"/>
                <w:szCs w:val="18"/>
              </w:rPr>
              <w:t>销售设 备及配 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529.15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529.15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vMerge/>
            <w:tcBorders>
              <w:left w:val="single" w:sz="4" w:space="0" w:color="000000"/>
              <w:right w:val="single" w:sz="4" w:space="0" w:color="000000"/>
            </w:tcBorders>
          </w:tcPr>
          <w:p>
            <w:pPr/>
          </w:p>
        </w:tc>
      </w:tr>
      <w:tr>
        <w:trPr>
          <w:trHeight w:val="73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96"/>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314"/>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173"/>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33"/>
              <w:jc w:val="both"/>
              <w:rPr>
                <w:rFonts w:ascii="宋体" w:hAnsi="宋体" w:cs="宋体" w:eastAsia="宋体" w:hint="default"/>
                <w:sz w:val="18"/>
                <w:szCs w:val="18"/>
              </w:rPr>
            </w:pPr>
            <w:r>
              <w:rPr>
                <w:rFonts w:ascii="宋体" w:hAnsi="宋体" w:cs="宋体" w:eastAsia="宋体" w:hint="default"/>
                <w:sz w:val="18"/>
                <w:szCs w:val="18"/>
              </w:rPr>
              <w:t>销售设 备及配 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vMerge/>
            <w:tcBorders>
              <w:left w:val="single" w:sz="4" w:space="0" w:color="000000"/>
              <w:right w:val="single" w:sz="4" w:space="0" w:color="000000"/>
            </w:tcBorders>
          </w:tcPr>
          <w:p>
            <w:pPr/>
          </w:p>
        </w:tc>
      </w:tr>
      <w:tr>
        <w:trPr>
          <w:trHeight w:val="73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96"/>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314"/>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73"/>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33"/>
              <w:jc w:val="both"/>
              <w:rPr>
                <w:rFonts w:ascii="宋体" w:hAnsi="宋体" w:cs="宋体" w:eastAsia="宋体" w:hint="default"/>
                <w:sz w:val="18"/>
                <w:szCs w:val="18"/>
              </w:rPr>
            </w:pPr>
            <w:r>
              <w:rPr>
                <w:rFonts w:ascii="宋体" w:hAnsi="宋体" w:cs="宋体" w:eastAsia="宋体" w:hint="default"/>
                <w:sz w:val="18"/>
                <w:szCs w:val="18"/>
              </w:rPr>
              <w:t>销售设 备及配 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vMerge/>
            <w:tcBorders>
              <w:left w:val="single" w:sz="4" w:space="0" w:color="000000"/>
              <w:right w:val="single" w:sz="4" w:space="0" w:color="000000"/>
            </w:tcBorders>
          </w:tcPr>
          <w:p>
            <w:pPr/>
          </w:p>
        </w:tc>
      </w:tr>
      <w:tr>
        <w:trPr>
          <w:trHeight w:val="9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96"/>
              <w:jc w:val="both"/>
              <w:rPr>
                <w:rFonts w:ascii="宋体" w:hAnsi="宋体" w:cs="宋体" w:eastAsia="宋体" w:hint="default"/>
                <w:sz w:val="18"/>
                <w:szCs w:val="18"/>
              </w:rPr>
            </w:pPr>
            <w:r>
              <w:rPr>
                <w:rFonts w:ascii="宋体" w:hAnsi="宋体" w:cs="宋体" w:eastAsia="宋体" w:hint="default"/>
                <w:sz w:val="18"/>
                <w:szCs w:val="18"/>
              </w:rPr>
              <w:t>上海君德 实业有限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34"/>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房屋 租赁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313"/>
              <w:jc w:val="left"/>
              <w:rPr>
                <w:rFonts w:ascii="宋体" w:hAnsi="宋体" w:cs="宋体" w:eastAsia="宋体" w:hint="default"/>
                <w:sz w:val="18"/>
                <w:szCs w:val="18"/>
              </w:rPr>
            </w:pPr>
            <w:r>
              <w:rPr>
                <w:rFonts w:ascii="宋体" w:hAnsi="宋体" w:cs="宋体" w:eastAsia="宋体" w:hint="default"/>
                <w:sz w:val="18"/>
                <w:szCs w:val="18"/>
              </w:rPr>
              <w:t>承租 房屋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214.86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84.58%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240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214.86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vMerge/>
            <w:tcBorders>
              <w:left w:val="single" w:sz="4" w:space="0" w:color="000000"/>
              <w:bottom w:val="single" w:sz="4" w:space="0" w:color="000000"/>
              <w:right w:val="single" w:sz="4" w:space="0" w:color="000000"/>
            </w:tcBorders>
          </w:tcPr>
          <w:p>
            <w:pPr/>
          </w:p>
        </w:tc>
      </w:tr>
      <w:tr>
        <w:trPr>
          <w:trHeight w:val="73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96"/>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314"/>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173"/>
              <w:jc w:val="left"/>
              <w:rPr>
                <w:rFonts w:ascii="宋体" w:hAnsi="宋体" w:cs="宋体" w:eastAsia="宋体" w:hint="default"/>
                <w:sz w:val="18"/>
                <w:szCs w:val="18"/>
              </w:rPr>
            </w:pPr>
            <w:r>
              <w:rPr>
                <w:rFonts w:ascii="宋体" w:hAnsi="宋体" w:cs="宋体" w:eastAsia="宋体" w:hint="default"/>
                <w:sz w:val="18"/>
                <w:szCs w:val="18"/>
              </w:rPr>
              <w:t>房屋 租赁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313"/>
              <w:jc w:val="left"/>
              <w:rPr>
                <w:rFonts w:ascii="宋体" w:hAnsi="宋体" w:cs="宋体" w:eastAsia="宋体" w:hint="default"/>
                <w:sz w:val="18"/>
                <w:szCs w:val="18"/>
              </w:rPr>
            </w:pPr>
            <w:r>
              <w:rPr>
                <w:rFonts w:ascii="宋体" w:hAnsi="宋体" w:cs="宋体" w:eastAsia="宋体" w:hint="default"/>
                <w:sz w:val="18"/>
                <w:szCs w:val="18"/>
              </w:rPr>
              <w:t>承租 房屋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39.18</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8"/>
              <w:ind w:left="22" w:right="128"/>
              <w:jc w:val="left"/>
              <w:rPr>
                <w:rFonts w:ascii="宋体" w:hAnsi="宋体" w:cs="宋体" w:eastAsia="宋体" w:hint="default"/>
                <w:sz w:val="18"/>
                <w:szCs w:val="18"/>
              </w:rPr>
            </w:pPr>
            <w:r>
              <w:rPr>
                <w:rFonts w:ascii="宋体" w:hAnsi="宋体" w:cs="宋体" w:eastAsia="宋体" w:hint="default"/>
                <w:sz w:val="18"/>
                <w:szCs w:val="18"/>
              </w:rPr>
              <w:t>未达披露标 准</w:t>
            </w:r>
          </w:p>
        </w:tc>
      </w:tr>
      <w:tr>
        <w:trPr>
          <w:trHeight w:val="9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96"/>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2" w:right="314"/>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房屋 租赁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2" w:right="313"/>
              <w:jc w:val="left"/>
              <w:rPr>
                <w:rFonts w:ascii="宋体" w:hAnsi="宋体" w:cs="宋体" w:eastAsia="宋体" w:hint="default"/>
                <w:sz w:val="18"/>
                <w:szCs w:val="18"/>
              </w:rPr>
            </w:pPr>
            <w:r>
              <w:rPr>
                <w:rFonts w:ascii="宋体" w:hAnsi="宋体" w:cs="宋体" w:eastAsia="宋体" w:hint="default"/>
                <w:sz w:val="18"/>
                <w:szCs w:val="18"/>
              </w:rPr>
              <w:t>出租 房屋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14.29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3"/>
              <w:jc w:val="right"/>
              <w:rPr>
                <w:rFonts w:ascii="Times New Roman" w:hAnsi="Times New Roman" w:cs="Times New Roman" w:eastAsia="Times New Roman" w:hint="default"/>
                <w:sz w:val="18"/>
                <w:szCs w:val="18"/>
              </w:rPr>
            </w:pPr>
            <w:r>
              <w:rPr>
                <w:rFonts w:ascii="Times New Roman"/>
                <w:sz w:val="18"/>
              </w:rPr>
              <w:t>15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14.29</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73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96"/>
              <w:jc w:val="left"/>
              <w:rPr>
                <w:rFonts w:ascii="宋体" w:hAnsi="宋体" w:cs="宋体" w:eastAsia="宋体" w:hint="default"/>
                <w:sz w:val="18"/>
                <w:szCs w:val="18"/>
              </w:rPr>
            </w:pPr>
            <w:r>
              <w:rPr>
                <w:rFonts w:ascii="宋体" w:hAnsi="宋体" w:cs="宋体" w:eastAsia="宋体" w:hint="default"/>
                <w:sz w:val="18"/>
                <w:szCs w:val="18"/>
              </w:rPr>
              <w:t>东方工程 株式会社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3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东</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73"/>
              <w:jc w:val="left"/>
              <w:rPr>
                <w:rFonts w:ascii="宋体" w:hAnsi="宋体" w:cs="宋体" w:eastAsia="宋体" w:hint="default"/>
                <w:sz w:val="18"/>
                <w:szCs w:val="18"/>
              </w:rPr>
            </w:pPr>
            <w:r>
              <w:rPr>
                <w:rFonts w:ascii="宋体" w:hAnsi="宋体" w:cs="宋体" w:eastAsia="宋体" w:hint="default"/>
                <w:sz w:val="18"/>
                <w:szCs w:val="18"/>
              </w:rPr>
              <w:t>劳务 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33"/>
              <w:jc w:val="left"/>
              <w:rPr>
                <w:rFonts w:ascii="宋体" w:hAnsi="宋体" w:cs="宋体" w:eastAsia="宋体" w:hint="default"/>
                <w:sz w:val="18"/>
                <w:szCs w:val="18"/>
              </w:rPr>
            </w:pPr>
            <w:r>
              <w:rPr>
                <w:rFonts w:ascii="宋体" w:hAnsi="宋体" w:cs="宋体" w:eastAsia="宋体" w:hint="default"/>
                <w:sz w:val="18"/>
                <w:szCs w:val="18"/>
              </w:rPr>
              <w:t>接受劳 务服务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52.07</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97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96"/>
              <w:jc w:val="both"/>
              <w:rPr>
                <w:rFonts w:ascii="宋体" w:hAnsi="宋体" w:cs="宋体" w:eastAsia="宋体" w:hint="default"/>
                <w:sz w:val="18"/>
                <w:szCs w:val="18"/>
              </w:rPr>
            </w:pPr>
            <w:r>
              <w:rPr>
                <w:rFonts w:ascii="宋体" w:hAnsi="宋体" w:cs="宋体" w:eastAsia="宋体" w:hint="default"/>
                <w:sz w:val="18"/>
                <w:szCs w:val="18"/>
              </w:rPr>
              <w:t>寰海保险 经纪有限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3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东控制 的公司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133"/>
              <w:jc w:val="both"/>
              <w:rPr>
                <w:rFonts w:ascii="宋体" w:hAnsi="宋体" w:cs="宋体" w:eastAsia="宋体" w:hint="default"/>
                <w:sz w:val="18"/>
                <w:szCs w:val="18"/>
              </w:rPr>
            </w:pPr>
            <w:r>
              <w:rPr>
                <w:rFonts w:ascii="宋体" w:hAnsi="宋体" w:cs="宋体" w:eastAsia="宋体" w:hint="default"/>
                <w:sz w:val="18"/>
                <w:szCs w:val="18"/>
              </w:rPr>
              <w:t>产品开 发及服 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307.01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51.10%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838.75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307.01</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2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福瑞购</w:t>
            </w:r>
          </w:p>
          <w:p>
            <w:pPr>
              <w:pStyle w:val="TableParagraph"/>
              <w:spacing w:line="244" w:lineRule="auto" w:before="4"/>
              <w:ind w:left="22" w:right="96"/>
              <w:jc w:val="both"/>
              <w:rPr>
                <w:rFonts w:ascii="宋体" w:hAnsi="宋体" w:cs="宋体" w:eastAsia="宋体" w:hint="default"/>
                <w:sz w:val="18"/>
                <w:szCs w:val="18"/>
              </w:rPr>
            </w:pPr>
            <w:r>
              <w:rPr>
                <w:rFonts w:ascii="宋体" w:hAnsi="宋体" w:cs="宋体" w:eastAsia="宋体" w:hint="default"/>
                <w:sz w:val="18"/>
                <w:szCs w:val="18"/>
              </w:rPr>
              <w:t>（天津） 电子商务 有限责任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3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 东控制 的公司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2" w:right="133"/>
              <w:jc w:val="both"/>
              <w:rPr>
                <w:rFonts w:ascii="宋体" w:hAnsi="宋体" w:cs="宋体" w:eastAsia="宋体" w:hint="default"/>
                <w:sz w:val="18"/>
                <w:szCs w:val="18"/>
              </w:rPr>
            </w:pPr>
            <w:r>
              <w:rPr>
                <w:rFonts w:ascii="宋体" w:hAnsi="宋体" w:cs="宋体" w:eastAsia="宋体" w:hint="default"/>
                <w:sz w:val="18"/>
                <w:szCs w:val="18"/>
              </w:rPr>
              <w:t>产品开 发及服 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293.80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30" w:hRule="exact"/>
        </w:trPr>
        <w:tc>
          <w:tcPr>
            <w:tcW w:w="28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6,080.53</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w w:val="95"/>
                <w:sz w:val="18"/>
              </w:rPr>
              <w:t>11,991.4</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28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3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10" w:hRule="exact"/>
        </w:trPr>
        <w:tc>
          <w:tcPr>
            <w:tcW w:w="28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01"/>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的实际履行情况（如有）</w:t>
            </w:r>
          </w:p>
        </w:tc>
        <w:tc>
          <w:tcPr>
            <w:tcW w:w="673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 w:right="-49"/>
              <w:jc w:val="left"/>
              <w:rPr>
                <w:rFonts w:ascii="宋体" w:hAnsi="宋体" w:cs="宋体" w:eastAsia="宋体" w:hint="default"/>
                <w:sz w:val="18"/>
                <w:szCs w:val="18"/>
              </w:rPr>
            </w:pPr>
            <w:r>
              <w:rPr>
                <w:rFonts w:ascii="宋体" w:hAnsi="宋体" w:cs="宋体" w:eastAsia="宋体" w:hint="default"/>
                <w:sz w:val="18"/>
                <w:szCs w:val="18"/>
              </w:rPr>
              <w:t>报告期内，实际发生的日常关联交易金额在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年度预计日常关联交易额度范围内。</w:t>
            </w:r>
          </w:p>
        </w:tc>
      </w:tr>
      <w:tr>
        <w:trPr>
          <w:trHeight w:val="570" w:hRule="exact"/>
        </w:trPr>
        <w:tc>
          <w:tcPr>
            <w:tcW w:w="28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1"/>
              <w:ind w:left="22" w:right="10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3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资产或股权收购、出售发生的关联交易" w:id="104"/>
      <w:bookmarkEnd w:id="10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pStyle w:val="BodyText"/>
        <w:spacing w:line="340" w:lineRule="auto" w:before="158"/>
        <w:ind w:right="60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40" w:lineRule="auto"/>
        <w:jc w:val="left"/>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共同对外投资的关联交易" w:id="105"/>
      <w:bookmarkEnd w:id="105"/>
      <w:r>
        <w:rPr>
          <w:b w:val="0"/>
          <w:bCs w:val="0"/>
        </w:rPr>
      </w:r>
      <w:r>
        <w:rPr>
          <w:rFonts w:ascii="Times New Roman" w:hAnsi="Times New Roman" w:cs="Times New Roman" w:eastAsia="Times New Roman" w:hint="default"/>
        </w:rPr>
        <w:t>3</w:t>
      </w:r>
      <w:r>
        <w:rPr/>
        <w:t>、共同对外投资的关联交易</w:t>
      </w:r>
      <w:r>
        <w:rPr>
          <w:b w:val="0"/>
          <w:bCs w:val="0"/>
        </w:rPr>
      </w:r>
    </w:p>
    <w:p>
      <w:pPr>
        <w:pStyle w:val="BodyText"/>
        <w:spacing w:line="338" w:lineRule="auto" w:before="15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pStyle w:val="Heading3"/>
        <w:spacing w:line="240" w:lineRule="auto" w:before="154"/>
        <w:ind w:right="0"/>
        <w:jc w:val="left"/>
        <w:rPr>
          <w:b w:val="0"/>
          <w:bCs w:val="0"/>
        </w:rPr>
      </w:pPr>
      <w:bookmarkStart w:name="4、关联债权债务往来" w:id="106"/>
      <w:bookmarkEnd w:id="106"/>
      <w:r>
        <w:rPr>
          <w:b w:val="0"/>
          <w:bCs w:val="0"/>
        </w:rPr>
      </w:r>
      <w:r>
        <w:rPr>
          <w:rFonts w:ascii="Times New Roman" w:hAnsi="Times New Roman" w:cs="Times New Roman" w:eastAsia="Times New Roman" w:hint="default"/>
        </w:rPr>
        <w:t>4</w:t>
      </w:r>
      <w:r>
        <w:rPr/>
        <w:t>、关联债权债务往来</w:t>
      </w:r>
      <w:r>
        <w:rPr>
          <w:b w:val="0"/>
          <w:bCs w:val="0"/>
        </w:rPr>
      </w:r>
    </w:p>
    <w:p>
      <w:pPr>
        <w:pStyle w:val="BodyText"/>
        <w:spacing w:line="340" w:lineRule="auto" w:before="158"/>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pStyle w:val="Heading3"/>
        <w:spacing w:line="240" w:lineRule="auto" w:before="150"/>
        <w:ind w:right="0"/>
        <w:jc w:val="left"/>
        <w:rPr>
          <w:b w:val="0"/>
          <w:bCs w:val="0"/>
        </w:rPr>
      </w:pPr>
      <w:bookmarkStart w:name="5、其他重大关联交易" w:id="107"/>
      <w:bookmarkEnd w:id="107"/>
      <w:r>
        <w:rPr>
          <w:b w:val="0"/>
          <w:bCs w:val="0"/>
        </w:rPr>
      </w:r>
      <w:r>
        <w:rPr>
          <w:rFonts w:ascii="Times New Roman" w:hAnsi="Times New Roman" w:cs="Times New Roman" w:eastAsia="Times New Roman" w:hint="default"/>
        </w:rPr>
        <w:t>5</w:t>
      </w:r>
      <w:r>
        <w:rPr/>
        <w:t>、其他重大关联交易</w:t>
      </w:r>
      <w:r>
        <w:rPr>
          <w:b w:val="0"/>
          <w:bCs w:val="0"/>
        </w:rPr>
      </w:r>
    </w:p>
    <w:p>
      <w:pPr>
        <w:pStyle w:val="BodyText"/>
        <w:spacing w:line="240" w:lineRule="auto" w:before="15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left="174" w:right="1026"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日，公司召开了第四届董事会第十八次会议，审议通过了《关于热处理板块相关联企业引入员工持 </w:t>
      </w:r>
      <w:r>
        <w:rPr>
          <w:spacing w:val="-2"/>
        </w:rPr>
        <w:t>股平台投资暨关联交易的议案》，为建立与公司核心经营管理团队的利益分享机制，提高优秀人才的凝聚力，并形成长效激</w:t>
      </w:r>
      <w:r>
        <w:rPr>
          <w:spacing w:val="-72"/>
        </w:rPr>
        <w:t> </w:t>
      </w:r>
      <w:r>
        <w:rPr>
          <w:spacing w:val="-72"/>
        </w:rPr>
      </w:r>
      <w:r>
        <w:rPr>
          <w:spacing w:val="-2"/>
        </w:rPr>
        <w:t>励体系，公司组织核心管理人员及技术、业务团队成立了员工持股平台</w:t>
      </w:r>
      <w:r>
        <w:rPr>
          <w:rFonts w:ascii="Times New Roman" w:hAnsi="Times New Roman" w:cs="Times New Roman" w:eastAsia="Times New Roman" w:hint="default"/>
          <w:spacing w:val="-2"/>
        </w:rPr>
        <w:t>——</w:t>
      </w:r>
      <w:r>
        <w:rPr>
          <w:spacing w:val="-2"/>
        </w:rPr>
        <w:t>盐城大丰东鑫投资管理合伙企业（有限合伙），</w:t>
      </w:r>
      <w:r>
        <w:rPr>
          <w:spacing w:val="-72"/>
        </w:rPr>
        <w:t> </w:t>
      </w:r>
      <w:r>
        <w:rPr>
          <w:spacing w:val="-72"/>
        </w:rPr>
      </w:r>
      <w:r>
        <w:rPr/>
        <w:t>拟由持股平台共同参与热处理板块部分相关联企业投资，投资总额在人民币</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万元以内，在保证公司控股权的前提下， 持股平台对单个企业投资比例在</w:t>
      </w:r>
      <w:r>
        <w:rPr>
          <w:spacing w:val="-39"/>
        </w:rPr>
        <w:t> </w:t>
      </w:r>
      <w:r>
        <w:rPr>
          <w:rFonts w:ascii="Times New Roman" w:hAnsi="Times New Roman" w:cs="Times New Roman" w:eastAsia="Times New Roman" w:hint="default"/>
          <w:spacing w:val="-3"/>
        </w:rPr>
        <w:t>15%</w:t>
      </w:r>
      <w:r>
        <w:rPr>
          <w:spacing w:val="-3"/>
        </w:rPr>
        <w:t>以下（视具体项目而定）。公司董事朱小军先生兼任持股平台执行事务合伙人，公司董</w:t>
      </w:r>
      <w:r>
        <w:rPr>
          <w:spacing w:val="-74"/>
        </w:rPr>
        <w:t> </w:t>
      </w:r>
      <w:r>
        <w:rPr>
          <w:spacing w:val="-74"/>
        </w:rPr>
      </w:r>
      <w:r>
        <w:rPr/>
        <w:t>事夏晓宇先生及高级管理人员房莉莉女士为有限合伙人。报告期内，员工持股平台向南京丰东增资</w:t>
      </w:r>
      <w:r>
        <w:rPr>
          <w:spacing w:val="-45"/>
        </w:rPr>
        <w:t> </w:t>
      </w:r>
      <w:r>
        <w:rPr>
          <w:rFonts w:ascii="Times New Roman" w:hAnsi="Times New Roman" w:cs="Times New Roman" w:eastAsia="Times New Roman" w:hint="default"/>
        </w:rPr>
        <w:t>668.15</w:t>
      </w:r>
      <w:r>
        <w:rPr>
          <w:rFonts w:ascii="Times New Roman" w:hAnsi="Times New Roman" w:cs="Times New Roman" w:eastAsia="Times New Roman" w:hint="default"/>
          <w:spacing w:val="-1"/>
        </w:rPr>
        <w:t> </w:t>
      </w:r>
      <w:r>
        <w:rPr/>
        <w:t>万元，丰东热技 术放弃优先认缴权，增资后持股平台在南京丰东的持股比例为</w:t>
      </w:r>
      <w:r>
        <w:rPr>
          <w:spacing w:val="-58"/>
        </w:rPr>
        <w:t> </w:t>
      </w:r>
      <w:r>
        <w:rPr>
          <w:rFonts w:ascii="Times New Roman" w:hAnsi="Times New Roman" w:cs="Times New Roman" w:eastAsia="Times New Roman" w:hint="default"/>
        </w:rPr>
        <w:t>10%</w:t>
      </w:r>
      <w:r>
        <w:rPr/>
        <w:t>，丰东热技术在南京丰东的持股比例由</w:t>
      </w:r>
      <w:r>
        <w:rPr>
          <w:spacing w:val="-58"/>
        </w:rPr>
        <w:t> </w:t>
      </w:r>
      <w:r>
        <w:rPr>
          <w:rFonts w:ascii="Times New Roman" w:hAnsi="Times New Roman" w:cs="Times New Roman" w:eastAsia="Times New Roman" w:hint="default"/>
        </w:rPr>
        <w:t>90%</w:t>
      </w:r>
      <w:r>
        <w:rPr/>
        <w:t>下降为</w:t>
      </w:r>
      <w:r>
        <w:rPr>
          <w:spacing w:val="-58"/>
        </w:rPr>
        <w:t> </w:t>
      </w:r>
      <w:r>
        <w:rPr>
          <w:rFonts w:ascii="Times New Roman" w:hAnsi="Times New Roman" w:cs="Times New Roman" w:eastAsia="Times New Roman" w:hint="default"/>
        </w:rPr>
        <w:t>70%</w:t>
      </w:r>
      <w:r>
        <w:rPr/>
        <w:t>。</w:t>
      </w:r>
    </w:p>
    <w:p>
      <w:pPr>
        <w:pStyle w:val="BodyText"/>
        <w:spacing w:line="240" w:lineRule="auto" w:before="47"/>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日，公司召开了第四届董事会第二十次会议，审议通过了《关于公司全资子公司收购资产暨关联交</w:t>
      </w:r>
    </w:p>
    <w:p>
      <w:pPr>
        <w:pStyle w:val="BodyText"/>
        <w:spacing w:line="304" w:lineRule="auto" w:before="63"/>
        <w:ind w:left="174" w:right="1131"/>
        <w:jc w:val="both"/>
      </w:pPr>
      <w:r>
        <w:rPr>
          <w:spacing w:val="-6"/>
        </w:rPr>
        <w:t>易的议案》，同意全资子公司方欣科技以交易对价</w:t>
      </w:r>
      <w:r>
        <w:rPr>
          <w:spacing w:val="-39"/>
        </w:rPr>
        <w:t> </w:t>
      </w:r>
      <w:r>
        <w:rPr>
          <w:rFonts w:ascii="Times New Roman" w:hAnsi="Times New Roman" w:cs="Times New Roman" w:eastAsia="Times New Roman" w:hint="default"/>
          <w:spacing w:val="-2"/>
        </w:rPr>
        <w:t>11,270</w:t>
      </w:r>
      <w:r>
        <w:rPr>
          <w:rFonts w:ascii="Times New Roman" w:hAnsi="Times New Roman" w:cs="Times New Roman" w:eastAsia="Times New Roman" w:hint="default"/>
          <w:spacing w:val="6"/>
        </w:rPr>
        <w:t> </w:t>
      </w:r>
      <w:r>
        <w:rPr/>
        <w:t>万元人民币向关联方朱文明先生及徐正军先生购买其二位拥有的广 东益东金财资产管理中心（有限合伙）合计</w:t>
      </w:r>
      <w:r>
        <w:rPr>
          <w:spacing w:val="-46"/>
        </w:rPr>
        <w:t> </w:t>
      </w:r>
      <w:r>
        <w:rPr>
          <w:rFonts w:ascii="Times New Roman" w:hAnsi="Times New Roman" w:cs="Times New Roman" w:eastAsia="Times New Roman" w:hint="default"/>
        </w:rPr>
        <w:t>98%</w:t>
      </w:r>
      <w:r>
        <w:rPr/>
        <w:t>的投资份额。</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日，公司召开了第四届董事会第二十一次会 </w:t>
      </w:r>
      <w:r>
        <w:rPr>
          <w:spacing w:val="-2"/>
        </w:rPr>
        <w:t>议，审议通过了《关于公司二级子公司收购资产暨关联交易的议案》，同意全资二级子公司广州方欣现代信息产业园有限公</w:t>
      </w:r>
      <w:r>
        <w:rPr>
          <w:spacing w:val="-72"/>
        </w:rPr>
        <w:t> </w:t>
      </w:r>
      <w:r>
        <w:rPr>
          <w:spacing w:val="-72"/>
        </w:rPr>
      </w:r>
      <w:r>
        <w:rPr/>
        <w:t>司以交易对价</w:t>
      </w:r>
      <w:r>
        <w:rPr>
          <w:spacing w:val="-49"/>
        </w:rPr>
        <w:t> </w:t>
      </w:r>
      <w:r>
        <w:rPr>
          <w:rFonts w:ascii="Times New Roman" w:hAnsi="Times New Roman" w:cs="Times New Roman" w:eastAsia="Times New Roman" w:hint="default"/>
        </w:rPr>
        <w:t>230</w:t>
      </w:r>
      <w:r>
        <w:rPr>
          <w:rFonts w:ascii="Times New Roman" w:hAnsi="Times New Roman" w:cs="Times New Roman" w:eastAsia="Times New Roman" w:hint="default"/>
          <w:spacing w:val="-4"/>
        </w:rPr>
        <w:t> </w:t>
      </w:r>
      <w:r>
        <w:rPr/>
        <w:t>万元人民币向关联方朱文明先生及徐正军先生购买其二位拥有的益东金财合计</w:t>
      </w:r>
      <w:r>
        <w:rPr>
          <w:spacing w:val="-48"/>
        </w:rPr>
        <w:t> </w:t>
      </w:r>
      <w:r>
        <w:rPr>
          <w:rFonts w:ascii="Times New Roman" w:hAnsi="Times New Roman" w:cs="Times New Roman" w:eastAsia="Times New Roman" w:hint="default"/>
        </w:rPr>
        <w:t>2%</w:t>
      </w:r>
      <w:r>
        <w:rPr/>
        <w:t>的投资份额。此关联交 易已于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月实施完毕。</w:t>
      </w:r>
    </w:p>
    <w:p>
      <w:pPr>
        <w:pStyle w:val="BodyText"/>
        <w:spacing w:line="240" w:lineRule="auto" w:before="50"/>
        <w:ind w:right="0"/>
        <w:jc w:val="left"/>
      </w:pPr>
      <w:r>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5104"/>
        <w:gridCol w:w="2268"/>
        <w:gridCol w:w="2196"/>
      </w:tblGrid>
      <w:tr>
        <w:trPr>
          <w:trHeight w:val="33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第四届董事会第十八次会议决议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关于热处理板块相关联企业引入员工持股平台投资暨关联交易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第四届董事会第二十次会议决议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关于公司全资子公司收购资产暨关联交易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第四届董事会第二十一次会议决议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3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关于公司二级子公司收购资产暨关联交易</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十七、重大合同及其履行情况" w:id="108"/>
      <w:bookmarkEnd w:id="108"/>
      <w:r>
        <w:rPr>
          <w:b w:val="0"/>
          <w:bCs w:val="0"/>
        </w:rPr>
      </w:r>
      <w:r>
        <w:rPr/>
        <w:t>十七、重大合同及其履行情况</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托管、承包、租赁事项情况" w:id="109"/>
      <w:bookmarkEnd w:id="109"/>
      <w:r>
        <w:rPr>
          <w:b w:val="0"/>
          <w:bCs w:val="0"/>
        </w:rPr>
      </w:r>
      <w:r>
        <w:rPr>
          <w:rFonts w:ascii="Times New Roman" w:hAnsi="Times New Roman" w:cs="Times New Roman" w:eastAsia="Times New Roman" w:hint="default"/>
        </w:rPr>
        <w:t>1</w:t>
      </w:r>
      <w:r>
        <w:rPr/>
        <w:t>、托管、承包、租赁事项情况</w:t>
      </w:r>
      <w:r>
        <w:rPr>
          <w:b w:val="0"/>
          <w:bCs w:val="0"/>
        </w:rPr>
      </w:r>
    </w:p>
    <w:p>
      <w:pPr>
        <w:pStyle w:val="Heading3"/>
        <w:spacing w:line="240" w:lineRule="auto" w:before="189"/>
        <w:ind w:right="0"/>
        <w:jc w:val="left"/>
        <w:rPr>
          <w:b w:val="0"/>
          <w:bCs w:val="0"/>
        </w:rPr>
      </w:pPr>
      <w:bookmarkStart w:name="（1）托管情况" w:id="110"/>
      <w:bookmarkEnd w:id="110"/>
      <w:r>
        <w:rPr>
          <w:b w:val="0"/>
          <w:bCs w:val="0"/>
        </w:rPr>
      </w:r>
      <w:r>
        <w:rPr/>
        <w:t>（</w:t>
      </w:r>
      <w:r>
        <w:rPr>
          <w:rFonts w:ascii="Times New Roman" w:hAnsi="Times New Roman" w:cs="Times New Roman" w:eastAsia="Times New Roman" w:hint="default"/>
        </w:rPr>
        <w:t>1</w:t>
      </w:r>
      <w:r>
        <w:rPr/>
        <w:t>）托管情况</w:t>
      </w:r>
      <w:r>
        <w:rPr>
          <w:b w:val="0"/>
          <w:bCs w:val="0"/>
        </w:rPr>
      </w:r>
    </w:p>
    <w:p>
      <w:pPr>
        <w:pStyle w:val="BodyText"/>
        <w:spacing w:line="340" w:lineRule="auto" w:before="158"/>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40"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2）承包情况" w:id="111"/>
      <w:bookmarkEnd w:id="111"/>
      <w:r>
        <w:rPr>
          <w:b w:val="0"/>
          <w:bCs w:val="0"/>
        </w:rPr>
      </w:r>
      <w:r>
        <w:rPr/>
        <w:t>（</w:t>
      </w:r>
      <w:r>
        <w:rPr>
          <w:rFonts w:ascii="Times New Roman" w:hAnsi="Times New Roman" w:cs="Times New Roman" w:eastAsia="Times New Roman" w:hint="default"/>
        </w:rPr>
        <w:t>2</w:t>
      </w:r>
      <w:r>
        <w:rPr/>
        <w:t>）承包情况</w:t>
      </w:r>
      <w:r>
        <w:rPr>
          <w:b w:val="0"/>
          <w:bCs w:val="0"/>
        </w:rPr>
      </w:r>
    </w:p>
    <w:p>
      <w:pPr>
        <w:pStyle w:val="BodyText"/>
        <w:spacing w:line="338" w:lineRule="auto" w:before="159"/>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pStyle w:val="Heading3"/>
        <w:spacing w:line="240" w:lineRule="auto" w:before="153"/>
        <w:ind w:right="0"/>
        <w:jc w:val="left"/>
        <w:rPr>
          <w:b w:val="0"/>
          <w:bCs w:val="0"/>
        </w:rPr>
      </w:pPr>
      <w:bookmarkStart w:name="（3）租赁情况" w:id="112"/>
      <w:bookmarkEnd w:id="112"/>
      <w:r>
        <w:rPr>
          <w:b w:val="0"/>
          <w:bCs w:val="0"/>
        </w:rPr>
      </w:r>
      <w:r>
        <w:rPr/>
        <w:t>（</w:t>
      </w:r>
      <w:r>
        <w:rPr>
          <w:rFonts w:ascii="Times New Roman" w:hAnsi="Times New Roman" w:cs="Times New Roman" w:eastAsia="Times New Roman" w:hint="default"/>
        </w:rPr>
        <w:t>3</w:t>
      </w:r>
      <w:r>
        <w:rPr/>
        <w:t>）租赁情况</w:t>
      </w:r>
      <w:r>
        <w:rPr>
          <w:b w:val="0"/>
          <w:bCs w:val="0"/>
        </w:rPr>
      </w:r>
    </w:p>
    <w:p>
      <w:pPr>
        <w:pStyle w:val="BodyText"/>
        <w:spacing w:line="338" w:lineRule="auto" w:before="159"/>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2" w:lineRule="auto" w:before="42"/>
        <w:ind w:left="174" w:right="1122" w:firstLine="360"/>
        <w:jc w:val="left"/>
      </w:pPr>
      <w:r>
        <w:rPr/>
        <w:t>①公司上海分公司与上海君德实业有限公司签订《租赁合同》，向其租赁办公楼，建筑面积</w:t>
      </w:r>
      <w:r>
        <w:rPr>
          <w:rFonts w:ascii="Times New Roman" w:hAnsi="Times New Roman" w:cs="Times New Roman" w:eastAsia="Times New Roman" w:hint="default"/>
        </w:rPr>
        <w:t>1,034.25</w:t>
      </w:r>
      <w:r>
        <w:rPr/>
        <w:t>平方米，租赁期限 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日。各年租金如下：</w:t>
      </w:r>
    </w:p>
    <w:p>
      <w:pPr>
        <w:spacing w:line="240" w:lineRule="auto" w:before="13"/>
        <w:rPr>
          <w:rFonts w:ascii="宋体" w:hAnsi="宋体" w:cs="宋体" w:eastAsia="宋体" w:hint="default"/>
          <w:sz w:val="2"/>
          <w:szCs w:val="2"/>
        </w:rPr>
      </w:pPr>
    </w:p>
    <w:tbl>
      <w:tblPr>
        <w:tblW w:w="0" w:type="auto"/>
        <w:jc w:val="left"/>
        <w:tblInd w:w="292" w:type="dxa"/>
        <w:tblLayout w:type="fixed"/>
        <w:tblCellMar>
          <w:top w:w="0" w:type="dxa"/>
          <w:left w:w="0" w:type="dxa"/>
          <w:bottom w:w="0" w:type="dxa"/>
          <w:right w:w="0" w:type="dxa"/>
        </w:tblCellMar>
        <w:tblLook w:val="01E0"/>
      </w:tblPr>
      <w:tblGrid>
        <w:gridCol w:w="1152"/>
        <w:gridCol w:w="4395"/>
        <w:gridCol w:w="3844"/>
      </w:tblGrid>
      <w:tr>
        <w:trPr>
          <w:trHeight w:val="350" w:hRule="exact"/>
        </w:trPr>
        <w:tc>
          <w:tcPr>
            <w:tcW w:w="115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9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租赁日期</w:t>
            </w:r>
            <w:r>
              <w:rPr>
                <w:rFonts w:ascii="宋体" w:hAnsi="宋体" w:cs="宋体" w:eastAsia="宋体" w:hint="default"/>
                <w:sz w:val="18"/>
                <w:szCs w:val="18"/>
              </w:rPr>
            </w:r>
          </w:p>
        </w:tc>
        <w:tc>
          <w:tcPr>
            <w:tcW w:w="384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租金（元）</w:t>
            </w:r>
            <w:r>
              <w:rPr>
                <w:rFonts w:ascii="宋体" w:hAnsi="宋体" w:cs="宋体" w:eastAsia="宋体" w:hint="default"/>
                <w:sz w:val="18"/>
                <w:szCs w:val="18"/>
              </w:rPr>
            </w:r>
          </w:p>
        </w:tc>
      </w:tr>
      <w:tr>
        <w:trPr>
          <w:trHeight w:val="35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1</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pacing w:val="-1"/>
                <w:sz w:val="18"/>
              </w:rPr>
              <w:t>1,577,231.25</w:t>
            </w:r>
          </w:p>
        </w:tc>
      </w:tr>
      <w:tr>
        <w:trPr>
          <w:trHeight w:val="35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2,019,631.69</w:t>
            </w:r>
          </w:p>
        </w:tc>
      </w:tr>
      <w:tr>
        <w:trPr>
          <w:trHeight w:val="35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3</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2,161,005.91</w:t>
            </w:r>
          </w:p>
        </w:tc>
      </w:tr>
      <w:tr>
        <w:trPr>
          <w:trHeight w:val="34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4</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pacing w:val="-1"/>
                <w:sz w:val="18"/>
              </w:rPr>
              <w:t>2,312,276.32</w:t>
            </w:r>
          </w:p>
        </w:tc>
      </w:tr>
      <w:tr>
        <w:trPr>
          <w:trHeight w:val="35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2,474,135.66</w:t>
            </w:r>
          </w:p>
        </w:tc>
      </w:tr>
    </w:tbl>
    <w:p>
      <w:pPr>
        <w:pStyle w:val="BodyText"/>
        <w:spacing w:line="300" w:lineRule="auto" w:before="51"/>
        <w:ind w:left="174" w:right="1167" w:firstLine="360"/>
        <w:jc w:val="left"/>
      </w:pPr>
      <w:r>
        <w:rPr/>
        <w:t>②公司子公司丰东热技术与上海君德实业有限公司签订《租赁合同》，向其租赁办公楼，建筑面积</w:t>
      </w:r>
      <w:r>
        <w:rPr>
          <w:rFonts w:ascii="Times New Roman" w:hAnsi="Times New Roman" w:cs="Times New Roman" w:eastAsia="Times New Roman" w:hint="default"/>
        </w:rPr>
        <w:t>517.125</w:t>
      </w:r>
      <w:r>
        <w:rPr/>
        <w:t>平方米，租 赁期限为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日。各年租金如下：</w:t>
      </w:r>
    </w:p>
    <w:p>
      <w:pPr>
        <w:spacing w:line="240" w:lineRule="auto" w:before="5"/>
        <w:rPr>
          <w:rFonts w:ascii="宋体" w:hAnsi="宋体" w:cs="宋体" w:eastAsia="宋体" w:hint="default"/>
          <w:sz w:val="9"/>
          <w:szCs w:val="9"/>
        </w:rPr>
      </w:pPr>
    </w:p>
    <w:tbl>
      <w:tblPr>
        <w:tblW w:w="0" w:type="auto"/>
        <w:jc w:val="left"/>
        <w:tblInd w:w="333" w:type="dxa"/>
        <w:tblLayout w:type="fixed"/>
        <w:tblCellMar>
          <w:top w:w="0" w:type="dxa"/>
          <w:left w:w="0" w:type="dxa"/>
          <w:bottom w:w="0" w:type="dxa"/>
          <w:right w:w="0" w:type="dxa"/>
        </w:tblCellMar>
        <w:tblLook w:val="01E0"/>
      </w:tblPr>
      <w:tblGrid>
        <w:gridCol w:w="1134"/>
        <w:gridCol w:w="4372"/>
        <w:gridCol w:w="3804"/>
      </w:tblGrid>
      <w:tr>
        <w:trPr>
          <w:trHeight w:val="349" w:hRule="exact"/>
        </w:trPr>
        <w:tc>
          <w:tcPr>
            <w:tcW w:w="113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7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租赁日期</w:t>
            </w:r>
            <w:r>
              <w:rPr>
                <w:rFonts w:ascii="宋体" w:hAnsi="宋体" w:cs="宋体" w:eastAsia="宋体" w:hint="default"/>
                <w:sz w:val="18"/>
                <w:szCs w:val="18"/>
              </w:rPr>
            </w:r>
          </w:p>
        </w:tc>
        <w:tc>
          <w:tcPr>
            <w:tcW w:w="380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租金（元）</w:t>
            </w:r>
            <w:r>
              <w:rPr>
                <w:rFonts w:ascii="宋体" w:hAnsi="宋体" w:cs="宋体" w:eastAsia="宋体" w:hint="default"/>
                <w:sz w:val="18"/>
                <w:szCs w:val="18"/>
              </w:rPr>
            </w:r>
          </w:p>
        </w:tc>
      </w:tr>
      <w:tr>
        <w:trPr>
          <w:trHeight w:val="3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w:t>
            </w:r>
          </w:p>
        </w:tc>
        <w:tc>
          <w:tcPr>
            <w:tcW w:w="4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sz w:val="18"/>
              </w:rPr>
              <w:t>788,615.63</w:t>
            </w:r>
          </w:p>
        </w:tc>
      </w:tr>
      <w:tr>
        <w:trPr>
          <w:trHeight w:val="35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w:t>
            </w:r>
          </w:p>
        </w:tc>
        <w:tc>
          <w:tcPr>
            <w:tcW w:w="4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spacing w:val="-1"/>
                <w:sz w:val="18"/>
              </w:rPr>
              <w:t>1,009,815.84</w:t>
            </w:r>
          </w:p>
        </w:tc>
      </w:tr>
      <w:tr>
        <w:trPr>
          <w:trHeight w:val="349"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3</w:t>
            </w:r>
          </w:p>
        </w:tc>
        <w:tc>
          <w:tcPr>
            <w:tcW w:w="4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Times New Roman" w:hAnsi="Times New Roman" w:cs="Times New Roman" w:eastAsia="Times New Roman" w:hint="default"/>
                <w:sz w:val="18"/>
                <w:szCs w:val="18"/>
              </w:rPr>
            </w:pPr>
            <w:r>
              <w:rPr>
                <w:rFonts w:ascii="Times New Roman"/>
                <w:spacing w:val="-1"/>
                <w:sz w:val="18"/>
              </w:rPr>
              <w:t>1,080,502.95</w:t>
            </w:r>
          </w:p>
        </w:tc>
      </w:tr>
      <w:tr>
        <w:trPr>
          <w:trHeight w:val="3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4</w:t>
            </w:r>
          </w:p>
        </w:tc>
        <w:tc>
          <w:tcPr>
            <w:tcW w:w="4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spacing w:val="-1"/>
                <w:sz w:val="18"/>
              </w:rPr>
              <w:t>1,156,138.16</w:t>
            </w:r>
          </w:p>
        </w:tc>
      </w:tr>
      <w:tr>
        <w:trPr>
          <w:trHeight w:val="35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5</w:t>
            </w:r>
          </w:p>
        </w:tc>
        <w:tc>
          <w:tcPr>
            <w:tcW w:w="4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right"/>
              <w:rPr>
                <w:rFonts w:ascii="Times New Roman" w:hAnsi="Times New Roman" w:cs="Times New Roman" w:eastAsia="Times New Roman" w:hint="default"/>
                <w:sz w:val="18"/>
                <w:szCs w:val="18"/>
              </w:rPr>
            </w:pPr>
            <w:r>
              <w:rPr>
                <w:rFonts w:ascii="Times New Roman"/>
                <w:spacing w:val="-1"/>
                <w:sz w:val="18"/>
              </w:rPr>
              <w:t>1,237,067.83</w:t>
            </w:r>
          </w:p>
        </w:tc>
      </w:tr>
    </w:tbl>
    <w:p>
      <w:pPr>
        <w:pStyle w:val="BodyText"/>
        <w:spacing w:line="300" w:lineRule="auto" w:before="51"/>
        <w:ind w:left="174" w:right="1081" w:firstLine="360"/>
        <w:jc w:val="left"/>
      </w:pPr>
      <w:r>
        <w:rPr/>
        <w:t>③</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3 </w:t>
      </w:r>
      <w:r>
        <w:rPr>
          <w:spacing w:val="-2"/>
        </w:rPr>
        <w:t>月，方欣科技下属子公司金财互联数据服务有限公司与福建天创投资发展有限公司签订《房屋租赁合同》，</w:t>
      </w:r>
      <w:r>
        <w:rPr/>
        <w:t> 向其租赁办公楼，建筑面积</w:t>
      </w:r>
      <w:r>
        <w:rPr>
          <w:spacing w:val="-47"/>
        </w:rPr>
        <w:t> </w:t>
      </w:r>
      <w:r>
        <w:rPr>
          <w:rFonts w:ascii="Times New Roman" w:hAnsi="Times New Roman" w:cs="Times New Roman" w:eastAsia="Times New Roman" w:hint="default"/>
        </w:rPr>
        <w:t>950.51</w:t>
      </w:r>
      <w:r>
        <w:rPr>
          <w:rFonts w:ascii="Times New Roman" w:hAnsi="Times New Roman" w:cs="Times New Roman" w:eastAsia="Times New Roman" w:hint="default"/>
          <w:spacing w:val="-2"/>
        </w:rPr>
        <w:t> </w:t>
      </w:r>
      <w:r>
        <w:rPr/>
        <w:t>平方米，租赁期自</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47"/>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日止，各年租金为</w:t>
      </w:r>
      <w:r>
        <w:rPr>
          <w:spacing w:val="-47"/>
        </w:rPr>
        <w:t> </w:t>
      </w:r>
      <w:r>
        <w:rPr>
          <w:rFonts w:ascii="Times New Roman" w:hAnsi="Times New Roman" w:cs="Times New Roman" w:eastAsia="Times New Roman" w:hint="default"/>
        </w:rPr>
        <w:t>1,050,841.44 </w:t>
      </w:r>
      <w:r>
        <w:rPr/>
        <w:t>元、</w:t>
      </w:r>
      <w:r>
        <w:rPr>
          <w:rFonts w:ascii="Times New Roman" w:hAnsi="Times New Roman" w:cs="Times New Roman" w:eastAsia="Times New Roman" w:hint="default"/>
        </w:rPr>
        <w:t>1,103,348.88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1,158,253.92</w:t>
      </w:r>
      <w:r>
        <w:rPr>
          <w:rFonts w:ascii="Times New Roman" w:hAnsi="Times New Roman" w:cs="Times New Roman" w:eastAsia="Times New Roman" w:hint="default"/>
          <w:spacing w:val="-2"/>
        </w:rPr>
        <w:t> </w:t>
      </w:r>
      <w:r>
        <w:rPr/>
        <w:t>元及</w:t>
      </w:r>
      <w:r>
        <w:rPr>
          <w:spacing w:val="-48"/>
        </w:rPr>
        <w:t> </w:t>
      </w:r>
      <w:r>
        <w:rPr>
          <w:rFonts w:ascii="Times New Roman" w:hAnsi="Times New Roman" w:cs="Times New Roman" w:eastAsia="Times New Roman" w:hint="default"/>
        </w:rPr>
        <w:t>1,216,169.28</w:t>
      </w:r>
      <w:r>
        <w:rPr>
          <w:rFonts w:ascii="Times New Roman" w:hAnsi="Times New Roman" w:cs="Times New Roman" w:eastAsia="Times New Roman" w:hint="default"/>
          <w:spacing w:val="-2"/>
        </w:rPr>
        <w:t> </w:t>
      </w:r>
      <w:r>
        <w:rPr/>
        <w:t>元。</w:t>
      </w:r>
    </w:p>
    <w:p>
      <w:pPr>
        <w:pStyle w:val="BodyText"/>
        <w:spacing w:line="240" w:lineRule="auto" w:before="52"/>
        <w:ind w:right="0"/>
        <w:jc w:val="left"/>
      </w:pPr>
      <w:r>
        <w:rPr/>
        <w:t>④</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13"/>
        </w:rPr>
        <w:t>，</w:t>
      </w:r>
      <w:r>
        <w:rPr/>
        <w:t>丰东热技术下属子公司重庆丰东与重庆市超祥商贸有限公司签</w:t>
      </w:r>
      <w:r>
        <w:rPr>
          <w:spacing w:val="-13"/>
        </w:rPr>
        <w:t>订</w:t>
      </w:r>
      <w:r>
        <w:rPr/>
        <w:t>《房屋租赁合同</w:t>
      </w:r>
      <w:r>
        <w:rPr>
          <w:spacing w:val="-90"/>
        </w:rPr>
        <w:t>》</w:t>
      </w:r>
      <w:r>
        <w:rPr>
          <w:spacing w:val="-13"/>
        </w:rPr>
        <w:t>，</w:t>
      </w:r>
      <w:r>
        <w:rPr/>
        <w:t>向其租用厂房</w:t>
      </w:r>
    </w:p>
    <w:p>
      <w:pPr>
        <w:pStyle w:val="BodyText"/>
        <w:spacing w:line="240" w:lineRule="auto" w:before="63"/>
        <w:ind w:left="174" w:right="0"/>
        <w:jc w:val="left"/>
      </w:pPr>
      <w:r>
        <w:rPr/>
        <w:t>及办公楼房屋的建筑面积为</w:t>
      </w:r>
      <w:r>
        <w:rPr>
          <w:spacing w:val="-46"/>
        </w:rPr>
        <w:t> </w:t>
      </w:r>
      <w:r>
        <w:rPr>
          <w:rFonts w:ascii="Times New Roman" w:hAnsi="Times New Roman" w:cs="Times New Roman" w:eastAsia="Times New Roman" w:hint="default"/>
        </w:rPr>
        <w:t>5,763</w:t>
      </w:r>
      <w:r>
        <w:rPr>
          <w:rFonts w:ascii="Times New Roman" w:hAnsi="Times New Roman" w:cs="Times New Roman" w:eastAsia="Times New Roman" w:hint="default"/>
          <w:spacing w:val="-1"/>
        </w:rPr>
        <w:t> </w:t>
      </w:r>
      <w:r>
        <w:rPr/>
        <w:t>平方米，租金标准为每平方米</w:t>
      </w:r>
      <w:r>
        <w:rPr>
          <w:rFonts w:ascii="Times New Roman" w:hAnsi="Times New Roman" w:cs="Times New Roman" w:eastAsia="Times New Roman" w:hint="default"/>
        </w:rPr>
        <w:t>/</w:t>
      </w:r>
      <w:r>
        <w:rPr/>
        <w:t>每月</w:t>
      </w:r>
      <w:r>
        <w:rPr>
          <w:spacing w:val="-46"/>
        </w:rPr>
        <w:t> </w:t>
      </w:r>
      <w:r>
        <w:rPr>
          <w:rFonts w:ascii="Times New Roman" w:hAnsi="Times New Roman" w:cs="Times New Roman" w:eastAsia="Times New Roman" w:hint="default"/>
        </w:rPr>
        <w:t>13.5</w:t>
      </w:r>
      <w:r>
        <w:rPr>
          <w:rFonts w:ascii="Times New Roman" w:hAnsi="Times New Roman" w:cs="Times New Roman" w:eastAsia="Times New Roman" w:hint="default"/>
          <w:spacing w:val="-1"/>
        </w:rPr>
        <w:t> </w:t>
      </w:r>
      <w:r>
        <w:rPr/>
        <w:t>元；租用辅助房屋的面积为</w:t>
      </w:r>
      <w:r>
        <w:rPr>
          <w:spacing w:val="-46"/>
        </w:rPr>
        <w:t> </w:t>
      </w:r>
      <w:r>
        <w:rPr>
          <w:rFonts w:ascii="Times New Roman" w:hAnsi="Times New Roman" w:cs="Times New Roman" w:eastAsia="Times New Roman" w:hint="default"/>
        </w:rPr>
        <w:t>562</w:t>
      </w:r>
      <w:r>
        <w:rPr>
          <w:rFonts w:ascii="Times New Roman" w:hAnsi="Times New Roman" w:cs="Times New Roman" w:eastAsia="Times New Roman" w:hint="default"/>
          <w:spacing w:val="-1"/>
        </w:rPr>
        <w:t> </w:t>
      </w:r>
      <w:r>
        <w:rPr/>
        <w:t>平方米，租金标</w:t>
      </w:r>
    </w:p>
    <w:p>
      <w:pPr>
        <w:pStyle w:val="BodyText"/>
        <w:spacing w:line="338" w:lineRule="auto" w:before="64"/>
        <w:ind w:right="5309" w:hanging="360"/>
        <w:jc w:val="left"/>
      </w:pPr>
      <w:r>
        <w:rPr/>
        <w:t>准为每平方米</w:t>
      </w:r>
      <w:r>
        <w:rPr>
          <w:rFonts w:ascii="Times New Roman" w:hAnsi="Times New Roman" w:cs="Times New Roman" w:eastAsia="Times New Roman" w:hint="default"/>
        </w:rPr>
        <w:t>/</w:t>
      </w:r>
      <w:r>
        <w:rPr/>
        <w:t>每月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元。自起租日起至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日租金不变。 为公司带来的损益达到公司报告期利润总额</w:t>
      </w:r>
      <w:r>
        <w:rPr>
          <w:spacing w:val="-45"/>
        </w:rPr>
        <w:t> </w:t>
      </w:r>
      <w:r>
        <w:rPr>
          <w:rFonts w:ascii="Times New Roman" w:hAnsi="Times New Roman" w:cs="Times New Roman" w:eastAsia="Times New Roman" w:hint="default"/>
        </w:rPr>
        <w:t>10%</w:t>
      </w:r>
      <w:r>
        <w:rPr/>
        <w:t>以上的项目</w:t>
      </w:r>
    </w:p>
    <w:p>
      <w:pPr>
        <w:pStyle w:val="BodyText"/>
        <w:spacing w:line="240" w:lineRule="auto" w:before="2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重大担保" w:id="113"/>
      <w:bookmarkEnd w:id="113"/>
      <w:r>
        <w:rPr>
          <w:b w:val="0"/>
          <w:bCs w:val="0"/>
        </w:rPr>
      </w:r>
      <w:r>
        <w:rPr>
          <w:rFonts w:ascii="Times New Roman" w:hAnsi="Times New Roman" w:cs="Times New Roman" w:eastAsia="Times New Roman" w:hint="default"/>
        </w:rPr>
        <w:t>2</w:t>
      </w:r>
      <w:r>
        <w:rPr/>
        <w:t>、重大担保</w:t>
      </w:r>
      <w:r>
        <w:rPr>
          <w:b w:val="0"/>
          <w:bCs w:val="0"/>
        </w:rPr>
      </w:r>
    </w:p>
    <w:p>
      <w:pPr>
        <w:pStyle w:val="BodyText"/>
        <w:spacing w:line="338" w:lineRule="auto" w:before="159"/>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pStyle w:val="Heading3"/>
        <w:spacing w:line="240" w:lineRule="auto" w:before="153"/>
        <w:ind w:right="0"/>
        <w:jc w:val="left"/>
        <w:rPr>
          <w:b w:val="0"/>
          <w:bCs w:val="0"/>
        </w:rPr>
      </w:pPr>
      <w:bookmarkStart w:name="3、委托他人进行现金资产管理情况" w:id="114"/>
      <w:bookmarkEnd w:id="114"/>
      <w:r>
        <w:rPr>
          <w:b w:val="0"/>
          <w:bCs w:val="0"/>
        </w:rPr>
      </w:r>
      <w:r>
        <w:rPr>
          <w:rFonts w:ascii="Times New Roman" w:hAnsi="Times New Roman" w:cs="Times New Roman" w:eastAsia="Times New Roman" w:hint="default"/>
        </w:rPr>
        <w:t>3</w:t>
      </w:r>
      <w:r>
        <w:rPr/>
        <w:t>、委托他人进行现金资产管理情况</w:t>
      </w:r>
      <w:r>
        <w:rPr>
          <w:b w:val="0"/>
          <w:bCs w:val="0"/>
        </w:rPr>
      </w:r>
    </w:p>
    <w:p>
      <w:pPr>
        <w:pStyle w:val="Heading3"/>
        <w:spacing w:line="240" w:lineRule="auto" w:before="190"/>
        <w:ind w:right="0"/>
        <w:jc w:val="left"/>
        <w:rPr>
          <w:b w:val="0"/>
          <w:bCs w:val="0"/>
        </w:rPr>
      </w:pPr>
      <w:bookmarkStart w:name="（1）委托理财情况" w:id="115"/>
      <w:bookmarkEnd w:id="115"/>
      <w:r>
        <w:rPr>
          <w:b w:val="0"/>
          <w:bCs w:val="0"/>
        </w:rPr>
      </w:r>
      <w:r>
        <w:rPr/>
        <w:t>（</w:t>
      </w:r>
      <w:r>
        <w:rPr>
          <w:rFonts w:ascii="Times New Roman" w:hAnsi="Times New Roman" w:cs="Times New Roman" w:eastAsia="Times New Roman" w:hint="default"/>
        </w:rPr>
        <w:t>1</w:t>
      </w:r>
      <w:r>
        <w:rPr/>
        <w:t>）委托理财情况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t>报告期内委托理财概况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330"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63,500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18,600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44,290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7,315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16,000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7,000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123,790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32,915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单项金额重大或安全性较低、流动性较差、不保本的高风险委托理财具体情况</w:t>
      </w:r>
    </w:p>
    <w:p>
      <w:pPr>
        <w:pStyle w:val="BodyText"/>
        <w:spacing w:line="340" w:lineRule="auto" w:before="116"/>
        <w:ind w:right="53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委托贷款情况" w:id="116"/>
      <w:bookmarkEnd w:id="116"/>
      <w:r>
        <w:rPr>
          <w:b w:val="0"/>
          <w:bCs w:val="0"/>
        </w:rPr>
      </w:r>
      <w:r>
        <w:rPr/>
        <w:t>（</w:t>
      </w:r>
      <w:r>
        <w:rPr>
          <w:rFonts w:ascii="Times New Roman" w:hAnsi="Times New Roman" w:cs="Times New Roman" w:eastAsia="Times New Roman" w:hint="default"/>
        </w:rPr>
        <w:t>2</w:t>
      </w:r>
      <w:r>
        <w:rPr/>
        <w:t>）委托贷款情况</w:t>
      </w:r>
      <w:r>
        <w:rPr>
          <w:b w:val="0"/>
          <w:bCs w:val="0"/>
        </w:rPr>
      </w:r>
    </w:p>
    <w:p>
      <w:pPr>
        <w:pStyle w:val="BodyText"/>
        <w:spacing w:line="338" w:lineRule="auto" w:before="159"/>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pStyle w:val="Heading3"/>
        <w:spacing w:line="240" w:lineRule="auto" w:before="153"/>
        <w:ind w:right="0"/>
        <w:jc w:val="left"/>
        <w:rPr>
          <w:b w:val="0"/>
          <w:bCs w:val="0"/>
        </w:rPr>
      </w:pPr>
      <w:bookmarkStart w:name="4、其他重大合同" w:id="117"/>
      <w:bookmarkEnd w:id="117"/>
      <w:r>
        <w:rPr>
          <w:b w:val="0"/>
          <w:bCs w:val="0"/>
        </w:rPr>
      </w:r>
      <w:r>
        <w:rPr>
          <w:rFonts w:ascii="Times New Roman" w:hAnsi="Times New Roman" w:cs="Times New Roman" w:eastAsia="Times New Roman" w:hint="default"/>
        </w:rPr>
        <w:t>4</w:t>
      </w:r>
      <w:r>
        <w:rPr/>
        <w:t>、其他重大合同</w:t>
      </w:r>
      <w:r>
        <w:rPr>
          <w:b w:val="0"/>
          <w:bCs w:val="0"/>
        </w:rPr>
      </w:r>
    </w:p>
    <w:p>
      <w:pPr>
        <w:pStyle w:val="BodyText"/>
        <w:spacing w:line="340" w:lineRule="auto" w:before="158"/>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八、社会责任情况" w:id="118"/>
      <w:bookmarkEnd w:id="118"/>
      <w:r>
        <w:rPr>
          <w:b w:val="0"/>
          <w:bCs w:val="0"/>
        </w:rPr>
      </w:r>
      <w:r>
        <w:rPr/>
        <w:t>十八、社会责任情况</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履行社会责任情况" w:id="119"/>
      <w:bookmarkEnd w:id="119"/>
      <w:r>
        <w:rPr>
          <w:b w:val="0"/>
          <w:bCs w:val="0"/>
        </w:rPr>
      </w:r>
      <w:r>
        <w:rPr>
          <w:rFonts w:ascii="Times New Roman" w:hAnsi="Times New Roman" w:cs="Times New Roman" w:eastAsia="Times New Roman" w:hint="default"/>
        </w:rPr>
        <w:t>1</w:t>
      </w:r>
      <w:r>
        <w:rPr/>
        <w:t>、履行社会责任情况</w:t>
      </w:r>
      <w:r>
        <w:rPr>
          <w:b w:val="0"/>
          <w:bCs w:val="0"/>
        </w:rPr>
      </w:r>
    </w:p>
    <w:p>
      <w:pPr>
        <w:pStyle w:val="BodyText"/>
        <w:spacing w:line="319" w:lineRule="auto" w:before="157"/>
        <w:ind w:left="174" w:right="1130" w:firstLine="360"/>
        <w:jc w:val="both"/>
      </w:pPr>
      <w:r>
        <w:rPr>
          <w:spacing w:val="-5"/>
        </w:rPr>
        <w:t>股东权益保护：公司始终严格按照《公司法》、《证券法》等有关法律法规的要求，不断完善公司法人治理结构，建立健</w:t>
      </w:r>
      <w:r>
        <w:rPr/>
        <w:t> </w:t>
      </w:r>
      <w:r>
        <w:rPr>
          <w:spacing w:val="-2"/>
        </w:rPr>
        <w:t>全内部控制体系，规范公司运作，认真及时履行信息披露义务，提升公司治理水平，提高公司效益，切实保障全体股东和债</w:t>
      </w:r>
      <w:r>
        <w:rPr>
          <w:spacing w:val="-66"/>
        </w:rPr>
        <w:t> </w:t>
      </w:r>
      <w:r>
        <w:rPr>
          <w:spacing w:val="-66"/>
        </w:rPr>
      </w:r>
      <w:r>
        <w:rPr>
          <w:spacing w:val="-5"/>
        </w:rPr>
        <w:t>权人的合法权益。公司严格按照《上市公司股东大会规则》、《公司章程》及《股东大会议事规则》等规定和要求，召集、召</w:t>
      </w:r>
      <w:r>
        <w:rPr>
          <w:spacing w:val="-81"/>
        </w:rPr>
        <w:t> </w:t>
      </w:r>
      <w:r>
        <w:rPr>
          <w:spacing w:val="-81"/>
        </w:rPr>
      </w:r>
      <w:r>
        <w:rPr>
          <w:spacing w:val="-2"/>
        </w:rPr>
        <w:t>开股东大会，并聘请律师对股东大会的合法性出具法律意见书，平等对待所有股东，特别是保证中小股东享有平等地位，充</w:t>
      </w:r>
      <w:r>
        <w:rPr>
          <w:spacing w:val="-66"/>
        </w:rPr>
        <w:t> </w:t>
      </w:r>
      <w:r>
        <w:rPr>
          <w:spacing w:val="-66"/>
        </w:rPr>
      </w:r>
      <w:r>
        <w:rPr>
          <w:spacing w:val="-2"/>
        </w:rPr>
        <w:t>分行使自己的权利。股东大会审议影响中小投资者利益的重大事项时，对中小投资者的表决进行单独计票，并将单独计票结</w:t>
      </w:r>
      <w:r>
        <w:rPr>
          <w:spacing w:val="-66"/>
        </w:rPr>
        <w:t> </w:t>
      </w:r>
      <w:r>
        <w:rPr>
          <w:spacing w:val="-66"/>
        </w:rPr>
      </w:r>
      <w:r>
        <w:rPr/>
        <w:t>果及时公开披露。</w:t>
      </w:r>
    </w:p>
    <w:p>
      <w:pPr>
        <w:pStyle w:val="BodyText"/>
        <w:spacing w:line="319" w:lineRule="auto" w:before="55"/>
        <w:ind w:left="174" w:right="1034" w:firstLine="360"/>
        <w:jc w:val="left"/>
      </w:pPr>
      <w:r>
        <w:rPr/>
        <w:t>职工权益保护：</w:t>
      </w:r>
      <w:r>
        <w:rPr>
          <w:spacing w:val="4"/>
        </w:rPr>
        <w:t> </w:t>
      </w:r>
      <w:r>
        <w:rPr>
          <w:spacing w:val="-6"/>
        </w:rPr>
        <w:t>公司严格遵守《劳动法》、《劳动合同法》等法律法规的要求，与员工签订劳动合同，办理医疗、养老、</w:t>
      </w:r>
      <w:r>
        <w:rPr/>
        <w:t> </w:t>
      </w:r>
      <w:r>
        <w:rPr>
          <w:spacing w:val="-2"/>
        </w:rPr>
        <w:t>失业、工伤、生育等社会保险，为员工缴纳住房公积金、提供健康、安全的生产和工作环境，切实维护员工的切身和合法利</w:t>
      </w:r>
      <w:r>
        <w:rPr>
          <w:spacing w:val="-68"/>
        </w:rPr>
        <w:t> </w:t>
      </w:r>
      <w:r>
        <w:rPr>
          <w:spacing w:val="-68"/>
        </w:rPr>
      </w:r>
      <w:r>
        <w:rPr/>
        <w:t>益；公司拥有健全和完善的党委、工会和职工代表大会组织机构，代表和维护职工权益。</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2、履行精准扶贫社会责任情况" w:id="120"/>
      <w:bookmarkEnd w:id="120"/>
      <w:r>
        <w:rPr>
          <w:b w:val="0"/>
          <w:bCs w:val="0"/>
        </w:rPr>
      </w:r>
      <w:r>
        <w:rPr>
          <w:rFonts w:ascii="Times New Roman" w:hAnsi="Times New Roman" w:cs="Times New Roman" w:eastAsia="Times New Roman" w:hint="default"/>
        </w:rPr>
        <w:t>2</w:t>
      </w:r>
      <w:r>
        <w:rPr/>
        <w:t>、履行精准扶贫社会责任情况</w:t>
      </w:r>
      <w:r>
        <w:rPr>
          <w:b w:val="0"/>
          <w:bCs w:val="0"/>
        </w:rPr>
      </w:r>
    </w:p>
    <w:p>
      <w:pPr>
        <w:pStyle w:val="Heading3"/>
        <w:spacing w:line="240" w:lineRule="auto" w:before="190"/>
        <w:ind w:right="0"/>
        <w:jc w:val="left"/>
        <w:rPr>
          <w:b w:val="0"/>
          <w:bCs w:val="0"/>
        </w:rPr>
      </w:pPr>
      <w:bookmarkStart w:name="（1）精准扶贫规划" w:id="121"/>
      <w:bookmarkEnd w:id="121"/>
      <w:r>
        <w:rPr>
          <w:b w:val="0"/>
          <w:bCs w:val="0"/>
        </w:rPr>
      </w:r>
      <w:r>
        <w:rPr/>
        <w:t>（</w:t>
      </w:r>
      <w:r>
        <w:rPr>
          <w:rFonts w:ascii="Times New Roman" w:hAnsi="Times New Roman" w:cs="Times New Roman" w:eastAsia="Times New Roman" w:hint="default"/>
        </w:rPr>
        <w:t>1</w:t>
      </w:r>
      <w:r>
        <w:rPr/>
        <w:t>）精准扶贫规划</w:t>
      </w:r>
      <w:r>
        <w:rPr>
          <w:b w:val="0"/>
          <w:bCs w:val="0"/>
        </w:rPr>
      </w:r>
    </w:p>
    <w:p>
      <w:pPr>
        <w:pStyle w:val="Heading3"/>
        <w:spacing w:line="240" w:lineRule="auto" w:before="189"/>
        <w:ind w:right="0"/>
        <w:jc w:val="left"/>
        <w:rPr>
          <w:b w:val="0"/>
          <w:bCs w:val="0"/>
        </w:rPr>
      </w:pPr>
      <w:bookmarkStart w:name="（2）年度精准扶贫概要" w:id="122"/>
      <w:bookmarkEnd w:id="122"/>
      <w:r>
        <w:rPr>
          <w:b w:val="0"/>
          <w:bCs w:val="0"/>
        </w:rPr>
      </w:r>
      <w:r>
        <w:rPr/>
        <w:t>（</w:t>
      </w:r>
      <w:r>
        <w:rPr>
          <w:rFonts w:ascii="Times New Roman" w:hAnsi="Times New Roman" w:cs="Times New Roman" w:eastAsia="Times New Roman" w:hint="default"/>
        </w:rPr>
        <w:t>2</w:t>
      </w:r>
      <w:r>
        <w:rPr/>
        <w:t>）年度精准扶贫概要</w:t>
      </w:r>
      <w:r>
        <w:rPr>
          <w:b w:val="0"/>
          <w:bCs w:val="0"/>
        </w:rPr>
      </w:r>
    </w:p>
    <w:p>
      <w:pPr>
        <w:pStyle w:val="BodyText"/>
        <w:spacing w:line="240" w:lineRule="auto" w:before="157"/>
        <w:ind w:right="0"/>
        <w:jc w:val="left"/>
      </w:pPr>
      <w:r>
        <w:rPr/>
        <w:t>本公司</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年度扶持贫困村</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户，</w:t>
      </w:r>
      <w:r>
        <w:rPr>
          <w:rFonts w:ascii="Times New Roman" w:hAnsi="Times New Roman" w:cs="Times New Roman" w:eastAsia="Times New Roman" w:hint="default"/>
          <w:spacing w:val="-3"/>
        </w:rPr>
        <w:t>10,000.00</w:t>
      </w:r>
      <w:r>
        <w:rPr>
          <w:rFonts w:ascii="Times New Roman" w:hAnsi="Times New Roman" w:cs="Times New Roman" w:eastAsia="Times New Roman" w:hint="default"/>
          <w:spacing w:val="-1"/>
        </w:rPr>
        <w:t> </w:t>
      </w:r>
      <w:r>
        <w:rPr>
          <w:spacing w:val="-5"/>
        </w:rPr>
        <w:t>元</w:t>
      </w:r>
      <w:r>
        <w:rPr>
          <w:rFonts w:ascii="Times New Roman" w:hAnsi="Times New Roman" w:cs="Times New Roman" w:eastAsia="Times New Roman" w:hint="default"/>
          <w:spacing w:val="-5"/>
        </w:rPr>
        <w:t>/</w:t>
      </w:r>
      <w:r>
        <w:rPr>
          <w:spacing w:val="-5"/>
        </w:rPr>
        <w:t>户，计</w:t>
      </w:r>
      <w:r>
        <w:rPr>
          <w:spacing w:val="-47"/>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2"/>
        </w:rPr>
        <w:t> </w:t>
      </w:r>
      <w:r>
        <w:rPr>
          <w:spacing w:val="-3"/>
        </w:rPr>
        <w:t>元；扶贫公益捐赠</w:t>
      </w:r>
      <w:r>
        <w:rPr>
          <w:spacing w:val="-47"/>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1"/>
        </w:rPr>
        <w:t> </w:t>
      </w:r>
      <w:r>
        <w:rPr/>
        <w:t>元。截止本报告披露日前</w:t>
      </w:r>
    </w:p>
    <w:p>
      <w:pPr>
        <w:pStyle w:val="BodyText"/>
        <w:spacing w:line="240" w:lineRule="auto" w:before="64"/>
        <w:ind w:left="174" w:right="0"/>
        <w:jc w:val="left"/>
      </w:pPr>
      <w:r>
        <w:rPr/>
        <w:t>述总计</w:t>
      </w:r>
      <w:r>
        <w:rPr>
          <w:spacing w:val="-47"/>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2"/>
        </w:rPr>
        <w:t> </w:t>
      </w:r>
      <w:r>
        <w:rPr/>
        <w:t>元扶贫资金已全部支付。</w:t>
      </w:r>
    </w:p>
    <w:p>
      <w:pPr>
        <w:spacing w:after="0" w:line="240"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bookmarkStart w:name="（3）精准扶贫成效" w:id="123"/>
      <w:bookmarkEnd w:id="123"/>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tbl>
      <w:tblPr>
        <w:tblW w:w="0" w:type="auto"/>
        <w:jc w:val="left"/>
        <w:tblInd w:w="180" w:type="dxa"/>
        <w:tblLayout w:type="fixed"/>
        <w:tblCellMar>
          <w:top w:w="0" w:type="dxa"/>
          <w:left w:w="0" w:type="dxa"/>
          <w:bottom w:w="0" w:type="dxa"/>
          <w:right w:w="0" w:type="dxa"/>
        </w:tblCellMar>
        <w:tblLook w:val="01E0"/>
      </w:tblPr>
      <w:tblGrid>
        <w:gridCol w:w="3583"/>
        <w:gridCol w:w="1450"/>
        <w:gridCol w:w="4524"/>
      </w:tblGrid>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东西部扶贫协作投入金额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扶贫公益基金投入金额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9.3.</w:t>
            </w:r>
            <w:r>
              <w:rPr>
                <w:rFonts w:ascii="宋体" w:hAnsi="宋体" w:cs="宋体" w:eastAsia="宋体" w:hint="default"/>
                <w:spacing w:val="-1"/>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10"/>
        <w:rPr>
          <w:rFonts w:ascii="宋体" w:hAnsi="宋体" w:cs="宋体" w:eastAsia="宋体" w:hint="default"/>
          <w:b/>
          <w:bCs/>
          <w:sz w:val="9"/>
          <w:szCs w:val="9"/>
        </w:rPr>
      </w:pPr>
    </w:p>
    <w:p>
      <w:pPr>
        <w:pStyle w:val="Heading3"/>
        <w:spacing w:line="240" w:lineRule="auto"/>
        <w:ind w:right="0"/>
        <w:jc w:val="left"/>
        <w:rPr>
          <w:b w:val="0"/>
          <w:bCs w:val="0"/>
        </w:rPr>
      </w:pPr>
      <w:bookmarkStart w:name="（4）后续精准扶贫计划" w:id="124"/>
      <w:bookmarkEnd w:id="124"/>
      <w:r>
        <w:rPr>
          <w:b w:val="0"/>
          <w:bCs w:val="0"/>
        </w:rPr>
      </w:r>
      <w:r>
        <w:rPr/>
        <w:t>（</w:t>
      </w:r>
      <w:r>
        <w:rPr>
          <w:rFonts w:ascii="Times New Roman" w:hAnsi="Times New Roman" w:cs="Times New Roman" w:eastAsia="Times New Roman" w:hint="default"/>
        </w:rPr>
        <w:t>4</w:t>
      </w:r>
      <w:r>
        <w:rPr/>
        <w:t>）后续精准扶贫计划</w:t>
      </w:r>
      <w:r>
        <w:rPr>
          <w:b w:val="0"/>
          <w:bCs w:val="0"/>
        </w:rPr>
      </w:r>
    </w:p>
    <w:p>
      <w:pPr>
        <w:pStyle w:val="BodyText"/>
        <w:spacing w:line="240" w:lineRule="auto" w:before="157"/>
        <w:ind w:right="0"/>
        <w:jc w:val="left"/>
      </w:pPr>
      <w:r>
        <w:rPr/>
        <w:t>无</w:t>
      </w:r>
    </w:p>
    <w:p>
      <w:pPr>
        <w:spacing w:line="240" w:lineRule="auto" w:before="6"/>
        <w:rPr>
          <w:rFonts w:ascii="宋体" w:hAnsi="宋体" w:cs="宋体" w:eastAsia="宋体" w:hint="default"/>
          <w:sz w:val="17"/>
          <w:szCs w:val="17"/>
        </w:rPr>
      </w:pPr>
    </w:p>
    <w:p>
      <w:pPr>
        <w:pStyle w:val="BodyText"/>
        <w:spacing w:line="362" w:lineRule="auto" w:before="0"/>
        <w:ind w:right="5352" w:firstLine="62"/>
        <w:jc w:val="left"/>
      </w:pPr>
      <w:bookmarkStart w:name="3、环境保护相关的情况" w:id="125"/>
      <w:bookmarkEnd w:id="1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b/>
          <w:bCs/>
          <w:w w:val="99"/>
          <w:sz w:val="21"/>
          <w:szCs w:val="21"/>
        </w:rPr>
        <w:t> </w:t>
      </w:r>
      <w:r>
        <w:rPr/>
        <w:t>上市公司及其子公司是否属于环境保护部门公布的重点排污单位 否 本公司及下属公司均不属于环境保护部门公布的重点排污单位。</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bookmarkStart w:name="十九、其他重大事项的说明" w:id="126"/>
      <w:bookmarkEnd w:id="126"/>
      <w:r>
        <w:rPr>
          <w:b w:val="0"/>
          <w:bCs w:val="0"/>
        </w:rPr>
      </w:r>
      <w:r>
        <w:rPr/>
        <w:t>十九、其他重大事项的说明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spacing w:val="-9"/>
        </w:rPr>
        <w:t>1</w:t>
      </w:r>
      <w:r>
        <w:rPr>
          <w:spacing w:val="-9"/>
        </w:rPr>
        <w:t>、公司于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18 </w:t>
      </w:r>
      <w:r>
        <w:rPr>
          <w:spacing w:val="-3"/>
        </w:rPr>
        <w:t>日召开了第四届董事会第一次会议、于</w:t>
      </w:r>
      <w:r>
        <w:rPr>
          <w:spacing w:val="-45"/>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rPr>
        <w:t>2 </w:t>
      </w:r>
      <w:r>
        <w:rPr/>
        <w:t>月</w:t>
      </w:r>
      <w:r>
        <w:rPr>
          <w:spacing w:val="-45"/>
        </w:rPr>
        <w:t> </w:t>
      </w:r>
      <w:r>
        <w:rPr>
          <w:rFonts w:ascii="Times New Roman" w:hAnsi="Times New Roman" w:cs="Times New Roman" w:eastAsia="Times New Roman" w:hint="default"/>
        </w:rPr>
        <w:t>7 </w:t>
      </w:r>
      <w:r>
        <w:rPr/>
        <w:t>日召开了</w:t>
      </w:r>
      <w:r>
        <w:rPr>
          <w:spacing w:val="-45"/>
        </w:rPr>
        <w:t> </w:t>
      </w:r>
      <w:r>
        <w:rPr>
          <w:rFonts w:ascii="Times New Roman" w:hAnsi="Times New Roman" w:cs="Times New Roman" w:eastAsia="Times New Roman" w:hint="default"/>
        </w:rPr>
        <w:t>2017 </w:t>
      </w:r>
      <w:r>
        <w:rPr/>
        <w:t>年第二次临时股东大会，</w:t>
      </w:r>
    </w:p>
    <w:p>
      <w:pPr>
        <w:pStyle w:val="BodyText"/>
        <w:spacing w:line="240" w:lineRule="auto" w:before="63"/>
        <w:ind w:left="174" w:right="0"/>
        <w:jc w:val="left"/>
      </w:pPr>
      <w:r>
        <w:rPr/>
        <w:t>同意使用不超过</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亿元人</w:t>
      </w:r>
      <w:r>
        <w:rPr>
          <w:spacing w:val="1"/>
        </w:rPr>
        <w:t>民</w:t>
      </w:r>
      <w:r>
        <w:rPr/>
        <w:t>币的自有资金参与设立并购基金</w:t>
      </w:r>
      <w:r>
        <w:rPr>
          <w:spacing w:val="-10"/>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日苏</w:t>
      </w:r>
      <w:r>
        <w:rPr>
          <w:spacing w:val="1"/>
        </w:rPr>
        <w:t>州</w:t>
      </w:r>
      <w:r>
        <w:rPr/>
        <w:t>方泽投资合伙企</w:t>
      </w:r>
      <w:r>
        <w:rPr>
          <w:spacing w:val="-10"/>
        </w:rPr>
        <w:t>业</w:t>
      </w:r>
      <w:r>
        <w:rPr/>
        <w:t>（有限合伙</w:t>
      </w:r>
      <w:r>
        <w:rPr>
          <w:spacing w:val="-100"/>
        </w:rPr>
        <w:t>）</w:t>
      </w:r>
      <w:r>
        <w:rPr/>
        <w:t>（以下</w:t>
      </w:r>
    </w:p>
    <w:p>
      <w:pPr>
        <w:pStyle w:val="BodyText"/>
        <w:spacing w:line="240" w:lineRule="auto" w:before="64"/>
        <w:ind w:left="174" w:right="0"/>
        <w:jc w:val="left"/>
      </w:pPr>
      <w:r>
        <w:rPr/>
        <w:t>简称“苏州方泽</w:t>
      </w:r>
      <w:r>
        <w:rPr>
          <w:spacing w:val="-90"/>
        </w:rPr>
        <w:t>”</w:t>
      </w:r>
      <w:r>
        <w:rPr/>
        <w:t>）完成工商登记，</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日，苏</w:t>
      </w:r>
      <w:r>
        <w:rPr>
          <w:spacing w:val="1"/>
        </w:rPr>
        <w:t>州</w:t>
      </w:r>
      <w:r>
        <w:rPr/>
        <w:t>方泽取得了《私募投资基金备案证明</w:t>
      </w:r>
      <w:r>
        <w:rPr>
          <w:spacing w:val="-90"/>
        </w:rPr>
        <w:t>》</w:t>
      </w:r>
      <w:r>
        <w:rPr/>
        <w:t>（备案编码：</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w w:val="99"/>
        </w:rPr>
        <w:t>X</w:t>
      </w:r>
      <w:r>
        <w:rPr>
          <w:rFonts w:ascii="Times New Roman" w:hAnsi="Times New Roman" w:cs="Times New Roman" w:eastAsia="Times New Roman" w:hint="default"/>
        </w:rPr>
        <w:t>74</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spacing w:val="-90"/>
        </w:rPr>
        <w:t>）。</w:t>
      </w:r>
      <w:r>
        <w:rPr/>
      </w:r>
    </w:p>
    <w:p>
      <w:pPr>
        <w:pStyle w:val="BodyText"/>
        <w:spacing w:line="309" w:lineRule="auto" w:before="102"/>
        <w:ind w:left="174" w:right="1032" w:firstLine="360"/>
        <w:jc w:val="left"/>
      </w:pPr>
      <w:r>
        <w:rPr/>
        <w:t>因</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年国家金融领域政策的变化，尤其是</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spacing w:val="-3"/>
        </w:rPr>
        <w:t>日《关于规范金融机构资产管理业务的指导意见》的发布，导致苏</w:t>
      </w:r>
      <w:r>
        <w:rPr/>
        <w:t> </w:t>
      </w:r>
      <w:r>
        <w:rPr>
          <w:spacing w:val="-4"/>
        </w:rPr>
        <w:t>州方泽结构化募资方案无法实施，因此苏州方泽的业务发展受到较大影响。针对上述情况，经苏州方泽全体合伙人充分讨论，</w:t>
      </w:r>
      <w:r>
        <w:rPr>
          <w:spacing w:val="-43"/>
        </w:rPr>
        <w:t> </w:t>
      </w:r>
      <w:r>
        <w:rPr>
          <w:spacing w:val="-43"/>
        </w:rPr>
      </w:r>
      <w:r>
        <w:rPr/>
        <w:t>于</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日决议注销苏州方泽。</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日，苏州方泽的税务注销手续已办理完毕，目前正在办理工商注销</w:t>
      </w:r>
    </w:p>
    <w:p>
      <w:pPr>
        <w:spacing w:after="0" w:line="309"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left="174" w:right="0"/>
        <w:jc w:val="both"/>
      </w:pPr>
      <w:r>
        <w:rPr/>
        <w:t>手续。</w:t>
      </w:r>
    </w:p>
    <w:p>
      <w:pPr>
        <w:pStyle w:val="BodyText"/>
        <w:spacing w:line="302" w:lineRule="auto" w:before="115"/>
        <w:ind w:left="174" w:right="1185"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日，经公司第四届董事会第四次会议审议通过，同意方欣科技以现金方式收购青岛高新金财信息科 技有限公司</w:t>
      </w:r>
      <w:r>
        <w:rPr>
          <w:spacing w:val="-46"/>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日，青岛金财已办理完毕本次交易的工商变更登记手续。</w:t>
      </w:r>
    </w:p>
    <w:p>
      <w:pPr>
        <w:pStyle w:val="BodyText"/>
        <w:spacing w:line="309" w:lineRule="auto" w:before="50"/>
        <w:ind w:left="174" w:right="1131" w:firstLine="360"/>
        <w:jc w:val="both"/>
      </w:pPr>
      <w:r>
        <w:rPr>
          <w:spacing w:val="-2"/>
        </w:rPr>
        <w:t>因《股权转让协议》约定的青岛高校信息产业股份有限公司业务、人才剥离等条件未能如期完成，同时因宏观市场环境</w:t>
      </w:r>
      <w:r>
        <w:rPr/>
        <w:t> 和财税行业政策在</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年发生了较大变化，从而导致交易各方原约定的对赌业绩未能达成。经交易各方充分沟通，同意对 青岛金财的对赌业绩及公司估值进行调整。</w:t>
      </w:r>
    </w:p>
    <w:p>
      <w:pPr>
        <w:pStyle w:val="BodyText"/>
        <w:spacing w:line="240" w:lineRule="auto" w:before="62"/>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日，公司第四届董事会第十八次会议审议通过了《关于调整青岛高新金财信息科技有限公司股权收购价</w:t>
      </w:r>
    </w:p>
    <w:p>
      <w:pPr>
        <w:pStyle w:val="BodyText"/>
        <w:spacing w:line="307" w:lineRule="auto" w:before="63"/>
        <w:ind w:left="174" w:right="1130"/>
        <w:jc w:val="both"/>
      </w:pPr>
      <w:r>
        <w:rPr>
          <w:spacing w:val="-3"/>
        </w:rPr>
        <w:t>格的议案》，同意根据北京国融兴华资产评估有限责任公司出具的国融兴华评报字</w:t>
      </w:r>
      <w:r>
        <w:rPr>
          <w:rFonts w:ascii="Times New Roman" w:hAnsi="Times New Roman" w:cs="Times New Roman" w:eastAsia="Times New Roman" w:hint="default"/>
          <w:spacing w:val="-3"/>
        </w:rPr>
        <w:t>[2018]</w:t>
      </w:r>
      <w:r>
        <w:rPr>
          <w:spacing w:val="-3"/>
        </w:rPr>
        <w:t>第</w:t>
      </w:r>
      <w:r>
        <w:rPr>
          <w:spacing w:val="-34"/>
        </w:rPr>
        <w:t> </w:t>
      </w:r>
      <w:r>
        <w:rPr>
          <w:rFonts w:ascii="Times New Roman" w:hAnsi="Times New Roman" w:cs="Times New Roman" w:eastAsia="Times New Roman" w:hint="default"/>
        </w:rPr>
        <w:t>620001</w:t>
      </w:r>
      <w:r>
        <w:rPr>
          <w:rFonts w:ascii="Times New Roman" w:hAnsi="Times New Roman" w:cs="Times New Roman" w:eastAsia="Times New Roman" w:hint="default"/>
          <w:spacing w:val="12"/>
        </w:rPr>
        <w:t> </w:t>
      </w:r>
      <w:r>
        <w:rPr>
          <w:spacing w:val="-1"/>
        </w:rPr>
        <w:t>号《方欣科技有限公司拟</w:t>
      </w:r>
      <w:r>
        <w:rPr>
          <w:spacing w:val="-88"/>
        </w:rPr>
        <w:t> </w:t>
      </w:r>
      <w:r>
        <w:rPr>
          <w:spacing w:val="-88"/>
        </w:rPr>
      </w:r>
      <w:r>
        <w:rPr>
          <w:spacing w:val="-2"/>
        </w:rPr>
        <w:t>收购股权事宜涉及的青岛高新金财信息科技有限公司股东全部权益价值项目资产评估报告》确认的青岛金财新的评估值人民</w:t>
      </w:r>
      <w:r>
        <w:rPr>
          <w:spacing w:val="-63"/>
        </w:rPr>
        <w:t> </w:t>
      </w:r>
      <w:r>
        <w:rPr>
          <w:spacing w:val="-63"/>
        </w:rPr>
      </w:r>
      <w:r>
        <w:rPr/>
        <w:t>币</w:t>
      </w:r>
      <w:r>
        <w:rPr>
          <w:spacing w:val="-46"/>
        </w:rPr>
        <w:t> </w:t>
      </w:r>
      <w:r>
        <w:rPr>
          <w:rFonts w:ascii="Times New Roman" w:hAnsi="Times New Roman" w:cs="Times New Roman" w:eastAsia="Times New Roman" w:hint="default"/>
        </w:rPr>
        <w:t>5,800 </w:t>
      </w:r>
      <w:r>
        <w:rPr/>
        <w:t>万元，并结合目前市场情况以及青岛金财管理团队重新测算的盈利预测数据，最终确定青岛金财</w:t>
      </w:r>
      <w:r>
        <w:rPr>
          <w:spacing w:val="-46"/>
        </w:rPr>
        <w:t> </w:t>
      </w:r>
      <w:r>
        <w:rPr>
          <w:rFonts w:ascii="Times New Roman" w:hAnsi="Times New Roman" w:cs="Times New Roman" w:eastAsia="Times New Roman" w:hint="default"/>
        </w:rPr>
        <w:t>100%</w:t>
      </w:r>
      <w:r>
        <w:rPr/>
        <w:t>股权的总对 价为 </w:t>
      </w:r>
      <w:r>
        <w:rPr>
          <w:rFonts w:ascii="Times New Roman" w:hAnsi="Times New Roman" w:cs="Times New Roman" w:eastAsia="Times New Roman" w:hint="default"/>
        </w:rPr>
        <w:t>5,730</w:t>
      </w:r>
      <w:r>
        <w:rPr>
          <w:rFonts w:ascii="Times New Roman" w:hAnsi="Times New Roman" w:cs="Times New Roman" w:eastAsia="Times New Roman" w:hint="default"/>
          <w:spacing w:val="-7"/>
        </w:rPr>
        <w:t> </w:t>
      </w:r>
      <w:r>
        <w:rPr>
          <w:spacing w:val="-3"/>
        </w:rPr>
        <w:t>万元。同日，交易各方签署了《关于青岛高新金财信息科技有限公司股权转让协议之补充协议》。</w:t>
      </w:r>
    </w:p>
    <w:p>
      <w:pPr>
        <w:pStyle w:val="BodyText"/>
        <w:spacing w:line="309" w:lineRule="auto" w:before="45"/>
        <w:ind w:left="174" w:right="1131" w:firstLine="360"/>
        <w:jc w:val="both"/>
      </w:pPr>
      <w:r>
        <w:rPr>
          <w:rFonts w:ascii="Times New Roman" w:hAnsi="Times New Roman" w:cs="Times New Roman" w:eastAsia="Times New Roman" w:hint="default"/>
          <w:spacing w:val="-3"/>
        </w:rPr>
        <w:t>3</w:t>
      </w:r>
      <w:r>
        <w:rPr>
          <w:spacing w:val="-3"/>
        </w:rPr>
        <w:t>、公司于</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2"/>
        </w:rPr>
        <w:t>日披露了《关于部分持股</w:t>
      </w:r>
      <w:r>
        <w:rPr>
          <w:spacing w:val="-42"/>
        </w:rPr>
        <w:t> </w:t>
      </w:r>
      <w:r>
        <w:rPr>
          <w:rFonts w:ascii="Times New Roman" w:hAnsi="Times New Roman" w:cs="Times New Roman" w:eastAsia="Times New Roman" w:hint="default"/>
          <w:spacing w:val="-7"/>
        </w:rPr>
        <w:t>5%</w:t>
      </w:r>
      <w:r>
        <w:rPr>
          <w:spacing w:val="-7"/>
        </w:rPr>
        <w:t>以上股东拟增持公司股份的公告》（公告编号：</w:t>
      </w:r>
      <w:r>
        <w:rPr>
          <w:rFonts w:ascii="Times New Roman" w:hAnsi="Times New Roman" w:cs="Times New Roman" w:eastAsia="Times New Roman" w:hint="default"/>
          <w:spacing w:val="-7"/>
        </w:rPr>
        <w:t>2018-038</w:t>
      </w:r>
      <w:r>
        <w:rPr>
          <w:spacing w:val="-7"/>
        </w:rPr>
        <w:t>），基于</w:t>
      </w:r>
      <w:r>
        <w:rPr/>
        <w:t> </w:t>
      </w:r>
      <w:r>
        <w:rPr>
          <w:spacing w:val="-2"/>
        </w:rPr>
        <w:t>对公司持续稳健发展的信心以及对公司内在价值的认可，为了提升市场信心，切实维护中小股东利益和资本市场稳定，公司</w:t>
      </w:r>
      <w:r>
        <w:rPr>
          <w:spacing w:val="-66"/>
        </w:rPr>
        <w:t> </w:t>
      </w:r>
      <w:r>
        <w:rPr>
          <w:spacing w:val="-66"/>
        </w:rPr>
      </w:r>
      <w:r>
        <w:rPr/>
        <w:t>部分持股</w:t>
      </w:r>
      <w:r>
        <w:rPr>
          <w:spacing w:val="-46"/>
        </w:rPr>
        <w:t> </w:t>
      </w:r>
      <w:r>
        <w:rPr>
          <w:rFonts w:ascii="Times New Roman" w:hAnsi="Times New Roman" w:cs="Times New Roman" w:eastAsia="Times New Roman" w:hint="default"/>
        </w:rPr>
        <w:t>5%</w:t>
      </w:r>
      <w:r>
        <w:rPr/>
        <w:t>以上股东拟自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日起</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个月内按照中国证监会和深圳证券交易所的规定，通过二级市场集中竞</w:t>
      </w:r>
    </w:p>
    <w:p>
      <w:pPr>
        <w:pStyle w:val="BodyText"/>
        <w:spacing w:line="240" w:lineRule="auto" w:before="5"/>
        <w:ind w:left="174" w:right="0"/>
        <w:jc w:val="both"/>
      </w:pPr>
      <w:r>
        <w:rPr/>
        <w:t>价或相关法律法规允许的其他方式增持公司股份，拟增持金额合计在</w:t>
      </w:r>
      <w:r>
        <w:rPr>
          <w:spacing w:val="-46"/>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
        </w:rPr>
        <w:t> </w:t>
      </w:r>
      <w:r>
        <w:rPr/>
        <w:t>万元至</w:t>
      </w:r>
      <w:r>
        <w:rPr>
          <w:spacing w:val="-46"/>
        </w:rPr>
        <w:t> </w:t>
      </w:r>
      <w:r>
        <w:rPr>
          <w:rFonts w:ascii="Times New Roman" w:hAnsi="Times New Roman" w:cs="Times New Roman" w:eastAsia="Times New Roman" w:hint="default"/>
        </w:rPr>
        <w:t>15,000 </w:t>
      </w:r>
      <w:r>
        <w:rPr/>
        <w:t>万元之间，其中朱文明先生、徐</w:t>
      </w:r>
    </w:p>
    <w:p>
      <w:pPr>
        <w:pStyle w:val="BodyText"/>
        <w:spacing w:line="240" w:lineRule="auto" w:before="64"/>
        <w:ind w:left="174" w:right="0"/>
        <w:jc w:val="both"/>
      </w:pPr>
      <w:r>
        <w:rPr/>
        <w:t>正军先生、束昱辉先生人均增持金额为</w:t>
      </w:r>
      <w:r>
        <w:rPr>
          <w:spacing w:val="-46"/>
        </w:rPr>
        <w:t> </w:t>
      </w:r>
      <w:r>
        <w:rPr>
          <w:rFonts w:ascii="Times New Roman" w:hAnsi="Times New Roman" w:cs="Times New Roman" w:eastAsia="Times New Roman" w:hint="default"/>
        </w:rPr>
        <w:t>4,000-5,000 </w:t>
      </w:r>
      <w:r>
        <w:rPr/>
        <w:t>万元。</w:t>
      </w:r>
    </w:p>
    <w:p>
      <w:pPr>
        <w:pStyle w:val="BodyText"/>
        <w:spacing w:line="300" w:lineRule="auto" w:before="102"/>
        <w:ind w:left="174" w:right="1116" w:firstLine="360"/>
        <w:jc w:val="left"/>
      </w:pPr>
      <w:r>
        <w:rPr/>
        <w:t>截至目前，公司实际控制人朱文明先生已通过集中竞价交易的方式，累计增持</w:t>
      </w:r>
      <w:r>
        <w:rPr>
          <w:spacing w:val="-46"/>
        </w:rPr>
        <w:t> </w:t>
      </w:r>
      <w:r>
        <w:rPr>
          <w:rFonts w:ascii="Times New Roman" w:hAnsi="Times New Roman" w:cs="Times New Roman" w:eastAsia="Times New Roman" w:hint="default"/>
        </w:rPr>
        <w:t>1,498,300</w:t>
      </w:r>
      <w:r>
        <w:rPr>
          <w:rFonts w:ascii="Times New Roman" w:hAnsi="Times New Roman" w:cs="Times New Roman" w:eastAsia="Times New Roman" w:hint="default"/>
          <w:spacing w:val="-2"/>
        </w:rPr>
        <w:t> </w:t>
      </w:r>
      <w:r>
        <w:rPr/>
        <w:t>股股票，累计增持金额为 </w:t>
      </w:r>
      <w:r>
        <w:rPr>
          <w:rFonts w:ascii="Times New Roman" w:hAnsi="Times New Roman" w:cs="Times New Roman" w:eastAsia="Times New Roman" w:hint="default"/>
        </w:rPr>
        <w:t>1,264.9212</w:t>
      </w:r>
      <w:r>
        <w:rPr>
          <w:rFonts w:ascii="Times New Roman" w:hAnsi="Times New Roman" w:cs="Times New Roman" w:eastAsia="Times New Roman" w:hint="default"/>
          <w:spacing w:val="-14"/>
        </w:rPr>
        <w:t> </w:t>
      </w:r>
      <w:r>
        <w:rPr>
          <w:spacing w:val="-3"/>
        </w:rPr>
        <w:t>万元。后续上述持股</w:t>
      </w:r>
      <w:r>
        <w:rPr>
          <w:spacing w:val="-59"/>
        </w:rPr>
        <w:t> </w:t>
      </w:r>
      <w:r>
        <w:rPr>
          <w:rFonts w:ascii="Times New Roman" w:hAnsi="Times New Roman" w:cs="Times New Roman" w:eastAsia="Times New Roman" w:hint="default"/>
        </w:rPr>
        <w:t>5%</w:t>
      </w:r>
      <w:r>
        <w:rPr/>
        <w:t>以上股东将按照《关于部分持股</w:t>
      </w:r>
      <w:r>
        <w:rPr>
          <w:spacing w:val="-59"/>
        </w:rPr>
        <w:t> </w:t>
      </w:r>
      <w:r>
        <w:rPr>
          <w:rFonts w:ascii="Times New Roman" w:hAnsi="Times New Roman" w:cs="Times New Roman" w:eastAsia="Times New Roman" w:hint="default"/>
        </w:rPr>
        <w:t>5%</w:t>
      </w:r>
      <w:r>
        <w:rPr/>
        <w:t>以上股东拟增持公司股份的公告》中的增持计划，择 机有序地增持公司股份，履行增持承诺。公司将根据相关规定及时披露有关进展。</w:t>
      </w:r>
    </w:p>
    <w:p>
      <w:pPr>
        <w:pStyle w:val="BodyText"/>
        <w:spacing w:line="240" w:lineRule="auto" w:before="70"/>
        <w:ind w:right="0"/>
        <w:jc w:val="left"/>
      </w:pPr>
      <w:r>
        <w:rPr>
          <w:rFonts w:ascii="Times New Roman" w:hAnsi="Times New Roman" w:cs="Times New Roman" w:eastAsia="Times New Roman" w:hint="default"/>
        </w:rPr>
        <w:t>4</w:t>
      </w:r>
      <w:r>
        <w:rPr/>
        <w:t>、公司于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1"/>
        </w:rPr>
        <w:t>披</w:t>
      </w:r>
      <w:r>
        <w:rPr/>
        <w:t>露了《关于全资子公司及副董事长收到中国证券监督管理委员会调查通知书的公告</w:t>
      </w:r>
      <w:r>
        <w:rPr>
          <w:spacing w:val="-90"/>
        </w:rPr>
        <w:t>》</w:t>
      </w:r>
      <w:r>
        <w:rPr/>
        <w:t>（公</w:t>
      </w:r>
    </w:p>
    <w:p>
      <w:pPr>
        <w:pStyle w:val="BodyText"/>
        <w:spacing w:line="240" w:lineRule="auto" w:before="63"/>
        <w:ind w:left="174" w:right="0"/>
        <w:jc w:val="both"/>
      </w:pPr>
      <w:r>
        <w:rPr/>
        <w:t>告编号</w:t>
      </w:r>
      <w:r>
        <w:rPr>
          <w:spacing w:val="-13"/>
        </w:rPr>
        <w:t>：</w:t>
      </w:r>
      <w:r>
        <w:rPr>
          <w:rFonts w:ascii="Times New Roman" w:hAnsi="Times New Roman" w:cs="Times New Roman" w:eastAsia="Times New Roman" w:hint="default"/>
        </w:rPr>
        <w:t>2018-058</w:t>
      </w:r>
      <w:r>
        <w:rPr>
          <w:spacing w:val="-90"/>
        </w:rPr>
        <w:t>）</w:t>
      </w:r>
      <w:r>
        <w:rPr>
          <w:spacing w:val="-14"/>
        </w:rPr>
        <w:t>，</w:t>
      </w:r>
      <w:r>
        <w:rPr/>
        <w:t>方欣科技及公司副董事长徐正军先生于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日收到中国证监会下发</w:t>
      </w:r>
      <w:r>
        <w:rPr>
          <w:spacing w:val="-14"/>
        </w:rPr>
        <w:t>的</w:t>
      </w:r>
      <w:r>
        <w:rPr/>
        <w:t>《调查通知书</w:t>
      </w:r>
      <w:r>
        <w:rPr>
          <w:spacing w:val="-104"/>
        </w:rPr>
        <w:t>》</w:t>
      </w:r>
      <w:r>
        <w:rPr/>
        <w:t>（编</w:t>
      </w:r>
      <w:r>
        <w:rPr>
          <w:spacing w:val="1"/>
        </w:rPr>
        <w:t>号</w:t>
      </w:r>
      <w:r>
        <w:rPr/>
        <w:t>：</w:t>
      </w:r>
    </w:p>
    <w:p>
      <w:pPr>
        <w:pStyle w:val="BodyText"/>
        <w:spacing w:line="240" w:lineRule="auto" w:before="63"/>
        <w:ind w:left="174" w:right="0"/>
        <w:jc w:val="both"/>
      </w:pPr>
      <w:r>
        <w:rPr/>
        <w:t>苏证调查字</w:t>
      </w:r>
      <w:r>
        <w:rPr>
          <w:spacing w:val="-46"/>
        </w:rPr>
        <w:t> </w:t>
      </w:r>
      <w:r>
        <w:rPr>
          <w:rFonts w:ascii="Times New Roman" w:hAnsi="Times New Roman" w:cs="Times New Roman" w:eastAsia="Times New Roman" w:hint="default"/>
        </w:rPr>
        <w:t>2018077</w:t>
      </w:r>
      <w:r>
        <w:rPr>
          <w:rFonts w:ascii="Times New Roman" w:hAnsi="Times New Roman" w:cs="Times New Roman" w:eastAsia="Times New Roman" w:hint="default"/>
          <w:spacing w:val="-1"/>
        </w:rPr>
        <w:t> </w:t>
      </w:r>
      <w:r>
        <w:rPr/>
        <w:t>号</w:t>
      </w:r>
      <w:r>
        <w:rPr>
          <w:spacing w:val="-28"/>
        </w:rPr>
        <w:t>、</w:t>
      </w:r>
      <w:r>
        <w:rPr/>
        <w:t>苏</w:t>
      </w:r>
      <w:r>
        <w:rPr>
          <w:spacing w:val="1"/>
        </w:rPr>
        <w:t>证</w:t>
      </w:r>
      <w:r>
        <w:rPr/>
        <w:t>调查字</w:t>
      </w:r>
      <w:r>
        <w:rPr>
          <w:spacing w:val="-46"/>
        </w:rPr>
        <w:t> </w:t>
      </w:r>
      <w:r>
        <w:rPr>
          <w:rFonts w:ascii="Times New Roman" w:hAnsi="Times New Roman" w:cs="Times New Roman" w:eastAsia="Times New Roman" w:hint="default"/>
        </w:rPr>
        <w:t>2018078</w:t>
      </w:r>
      <w:r>
        <w:rPr>
          <w:rFonts w:ascii="Times New Roman" w:hAnsi="Times New Roman" w:cs="Times New Roman" w:eastAsia="Times New Roman" w:hint="default"/>
          <w:spacing w:val="-1"/>
        </w:rPr>
        <w:t> </w:t>
      </w:r>
      <w:r>
        <w:rPr/>
        <w:t>号</w:t>
      </w:r>
      <w:r>
        <w:rPr>
          <w:spacing w:val="-90"/>
        </w:rPr>
        <w:t>）</w:t>
      </w:r>
      <w:r>
        <w:rPr>
          <w:spacing w:val="-28"/>
        </w:rPr>
        <w:t>，</w:t>
      </w:r>
      <w:r>
        <w:rPr/>
        <w:t>对</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6 </w:t>
      </w:r>
      <w:r>
        <w:rPr/>
        <w:t>年公司重大资产重组过程中</w:t>
      </w:r>
      <w:r>
        <w:rPr>
          <w:spacing w:val="-28"/>
        </w:rPr>
        <w:t>，</w:t>
      </w:r>
      <w:r>
        <w:rPr/>
        <w:t>方欣科技及徐正军先生是否按照信</w:t>
      </w:r>
    </w:p>
    <w:p>
      <w:pPr>
        <w:pStyle w:val="BodyText"/>
        <w:spacing w:line="338" w:lineRule="auto" w:before="64"/>
        <w:ind w:right="0" w:hanging="360"/>
        <w:jc w:val="left"/>
      </w:pPr>
      <w:r>
        <w:rPr/>
        <w:t>息披露的相关要求及时披露了交易对方徐正军先生在重组前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年内涉及的诉讼事项开展调查。 </w:t>
      </w:r>
      <w:r>
        <w:rPr>
          <w:spacing w:val="-2"/>
        </w:rPr>
        <w:t>截至目前，上述调查工作仍在进行之中，公司尚未收到关于本次调查结论的通知。上述调查事项不影响公司业务的正常</w:t>
      </w:r>
    </w:p>
    <w:p>
      <w:pPr>
        <w:pStyle w:val="BodyText"/>
        <w:spacing w:line="240" w:lineRule="auto" w:before="4"/>
        <w:ind w:left="174" w:right="0"/>
        <w:jc w:val="both"/>
      </w:pPr>
      <w:r>
        <w:rPr/>
        <w:t>开展以及徐正军先生的正常履职，公司目前经营发展一切正常。公司将根据后续进展情况及时履行信息披露义务。</w:t>
      </w:r>
    </w:p>
    <w:p>
      <w:pPr>
        <w:spacing w:line="240" w:lineRule="auto" w:before="0"/>
        <w:rPr>
          <w:rFonts w:ascii="宋体" w:hAnsi="宋体" w:cs="宋体" w:eastAsia="宋体" w:hint="default"/>
          <w:sz w:val="18"/>
          <w:szCs w:val="18"/>
        </w:rPr>
      </w:pPr>
    </w:p>
    <w:p>
      <w:pPr>
        <w:pStyle w:val="Heading2"/>
        <w:spacing w:line="240" w:lineRule="auto" w:before="137"/>
        <w:ind w:right="0"/>
        <w:jc w:val="both"/>
        <w:rPr>
          <w:b w:val="0"/>
          <w:bCs w:val="0"/>
        </w:rPr>
      </w:pPr>
      <w:bookmarkStart w:name="二十、公司子公司重大事项" w:id="127"/>
      <w:bookmarkEnd w:id="127"/>
      <w:r>
        <w:rPr>
          <w:b w:val="0"/>
          <w:bCs w:val="0"/>
        </w:rPr>
      </w:r>
      <w:r>
        <w:rPr/>
        <w:t>二十、公司子公司重大事项</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2986" w:right="0"/>
        <w:jc w:val="left"/>
        <w:rPr>
          <w:b w:val="0"/>
          <w:bCs w:val="0"/>
        </w:rPr>
      </w:pPr>
      <w:bookmarkStart w:name="第六节 股份变动及股东情况" w:id="128"/>
      <w:bookmarkEnd w:id="128"/>
      <w:r>
        <w:rPr>
          <w:b w:val="0"/>
          <w:bCs w:val="0"/>
        </w:rPr>
      </w:r>
      <w:bookmarkStart w:name="_bookmark5" w:id="129"/>
      <w:bookmarkEnd w:id="12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2"/>
        <w:spacing w:line="240" w:lineRule="auto" w:before="26"/>
        <w:ind w:right="0"/>
        <w:jc w:val="left"/>
        <w:rPr>
          <w:b w:val="0"/>
          <w:bCs w:val="0"/>
        </w:rPr>
      </w:pPr>
      <w:bookmarkStart w:name="一、股份变动情况" w:id="130"/>
      <w:bookmarkEnd w:id="130"/>
      <w:r>
        <w:rPr>
          <w:b w:val="0"/>
          <w:bCs w:val="0"/>
        </w:rPr>
      </w:r>
      <w:r>
        <w:rPr/>
        <w:t>一、股份变动情况</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股份变动情况" w:id="131"/>
      <w:bookmarkEnd w:id="13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962"/>
        <w:gridCol w:w="1077"/>
        <w:gridCol w:w="454"/>
        <w:gridCol w:w="454"/>
        <w:gridCol w:w="578"/>
        <w:gridCol w:w="994"/>
        <w:gridCol w:w="991"/>
        <w:gridCol w:w="993"/>
        <w:gridCol w:w="1151"/>
        <w:gridCol w:w="834"/>
      </w:tblGrid>
      <w:tr>
        <w:trPr>
          <w:trHeight w:val="31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0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3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531" w:type="dxa"/>
            <w:gridSpan w:val="2"/>
            <w:vMerge/>
            <w:tcBorders>
              <w:left w:val="single" w:sz="4" w:space="0" w:color="000000"/>
              <w:bottom w:val="single" w:sz="4" w:space="0" w:color="000000"/>
              <w:right w:val="single" w:sz="4" w:space="0" w:color="000000"/>
            </w:tcBorders>
            <w:shd w:val="clear" w:color="auto" w:fill="D2D2D2"/>
          </w:tcPr>
          <w:p>
            <w:pPr/>
          </w:p>
        </w:tc>
        <w:tc>
          <w:tcPr>
            <w:tcW w:w="4010" w:type="dxa"/>
            <w:gridSpan w:val="5"/>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r>
      <w:tr>
        <w:trPr>
          <w:trHeight w:val="145" w:hRule="exact"/>
        </w:trPr>
        <w:tc>
          <w:tcPr>
            <w:tcW w:w="1962" w:type="dxa"/>
            <w:vMerge/>
            <w:tcBorders>
              <w:left w:val="single" w:sz="4" w:space="0" w:color="000000"/>
              <w:right w:val="single" w:sz="4" w:space="0" w:color="000000"/>
            </w:tcBorders>
            <w:shd w:val="clear" w:color="auto" w:fill="D2D2D2"/>
          </w:tcPr>
          <w:p>
            <w:pPr/>
          </w:p>
        </w:tc>
        <w:tc>
          <w:tcPr>
            <w:tcW w:w="1077" w:type="dxa"/>
            <w:tcBorders>
              <w:top w:val="single" w:sz="4" w:space="0" w:color="000000"/>
              <w:left w:val="single" w:sz="4" w:space="0" w:color="000000"/>
              <w:bottom w:val="nil" w:sz="6" w:space="0" w:color="auto"/>
              <w:right w:val="single" w:sz="4" w:space="0" w:color="000000"/>
            </w:tcBorders>
            <w:shd w:val="clear" w:color="auto" w:fill="D2D2D2"/>
          </w:tcPr>
          <w:p>
            <w:pPr/>
          </w:p>
        </w:tc>
        <w:tc>
          <w:tcPr>
            <w:tcW w:w="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454"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2"/>
              <w:ind w:left="41" w:right="4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8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54" w:type="dxa"/>
            <w:vMerge/>
            <w:tcBorders>
              <w:left w:val="single" w:sz="4" w:space="0" w:color="000000"/>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0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4"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77" w:type="dxa"/>
            <w:vMerge/>
            <w:tcBorders>
              <w:left w:val="single" w:sz="4" w:space="0" w:color="000000"/>
              <w:bottom w:val="nil" w:sz="6" w:space="0" w:color="auto"/>
              <w:right w:val="single" w:sz="4" w:space="0" w:color="000000"/>
            </w:tcBorders>
            <w:shd w:val="clear" w:color="auto" w:fill="D2D2D2"/>
          </w:tcPr>
          <w:p>
            <w:pPr/>
          </w:p>
        </w:tc>
        <w:tc>
          <w:tcPr>
            <w:tcW w:w="454" w:type="dxa"/>
            <w:vMerge/>
            <w:tcBorders>
              <w:left w:val="single" w:sz="4" w:space="0" w:color="000000"/>
              <w:bottom w:val="nil" w:sz="6" w:space="0" w:color="auto"/>
              <w:right w:val="single" w:sz="4" w:space="0" w:color="000000"/>
            </w:tcBorders>
            <w:shd w:val="clear" w:color="auto" w:fill="D2D2D2"/>
          </w:tcPr>
          <w:p>
            <w:pPr/>
          </w:p>
        </w:tc>
        <w:tc>
          <w:tcPr>
            <w:tcW w:w="454" w:type="dxa"/>
            <w:vMerge/>
            <w:tcBorders>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834"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77" w:type="dxa"/>
            <w:tcBorders>
              <w:top w:val="nil" w:sz="6" w:space="0" w:color="auto"/>
              <w:left w:val="single" w:sz="4" w:space="0" w:color="000000"/>
              <w:bottom w:val="single" w:sz="4" w:space="0" w:color="000000"/>
              <w:right w:val="single" w:sz="4" w:space="0" w:color="000000"/>
            </w:tcBorders>
            <w:shd w:val="clear" w:color="auto" w:fill="D2D2D2"/>
          </w:tcPr>
          <w:p>
            <w:pPr/>
          </w:p>
        </w:tc>
        <w:tc>
          <w:tcPr>
            <w:tcW w:w="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454"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8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5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279,142,181</w:t>
            </w:r>
          </w:p>
        </w:tc>
        <w:tc>
          <w:tcPr>
            <w:tcW w:w="4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167,485,788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-35,137,311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5" w:right="0"/>
              <w:jc w:val="center"/>
              <w:rPr>
                <w:rFonts w:ascii="Times New Roman" w:hAnsi="Times New Roman" w:cs="Times New Roman" w:eastAsia="Times New Roman" w:hint="default"/>
                <w:sz w:val="18"/>
                <w:szCs w:val="18"/>
              </w:rPr>
            </w:pPr>
            <w:r>
              <w:rPr>
                <w:rFonts w:ascii="Times New Roman"/>
                <w:sz w:val="18"/>
              </w:rPr>
              <w:t>132,348,477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411,490,658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52.41%</w:t>
            </w:r>
          </w:p>
        </w:tc>
      </w:tr>
      <w:tr>
        <w:trPr>
          <w:trHeight w:val="45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279,142,181</w:t>
            </w:r>
          </w:p>
        </w:tc>
        <w:tc>
          <w:tcPr>
            <w:tcW w:w="4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167,485,788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-35,137,311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5" w:right="0"/>
              <w:jc w:val="center"/>
              <w:rPr>
                <w:rFonts w:ascii="Times New Roman" w:hAnsi="Times New Roman" w:cs="Times New Roman" w:eastAsia="Times New Roman" w:hint="default"/>
                <w:sz w:val="18"/>
                <w:szCs w:val="18"/>
              </w:rPr>
            </w:pPr>
            <w:r>
              <w:rPr>
                <w:rFonts w:ascii="Times New Roman"/>
                <w:sz w:val="18"/>
              </w:rPr>
              <w:t>132,348,477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411,490,658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52.41%</w:t>
            </w:r>
          </w:p>
        </w:tc>
      </w:tr>
      <w:tr>
        <w:trPr>
          <w:trHeight w:val="45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101,334,944</w:t>
            </w:r>
          </w:p>
        </w:tc>
        <w:tc>
          <w:tcPr>
            <w:tcW w:w="4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60,800,966</w:t>
            </w: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25" w:right="0"/>
              <w:jc w:val="center"/>
              <w:rPr>
                <w:rFonts w:ascii="Times New Roman" w:hAnsi="Times New Roman" w:cs="Times New Roman" w:eastAsia="Times New Roman" w:hint="default"/>
                <w:sz w:val="18"/>
                <w:szCs w:val="18"/>
              </w:rPr>
            </w:pPr>
            <w:r>
              <w:rPr>
                <w:rFonts w:ascii="Times New Roman"/>
                <w:sz w:val="18"/>
              </w:rPr>
              <w:t>60,800,966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162,135,910</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20.65%</w:t>
            </w:r>
          </w:p>
        </w:tc>
      </w:tr>
      <w:tr>
        <w:trPr>
          <w:trHeight w:val="45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177,807,237</w:t>
            </w:r>
          </w:p>
        </w:tc>
        <w:tc>
          <w:tcPr>
            <w:tcW w:w="4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106,684,822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-35,137,311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2" w:right="0"/>
              <w:jc w:val="center"/>
              <w:rPr>
                <w:rFonts w:ascii="Times New Roman" w:hAnsi="Times New Roman" w:cs="Times New Roman" w:eastAsia="Times New Roman" w:hint="default"/>
                <w:sz w:val="18"/>
                <w:szCs w:val="18"/>
              </w:rPr>
            </w:pPr>
            <w:r>
              <w:rPr>
                <w:rFonts w:ascii="Times New Roman"/>
                <w:sz w:val="18"/>
              </w:rPr>
              <w:t>71,547,511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249,354,748</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31.76%</w:t>
            </w:r>
          </w:p>
        </w:tc>
      </w:tr>
      <w:tr>
        <w:trPr>
          <w:trHeight w:val="45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211,599,672</w:t>
            </w:r>
          </w:p>
        </w:tc>
        <w:tc>
          <w:tcPr>
            <w:tcW w:w="4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126,959,323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35,137,311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5" w:right="0"/>
              <w:jc w:val="center"/>
              <w:rPr>
                <w:rFonts w:ascii="Times New Roman" w:hAnsi="Times New Roman" w:cs="Times New Roman" w:eastAsia="Times New Roman" w:hint="default"/>
                <w:sz w:val="18"/>
                <w:szCs w:val="18"/>
              </w:rPr>
            </w:pPr>
            <w:r>
              <w:rPr>
                <w:rFonts w:ascii="Times New Roman"/>
                <w:sz w:val="18"/>
              </w:rPr>
              <w:t>162,096,634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373,696,306</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47.59%</w:t>
            </w:r>
          </w:p>
        </w:tc>
      </w:tr>
      <w:tr>
        <w:trPr>
          <w:trHeight w:val="45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pacing w:val="-1"/>
                <w:sz w:val="18"/>
              </w:rPr>
              <w:t>211,599,672</w:t>
            </w:r>
          </w:p>
        </w:tc>
        <w:tc>
          <w:tcPr>
            <w:tcW w:w="4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126,959,323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35,137,311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5" w:right="0"/>
              <w:jc w:val="center"/>
              <w:rPr>
                <w:rFonts w:ascii="Times New Roman" w:hAnsi="Times New Roman" w:cs="Times New Roman" w:eastAsia="Times New Roman" w:hint="default"/>
                <w:sz w:val="18"/>
                <w:szCs w:val="18"/>
              </w:rPr>
            </w:pPr>
            <w:r>
              <w:rPr>
                <w:rFonts w:ascii="Times New Roman"/>
                <w:sz w:val="18"/>
              </w:rPr>
              <w:t>162,096,634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373,696,306</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47.59%</w:t>
            </w:r>
          </w:p>
        </w:tc>
      </w:tr>
      <w:tr>
        <w:trPr>
          <w:trHeight w:val="450"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490,741,853</w:t>
            </w:r>
          </w:p>
        </w:tc>
        <w:tc>
          <w:tcPr>
            <w:tcW w:w="454"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Times New Roman" w:hAnsi="Times New Roman" w:cs="Times New Roman" w:eastAsia="Times New Roman" w:hint="default"/>
                <w:sz w:val="18"/>
                <w:szCs w:val="18"/>
              </w:rPr>
            </w:pPr>
            <w:r>
              <w:rPr>
                <w:rFonts w:ascii="Times New Roman"/>
                <w:spacing w:val="-2"/>
                <w:sz w:val="18"/>
              </w:rPr>
              <w:t>294,445,111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7" w:right="0"/>
              <w:jc w:val="center"/>
              <w:rPr>
                <w:rFonts w:ascii="Times New Roman" w:hAnsi="Times New Roman" w:cs="Times New Roman" w:eastAsia="Times New Roman" w:hint="default"/>
                <w:sz w:val="18"/>
                <w:szCs w:val="18"/>
              </w:rPr>
            </w:pPr>
            <w:r>
              <w:rPr>
                <w:rFonts w:ascii="Times New Roman"/>
                <w:sz w:val="18"/>
              </w:rPr>
              <w:t>294,445,111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785,186,964</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股份变动的原因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spacing w:val="-21"/>
        </w:rPr>
        <w:t>）</w:t>
      </w:r>
      <w:r>
        <w:rPr/>
        <w:t>根据公司于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日召开的</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年年度股东大会</w:t>
      </w:r>
      <w:r>
        <w:rPr>
          <w:spacing w:val="-21"/>
        </w:rPr>
        <w:t>，</w:t>
      </w:r>
      <w:r>
        <w:rPr/>
        <w:t>审议通过</w:t>
      </w:r>
      <w:r>
        <w:rPr>
          <w:spacing w:val="-21"/>
        </w:rPr>
        <w:t>了</w:t>
      </w:r>
      <w:r>
        <w:rPr>
          <w:spacing w:val="-1"/>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年度利润分配方案</w:t>
      </w:r>
      <w:r>
        <w:rPr>
          <w:spacing w:val="-90"/>
        </w:rPr>
        <w:t>》</w:t>
      </w:r>
      <w:r>
        <w:rPr>
          <w:spacing w:val="-21"/>
        </w:rPr>
        <w:t>，</w:t>
      </w:r>
      <w:r>
        <w:rPr/>
        <w:t>公司以</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p>
    <w:p>
      <w:pPr>
        <w:pStyle w:val="BodyText"/>
        <w:spacing w:line="240" w:lineRule="auto" w:before="63"/>
        <w:ind w:left="174" w:right="0"/>
        <w:jc w:val="left"/>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spacing w:val="1"/>
        </w:rPr>
        <w:t>的</w:t>
      </w:r>
      <w:r>
        <w:rPr/>
        <w:t>总股本</w:t>
      </w:r>
      <w:r>
        <w:rPr>
          <w:spacing w:val="-46"/>
        </w:rPr>
        <w:t> </w:t>
      </w:r>
      <w:r>
        <w:rPr>
          <w:rFonts w:ascii="Times New Roman" w:hAnsi="Times New Roman" w:cs="Times New Roman" w:eastAsia="Times New Roman" w:hint="default"/>
        </w:rPr>
        <w:t>490,741</w:t>
      </w:r>
      <w:r>
        <w:rPr>
          <w:rFonts w:ascii="Times New Roman" w:hAnsi="Times New Roman" w:cs="Times New Roman" w:eastAsia="Times New Roman" w:hint="default"/>
          <w:spacing w:val="-1"/>
        </w:rPr>
        <w:t>,</w:t>
      </w:r>
      <w:r>
        <w:rPr>
          <w:rFonts w:ascii="Times New Roman" w:hAnsi="Times New Roman" w:cs="Times New Roman" w:eastAsia="Times New Roman" w:hint="default"/>
        </w:rPr>
        <w:t>853</w:t>
      </w:r>
      <w:r>
        <w:rPr>
          <w:rFonts w:ascii="Times New Roman" w:hAnsi="Times New Roman" w:cs="Times New Roman" w:eastAsia="Times New Roman" w:hint="default"/>
          <w:spacing w:val="-1"/>
        </w:rPr>
        <w:t> </w:t>
      </w:r>
      <w:r>
        <w:rPr/>
        <w:t>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6"/>
        </w:rPr>
        <w:t> </w:t>
      </w:r>
      <w:r>
        <w:rPr>
          <w:rFonts w:ascii="Times New Roman" w:hAnsi="Times New Roman" w:cs="Times New Roman" w:eastAsia="Times New Roman" w:hint="default"/>
        </w:rPr>
        <w:t>0.50</w:t>
      </w:r>
      <w:r>
        <w:rPr>
          <w:rFonts w:ascii="Times New Roman" w:hAnsi="Times New Roman" w:cs="Times New Roman" w:eastAsia="Times New Roman" w:hint="default"/>
          <w:spacing w:val="-1"/>
        </w:rPr>
        <w:t> </w:t>
      </w:r>
      <w:r>
        <w:rPr/>
        <w:t>元（含税</w:t>
      </w:r>
      <w:r>
        <w:rPr>
          <w:spacing w:val="-90"/>
        </w:rPr>
        <w:t>）</w:t>
      </w:r>
      <w:r>
        <w:rPr/>
        <w:t>；同时以资本公积转增股本</w:t>
      </w:r>
    </w:p>
    <w:p>
      <w:pPr>
        <w:pStyle w:val="BodyText"/>
        <w:spacing w:line="240" w:lineRule="auto" w:before="64"/>
        <w:ind w:left="174" w:right="0"/>
        <w:jc w:val="left"/>
      </w:pPr>
      <w:r>
        <w:rPr/>
        <w:t>方式向全体股东每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股，转增后总股本增至</w:t>
      </w:r>
      <w:r>
        <w:rPr>
          <w:spacing w:val="-46"/>
        </w:rPr>
        <w:t> </w:t>
      </w:r>
      <w:r>
        <w:rPr>
          <w:rFonts w:ascii="Times New Roman" w:hAnsi="Times New Roman" w:cs="Times New Roman" w:eastAsia="Times New Roman" w:hint="default"/>
        </w:rPr>
        <w:t>785,186,964</w:t>
      </w:r>
      <w:r>
        <w:rPr>
          <w:rFonts w:ascii="Times New Roman" w:hAnsi="Times New Roman" w:cs="Times New Roman" w:eastAsia="Times New Roman" w:hint="default"/>
          <w:spacing w:val="-1"/>
        </w:rPr>
        <w:t> </w:t>
      </w:r>
      <w:r>
        <w:rPr/>
        <w:t>股。</w:t>
      </w:r>
    </w:p>
    <w:p>
      <w:pPr>
        <w:pStyle w:val="BodyText"/>
        <w:spacing w:line="300" w:lineRule="auto" w:before="101"/>
        <w:ind w:left="174" w:right="1116"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日公司向徐正军等特定对象发行</w:t>
      </w:r>
      <w:r>
        <w:rPr>
          <w:spacing w:val="-47"/>
        </w:rPr>
        <w:t> </w:t>
      </w:r>
      <w:r>
        <w:rPr>
          <w:rFonts w:ascii="Times New Roman" w:hAnsi="Times New Roman" w:cs="Times New Roman" w:eastAsia="Times New Roman" w:hint="default"/>
        </w:rPr>
        <w:t>148,392,413</w:t>
      </w:r>
      <w:r>
        <w:rPr>
          <w:rFonts w:ascii="Times New Roman" w:hAnsi="Times New Roman" w:cs="Times New Roman" w:eastAsia="Times New Roman" w:hint="default"/>
          <w:spacing w:val="-2"/>
        </w:rPr>
        <w:t> </w:t>
      </w:r>
      <w:r>
        <w:rPr/>
        <w:t>股股份在深圳证券交易所上市，徐正军、王金根、 曹锋、邓国庭自新增股份上市之日起十二个月内不以任何形式转让，十二个月后解锁全部取得本公司股份的</w:t>
      </w:r>
      <w:r>
        <w:rPr>
          <w:spacing w:val="-45"/>
        </w:rPr>
        <w:t> </w:t>
      </w:r>
      <w:r>
        <w:rPr>
          <w:rFonts w:ascii="Times New Roman" w:hAnsi="Times New Roman" w:cs="Times New Roman" w:eastAsia="Times New Roman" w:hint="default"/>
        </w:rPr>
        <w:t>10%</w:t>
      </w:r>
      <w:r>
        <w:rPr/>
        <w:t>，二十四 个月后解锁至全部取得本公司股份的</w:t>
      </w:r>
      <w:r>
        <w:rPr>
          <w:spacing w:val="-46"/>
        </w:rPr>
        <w:t> </w:t>
      </w:r>
      <w:r>
        <w:rPr>
          <w:rFonts w:ascii="Times New Roman" w:hAnsi="Times New Roman" w:cs="Times New Roman" w:eastAsia="Times New Roman" w:hint="default"/>
        </w:rPr>
        <w:t>35%</w:t>
      </w:r>
      <w:r>
        <w:rPr/>
        <w:t>，三十六个月后解锁全部取得本公司股份的剩余股份；北京众诚、苏州松禾、深 圳金蝶、广州西域自新增股份上市之日起十二个月内不以任何形式转让。</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日，徐正军、王金根、曹锋、邓国 庭所持本公司股份</w:t>
      </w:r>
      <w:r>
        <w:rPr>
          <w:spacing w:val="-46"/>
        </w:rPr>
        <w:t> </w:t>
      </w:r>
      <w:r>
        <w:rPr>
          <w:rFonts w:ascii="Times New Roman" w:hAnsi="Times New Roman" w:cs="Times New Roman" w:eastAsia="Times New Roman" w:hint="default"/>
        </w:rPr>
        <w:t>25%</w:t>
      </w:r>
      <w:r>
        <w:rPr/>
        <w:t>解除限售，即境内自然人持股合计解除限售股份数量为</w:t>
      </w:r>
      <w:r>
        <w:rPr>
          <w:spacing w:val="-46"/>
        </w:rPr>
        <w:t> </w:t>
      </w:r>
      <w:r>
        <w:rPr>
          <w:rFonts w:ascii="Times New Roman" w:hAnsi="Times New Roman" w:cs="Times New Roman" w:eastAsia="Times New Roman" w:hint="default"/>
        </w:rPr>
        <w:t>47,949,928 </w:t>
      </w:r>
      <w:r>
        <w:rPr/>
        <w:t>股，其中公司副董事长、董事徐 正军先生此次解除限售股份数量为</w:t>
      </w:r>
      <w:r>
        <w:rPr>
          <w:spacing w:val="-39"/>
        </w:rPr>
        <w:t> </w:t>
      </w:r>
      <w:r>
        <w:rPr>
          <w:rFonts w:ascii="Times New Roman" w:hAnsi="Times New Roman" w:cs="Times New Roman" w:eastAsia="Times New Roman" w:hint="default"/>
        </w:rPr>
        <w:t>32,050,742</w:t>
      </w:r>
      <w:r>
        <w:rPr>
          <w:rFonts w:ascii="Times New Roman" w:hAnsi="Times New Roman" w:cs="Times New Roman" w:eastAsia="Times New Roman" w:hint="default"/>
          <w:spacing w:val="6"/>
        </w:rPr>
        <w:t> </w:t>
      </w:r>
      <w:r>
        <w:rPr>
          <w:spacing w:val="-3"/>
        </w:rPr>
        <w:t>股，根据《公司法》及相关法律、行政法规的规定，徐正军先生每年实际可上</w:t>
      </w:r>
      <w:r>
        <w:rPr>
          <w:spacing w:val="-88"/>
        </w:rPr>
        <w:t> </w:t>
      </w:r>
      <w:r>
        <w:rPr>
          <w:spacing w:val="-88"/>
        </w:rPr>
      </w:r>
      <w:r>
        <w:rPr/>
        <w:t>市流通的股票数量为其所持有本公司股票总数的</w:t>
      </w:r>
      <w:r>
        <w:rPr>
          <w:spacing w:val="-46"/>
        </w:rPr>
        <w:t> </w:t>
      </w:r>
      <w:r>
        <w:rPr>
          <w:rFonts w:ascii="Times New Roman" w:hAnsi="Times New Roman" w:cs="Times New Roman" w:eastAsia="Times New Roman" w:hint="default"/>
        </w:rPr>
        <w:t>25%</w:t>
      </w:r>
      <w:r>
        <w:rPr/>
        <w:t>，本次解除限售股份中</w:t>
      </w:r>
      <w:r>
        <w:rPr>
          <w:spacing w:val="-47"/>
        </w:rPr>
        <w:t> </w:t>
      </w:r>
      <w:r>
        <w:rPr>
          <w:rFonts w:ascii="Times New Roman" w:hAnsi="Times New Roman" w:cs="Times New Roman" w:eastAsia="Times New Roman" w:hint="default"/>
        </w:rPr>
        <w:t>12,820,297</w:t>
      </w:r>
      <w:r>
        <w:rPr>
          <w:rFonts w:ascii="Times New Roman" w:hAnsi="Times New Roman" w:cs="Times New Roman" w:eastAsia="Times New Roman" w:hint="default"/>
          <w:spacing w:val="-2"/>
        </w:rPr>
        <w:t> </w:t>
      </w:r>
      <w:r>
        <w:rPr/>
        <w:t>股将作为高管锁定股继续锁定。</w:t>
      </w:r>
    </w:p>
    <w:p>
      <w:pPr>
        <w:pStyle w:val="BodyText"/>
        <w:spacing w:line="340" w:lineRule="auto" w:before="52"/>
        <w:ind w:right="2656"/>
        <w:jc w:val="left"/>
      </w:pPr>
      <w:r>
        <w:rPr/>
        <w:t>（</w:t>
      </w:r>
      <w:r>
        <w:rPr>
          <w:rFonts w:ascii="Times New Roman" w:hAnsi="Times New Roman" w:cs="Times New Roman" w:eastAsia="Times New Roman" w:hint="default"/>
        </w:rPr>
        <w:t>3</w:t>
      </w:r>
      <w:r>
        <w:rPr/>
        <w:t>）报告期末，本公司第四届董事会董事夏晓宇先生持有的本公司</w:t>
      </w:r>
      <w:r>
        <w:rPr>
          <w:spacing w:val="-46"/>
        </w:rPr>
        <w:t> </w:t>
      </w:r>
      <w:r>
        <w:rPr>
          <w:rFonts w:ascii="Times New Roman" w:hAnsi="Times New Roman" w:cs="Times New Roman" w:eastAsia="Times New Roman" w:hint="default"/>
        </w:rPr>
        <w:t>1,920</w:t>
      </w:r>
      <w:r>
        <w:rPr>
          <w:rFonts w:ascii="Times New Roman" w:hAnsi="Times New Roman" w:cs="Times New Roman" w:eastAsia="Times New Roman" w:hint="default"/>
          <w:spacing w:val="-1"/>
        </w:rPr>
        <w:t> </w:t>
      </w:r>
      <w:r>
        <w:rPr/>
        <w:t>股股票，锁定</w:t>
      </w:r>
      <w:r>
        <w:rPr>
          <w:spacing w:val="-46"/>
        </w:rPr>
        <w:t> </w:t>
      </w:r>
      <w:r>
        <w:rPr>
          <w:rFonts w:ascii="Times New Roman" w:hAnsi="Times New Roman" w:cs="Times New Roman" w:eastAsia="Times New Roman" w:hint="default"/>
        </w:rPr>
        <w:t>1,440</w:t>
      </w:r>
      <w:r>
        <w:rPr>
          <w:rFonts w:ascii="Times New Roman" w:hAnsi="Times New Roman" w:cs="Times New Roman" w:eastAsia="Times New Roman" w:hint="default"/>
          <w:spacing w:val="-1"/>
        </w:rPr>
        <w:t> </w:t>
      </w:r>
      <w:r>
        <w:rPr/>
        <w:t>股。 股份变动的批准情况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74" w:right="1124" w:firstLine="360"/>
        <w:jc w:val="left"/>
      </w:pPr>
      <w:r>
        <w:rPr/>
        <w:t>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4"/>
        </w:rPr>
        <w:t>年度利润分配方案（含资本公积转增股本方案）已经公司于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日召开的</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年度股东大会审议 通过。</w:t>
      </w:r>
    </w:p>
    <w:p>
      <w:pPr>
        <w:pStyle w:val="BodyText"/>
        <w:spacing w:line="240" w:lineRule="auto" w:before="70"/>
        <w:ind w:right="0"/>
        <w:jc w:val="left"/>
      </w:pPr>
      <w:r>
        <w:rPr/>
        <w:t>股份变动的过户情况</w:t>
      </w:r>
    </w:p>
    <w:p>
      <w:pPr>
        <w:pStyle w:val="BodyText"/>
        <w:spacing w:line="338" w:lineRule="auto" w:before="116"/>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spacing w:after="0" w:line="338"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股份变动对最近一年和最近一期基本每股收益和稀释每股收益、归属于公司普通股股东的每股净资产等财务指标的影响</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15 </w:t>
      </w:r>
      <w:r>
        <w:rPr/>
        <w:t>日召开的公司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年年度股东大会审议通过</w:t>
      </w:r>
      <w:r>
        <w:rPr>
          <w:spacing w:val="-41"/>
        </w:rPr>
        <w:t>了</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年度利润分配方案</w:t>
      </w:r>
      <w:r>
        <w:rPr>
          <w:spacing w:val="-90"/>
        </w:rPr>
        <w:t>》</w:t>
      </w:r>
      <w:r>
        <w:rPr>
          <w:spacing w:val="-41"/>
        </w:rPr>
        <w:t>，</w:t>
      </w:r>
      <w:r>
        <w:rPr/>
        <w:t>公司以</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1"/>
        </w:rPr>
        <w:t>日的</w:t>
      </w:r>
      <w:r>
        <w:rPr/>
      </w:r>
    </w:p>
    <w:p>
      <w:pPr>
        <w:pStyle w:val="BodyText"/>
        <w:spacing w:line="240" w:lineRule="auto" w:before="63"/>
        <w:ind w:left="174" w:right="0"/>
        <w:jc w:val="left"/>
      </w:pPr>
      <w:r>
        <w:rPr/>
        <w:t>总股本</w:t>
      </w:r>
      <w:r>
        <w:rPr>
          <w:spacing w:val="-46"/>
        </w:rPr>
        <w:t> </w:t>
      </w:r>
      <w:r>
        <w:rPr>
          <w:rFonts w:ascii="Times New Roman" w:hAnsi="Times New Roman" w:cs="Times New Roman" w:eastAsia="Times New Roman" w:hint="default"/>
        </w:rPr>
        <w:t>490,741,853</w:t>
      </w:r>
      <w:r>
        <w:rPr>
          <w:rFonts w:ascii="Times New Roman" w:hAnsi="Times New Roman" w:cs="Times New Roman" w:eastAsia="Times New Roman" w:hint="default"/>
          <w:spacing w:val="-1"/>
        </w:rPr>
        <w:t> </w:t>
      </w:r>
      <w:r>
        <w:rPr/>
        <w:t>股为基数，以资本公积转增方式向全体股东每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股，本次权益分派股权登记日为</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15"/>
        <w:ind w:left="174" w:right="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6"/>
        </w:rPr>
        <w:t>日，除权除息日为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5"/>
        </w:rPr>
        <w:t>日，公司总股本由</w:t>
      </w:r>
      <w:r>
        <w:rPr>
          <w:spacing w:val="-46"/>
        </w:rPr>
        <w:t> </w:t>
      </w:r>
      <w:r>
        <w:rPr>
          <w:rFonts w:ascii="Times New Roman" w:hAnsi="Times New Roman" w:cs="Times New Roman" w:eastAsia="Times New Roman" w:hint="default"/>
        </w:rPr>
        <w:t>490,741,853</w:t>
      </w:r>
      <w:r>
        <w:rPr>
          <w:rFonts w:ascii="Times New Roman" w:hAnsi="Times New Roman" w:cs="Times New Roman" w:eastAsia="Times New Roman" w:hint="default"/>
          <w:spacing w:val="-1"/>
        </w:rPr>
        <w:t> </w:t>
      </w:r>
      <w:r>
        <w:rPr/>
        <w:t>股变更为</w:t>
      </w:r>
      <w:r>
        <w:rPr>
          <w:spacing w:val="-46"/>
        </w:rPr>
        <w:t> </w:t>
      </w:r>
      <w:r>
        <w:rPr>
          <w:rFonts w:ascii="Times New Roman" w:hAnsi="Times New Roman" w:cs="Times New Roman" w:eastAsia="Times New Roman" w:hint="default"/>
        </w:rPr>
        <w:t>785,186,964  </w:t>
      </w:r>
      <w:r>
        <w:rPr/>
        <w:t>股</w:t>
      </w:r>
      <w:r>
        <w:rPr>
          <w:rFonts w:ascii="微软雅黑" w:hAnsi="微软雅黑" w:cs="微软雅黑" w:eastAsia="微软雅黑" w:hint="default"/>
        </w:rPr>
        <w:t>｡</w:t>
      </w:r>
      <w:r>
        <w:rPr/>
        <w:t>上述股本变动使公司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p>
    <w:p>
      <w:pPr>
        <w:pStyle w:val="BodyText"/>
        <w:spacing w:line="338" w:lineRule="auto" w:before="50"/>
        <w:ind w:right="6432" w:hanging="360"/>
        <w:jc w:val="left"/>
      </w:pPr>
      <w:r>
        <w:rPr>
          <w:rFonts w:ascii="Times New Roman" w:hAnsi="Times New Roman" w:cs="Times New Roman" w:eastAsia="Times New Roman" w:hint="default"/>
        </w:rPr>
        <w:t>2018</w:t>
      </w:r>
      <w:r>
        <w:rPr/>
        <w:t>年半年度每股收益及每股净资产等指标被摊薄。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2、限售股份变动情况" w:id="132"/>
      <w:bookmarkEnd w:id="13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pict>
          <v:group style="position:absolute;margin-left:56.459999pt;margin-top:21.901751pt;width:482pt;height:440.05pt;mso-position-horizontal-relative:page;mso-position-vertical-relative:paragraph;z-index:-1027672" coordorigin="1129,438" coordsize="9640,8801">
            <v:group style="position:absolute;left:1139;top:452;width:1125;height:141" coordorigin="1139,452" coordsize="1125,141">
              <v:shape style="position:absolute;left:1139;top:452;width:1125;height:141" coordorigin="1139,452" coordsize="1125,141" path="m1139,593l2264,593,2264,452,1139,452,1139,593xe" filled="true" fillcolor="#d2d2d2" stroked="false">
                <v:path arrowok="t"/>
                <v:fill type="solid"/>
              </v:shape>
            </v:group>
            <v:group style="position:absolute;left:1150;top:593;width:2;height:321" coordorigin="1150,593" coordsize="2,321">
              <v:shape style="position:absolute;left:1150;top:593;width:2;height:321" coordorigin="1150,593" coordsize="0,321" path="m1150,593l1150,913e" filled="false" stroked="true" strokeweight="1.140pt" strokecolor="#d2d2d2">
                <v:path arrowok="t"/>
              </v:shape>
            </v:group>
            <v:group style="position:absolute;left:2252;top:593;width:2;height:321" coordorigin="2252,593" coordsize="2,321">
              <v:shape style="position:absolute;left:2252;top:593;width:2;height:321" coordorigin="2252,593" coordsize="0,321" path="m2252,593l2252,913e" filled="false" stroked="true" strokeweight="1.140pt" strokecolor="#d2d2d2">
                <v:path arrowok="t"/>
              </v:shape>
            </v:group>
            <v:group style="position:absolute;left:1139;top:913;width:1125;height:140" coordorigin="1139,913" coordsize="1125,140">
              <v:shape style="position:absolute;left:1139;top:913;width:1125;height:140" coordorigin="1139,913" coordsize="1125,140" path="m1139,1052l2264,1052,2264,913,1139,913,1139,1052xe" filled="true" fillcolor="#d2d2d2" stroked="false">
                <v:path arrowok="t"/>
                <v:fill type="solid"/>
              </v:shape>
            </v:group>
            <v:group style="position:absolute;left:1162;top:593;width:1080;height:321" coordorigin="1162,593" coordsize="1080,321">
              <v:shape style="position:absolute;left:1162;top:593;width:1080;height:321" coordorigin="1162,593" coordsize="1080,321" path="m1162,913l2241,913,2241,593,1162,593,1162,913xe" filled="true" fillcolor="#d2d2d2" stroked="false">
                <v:path arrowok="t"/>
                <v:fill type="solid"/>
              </v:shape>
            </v:group>
            <v:group style="position:absolute;left:2285;top:452;width:2;height:600" coordorigin="2285,452" coordsize="2,600">
              <v:shape style="position:absolute;left:2285;top:452;width:2;height:600" coordorigin="2285,452" coordsize="0,600" path="m2285,452l2285,1052e" filled="false" stroked="true" strokeweight="1.140pt" strokecolor="#d2d2d2">
                <v:path arrowok="t"/>
              </v:shape>
            </v:group>
            <v:group style="position:absolute;left:3245;top:452;width:2;height:600" coordorigin="3245,452" coordsize="2,600">
              <v:shape style="position:absolute;left:3245;top:452;width:2;height:600" coordorigin="3245,452" coordsize="0,600" path="m3245,452l3245,1052e" filled="false" stroked="true" strokeweight="1.140pt" strokecolor="#d2d2d2">
                <v:path arrowok="t"/>
              </v:shape>
            </v:group>
            <v:group style="position:absolute;left:2296;top:452;width:938;height:321" coordorigin="2296,452" coordsize="938,321">
              <v:shape style="position:absolute;left:2296;top:452;width:938;height:321" coordorigin="2296,452" coordsize="938,321" path="m2296,773l3233,773,3233,452,2296,452,2296,773xe" filled="true" fillcolor="#d2d2d2" stroked="false">
                <v:path arrowok="t"/>
                <v:fill type="solid"/>
              </v:shape>
            </v:group>
            <v:group style="position:absolute;left:2296;top:773;width:938;height:280" coordorigin="2296,773" coordsize="938,280">
              <v:shape style="position:absolute;left:2296;top:773;width:938;height:280" coordorigin="2296,773" coordsize="938,280" path="m2296,1052l3233,1052,3233,773,2296,773,2296,1052xe" filled="true" fillcolor="#d2d2d2" stroked="false">
                <v:path arrowok="t"/>
                <v:fill type="solid"/>
              </v:shape>
            </v:group>
            <v:group style="position:absolute;left:3267;top:463;width:982;height:2" coordorigin="3267,463" coordsize="982,2">
              <v:shape style="position:absolute;left:3267;top:463;width:982;height:2" coordorigin="3267,463" coordsize="982,0" path="m3267,463l4248,463e" filled="false" stroked="true" strokeweight="1.02pt" strokecolor="#d2d2d2">
                <v:path arrowok="t"/>
              </v:shape>
            </v:group>
            <v:group style="position:absolute;left:3278;top:473;width:2;height:561" coordorigin="3278,473" coordsize="2,561">
              <v:shape style="position:absolute;left:3278;top:473;width:2;height:561" coordorigin="3278,473" coordsize="0,561" path="m3278,473l3278,1033e" filled="false" stroked="true" strokeweight="1.140pt" strokecolor="#d2d2d2">
                <v:path arrowok="t"/>
              </v:shape>
            </v:group>
            <v:group style="position:absolute;left:4237;top:473;width:2;height:561" coordorigin="4237,473" coordsize="2,561">
              <v:shape style="position:absolute;left:4237;top:473;width:2;height:561" coordorigin="4237,473" coordsize="0,561" path="m4237,473l4237,1033e" filled="false" stroked="true" strokeweight="1.140pt" strokecolor="#d2d2d2">
                <v:path arrowok="t"/>
              </v:shape>
            </v:group>
            <v:group style="position:absolute;left:3267;top:1043;width:982;height:2" coordorigin="3267,1043" coordsize="982,2">
              <v:shape style="position:absolute;left:3267;top:1043;width:982;height:2" coordorigin="3267,1043" coordsize="982,0" path="m3267,1043l4248,1043e" filled="false" stroked="true" strokeweight=".95999pt" strokecolor="#d2d2d2">
                <v:path arrowok="t"/>
              </v:shape>
            </v:group>
            <v:group style="position:absolute;left:3290;top:473;width:936;height:280" coordorigin="3290,473" coordsize="936,280">
              <v:shape style="position:absolute;left:3290;top:473;width:936;height:280" coordorigin="3290,473" coordsize="936,280" path="m3290,752l4226,752,4226,473,3290,473,3290,752xe" filled="true" fillcolor="#d2d2d2" stroked="false">
                <v:path arrowok="t"/>
                <v:fill type="solid"/>
              </v:shape>
            </v:group>
            <v:group style="position:absolute;left:3290;top:752;width:936;height:281" coordorigin="3290,752" coordsize="936,281">
              <v:shape style="position:absolute;left:3290;top:752;width:936;height:281" coordorigin="3290,752" coordsize="936,281" path="m3290,1033l4226,1033,4226,752,3290,752,3290,1033xe" filled="true" fillcolor="#d2d2d2" stroked="false">
                <v:path arrowok="t"/>
                <v:fill type="solid"/>
              </v:shape>
            </v:group>
            <v:group style="position:absolute;left:4258;top:463;width:984;height:2" coordorigin="4258,463" coordsize="984,2">
              <v:shape style="position:absolute;left:4258;top:463;width:984;height:2" coordorigin="4258,463" coordsize="984,0" path="m4258,463l5241,463e" filled="false" stroked="true" strokeweight="1.02pt" strokecolor="#d2d2d2">
                <v:path arrowok="t"/>
              </v:shape>
            </v:group>
            <v:group style="position:absolute;left:4269;top:473;width:2;height:561" coordorigin="4269,473" coordsize="2,561">
              <v:shape style="position:absolute;left:4269;top:473;width:2;height:561" coordorigin="4269,473" coordsize="0,561" path="m4269,473l4269,1033e" filled="false" stroked="true" strokeweight="1.140pt" strokecolor="#d2d2d2">
                <v:path arrowok="t"/>
              </v:shape>
            </v:group>
            <v:group style="position:absolute;left:5229;top:473;width:2;height:561" coordorigin="5229,473" coordsize="2,561">
              <v:shape style="position:absolute;left:5229;top:473;width:2;height:561" coordorigin="5229,473" coordsize="0,561" path="m5229,473l5229,1033e" filled="false" stroked="true" strokeweight="1.2pt" strokecolor="#d2d2d2">
                <v:path arrowok="t"/>
              </v:shape>
            </v:group>
            <v:group style="position:absolute;left:4258;top:1043;width:984;height:2" coordorigin="4258,1043" coordsize="984,2">
              <v:shape style="position:absolute;left:4258;top:1043;width:984;height:2" coordorigin="4258,1043" coordsize="984,0" path="m4258,1043l5241,1043e" filled="false" stroked="true" strokeweight=".95999pt" strokecolor="#d2d2d2">
                <v:path arrowok="t"/>
              </v:shape>
            </v:group>
            <v:group style="position:absolute;left:4281;top:473;width:937;height:280" coordorigin="4281,473" coordsize="937,280">
              <v:shape style="position:absolute;left:4281;top:473;width:937;height:280" coordorigin="4281,473" coordsize="937,280" path="m4281,752l5217,752,5217,473,4281,473,4281,752xe" filled="true" fillcolor="#d2d2d2" stroked="false">
                <v:path arrowok="t"/>
                <v:fill type="solid"/>
              </v:shape>
            </v:group>
            <v:group style="position:absolute;left:4281;top:752;width:937;height:281" coordorigin="4281,752" coordsize="937,281">
              <v:shape style="position:absolute;left:4281;top:752;width:937;height:281" coordorigin="4281,752" coordsize="937,281" path="m4281,1033l5217,1033,5217,752,4281,752,4281,1033xe" filled="true" fillcolor="#d2d2d2" stroked="false">
                <v:path arrowok="t"/>
                <v:fill type="solid"/>
              </v:shape>
            </v:group>
            <v:group style="position:absolute;left:5262;top:452;width:2;height:600" coordorigin="5262,452" coordsize="2,600">
              <v:shape style="position:absolute;left:5262;top:452;width:2;height:600" coordorigin="5262,452" coordsize="0,600" path="m5262,452l5262,1052e" filled="false" stroked="true" strokeweight="1.140pt" strokecolor="#d2d2d2">
                <v:path arrowok="t"/>
              </v:shape>
            </v:group>
            <v:group style="position:absolute;left:6221;top:452;width:2;height:600" coordorigin="6221,452" coordsize="2,600">
              <v:shape style="position:absolute;left:6221;top:452;width:2;height:600" coordorigin="6221,452" coordsize="0,600" path="m6221,452l6221,1052e" filled="false" stroked="true" strokeweight="1.140pt" strokecolor="#d2d2d2">
                <v:path arrowok="t"/>
              </v:shape>
            </v:group>
            <v:group style="position:absolute;left:5274;top:452;width:936;height:321" coordorigin="5274,452" coordsize="936,321">
              <v:shape style="position:absolute;left:5274;top:452;width:936;height:321" coordorigin="5274,452" coordsize="936,321" path="m5274,773l6210,773,6210,452,5274,452,5274,773xe" filled="true" fillcolor="#d2d2d2" stroked="false">
                <v:path arrowok="t"/>
                <v:fill type="solid"/>
              </v:shape>
            </v:group>
            <v:group style="position:absolute;left:5274;top:773;width:936;height:280" coordorigin="5274,773" coordsize="936,280">
              <v:shape style="position:absolute;left:5274;top:773;width:936;height:280" coordorigin="5274,773" coordsize="936,280" path="m5274,1052l6210,1052,6210,773,5274,773,5274,1052xe" filled="true" fillcolor="#d2d2d2" stroked="false">
                <v:path arrowok="t"/>
                <v:fill type="solid"/>
              </v:shape>
            </v:group>
            <v:group style="position:absolute;left:6243;top:452;width:1408;height:141" coordorigin="6243,452" coordsize="1408,141">
              <v:shape style="position:absolute;left:6243;top:452;width:1408;height:141" coordorigin="6243,452" coordsize="1408,141" path="m6243,593l7651,593,7651,452,6243,452,6243,593xe" filled="true" fillcolor="#d2d2d2" stroked="false">
                <v:path arrowok="t"/>
                <v:fill type="solid"/>
              </v:shape>
            </v:group>
            <v:group style="position:absolute;left:6255;top:593;width:2;height:321" coordorigin="6255,593" coordsize="2,321">
              <v:shape style="position:absolute;left:6255;top:593;width:2;height:321" coordorigin="6255,593" coordsize="0,321" path="m6255,593l6255,913e" filled="false" stroked="true" strokeweight="1.140pt" strokecolor="#d2d2d2">
                <v:path arrowok="t"/>
              </v:shape>
            </v:group>
            <v:group style="position:absolute;left:7639;top:593;width:2;height:321" coordorigin="7639,593" coordsize="2,321">
              <v:shape style="position:absolute;left:7639;top:593;width:2;height:321" coordorigin="7639,593" coordsize="0,321" path="m7639,593l7639,913e" filled="false" stroked="true" strokeweight="1.140pt" strokecolor="#d2d2d2">
                <v:path arrowok="t"/>
              </v:shape>
            </v:group>
            <v:group style="position:absolute;left:6243;top:913;width:1408;height:140" coordorigin="6243,913" coordsize="1408,140">
              <v:shape style="position:absolute;left:6243;top:913;width:1408;height:140" coordorigin="6243,913" coordsize="1408,140" path="m6243,1052l7651,1052,7651,913,6243,913,6243,1052xe" filled="true" fillcolor="#d2d2d2" stroked="false">
                <v:path arrowok="t"/>
                <v:fill type="solid"/>
              </v:shape>
            </v:group>
            <v:group style="position:absolute;left:6266;top:593;width:1362;height:321" coordorigin="6266,593" coordsize="1362,321">
              <v:shape style="position:absolute;left:6266;top:593;width:1362;height:321" coordorigin="6266,593" coordsize="1362,321" path="m6266,913l7628,913,7628,593,6266,593,6266,913xe" filled="true" fillcolor="#d2d2d2" stroked="false">
                <v:path arrowok="t"/>
                <v:fill type="solid"/>
              </v:shape>
            </v:group>
            <v:group style="position:absolute;left:7660;top:452;width:3042;height:141" coordorigin="7660,452" coordsize="3042,141">
              <v:shape style="position:absolute;left:7660;top:452;width:3042;height:141" coordorigin="7660,452" coordsize="3042,141" path="m7660,593l10702,593,10702,452,7660,452,7660,593xe" filled="true" fillcolor="#d2d2d2" stroked="false">
                <v:path arrowok="t"/>
                <v:fill type="solid"/>
              </v:shape>
            </v:group>
            <v:group style="position:absolute;left:7672;top:593;width:2;height:321" coordorigin="7672,593" coordsize="2,321">
              <v:shape style="position:absolute;left:7672;top:593;width:2;height:321" coordorigin="7672,593" coordsize="0,321" path="m7672,593l7672,913e" filled="false" stroked="true" strokeweight="1.140pt" strokecolor="#d2d2d2">
                <v:path arrowok="t"/>
              </v:shape>
            </v:group>
            <v:group style="position:absolute;left:10690;top:593;width:2;height:321" coordorigin="10690,593" coordsize="2,321">
              <v:shape style="position:absolute;left:10690;top:593;width:2;height:321" coordorigin="10690,593" coordsize="0,321" path="m10690,593l10690,913e" filled="false" stroked="true" strokeweight="1.2pt" strokecolor="#d2d2d2">
                <v:path arrowok="t"/>
              </v:shape>
            </v:group>
            <v:group style="position:absolute;left:7660;top:913;width:3042;height:140" coordorigin="7660,913" coordsize="3042,140">
              <v:shape style="position:absolute;left:7660;top:913;width:3042;height:140" coordorigin="7660,913" coordsize="3042,140" path="m7660,1052l10702,1052,10702,913,7660,913,7660,1052xe" filled="true" fillcolor="#d2d2d2" stroked="false">
                <v:path arrowok="t"/>
                <v:fill type="solid"/>
              </v:shape>
            </v:group>
            <v:group style="position:absolute;left:7683;top:593;width:2995;height:321" coordorigin="7683,593" coordsize="2995,321">
              <v:shape style="position:absolute;left:7683;top:593;width:2995;height:321" coordorigin="7683,593" coordsize="2995,321" path="m7683,913l10678,913,10678,593,7683,593,7683,913xe" filled="true" fillcolor="#d2d2d2" stroked="false">
                <v:path arrowok="t"/>
                <v:fill type="solid"/>
              </v:shape>
            </v:group>
            <v:group style="position:absolute;left:1139;top:448;width:1125;height:2" coordorigin="1139,448" coordsize="1125,2">
              <v:shape style="position:absolute;left:1139;top:448;width:1125;height:2" coordorigin="1139,448" coordsize="1125,0" path="m1139,448l2264,448e" filled="false" stroked="true" strokeweight=".47998pt" strokecolor="#000000">
                <v:path arrowok="t"/>
              </v:shape>
            </v:group>
            <v:group style="position:absolute;left:2273;top:448;width:984;height:2" coordorigin="2273,448" coordsize="984,2">
              <v:shape style="position:absolute;left:2273;top:448;width:984;height:2" coordorigin="2273,448" coordsize="984,0" path="m2273,448l3257,448e" filled="false" stroked="true" strokeweight=".47998pt" strokecolor="#000000">
                <v:path arrowok="t"/>
              </v:shape>
            </v:group>
            <v:group style="position:absolute;left:3267;top:448;width:982;height:2" coordorigin="3267,448" coordsize="982,2">
              <v:shape style="position:absolute;left:3267;top:448;width:982;height:2" coordorigin="3267,448" coordsize="982,0" path="m3267,448l4248,448e" filled="false" stroked="true" strokeweight=".47998pt" strokecolor="#000000">
                <v:path arrowok="t"/>
              </v:shape>
            </v:group>
            <v:group style="position:absolute;left:4258;top:448;width:984;height:2" coordorigin="4258,448" coordsize="984,2">
              <v:shape style="position:absolute;left:4258;top:448;width:984;height:2" coordorigin="4258,448" coordsize="984,0" path="m4258,448l5241,448e" filled="false" stroked="true" strokeweight=".47998pt" strokecolor="#000000">
                <v:path arrowok="t"/>
              </v:shape>
            </v:group>
            <v:group style="position:absolute;left:5251;top:448;width:983;height:2" coordorigin="5251,448" coordsize="983,2">
              <v:shape style="position:absolute;left:5251;top:448;width:983;height:2" coordorigin="5251,448" coordsize="983,0" path="m5251,448l6234,448e" filled="false" stroked="true" strokeweight=".47998pt" strokecolor="#000000">
                <v:path arrowok="t"/>
              </v:shape>
            </v:group>
            <v:group style="position:absolute;left:6243;top:448;width:1408;height:2" coordorigin="6243,448" coordsize="1408,2">
              <v:shape style="position:absolute;left:6243;top:448;width:1408;height:2" coordorigin="6243,448" coordsize="1408,0" path="m6243,448l7651,448e" filled="false" stroked="true" strokeweight=".47998pt" strokecolor="#000000">
                <v:path arrowok="t"/>
              </v:shape>
            </v:group>
            <v:group style="position:absolute;left:7660;top:448;width:3042;height:2" coordorigin="7660,448" coordsize="3042,2">
              <v:shape style="position:absolute;left:7660;top:448;width:3042;height:2" coordorigin="7660,448" coordsize="3042,0" path="m7660,448l10702,448e" filled="false" stroked="true" strokeweight=".47998pt" strokecolor="#000000">
                <v:path arrowok="t"/>
              </v:shape>
            </v:group>
            <v:group style="position:absolute;left:1139;top:1057;width:1125;height:2" coordorigin="1139,1057" coordsize="1125,2">
              <v:shape style="position:absolute;left:1139;top:1057;width:1125;height:2" coordorigin="1139,1057" coordsize="1125,0" path="m1139,1057l2264,1057e" filled="false" stroked="true" strokeweight=".48001pt" strokecolor="#000000">
                <v:path arrowok="t"/>
              </v:shape>
            </v:group>
            <v:group style="position:absolute;left:2273;top:1057;width:984;height:2" coordorigin="2273,1057" coordsize="984,2">
              <v:shape style="position:absolute;left:2273;top:1057;width:984;height:2" coordorigin="2273,1057" coordsize="984,0" path="m2273,1057l3257,1057e" filled="false" stroked="true" strokeweight=".48001pt" strokecolor="#000000">
                <v:path arrowok="t"/>
              </v:shape>
            </v:group>
            <v:group style="position:absolute;left:3267;top:1057;width:982;height:2" coordorigin="3267,1057" coordsize="982,2">
              <v:shape style="position:absolute;left:3267;top:1057;width:982;height:2" coordorigin="3267,1057" coordsize="982,0" path="m3267,1057l4248,1057e" filled="false" stroked="true" strokeweight=".48001pt" strokecolor="#000000">
                <v:path arrowok="t"/>
              </v:shape>
            </v:group>
            <v:group style="position:absolute;left:4258;top:1057;width:984;height:2" coordorigin="4258,1057" coordsize="984,2">
              <v:shape style="position:absolute;left:4258;top:1057;width:984;height:2" coordorigin="4258,1057" coordsize="984,0" path="m4258,1057l5241,1057e" filled="false" stroked="true" strokeweight=".48001pt" strokecolor="#000000">
                <v:path arrowok="t"/>
              </v:shape>
            </v:group>
            <v:group style="position:absolute;left:5251;top:1057;width:983;height:2" coordorigin="5251,1057" coordsize="983,2">
              <v:shape style="position:absolute;left:5251;top:1057;width:983;height:2" coordorigin="5251,1057" coordsize="983,0" path="m5251,1057l6234,1057e" filled="false" stroked="true" strokeweight=".48001pt" strokecolor="#000000">
                <v:path arrowok="t"/>
              </v:shape>
            </v:group>
            <v:group style="position:absolute;left:6243;top:1057;width:1408;height:2" coordorigin="6243,1057" coordsize="1408,2">
              <v:shape style="position:absolute;left:6243;top:1057;width:1408;height:2" coordorigin="6243,1057" coordsize="1408,0" path="m6243,1057l7651,1057e" filled="false" stroked="true" strokeweight=".48001pt" strokecolor="#000000">
                <v:path arrowok="t"/>
              </v:shape>
            </v:group>
            <v:group style="position:absolute;left:7660;top:1057;width:3042;height:2" coordorigin="7660,1057" coordsize="3042,2">
              <v:shape style="position:absolute;left:7660;top:1057;width:3042;height:2" coordorigin="7660,1057" coordsize="3042,0" path="m7660,1057l10702,1057e" filled="false" stroked="true" strokeweight=".48001pt" strokecolor="#000000">
                <v:path arrowok="t"/>
              </v:shape>
            </v:group>
            <v:group style="position:absolute;left:1139;top:2838;width:1125;height:2" coordorigin="1139,2838" coordsize="1125,2">
              <v:shape style="position:absolute;left:1139;top:2838;width:1125;height:2" coordorigin="1139,2838" coordsize="1125,0" path="m1139,2838l2264,2838e" filled="false" stroked="true" strokeweight=".48001pt" strokecolor="#000000">
                <v:path arrowok="t"/>
              </v:shape>
            </v:group>
            <v:group style="position:absolute;left:2273;top:2838;width:984;height:2" coordorigin="2273,2838" coordsize="984,2">
              <v:shape style="position:absolute;left:2273;top:2838;width:984;height:2" coordorigin="2273,2838" coordsize="984,0" path="m2273,2838l3257,2838e" filled="false" stroked="true" strokeweight=".48001pt" strokecolor="#000000">
                <v:path arrowok="t"/>
              </v:shape>
            </v:group>
            <v:group style="position:absolute;left:3267;top:2838;width:982;height:2" coordorigin="3267,2838" coordsize="982,2">
              <v:shape style="position:absolute;left:3267;top:2838;width:982;height:2" coordorigin="3267,2838" coordsize="982,0" path="m3267,2838l4248,2838e" filled="false" stroked="true" strokeweight=".48001pt" strokecolor="#000000">
                <v:path arrowok="t"/>
              </v:shape>
            </v:group>
            <v:group style="position:absolute;left:4258;top:2838;width:984;height:2" coordorigin="4258,2838" coordsize="984,2">
              <v:shape style="position:absolute;left:4258;top:2838;width:984;height:2" coordorigin="4258,2838" coordsize="984,0" path="m4258,2838l5241,2838e" filled="false" stroked="true" strokeweight=".48001pt" strokecolor="#000000">
                <v:path arrowok="t"/>
              </v:shape>
            </v:group>
            <v:group style="position:absolute;left:5251;top:2838;width:983;height:2" coordorigin="5251,2838" coordsize="983,2">
              <v:shape style="position:absolute;left:5251;top:2838;width:983;height:2" coordorigin="5251,2838" coordsize="983,0" path="m5251,2838l6234,2838e" filled="false" stroked="true" strokeweight=".48001pt" strokecolor="#000000">
                <v:path arrowok="t"/>
              </v:shape>
            </v:group>
            <v:group style="position:absolute;left:6243;top:2838;width:1408;height:2" coordorigin="6243,2838" coordsize="1408,2">
              <v:shape style="position:absolute;left:6243;top:2838;width:1408;height:2" coordorigin="6243,2838" coordsize="1408,0" path="m6243,2838l7651,2838e" filled="false" stroked="true" strokeweight=".48001pt" strokecolor="#000000">
                <v:path arrowok="t"/>
              </v:shape>
            </v:group>
            <v:group style="position:absolute;left:7660;top:2838;width:3042;height:2" coordorigin="7660,2838" coordsize="3042,2">
              <v:shape style="position:absolute;left:7660;top:2838;width:3042;height:2" coordorigin="7660,2838" coordsize="3042,0" path="m7660,2838l10702,2838e" filled="false" stroked="true" strokeweight=".48001pt" strokecolor="#000000">
                <v:path arrowok="t"/>
              </v:shape>
            </v:group>
            <v:group style="position:absolute;left:1139;top:3608;width:1125;height:2" coordorigin="1139,3608" coordsize="1125,2">
              <v:shape style="position:absolute;left:1139;top:3608;width:1125;height:2" coordorigin="1139,3608" coordsize="1125,0" path="m1139,3608l2264,3608e" filled="false" stroked="true" strokeweight=".48001pt" strokecolor="#000000">
                <v:path arrowok="t"/>
              </v:shape>
            </v:group>
            <v:group style="position:absolute;left:2273;top:3608;width:984;height:2" coordorigin="2273,3608" coordsize="984,2">
              <v:shape style="position:absolute;left:2273;top:3608;width:984;height:2" coordorigin="2273,3608" coordsize="984,0" path="m2273,3608l3257,3608e" filled="false" stroked="true" strokeweight=".48001pt" strokecolor="#000000">
                <v:path arrowok="t"/>
              </v:shape>
            </v:group>
            <v:group style="position:absolute;left:3267;top:3608;width:982;height:2" coordorigin="3267,3608" coordsize="982,2">
              <v:shape style="position:absolute;left:3267;top:3608;width:982;height:2" coordorigin="3267,3608" coordsize="982,0" path="m3267,3608l4248,3608e" filled="false" stroked="true" strokeweight=".48001pt" strokecolor="#000000">
                <v:path arrowok="t"/>
              </v:shape>
            </v:group>
            <v:group style="position:absolute;left:4258;top:3608;width:984;height:2" coordorigin="4258,3608" coordsize="984,2">
              <v:shape style="position:absolute;left:4258;top:3608;width:984;height:2" coordorigin="4258,3608" coordsize="984,0" path="m4258,3608l5241,3608e" filled="false" stroked="true" strokeweight=".48001pt" strokecolor="#000000">
                <v:path arrowok="t"/>
              </v:shape>
            </v:group>
            <v:group style="position:absolute;left:5251;top:3608;width:983;height:2" coordorigin="5251,3608" coordsize="983,2">
              <v:shape style="position:absolute;left:5251;top:3608;width:983;height:2" coordorigin="5251,3608" coordsize="983,0" path="m5251,3608l6234,3608e" filled="false" stroked="true" strokeweight=".48001pt" strokecolor="#000000">
                <v:path arrowok="t"/>
              </v:shape>
            </v:group>
            <v:group style="position:absolute;left:6243;top:3608;width:1408;height:2" coordorigin="6243,3608" coordsize="1408,2">
              <v:shape style="position:absolute;left:6243;top:3608;width:1408;height:2" coordorigin="6243,3608" coordsize="1408,0" path="m6243,3608l7651,3608e" filled="false" stroked="true" strokeweight=".48001pt" strokecolor="#000000">
                <v:path arrowok="t"/>
              </v:shape>
            </v:group>
            <v:group style="position:absolute;left:7660;top:3608;width:3042;height:2" coordorigin="7660,3608" coordsize="3042,2">
              <v:shape style="position:absolute;left:7660;top:3608;width:3042;height:2" coordorigin="7660,3608" coordsize="3042,0" path="m7660,3608l10702,3608e" filled="false" stroked="true" strokeweight=".48001pt" strokecolor="#000000">
                <v:path arrowok="t"/>
              </v:shape>
            </v:group>
            <v:group style="position:absolute;left:1139;top:4618;width:1125;height:2" coordorigin="1139,4618" coordsize="1125,2">
              <v:shape style="position:absolute;left:1139;top:4618;width:1125;height:2" coordorigin="1139,4618" coordsize="1125,0" path="m1139,4618l2264,4618e" filled="false" stroked="true" strokeweight=".48004pt" strokecolor="#000000">
                <v:path arrowok="t"/>
              </v:shape>
            </v:group>
            <v:group style="position:absolute;left:2273;top:4618;width:984;height:2" coordorigin="2273,4618" coordsize="984,2">
              <v:shape style="position:absolute;left:2273;top:4618;width:984;height:2" coordorigin="2273,4618" coordsize="984,0" path="m2273,4618l3257,4618e" filled="false" stroked="true" strokeweight=".48004pt" strokecolor="#000000">
                <v:path arrowok="t"/>
              </v:shape>
            </v:group>
            <v:group style="position:absolute;left:3267;top:4618;width:982;height:2" coordorigin="3267,4618" coordsize="982,2">
              <v:shape style="position:absolute;left:3267;top:4618;width:982;height:2" coordorigin="3267,4618" coordsize="982,0" path="m3267,4618l4248,4618e" filled="false" stroked="true" strokeweight=".48004pt" strokecolor="#000000">
                <v:path arrowok="t"/>
              </v:shape>
            </v:group>
            <v:group style="position:absolute;left:4258;top:4618;width:984;height:2" coordorigin="4258,4618" coordsize="984,2">
              <v:shape style="position:absolute;left:4258;top:4618;width:984;height:2" coordorigin="4258,4618" coordsize="984,0" path="m4258,4618l5241,4618e" filled="false" stroked="true" strokeweight=".48004pt" strokecolor="#000000">
                <v:path arrowok="t"/>
              </v:shape>
            </v:group>
            <v:group style="position:absolute;left:5251;top:4618;width:983;height:2" coordorigin="5251,4618" coordsize="983,2">
              <v:shape style="position:absolute;left:5251;top:4618;width:983;height:2" coordorigin="5251,4618" coordsize="983,0" path="m5251,4618l6234,4618e" filled="false" stroked="true" strokeweight=".48004pt" strokecolor="#000000">
                <v:path arrowok="t"/>
              </v:shape>
            </v:group>
            <v:group style="position:absolute;left:6243;top:4618;width:1408;height:2" coordorigin="6243,4618" coordsize="1408,2">
              <v:shape style="position:absolute;left:6243;top:4618;width:1408;height:2" coordorigin="6243,4618" coordsize="1408,0" path="m6243,4618l7651,4618e" filled="false" stroked="true" strokeweight=".48004pt" strokecolor="#000000">
                <v:path arrowok="t"/>
              </v:shape>
            </v:group>
            <v:group style="position:absolute;left:7660;top:4618;width:3042;height:2" coordorigin="7660,4618" coordsize="3042,2">
              <v:shape style="position:absolute;left:7660;top:4618;width:3042;height:2" coordorigin="7660,4618" coordsize="3042,0" path="m7660,4618l10702,4618e" filled="false" stroked="true" strokeweight=".48004pt" strokecolor="#000000">
                <v:path arrowok="t"/>
              </v:shape>
            </v:group>
            <v:group style="position:absolute;left:1139;top:8419;width:1125;height:2" coordorigin="1139,8419" coordsize="1125,2">
              <v:shape style="position:absolute;left:1139;top:8419;width:1125;height:2" coordorigin="1139,8419" coordsize="1125,0" path="m1139,8419l2264,8419e" filled="false" stroked="true" strokeweight=".47998pt" strokecolor="#000000">
                <v:path arrowok="t"/>
              </v:shape>
            </v:group>
            <v:group style="position:absolute;left:2273;top:8419;width:984;height:2" coordorigin="2273,8419" coordsize="984,2">
              <v:shape style="position:absolute;left:2273;top:8419;width:984;height:2" coordorigin="2273,8419" coordsize="984,0" path="m2273,8419l3257,8419e" filled="false" stroked="true" strokeweight=".47998pt" strokecolor="#000000">
                <v:path arrowok="t"/>
              </v:shape>
            </v:group>
            <v:group style="position:absolute;left:3267;top:8419;width:982;height:2" coordorigin="3267,8419" coordsize="982,2">
              <v:shape style="position:absolute;left:3267;top:8419;width:982;height:2" coordorigin="3267,8419" coordsize="982,0" path="m3267,8419l4248,8419e" filled="false" stroked="true" strokeweight=".47998pt" strokecolor="#000000">
                <v:path arrowok="t"/>
              </v:shape>
            </v:group>
            <v:group style="position:absolute;left:4258;top:8419;width:984;height:2" coordorigin="4258,8419" coordsize="984,2">
              <v:shape style="position:absolute;left:4258;top:8419;width:984;height:2" coordorigin="4258,8419" coordsize="984,0" path="m4258,8419l5241,8419e" filled="false" stroked="true" strokeweight=".47998pt" strokecolor="#000000">
                <v:path arrowok="t"/>
              </v:shape>
            </v:group>
            <v:group style="position:absolute;left:5251;top:8419;width:983;height:2" coordorigin="5251,8419" coordsize="983,2">
              <v:shape style="position:absolute;left:5251;top:8419;width:983;height:2" coordorigin="5251,8419" coordsize="983,0" path="m5251,8419l6234,8419e" filled="false" stroked="true" strokeweight=".47998pt" strokecolor="#000000">
                <v:path arrowok="t"/>
              </v:shape>
            </v:group>
            <v:group style="position:absolute;left:6243;top:8419;width:1408;height:2" coordorigin="6243,8419" coordsize="1408,2">
              <v:shape style="position:absolute;left:6243;top:8419;width:1408;height:2" coordorigin="6243,8419" coordsize="1408,0" path="m6243,8419l7651,8419e" filled="false" stroked="true" strokeweight=".47998pt" strokecolor="#000000">
                <v:path arrowok="t"/>
              </v:shape>
            </v:group>
            <v:group style="position:absolute;left:7660;top:8419;width:3042;height:2" coordorigin="7660,8419" coordsize="3042,2">
              <v:shape style="position:absolute;left:7660;top:8419;width:3042;height:2" coordorigin="7660,8419" coordsize="3042,0" path="m7660,8419l10702,8419e" filled="false" stroked="true" strokeweight=".47998pt" strokecolor="#000000">
                <v:path arrowok="t"/>
              </v:shape>
            </v:group>
            <v:group style="position:absolute;left:1134;top:443;width:2;height:8791" coordorigin="1134,443" coordsize="2,8791">
              <v:shape style="position:absolute;left:1134;top:443;width:2;height:8791" coordorigin="1134,443" coordsize="0,8791" path="m1134,443l1134,9234e" filled="false" stroked="true" strokeweight=".48pt" strokecolor="#000000">
                <v:path arrowok="t"/>
              </v:shape>
            </v:group>
            <v:group style="position:absolute;left:1139;top:9229;width:1125;height:2" coordorigin="1139,9229" coordsize="1125,2">
              <v:shape style="position:absolute;left:1139;top:9229;width:1125;height:2" coordorigin="1139,9229" coordsize="1125,0" path="m1139,9229l2264,9229e" filled="false" stroked="true" strokeweight=".47998pt" strokecolor="#000000">
                <v:path arrowok="t"/>
              </v:shape>
            </v:group>
            <v:group style="position:absolute;left:2268;top:443;width:2;height:8791" coordorigin="2268,443" coordsize="2,8791">
              <v:shape style="position:absolute;left:2268;top:443;width:2;height:8791" coordorigin="2268,443" coordsize="0,8791" path="m2268,443l2268,9234e" filled="false" stroked="true" strokeweight=".48pt" strokecolor="#000000">
                <v:path arrowok="t"/>
              </v:shape>
            </v:group>
            <v:group style="position:absolute;left:2273;top:9229;width:984;height:2" coordorigin="2273,9229" coordsize="984,2">
              <v:shape style="position:absolute;left:2273;top:9229;width:984;height:2" coordorigin="2273,9229" coordsize="984,0" path="m2273,9229l3257,9229e" filled="false" stroked="true" strokeweight=".47998pt" strokecolor="#000000">
                <v:path arrowok="t"/>
              </v:shape>
            </v:group>
            <v:group style="position:absolute;left:3262;top:443;width:2;height:8791" coordorigin="3262,443" coordsize="2,8791">
              <v:shape style="position:absolute;left:3262;top:443;width:2;height:8791" coordorigin="3262,443" coordsize="0,8791" path="m3262,443l3262,9234e" filled="false" stroked="true" strokeweight=".48pt" strokecolor="#000000">
                <v:path arrowok="t"/>
              </v:shape>
            </v:group>
            <v:group style="position:absolute;left:3267;top:9229;width:982;height:2" coordorigin="3267,9229" coordsize="982,2">
              <v:shape style="position:absolute;left:3267;top:9229;width:982;height:2" coordorigin="3267,9229" coordsize="982,0" path="m3267,9229l4248,9229e" filled="false" stroked="true" strokeweight=".47998pt" strokecolor="#000000">
                <v:path arrowok="t"/>
              </v:shape>
            </v:group>
            <v:group style="position:absolute;left:4253;top:443;width:2;height:8791" coordorigin="4253,443" coordsize="2,8791">
              <v:shape style="position:absolute;left:4253;top:443;width:2;height:8791" coordorigin="4253,443" coordsize="0,8791" path="m4253,443l4253,9234e" filled="false" stroked="true" strokeweight=".48pt" strokecolor="#000000">
                <v:path arrowok="t"/>
              </v:shape>
            </v:group>
            <v:group style="position:absolute;left:4258;top:9229;width:984;height:2" coordorigin="4258,9229" coordsize="984,2">
              <v:shape style="position:absolute;left:4258;top:9229;width:984;height:2" coordorigin="4258,9229" coordsize="984,0" path="m4258,9229l5241,9229e" filled="false" stroked="true" strokeweight=".47998pt" strokecolor="#000000">
                <v:path arrowok="t"/>
              </v:shape>
            </v:group>
            <v:group style="position:absolute;left:5246;top:443;width:2;height:8791" coordorigin="5246,443" coordsize="2,8791">
              <v:shape style="position:absolute;left:5246;top:443;width:2;height:8791" coordorigin="5246,443" coordsize="0,8791" path="m5246,443l5246,9234e" filled="false" stroked="true" strokeweight=".48001pt" strokecolor="#000000">
                <v:path arrowok="t"/>
              </v:shape>
            </v:group>
            <v:group style="position:absolute;left:5251;top:9229;width:983;height:2" coordorigin="5251,9229" coordsize="983,2">
              <v:shape style="position:absolute;left:5251;top:9229;width:983;height:2" coordorigin="5251,9229" coordsize="983,0" path="m5251,9229l6234,9229e" filled="false" stroked="true" strokeweight=".47998pt" strokecolor="#000000">
                <v:path arrowok="t"/>
              </v:shape>
            </v:group>
            <v:group style="position:absolute;left:6238;top:443;width:2;height:8791" coordorigin="6238,443" coordsize="2,8791">
              <v:shape style="position:absolute;left:6238;top:443;width:2;height:8791" coordorigin="6238,443" coordsize="0,8791" path="m6238,443l6238,9234e" filled="false" stroked="true" strokeweight=".48001pt" strokecolor="#000000">
                <v:path arrowok="t"/>
              </v:shape>
            </v:group>
            <v:group style="position:absolute;left:6243;top:9229;width:1408;height:2" coordorigin="6243,9229" coordsize="1408,2">
              <v:shape style="position:absolute;left:6243;top:9229;width:1408;height:2" coordorigin="6243,9229" coordsize="1408,0" path="m6243,9229l7651,9229e" filled="false" stroked="true" strokeweight=".47998pt" strokecolor="#000000">
                <v:path arrowok="t"/>
              </v:shape>
            </v:group>
            <v:group style="position:absolute;left:7656;top:443;width:2;height:8791" coordorigin="7656,443" coordsize="2,8791">
              <v:shape style="position:absolute;left:7656;top:443;width:2;height:8791" coordorigin="7656,443" coordsize="0,8791" path="m7656,443l7656,9234e" filled="false" stroked="true" strokeweight=".48001pt" strokecolor="#000000">
                <v:path arrowok="t"/>
              </v:shape>
            </v:group>
            <v:group style="position:absolute;left:7660;top:9229;width:3042;height:2" coordorigin="7660,9229" coordsize="3042,2">
              <v:shape style="position:absolute;left:7660;top:9229;width:3042;height:2" coordorigin="7660,9229" coordsize="3042,0" path="m7660,9229l10702,9229e" filled="false" stroked="true" strokeweight=".47998pt" strokecolor="#000000">
                <v:path arrowok="t"/>
              </v:shape>
            </v:group>
            <v:group style="position:absolute;left:10706;top:443;width:2;height:8791" coordorigin="10706,443" coordsize="2,8791">
              <v:shape style="position:absolute;left:10706;top:443;width:2;height:8791" coordorigin="10706,443" coordsize="0,8791" path="m10706,443l10706,9234e" filled="false" stroked="true" strokeweight=".47998pt" strokecolor="#000000">
                <v:path arrowok="t"/>
              </v:shape>
              <v:shape style="position:absolute;left:5562;top:81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股数</w:t>
                      </w:r>
                    </w:p>
                  </w:txbxContent>
                </v:textbox>
                <w10:wrap type="none"/>
              </v:shape>
              <v:shape style="position:absolute;left:6266;top:4149;width:4503;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股份转增部分继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35,432,474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xbxContent>
                </v:textbox>
                <w10:wrap type="none"/>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73" w:type="dxa"/>
        <w:tblLayout w:type="fixed"/>
        <w:tblCellMar>
          <w:top w:w="0" w:type="dxa"/>
          <w:left w:w="0" w:type="dxa"/>
          <w:bottom w:w="0" w:type="dxa"/>
          <w:right w:w="0" w:type="dxa"/>
        </w:tblCellMar>
        <w:tblLook w:val="01E0"/>
      </w:tblPr>
      <w:tblGrid>
        <w:gridCol w:w="1134"/>
        <w:gridCol w:w="994"/>
        <w:gridCol w:w="991"/>
        <w:gridCol w:w="993"/>
        <w:gridCol w:w="992"/>
        <w:gridCol w:w="1417"/>
        <w:gridCol w:w="3051"/>
        <w:gridCol w:w="97"/>
      </w:tblGrid>
      <w:tr>
        <w:trPr>
          <w:trHeight w:val="882"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450" w:lineRule="exact" w:before="17"/>
              <w:ind w:left="27" w:right="204" w:firstLine="178"/>
              <w:jc w:val="left"/>
              <w:rPr>
                <w:rFonts w:ascii="宋体" w:hAnsi="宋体" w:cs="宋体" w:eastAsia="宋体" w:hint="default"/>
                <w:sz w:val="18"/>
                <w:szCs w:val="18"/>
              </w:rPr>
            </w:pPr>
            <w:r>
              <w:rPr>
                <w:rFonts w:ascii="宋体" w:hAnsi="宋体" w:cs="宋体" w:eastAsia="宋体" w:hint="default"/>
                <w:sz w:val="18"/>
                <w:szCs w:val="18"/>
              </w:rPr>
              <w:t>股东名称 江苏东润金</w:t>
            </w:r>
          </w:p>
        </w:tc>
        <w:tc>
          <w:tcPr>
            <w:tcW w:w="994" w:type="dxa"/>
            <w:tcBorders>
              <w:top w:val="nil" w:sz="6" w:space="0" w:color="auto"/>
              <w:left w:val="nil" w:sz="6" w:space="0" w:color="auto"/>
              <w:bottom w:val="nil" w:sz="6" w:space="0" w:color="auto"/>
              <w:right w:val="nil" w:sz="6" w:space="0" w:color="auto"/>
            </w:tcBorders>
          </w:tcPr>
          <w:p>
            <w:pPr>
              <w:pStyle w:val="TableParagraph"/>
              <w:spacing w:line="285" w:lineRule="auto" w:before="26"/>
              <w:ind w:left="315" w:right="137"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91" w:type="dxa"/>
            <w:tcBorders>
              <w:top w:val="nil" w:sz="6" w:space="0" w:color="auto"/>
              <w:left w:val="nil" w:sz="6" w:space="0" w:color="auto"/>
              <w:bottom w:val="nil" w:sz="6" w:space="0" w:color="auto"/>
              <w:right w:val="nil" w:sz="6" w:space="0" w:color="auto"/>
            </w:tcBorders>
          </w:tcPr>
          <w:p>
            <w:pPr>
              <w:pStyle w:val="TableParagraph"/>
              <w:spacing w:line="244" w:lineRule="auto" w:before="46"/>
              <w:ind w:left="225" w:right="4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3" w:type="dxa"/>
            <w:tcBorders>
              <w:top w:val="nil" w:sz="6" w:space="0" w:color="auto"/>
              <w:left w:val="nil" w:sz="6" w:space="0" w:color="auto"/>
              <w:bottom w:val="nil" w:sz="6" w:space="0" w:color="auto"/>
              <w:right w:val="nil" w:sz="6" w:space="0" w:color="auto"/>
            </w:tcBorders>
          </w:tcPr>
          <w:p>
            <w:pPr>
              <w:pStyle w:val="TableParagraph"/>
              <w:spacing w:line="244" w:lineRule="auto" w:before="46"/>
              <w:ind w:left="225" w:right="45"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2410" w:type="dxa"/>
            <w:gridSpan w:val="2"/>
            <w:tcBorders>
              <w:top w:val="nil" w:sz="6" w:space="0" w:color="auto"/>
              <w:left w:val="nil" w:sz="6" w:space="0" w:color="auto"/>
              <w:bottom w:val="nil" w:sz="6" w:space="0" w:color="auto"/>
              <w:right w:val="nil" w:sz="6" w:space="0" w:color="auto"/>
            </w:tcBorders>
          </w:tcPr>
          <w:p>
            <w:pPr>
              <w:pStyle w:val="TableParagraph"/>
              <w:spacing w:line="188" w:lineRule="exact" w:before="26"/>
              <w:ind w:left="135" w:right="0"/>
              <w:jc w:val="left"/>
              <w:rPr>
                <w:rFonts w:ascii="宋体" w:hAnsi="宋体" w:cs="宋体" w:eastAsia="宋体" w:hint="default"/>
                <w:sz w:val="18"/>
                <w:szCs w:val="18"/>
              </w:rPr>
            </w:pPr>
            <w:r>
              <w:rPr>
                <w:rFonts w:ascii="宋体" w:hAnsi="宋体" w:cs="宋体" w:eastAsia="宋体" w:hint="default"/>
                <w:sz w:val="18"/>
                <w:szCs w:val="18"/>
              </w:rPr>
              <w:t>期末限售</w:t>
            </w:r>
          </w:p>
          <w:p>
            <w:pPr>
              <w:pStyle w:val="TableParagraph"/>
              <w:spacing w:line="188" w:lineRule="exact"/>
              <w:ind w:left="890" w:right="0"/>
              <w:jc w:val="center"/>
              <w:rPr>
                <w:rFonts w:ascii="宋体" w:hAnsi="宋体" w:cs="宋体" w:eastAsia="宋体" w:hint="default"/>
                <w:sz w:val="18"/>
                <w:szCs w:val="18"/>
              </w:rPr>
            </w:pPr>
            <w:r>
              <w:rPr>
                <w:rFonts w:ascii="宋体" w:hAnsi="宋体" w:cs="宋体" w:eastAsia="宋体" w:hint="default"/>
                <w:sz w:val="18"/>
                <w:szCs w:val="18"/>
              </w:rPr>
              <w:t>限售原因</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90" w:right="0"/>
              <w:jc w:val="center"/>
              <w:rPr>
                <w:rFonts w:ascii="宋体" w:hAnsi="宋体" w:cs="宋体" w:eastAsia="宋体" w:hint="default"/>
                <w:sz w:val="18"/>
                <w:szCs w:val="18"/>
              </w:rPr>
            </w:pPr>
            <w:r>
              <w:rPr>
                <w:rFonts w:ascii="宋体" w:hAnsi="宋体" w:cs="宋体" w:eastAsia="宋体" w:hint="default"/>
                <w:sz w:val="18"/>
                <w:szCs w:val="18"/>
              </w:rPr>
              <w:t>控股股东承诺锁</w:t>
            </w:r>
          </w:p>
        </w:tc>
        <w:tc>
          <w:tcPr>
            <w:tcW w:w="31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4"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98" w:hRule="exact"/>
        </w:trPr>
        <w:tc>
          <w:tcPr>
            <w:tcW w:w="1134" w:type="dxa"/>
            <w:tcBorders>
              <w:top w:val="nil" w:sz="6" w:space="0" w:color="auto"/>
              <w:left w:val="nil" w:sz="6" w:space="0" w:color="auto"/>
              <w:bottom w:val="single" w:sz="4" w:space="0" w:color="000000"/>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财投资管理</w:t>
            </w:r>
          </w:p>
          <w:p>
            <w:pPr>
              <w:pStyle w:val="TableParagraph"/>
              <w:spacing w:line="240" w:lineRule="auto" w:before="3"/>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sz w:val="18"/>
              </w:rPr>
              <w:t>96,900,000</w:t>
            </w: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5"/>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sz w:val="18"/>
              </w:rPr>
              <w:t>58,140,000</w:t>
            </w:r>
          </w:p>
        </w:tc>
        <w:tc>
          <w:tcPr>
            <w:tcW w:w="2410" w:type="dxa"/>
            <w:gridSpan w:val="2"/>
            <w:tcBorders>
              <w:top w:val="nil" w:sz="6" w:space="0" w:color="auto"/>
              <w:left w:val="nil" w:sz="6" w:space="0" w:color="auto"/>
              <w:bottom w:val="single" w:sz="4" w:space="0" w:color="000000"/>
              <w:right w:val="nil" w:sz="6" w:space="0" w:color="auto"/>
            </w:tcBorders>
          </w:tcPr>
          <w:p>
            <w:pPr>
              <w:pStyle w:val="TableParagraph"/>
              <w:spacing w:line="218" w:lineRule="exact"/>
              <w:ind w:left="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155,040,000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定股份转增部分</w:t>
            </w:r>
          </w:p>
          <w:p>
            <w:pPr>
              <w:pStyle w:val="TableParagraph"/>
              <w:spacing w:line="230" w:lineRule="exact"/>
              <w:ind w:left="1019" w:right="0"/>
              <w:jc w:val="left"/>
              <w:rPr>
                <w:rFonts w:ascii="宋体" w:hAnsi="宋体" w:cs="宋体" w:eastAsia="宋体" w:hint="default"/>
                <w:sz w:val="18"/>
                <w:szCs w:val="18"/>
              </w:rPr>
            </w:pPr>
            <w:r>
              <w:rPr>
                <w:rFonts w:ascii="宋体" w:hAnsi="宋体" w:cs="宋体" w:eastAsia="宋体" w:hint="default"/>
                <w:sz w:val="18"/>
                <w:szCs w:val="18"/>
              </w:rPr>
              <w:t>继续锁定</w:t>
            </w:r>
          </w:p>
        </w:tc>
        <w:tc>
          <w:tcPr>
            <w:tcW w:w="3148" w:type="dxa"/>
            <w:gridSpan w:val="2"/>
            <w:tcBorders>
              <w:top w:val="nil" w:sz="6" w:space="0" w:color="auto"/>
              <w:left w:val="nil" w:sz="6" w:space="0" w:color="auto"/>
              <w:bottom w:val="single" w:sz="4" w:space="0" w:color="000000"/>
              <w:right w:val="nil" w:sz="6" w:space="0" w:color="auto"/>
            </w:tcBorders>
          </w:tcPr>
          <w:p>
            <w:pPr>
              <w:pStyle w:val="TableParagraph"/>
              <w:spacing w:line="224"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日解锁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155,040,000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w:t>
            </w:r>
          </w:p>
        </w:tc>
      </w:tr>
      <w:tr>
        <w:trPr>
          <w:trHeight w:val="456" w:hRule="exact"/>
        </w:trPr>
        <w:tc>
          <w:tcPr>
            <w:tcW w:w="967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5"/>
              <w:ind w:left="1854" w:right="0"/>
              <w:jc w:val="center"/>
              <w:rPr>
                <w:rFonts w:ascii="宋体" w:hAnsi="宋体" w:cs="宋体" w:eastAsia="宋体" w:hint="default"/>
                <w:sz w:val="18"/>
                <w:szCs w:val="18"/>
              </w:rPr>
            </w:pPr>
            <w:r>
              <w:rPr>
                <w:rFonts w:ascii="宋体" w:hAnsi="宋体" w:cs="宋体" w:eastAsia="宋体" w:hint="default"/>
                <w:sz w:val="18"/>
                <w:szCs w:val="18"/>
              </w:rPr>
              <w:t>发行股份购买资</w:t>
            </w:r>
          </w:p>
          <w:p>
            <w:pPr>
              <w:pStyle w:val="TableParagraph"/>
              <w:spacing w:line="240" w:lineRule="auto" w:before="5"/>
              <w:ind w:left="5132" w:right="0"/>
              <w:jc w:val="left"/>
              <w:rPr>
                <w:rFonts w:ascii="宋体" w:hAnsi="宋体" w:cs="宋体" w:eastAsia="宋体" w:hint="default"/>
                <w:sz w:val="18"/>
                <w:szCs w:val="18"/>
              </w:rPr>
            </w:pPr>
            <w:r>
              <w:rPr>
                <w:rFonts w:ascii="宋体" w:hAnsi="宋体" w:cs="宋体" w:eastAsia="宋体" w:hint="default"/>
                <w:sz w:val="18"/>
                <w:szCs w:val="18"/>
              </w:rPr>
              <w:t>产交易对方锁定</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32,050,743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554"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5" w:lineRule="exact"/>
              <w:ind w:left="27"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994" w:type="dxa"/>
            <w:tcBorders>
              <w:top w:val="nil" w:sz="6" w:space="0" w:color="auto"/>
              <w:left w:val="nil" w:sz="6" w:space="0" w:color="auto"/>
              <w:bottom w:val="nil" w:sz="6" w:space="0" w:color="auto"/>
              <w:right w:val="nil" w:sz="6" w:space="0" w:color="auto"/>
            </w:tcBorders>
          </w:tcPr>
          <w:p>
            <w:pPr>
              <w:pStyle w:val="TableParagraph"/>
              <w:spacing w:line="159" w:lineRule="exact"/>
              <w:ind w:right="26"/>
              <w:jc w:val="right"/>
              <w:rPr>
                <w:rFonts w:ascii="Times New Roman" w:hAnsi="Times New Roman" w:cs="Times New Roman" w:eastAsia="Times New Roman" w:hint="default"/>
                <w:sz w:val="18"/>
                <w:szCs w:val="18"/>
              </w:rPr>
            </w:pPr>
            <w:r>
              <w:rPr>
                <w:rFonts w:ascii="Times New Roman"/>
                <w:spacing w:val="-1"/>
                <w:sz w:val="18"/>
              </w:rPr>
              <w:t>72,114,171</w:t>
            </w:r>
          </w:p>
        </w:tc>
        <w:tc>
          <w:tcPr>
            <w:tcW w:w="991" w:type="dxa"/>
            <w:tcBorders>
              <w:top w:val="nil" w:sz="6" w:space="0" w:color="auto"/>
              <w:left w:val="nil" w:sz="6" w:space="0" w:color="auto"/>
              <w:bottom w:val="nil" w:sz="6" w:space="0" w:color="auto"/>
              <w:right w:val="nil" w:sz="6" w:space="0" w:color="auto"/>
            </w:tcBorders>
          </w:tcPr>
          <w:p>
            <w:pPr>
              <w:pStyle w:val="TableParagraph"/>
              <w:spacing w:line="159" w:lineRule="exact"/>
              <w:ind w:right="24"/>
              <w:jc w:val="right"/>
              <w:rPr>
                <w:rFonts w:ascii="Times New Roman" w:hAnsi="Times New Roman" w:cs="Times New Roman" w:eastAsia="Times New Roman" w:hint="default"/>
                <w:sz w:val="18"/>
                <w:szCs w:val="18"/>
              </w:rPr>
            </w:pPr>
            <w:r>
              <w:rPr>
                <w:rFonts w:ascii="Times New Roman"/>
                <w:sz w:val="18"/>
              </w:rPr>
              <w:t>32,050,742</w:t>
            </w:r>
          </w:p>
        </w:tc>
        <w:tc>
          <w:tcPr>
            <w:tcW w:w="1985" w:type="dxa"/>
            <w:gridSpan w:val="2"/>
            <w:tcBorders>
              <w:top w:val="nil" w:sz="6" w:space="0" w:color="auto"/>
              <w:left w:val="nil" w:sz="6" w:space="0" w:color="auto"/>
              <w:bottom w:val="nil" w:sz="6" w:space="0" w:color="auto"/>
              <w:right w:val="nil" w:sz="6" w:space="0" w:color="auto"/>
            </w:tcBorders>
          </w:tcPr>
          <w:p>
            <w:pPr>
              <w:pStyle w:val="TableParagraph"/>
              <w:spacing w:line="159" w:lineRule="exact"/>
              <w:ind w:left="153" w:right="0"/>
              <w:jc w:val="left"/>
              <w:rPr>
                <w:rFonts w:ascii="Times New Roman" w:hAnsi="Times New Roman" w:cs="Times New Roman" w:eastAsia="Times New Roman" w:hint="default"/>
                <w:sz w:val="18"/>
                <w:szCs w:val="18"/>
              </w:rPr>
            </w:pPr>
            <w:r>
              <w:rPr>
                <w:rFonts w:ascii="Times New Roman"/>
                <w:sz w:val="18"/>
              </w:rPr>
              <w:t>43,268,503   </w:t>
            </w:r>
            <w:r>
              <w:rPr>
                <w:rFonts w:ascii="Times New Roman"/>
                <w:spacing w:val="2"/>
                <w:sz w:val="18"/>
              </w:rPr>
              <w:t> </w:t>
            </w:r>
            <w:r>
              <w:rPr>
                <w:rFonts w:ascii="Times New Roman"/>
                <w:sz w:val="18"/>
              </w:rPr>
              <w:t>83,331,932</w:t>
            </w:r>
          </w:p>
        </w:tc>
        <w:tc>
          <w:tcPr>
            <w:tcW w:w="4565" w:type="dxa"/>
            <w:gridSpan w:val="3"/>
            <w:tcBorders>
              <w:top w:val="nil" w:sz="6" w:space="0" w:color="auto"/>
              <w:left w:val="nil" w:sz="6" w:space="0" w:color="auto"/>
              <w:bottom w:val="nil" w:sz="6" w:space="0" w:color="auto"/>
              <w:right w:val="nil" w:sz="6" w:space="0" w:color="auto"/>
            </w:tcBorders>
          </w:tcPr>
          <w:p>
            <w:pPr>
              <w:pStyle w:val="TableParagraph"/>
              <w:spacing w:line="238" w:lineRule="exact" w:before="50"/>
              <w:ind w:left="27" w:right="33"/>
              <w:jc w:val="left"/>
              <w:rPr>
                <w:rFonts w:ascii="宋体" w:hAnsi="宋体" w:cs="宋体" w:eastAsia="宋体" w:hint="default"/>
                <w:sz w:val="18"/>
                <w:szCs w:val="18"/>
              </w:rPr>
            </w:pPr>
            <w:r>
              <w:rPr>
                <w:rFonts w:ascii="宋体" w:hAnsi="宋体" w:cs="宋体" w:eastAsia="宋体" w:hint="default"/>
                <w:sz w:val="18"/>
                <w:szCs w:val="18"/>
              </w:rPr>
              <w:t>股份转增部分继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83,331,931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续锁定</w:t>
            </w:r>
          </w:p>
        </w:tc>
      </w:tr>
      <w:tr>
        <w:trPr>
          <w:trHeight w:val="769"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40,272,614</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98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24,163,568   </w:t>
            </w:r>
            <w:r>
              <w:rPr>
                <w:rFonts w:ascii="Times New Roman"/>
                <w:spacing w:val="2"/>
                <w:sz w:val="18"/>
              </w:rPr>
              <w:t> </w:t>
            </w:r>
            <w:r>
              <w:rPr>
                <w:rFonts w:ascii="Times New Roman"/>
                <w:sz w:val="18"/>
              </w:rPr>
              <w:t>64,436,182</w:t>
            </w:r>
          </w:p>
        </w:tc>
        <w:tc>
          <w:tcPr>
            <w:tcW w:w="45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非公开发行锁定</w:t>
            </w:r>
          </w:p>
          <w:p>
            <w:pPr>
              <w:pStyle w:val="TableParagraph"/>
              <w:spacing w:line="238" w:lineRule="exact" w:before="25"/>
              <w:ind w:left="27" w:right="33"/>
              <w:jc w:val="left"/>
              <w:rPr>
                <w:rFonts w:ascii="宋体" w:hAnsi="宋体" w:cs="宋体" w:eastAsia="宋体" w:hint="default"/>
                <w:sz w:val="18"/>
                <w:szCs w:val="18"/>
              </w:rPr>
            </w:pPr>
            <w:r>
              <w:rPr>
                <w:rFonts w:ascii="宋体" w:hAnsi="宋体" w:cs="宋体" w:eastAsia="宋体" w:hint="default"/>
                <w:sz w:val="18"/>
                <w:szCs w:val="18"/>
              </w:rPr>
              <w:t>股份转增部分继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64,436,182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 续锁定</w:t>
            </w:r>
          </w:p>
        </w:tc>
      </w:tr>
      <w:tr>
        <w:trPr>
          <w:trHeight w:val="1010"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7"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30,662,718</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13,627,874</w:t>
            </w:r>
          </w:p>
        </w:tc>
        <w:tc>
          <w:tcPr>
            <w:tcW w:w="198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18,397,631   </w:t>
            </w:r>
            <w:r>
              <w:rPr>
                <w:rFonts w:ascii="Times New Roman"/>
                <w:spacing w:val="2"/>
                <w:sz w:val="18"/>
              </w:rPr>
              <w:t> </w:t>
            </w:r>
            <w:r>
              <w:rPr>
                <w:rFonts w:ascii="Times New Roman"/>
                <w:sz w:val="18"/>
              </w:rPr>
              <w:t>35,432,475</w:t>
            </w:r>
          </w:p>
        </w:tc>
        <w:tc>
          <w:tcPr>
            <w:tcW w:w="45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18"/>
                <w:szCs w:val="18"/>
              </w:rPr>
            </w:pPr>
            <w:r>
              <w:rPr>
                <w:rFonts w:ascii="宋体" w:hAnsi="宋体" w:cs="宋体" w:eastAsia="宋体" w:hint="default"/>
                <w:sz w:val="18"/>
                <w:szCs w:val="18"/>
              </w:rPr>
              <w:t>发行股份购买资</w:t>
            </w:r>
          </w:p>
          <w:p>
            <w:pPr>
              <w:pStyle w:val="TableParagraph"/>
              <w:spacing w:line="240" w:lineRule="auto" w:before="4"/>
              <w:ind w:left="27" w:right="0"/>
              <w:jc w:val="left"/>
              <w:rPr>
                <w:rFonts w:ascii="宋体" w:hAnsi="宋体" w:cs="宋体" w:eastAsia="宋体" w:hint="default"/>
                <w:sz w:val="18"/>
                <w:szCs w:val="18"/>
              </w:rPr>
            </w:pPr>
            <w:r>
              <w:rPr>
                <w:rFonts w:ascii="宋体" w:hAnsi="宋体" w:cs="宋体" w:eastAsia="宋体" w:hint="default"/>
                <w:sz w:val="18"/>
                <w:szCs w:val="18"/>
              </w:rPr>
              <w:t>产交易对方锁定</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13,627,875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续锁定</w:t>
            </w:r>
          </w:p>
        </w:tc>
      </w:tr>
      <w:tr>
        <w:trPr>
          <w:trHeight w:val="271" w:hRule="exact"/>
        </w:trPr>
        <w:tc>
          <w:tcPr>
            <w:tcW w:w="1134"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7" w:right="0"/>
              <w:jc w:val="left"/>
              <w:rPr>
                <w:rFonts w:ascii="宋体" w:hAnsi="宋体" w:cs="宋体" w:eastAsia="宋体" w:hint="default"/>
                <w:sz w:val="18"/>
                <w:szCs w:val="18"/>
              </w:rPr>
            </w:pPr>
            <w:r>
              <w:rPr>
                <w:rFonts w:ascii="宋体" w:hAnsi="宋体" w:cs="宋体" w:eastAsia="宋体" w:hint="default"/>
                <w:sz w:val="18"/>
                <w:szCs w:val="18"/>
              </w:rPr>
              <w:t>非公开发行锁定</w:t>
            </w:r>
          </w:p>
        </w:tc>
        <w:tc>
          <w:tcPr>
            <w:tcW w:w="3148" w:type="dxa"/>
            <w:gridSpan w:val="2"/>
            <w:tcBorders>
              <w:top w:val="nil" w:sz="6" w:space="0" w:color="auto"/>
              <w:left w:val="nil" w:sz="6" w:space="0" w:color="auto"/>
              <w:bottom w:val="nil" w:sz="6" w:space="0" w:color="auto"/>
              <w:right w:val="nil" w:sz="6" w:space="0" w:color="auto"/>
            </w:tcBorders>
          </w:tcPr>
          <w:p>
            <w:pPr/>
          </w:p>
        </w:tc>
      </w:tr>
      <w:tr>
        <w:trPr>
          <w:trHeight w:val="245"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sz w:val="18"/>
              </w:rPr>
              <w:t>26,641,883</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Times New Roman" w:hAnsi="Times New Roman" w:cs="Times New Roman" w:eastAsia="Times New Roman" w:hint="default"/>
                <w:sz w:val="18"/>
                <w:szCs w:val="18"/>
              </w:rPr>
            </w:pPr>
            <w:r>
              <w:rPr>
                <w:rFonts w:ascii="Times New Roman"/>
                <w:sz w:val="18"/>
              </w:rPr>
              <w:t>15,985,130</w:t>
            </w:r>
          </w:p>
        </w:tc>
        <w:tc>
          <w:tcPr>
            <w:tcW w:w="2410"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42,627,013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股份转增部分继</w:t>
            </w:r>
          </w:p>
        </w:tc>
        <w:tc>
          <w:tcPr>
            <w:tcW w:w="3148"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42,627,013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254" w:hRule="exact"/>
        </w:trPr>
        <w:tc>
          <w:tcPr>
            <w:tcW w:w="1134" w:type="dxa"/>
            <w:tcBorders>
              <w:top w:val="nil" w:sz="6" w:space="0" w:color="auto"/>
              <w:left w:val="nil" w:sz="6" w:space="0" w:color="auto"/>
              <w:bottom w:val="single" w:sz="4" w:space="0" w:color="000000"/>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
        </w:tc>
        <w:tc>
          <w:tcPr>
            <w:tcW w:w="993" w:type="dxa"/>
            <w:tcBorders>
              <w:top w:val="nil" w:sz="6" w:space="0" w:color="auto"/>
              <w:left w:val="nil" w:sz="6" w:space="0" w:color="auto"/>
              <w:bottom w:val="single" w:sz="4" w:space="0" w:color="000000"/>
              <w:right w:val="nil" w:sz="6" w:space="0" w:color="auto"/>
            </w:tcBorders>
          </w:tcPr>
          <w:p>
            <w:pPr/>
          </w:p>
        </w:tc>
        <w:tc>
          <w:tcPr>
            <w:tcW w:w="2410" w:type="dxa"/>
            <w:gridSpan w:val="2"/>
            <w:tcBorders>
              <w:top w:val="nil" w:sz="6" w:space="0" w:color="auto"/>
              <w:left w:val="nil" w:sz="6" w:space="0" w:color="auto"/>
              <w:bottom w:val="single" w:sz="4" w:space="0" w:color="000000"/>
              <w:right w:val="nil" w:sz="6" w:space="0" w:color="auto"/>
            </w:tcBorders>
          </w:tcPr>
          <w:p>
            <w:pPr>
              <w:pStyle w:val="TableParagraph"/>
              <w:spacing w:line="205" w:lineRule="exact"/>
              <w:ind w:left="170" w:right="0"/>
              <w:jc w:val="center"/>
              <w:rPr>
                <w:rFonts w:ascii="宋体" w:hAnsi="宋体" w:cs="宋体" w:eastAsia="宋体" w:hint="default"/>
                <w:sz w:val="18"/>
                <w:szCs w:val="18"/>
              </w:rPr>
            </w:pPr>
            <w:r>
              <w:rPr>
                <w:rFonts w:ascii="宋体" w:hAnsi="宋体" w:cs="宋体" w:eastAsia="宋体" w:hint="default"/>
                <w:sz w:val="18"/>
                <w:szCs w:val="18"/>
              </w:rPr>
              <w:t>续锁定</w:t>
            </w:r>
          </w:p>
        </w:tc>
        <w:tc>
          <w:tcPr>
            <w:tcW w:w="3148" w:type="dxa"/>
            <w:gridSpan w:val="2"/>
            <w:tcBorders>
              <w:top w:val="nil" w:sz="6" w:space="0" w:color="auto"/>
              <w:left w:val="nil" w:sz="6" w:space="0" w:color="auto"/>
              <w:bottom w:val="single" w:sz="4" w:space="0" w:color="000000"/>
              <w:right w:val="nil" w:sz="6" w:space="0" w:color="auto"/>
            </w:tcBorders>
          </w:tcPr>
          <w:p>
            <w:pPr/>
          </w:p>
        </w:tc>
      </w:tr>
      <w:tr>
        <w:trPr>
          <w:trHeight w:val="456" w:hRule="exact"/>
        </w:trPr>
        <w:tc>
          <w:tcPr>
            <w:tcW w:w="967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5"/>
              <w:ind w:left="1854" w:right="0"/>
              <w:jc w:val="center"/>
              <w:rPr>
                <w:rFonts w:ascii="宋体" w:hAnsi="宋体" w:cs="宋体" w:eastAsia="宋体" w:hint="default"/>
                <w:sz w:val="18"/>
                <w:szCs w:val="18"/>
              </w:rPr>
            </w:pPr>
            <w:r>
              <w:rPr>
                <w:rFonts w:ascii="宋体" w:hAnsi="宋体" w:cs="宋体" w:eastAsia="宋体" w:hint="default"/>
                <w:sz w:val="18"/>
                <w:szCs w:val="18"/>
              </w:rPr>
              <w:t>发行股份购买资</w:t>
            </w:r>
          </w:p>
          <w:p>
            <w:pPr>
              <w:pStyle w:val="TableParagraph"/>
              <w:spacing w:line="240" w:lineRule="auto" w:before="5"/>
              <w:ind w:left="5132" w:right="0"/>
              <w:jc w:val="left"/>
              <w:rPr>
                <w:rFonts w:ascii="宋体" w:hAnsi="宋体" w:cs="宋体" w:eastAsia="宋体" w:hint="default"/>
                <w:sz w:val="18"/>
                <w:szCs w:val="18"/>
              </w:rPr>
            </w:pPr>
            <w:r>
              <w:rPr>
                <w:rFonts w:ascii="宋体" w:hAnsi="宋体" w:cs="宋体" w:eastAsia="宋体" w:hint="default"/>
                <w:sz w:val="18"/>
                <w:szCs w:val="18"/>
              </w:rPr>
              <w:t>产交易对方锁定</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1,514,208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96"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5" w:lineRule="exact"/>
              <w:ind w:left="27" w:right="0"/>
              <w:jc w:val="left"/>
              <w:rPr>
                <w:rFonts w:ascii="宋体" w:hAnsi="宋体" w:cs="宋体" w:eastAsia="宋体" w:hint="default"/>
                <w:sz w:val="18"/>
                <w:szCs w:val="18"/>
              </w:rPr>
            </w:pPr>
            <w:r>
              <w:rPr>
                <w:rFonts w:ascii="宋体" w:hAnsi="宋体" w:cs="宋体" w:eastAsia="宋体" w:hint="default"/>
                <w:sz w:val="18"/>
                <w:szCs w:val="18"/>
              </w:rPr>
              <w:t>曹峰</w:t>
            </w:r>
          </w:p>
        </w:tc>
        <w:tc>
          <w:tcPr>
            <w:tcW w:w="994" w:type="dxa"/>
            <w:tcBorders>
              <w:top w:val="nil" w:sz="6" w:space="0" w:color="auto"/>
              <w:left w:val="nil" w:sz="6" w:space="0" w:color="auto"/>
              <w:bottom w:val="nil" w:sz="6" w:space="0" w:color="auto"/>
              <w:right w:val="nil" w:sz="6" w:space="0" w:color="auto"/>
            </w:tcBorders>
          </w:tcPr>
          <w:p>
            <w:pPr>
              <w:pStyle w:val="TableParagraph"/>
              <w:spacing w:line="159" w:lineRule="exact"/>
              <w:ind w:right="26"/>
              <w:jc w:val="right"/>
              <w:rPr>
                <w:rFonts w:ascii="Times New Roman" w:hAnsi="Times New Roman" w:cs="Times New Roman" w:eastAsia="Times New Roman" w:hint="default"/>
                <w:sz w:val="18"/>
                <w:szCs w:val="18"/>
              </w:rPr>
            </w:pPr>
            <w:r>
              <w:rPr>
                <w:rFonts w:ascii="Times New Roman"/>
                <w:sz w:val="18"/>
              </w:rPr>
              <w:t>3,406,968</w:t>
            </w:r>
          </w:p>
        </w:tc>
        <w:tc>
          <w:tcPr>
            <w:tcW w:w="991" w:type="dxa"/>
            <w:tcBorders>
              <w:top w:val="nil" w:sz="6" w:space="0" w:color="auto"/>
              <w:left w:val="nil" w:sz="6" w:space="0" w:color="auto"/>
              <w:bottom w:val="nil" w:sz="6" w:space="0" w:color="auto"/>
              <w:right w:val="nil" w:sz="6" w:space="0" w:color="auto"/>
            </w:tcBorders>
          </w:tcPr>
          <w:p>
            <w:pPr>
              <w:pStyle w:val="TableParagraph"/>
              <w:spacing w:line="159" w:lineRule="exact"/>
              <w:ind w:right="24"/>
              <w:jc w:val="right"/>
              <w:rPr>
                <w:rFonts w:ascii="Times New Roman" w:hAnsi="Times New Roman" w:cs="Times New Roman" w:eastAsia="Times New Roman" w:hint="default"/>
                <w:sz w:val="18"/>
                <w:szCs w:val="18"/>
              </w:rPr>
            </w:pPr>
            <w:r>
              <w:rPr>
                <w:rFonts w:ascii="Times New Roman"/>
                <w:sz w:val="18"/>
              </w:rPr>
              <w:t>1,514,208</w:t>
            </w:r>
          </w:p>
        </w:tc>
        <w:tc>
          <w:tcPr>
            <w:tcW w:w="993" w:type="dxa"/>
            <w:tcBorders>
              <w:top w:val="nil" w:sz="6" w:space="0" w:color="auto"/>
              <w:left w:val="nil" w:sz="6" w:space="0" w:color="auto"/>
              <w:bottom w:val="nil" w:sz="6" w:space="0" w:color="auto"/>
              <w:right w:val="nil" w:sz="6" w:space="0" w:color="auto"/>
            </w:tcBorders>
          </w:tcPr>
          <w:p>
            <w:pPr>
              <w:pStyle w:val="TableParagraph"/>
              <w:spacing w:line="159" w:lineRule="exact"/>
              <w:ind w:right="26"/>
              <w:jc w:val="right"/>
              <w:rPr>
                <w:rFonts w:ascii="Times New Roman" w:hAnsi="Times New Roman" w:cs="Times New Roman" w:eastAsia="Times New Roman" w:hint="default"/>
                <w:sz w:val="18"/>
                <w:szCs w:val="18"/>
              </w:rPr>
            </w:pPr>
            <w:r>
              <w:rPr>
                <w:rFonts w:ascii="Times New Roman"/>
                <w:sz w:val="18"/>
              </w:rPr>
              <w:t>2,044,181</w:t>
            </w:r>
          </w:p>
        </w:tc>
        <w:tc>
          <w:tcPr>
            <w:tcW w:w="5460" w:type="dxa"/>
            <w:gridSpan w:val="3"/>
            <w:tcBorders>
              <w:top w:val="nil" w:sz="6" w:space="0" w:color="auto"/>
              <w:left w:val="nil" w:sz="6" w:space="0" w:color="auto"/>
              <w:bottom w:val="nil" w:sz="6" w:space="0" w:color="auto"/>
              <w:right w:val="nil" w:sz="6" w:space="0" w:color="auto"/>
            </w:tcBorders>
          </w:tcPr>
          <w:p>
            <w:pPr>
              <w:pStyle w:val="TableParagraph"/>
              <w:spacing w:line="280" w:lineRule="exact"/>
              <w:ind w:left="243" w:right="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3,936,941</w:t>
            </w:r>
            <w:r>
              <w:rPr>
                <w:rFonts w:ascii="Times New Roman" w:hAnsi="Times New Roman" w:cs="Times New Roman" w:eastAsia="Times New Roman" w:hint="default"/>
                <w:spacing w:val="10"/>
                <w:position w:val="12"/>
                <w:sz w:val="18"/>
                <w:szCs w:val="18"/>
              </w:rPr>
              <w:t> </w:t>
            </w:r>
            <w:r>
              <w:rPr>
                <w:rFonts w:ascii="宋体" w:hAnsi="宋体" w:cs="宋体" w:eastAsia="宋体" w:hint="default"/>
                <w:sz w:val="18"/>
                <w:szCs w:val="18"/>
              </w:rPr>
              <w:t>股份转增部分继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3,936,941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7" w:type="dxa"/>
            <w:tcBorders>
              <w:top w:val="nil" w:sz="6" w:space="0" w:color="auto"/>
              <w:left w:val="nil" w:sz="6" w:space="0" w:color="auto"/>
              <w:bottom w:val="nil" w:sz="6" w:space="0" w:color="auto"/>
              <w:right w:val="nil" w:sz="6" w:space="0" w:color="auto"/>
            </w:tcBorders>
          </w:tcPr>
          <w:p>
            <w:pPr/>
          </w:p>
        </w:tc>
      </w:tr>
      <w:tr>
        <w:trPr>
          <w:trHeight w:val="257" w:hRule="exact"/>
        </w:trPr>
        <w:tc>
          <w:tcPr>
            <w:tcW w:w="1134" w:type="dxa"/>
            <w:tcBorders>
              <w:top w:val="nil" w:sz="6" w:space="0" w:color="auto"/>
              <w:left w:val="nil" w:sz="6" w:space="0" w:color="auto"/>
              <w:bottom w:val="single" w:sz="4" w:space="0" w:color="000000"/>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
        </w:tc>
        <w:tc>
          <w:tcPr>
            <w:tcW w:w="993" w:type="dxa"/>
            <w:tcBorders>
              <w:top w:val="nil" w:sz="6" w:space="0" w:color="auto"/>
              <w:left w:val="nil" w:sz="6" w:space="0" w:color="auto"/>
              <w:bottom w:val="single" w:sz="4" w:space="0" w:color="000000"/>
              <w:right w:val="nil" w:sz="6" w:space="0" w:color="auto"/>
            </w:tcBorders>
          </w:tcPr>
          <w:p>
            <w:pPr/>
          </w:p>
        </w:tc>
        <w:tc>
          <w:tcPr>
            <w:tcW w:w="5460" w:type="dxa"/>
            <w:gridSpan w:val="3"/>
            <w:tcBorders>
              <w:top w:val="nil" w:sz="6" w:space="0" w:color="auto"/>
              <w:left w:val="nil" w:sz="6" w:space="0" w:color="auto"/>
              <w:bottom w:val="single" w:sz="4" w:space="0" w:color="000000"/>
              <w:right w:val="nil" w:sz="6" w:space="0" w:color="auto"/>
            </w:tcBorders>
          </w:tcPr>
          <w:p>
            <w:pPr>
              <w:pStyle w:val="TableParagraph"/>
              <w:spacing w:line="209" w:lineRule="exact"/>
              <w:ind w:left="1019" w:right="0"/>
              <w:jc w:val="left"/>
              <w:rPr>
                <w:rFonts w:ascii="宋体" w:hAnsi="宋体" w:cs="宋体" w:eastAsia="宋体" w:hint="default"/>
                <w:sz w:val="18"/>
                <w:szCs w:val="18"/>
              </w:rPr>
            </w:pPr>
            <w:r>
              <w:rPr>
                <w:rFonts w:ascii="宋体" w:hAnsi="宋体" w:cs="宋体" w:eastAsia="宋体" w:hint="default"/>
                <w:sz w:val="18"/>
                <w:szCs w:val="18"/>
              </w:rPr>
              <w:t>续锁定</w:t>
            </w:r>
          </w:p>
        </w:tc>
        <w:tc>
          <w:tcPr>
            <w:tcW w:w="97" w:type="dxa"/>
            <w:tcBorders>
              <w:top w:val="nil" w:sz="6" w:space="0" w:color="auto"/>
              <w:left w:val="nil" w:sz="6" w:space="0" w:color="auto"/>
              <w:bottom w:val="nil" w:sz="6" w:space="0" w:color="auto"/>
              <w:right w:val="nil" w:sz="6" w:space="0" w:color="auto"/>
            </w:tcBorders>
          </w:tcPr>
          <w:p>
            <w:pPr/>
          </w:p>
        </w:tc>
      </w:tr>
      <w:tr>
        <w:trPr>
          <w:trHeight w:val="457" w:hRule="exact"/>
        </w:trPr>
        <w:tc>
          <w:tcPr>
            <w:tcW w:w="967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left="1854" w:right="0"/>
              <w:jc w:val="center"/>
              <w:rPr>
                <w:rFonts w:ascii="宋体" w:hAnsi="宋体" w:cs="宋体" w:eastAsia="宋体" w:hint="default"/>
                <w:sz w:val="18"/>
                <w:szCs w:val="18"/>
              </w:rPr>
            </w:pPr>
            <w:r>
              <w:rPr>
                <w:rFonts w:ascii="宋体" w:hAnsi="宋体" w:cs="宋体" w:eastAsia="宋体" w:hint="default"/>
                <w:sz w:val="18"/>
                <w:szCs w:val="18"/>
              </w:rPr>
              <w:t>发行股份购买资</w:t>
            </w:r>
          </w:p>
          <w:p>
            <w:pPr>
              <w:pStyle w:val="TableParagraph"/>
              <w:spacing w:line="240" w:lineRule="auto" w:before="4"/>
              <w:ind w:left="5132" w:right="0"/>
              <w:jc w:val="left"/>
              <w:rPr>
                <w:rFonts w:ascii="宋体" w:hAnsi="宋体" w:cs="宋体" w:eastAsia="宋体" w:hint="default"/>
                <w:sz w:val="18"/>
                <w:szCs w:val="18"/>
              </w:rPr>
            </w:pPr>
            <w:r>
              <w:rPr>
                <w:rFonts w:ascii="宋体" w:hAnsi="宋体" w:cs="宋体" w:eastAsia="宋体" w:hint="default"/>
                <w:sz w:val="18"/>
                <w:szCs w:val="18"/>
              </w:rPr>
              <w:t>产交易对方锁定</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757,104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94"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145" w:lineRule="exact"/>
              <w:ind w:left="27" w:right="0"/>
              <w:jc w:val="left"/>
              <w:rPr>
                <w:rFonts w:ascii="宋体" w:hAnsi="宋体" w:cs="宋体" w:eastAsia="宋体" w:hint="default"/>
                <w:sz w:val="18"/>
                <w:szCs w:val="18"/>
              </w:rPr>
            </w:pPr>
            <w:r>
              <w:rPr>
                <w:rFonts w:ascii="宋体" w:hAnsi="宋体" w:cs="宋体" w:eastAsia="宋体" w:hint="default"/>
                <w:sz w:val="18"/>
                <w:szCs w:val="18"/>
              </w:rPr>
              <w:t>邓国庭</w:t>
            </w:r>
          </w:p>
        </w:tc>
        <w:tc>
          <w:tcPr>
            <w:tcW w:w="994" w:type="dxa"/>
            <w:tcBorders>
              <w:top w:val="nil" w:sz="6" w:space="0" w:color="auto"/>
              <w:left w:val="nil" w:sz="6" w:space="0" w:color="auto"/>
              <w:bottom w:val="nil" w:sz="6" w:space="0" w:color="auto"/>
              <w:right w:val="nil" w:sz="6" w:space="0" w:color="auto"/>
            </w:tcBorders>
          </w:tcPr>
          <w:p>
            <w:pPr>
              <w:pStyle w:val="TableParagraph"/>
              <w:spacing w:line="159" w:lineRule="exact"/>
              <w:ind w:right="26"/>
              <w:jc w:val="right"/>
              <w:rPr>
                <w:rFonts w:ascii="Times New Roman" w:hAnsi="Times New Roman" w:cs="Times New Roman" w:eastAsia="Times New Roman" w:hint="default"/>
                <w:sz w:val="18"/>
                <w:szCs w:val="18"/>
              </w:rPr>
            </w:pPr>
            <w:r>
              <w:rPr>
                <w:rFonts w:ascii="Times New Roman"/>
                <w:sz w:val="18"/>
              </w:rPr>
              <w:t>1,703,484</w:t>
            </w:r>
          </w:p>
        </w:tc>
        <w:tc>
          <w:tcPr>
            <w:tcW w:w="1984" w:type="dxa"/>
            <w:gridSpan w:val="2"/>
            <w:tcBorders>
              <w:top w:val="nil" w:sz="6" w:space="0" w:color="auto"/>
              <w:left w:val="nil" w:sz="6" w:space="0" w:color="auto"/>
              <w:bottom w:val="nil" w:sz="6" w:space="0" w:color="auto"/>
              <w:right w:val="nil" w:sz="6" w:space="0" w:color="auto"/>
            </w:tcBorders>
          </w:tcPr>
          <w:p>
            <w:pPr>
              <w:pStyle w:val="TableParagraph"/>
              <w:tabs>
                <w:tab w:pos="1234" w:val="left" w:leader="none"/>
              </w:tabs>
              <w:spacing w:line="159" w:lineRule="exact"/>
              <w:ind w:left="379" w:right="0"/>
              <w:jc w:val="left"/>
              <w:rPr>
                <w:rFonts w:ascii="Times New Roman" w:hAnsi="Times New Roman" w:cs="Times New Roman" w:eastAsia="Times New Roman" w:hint="default"/>
                <w:sz w:val="18"/>
                <w:szCs w:val="18"/>
              </w:rPr>
            </w:pPr>
            <w:r>
              <w:rPr>
                <w:rFonts w:ascii="Times New Roman"/>
                <w:sz w:val="18"/>
              </w:rPr>
              <w:t>757,104</w:t>
              <w:tab/>
              <w:t>1,022,090</w:t>
            </w:r>
          </w:p>
        </w:tc>
        <w:tc>
          <w:tcPr>
            <w:tcW w:w="5460" w:type="dxa"/>
            <w:gridSpan w:val="3"/>
            <w:tcBorders>
              <w:top w:val="nil" w:sz="6" w:space="0" w:color="auto"/>
              <w:left w:val="nil" w:sz="6" w:space="0" w:color="auto"/>
              <w:bottom w:val="nil" w:sz="6" w:space="0" w:color="auto"/>
              <w:right w:val="nil" w:sz="6" w:space="0" w:color="auto"/>
            </w:tcBorders>
          </w:tcPr>
          <w:p>
            <w:pPr>
              <w:pStyle w:val="TableParagraph"/>
              <w:spacing w:line="279" w:lineRule="exact"/>
              <w:ind w:left="243" w:right="0"/>
              <w:jc w:val="left"/>
              <w:rPr>
                <w:rFonts w:ascii="宋体" w:hAnsi="宋体" w:cs="宋体" w:eastAsia="宋体" w:hint="default"/>
                <w:sz w:val="18"/>
                <w:szCs w:val="18"/>
              </w:rPr>
            </w:pPr>
            <w:r>
              <w:rPr>
                <w:rFonts w:ascii="Times New Roman" w:hAnsi="Times New Roman" w:cs="Times New Roman" w:eastAsia="Times New Roman" w:hint="default"/>
                <w:position w:val="12"/>
                <w:sz w:val="18"/>
                <w:szCs w:val="18"/>
              </w:rPr>
              <w:t>1,968,470</w:t>
            </w:r>
            <w:r>
              <w:rPr>
                <w:rFonts w:ascii="Times New Roman" w:hAnsi="Times New Roman" w:cs="Times New Roman" w:eastAsia="Times New Roman" w:hint="default"/>
                <w:spacing w:val="10"/>
                <w:position w:val="12"/>
                <w:sz w:val="18"/>
                <w:szCs w:val="18"/>
              </w:rPr>
              <w:t> </w:t>
            </w:r>
            <w:r>
              <w:rPr>
                <w:rFonts w:ascii="宋体" w:hAnsi="宋体" w:cs="宋体" w:eastAsia="宋体" w:hint="default"/>
                <w:sz w:val="18"/>
                <w:szCs w:val="18"/>
              </w:rPr>
              <w:t>股份转增部分继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1,968,470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7" w:type="dxa"/>
            <w:tcBorders>
              <w:top w:val="nil" w:sz="6" w:space="0" w:color="auto"/>
              <w:left w:val="nil" w:sz="6" w:space="0" w:color="auto"/>
              <w:bottom w:val="nil" w:sz="6" w:space="0" w:color="auto"/>
              <w:right w:val="nil" w:sz="6" w:space="0" w:color="auto"/>
            </w:tcBorders>
          </w:tcPr>
          <w:p>
            <w:pPr/>
          </w:p>
        </w:tc>
      </w:tr>
      <w:tr>
        <w:trPr>
          <w:trHeight w:val="258" w:hRule="exact"/>
        </w:trPr>
        <w:tc>
          <w:tcPr>
            <w:tcW w:w="1134" w:type="dxa"/>
            <w:tcBorders>
              <w:top w:val="nil" w:sz="6" w:space="0" w:color="auto"/>
              <w:left w:val="nil" w:sz="6" w:space="0" w:color="auto"/>
              <w:bottom w:val="single" w:sz="4" w:space="0" w:color="000000"/>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
        </w:tc>
        <w:tc>
          <w:tcPr>
            <w:tcW w:w="1984" w:type="dxa"/>
            <w:gridSpan w:val="2"/>
            <w:tcBorders>
              <w:top w:val="nil" w:sz="6" w:space="0" w:color="auto"/>
              <w:left w:val="nil" w:sz="6" w:space="0" w:color="auto"/>
              <w:bottom w:val="single" w:sz="4" w:space="0" w:color="000000"/>
              <w:right w:val="nil" w:sz="6" w:space="0" w:color="auto"/>
            </w:tcBorders>
          </w:tcPr>
          <w:p>
            <w:pPr/>
          </w:p>
        </w:tc>
        <w:tc>
          <w:tcPr>
            <w:tcW w:w="5460" w:type="dxa"/>
            <w:gridSpan w:val="3"/>
            <w:tcBorders>
              <w:top w:val="nil" w:sz="6" w:space="0" w:color="auto"/>
              <w:left w:val="nil" w:sz="6" w:space="0" w:color="auto"/>
              <w:bottom w:val="single" w:sz="4" w:space="0" w:color="000000"/>
              <w:right w:val="nil" w:sz="6" w:space="0" w:color="auto"/>
            </w:tcBorders>
          </w:tcPr>
          <w:p>
            <w:pPr>
              <w:pStyle w:val="TableParagraph"/>
              <w:spacing w:line="209" w:lineRule="exact"/>
              <w:ind w:left="1019" w:right="0"/>
              <w:jc w:val="left"/>
              <w:rPr>
                <w:rFonts w:ascii="宋体" w:hAnsi="宋体" w:cs="宋体" w:eastAsia="宋体" w:hint="default"/>
                <w:sz w:val="18"/>
                <w:szCs w:val="18"/>
              </w:rPr>
            </w:pPr>
            <w:r>
              <w:rPr>
                <w:rFonts w:ascii="宋体" w:hAnsi="宋体" w:cs="宋体" w:eastAsia="宋体" w:hint="default"/>
                <w:sz w:val="18"/>
                <w:szCs w:val="18"/>
              </w:rPr>
              <w:t>续锁定</w:t>
            </w:r>
          </w:p>
        </w:tc>
        <w:tc>
          <w:tcPr>
            <w:tcW w:w="97" w:type="dxa"/>
            <w:tcBorders>
              <w:top w:val="nil" w:sz="6" w:space="0" w:color="auto"/>
              <w:left w:val="nil" w:sz="6" w:space="0" w:color="auto"/>
              <w:bottom w:val="nil" w:sz="6" w:space="0" w:color="auto"/>
              <w:right w:val="nil" w:sz="6" w:space="0" w:color="auto"/>
            </w:tcBorders>
          </w:tcPr>
          <w:p>
            <w:pPr/>
          </w:p>
        </w:tc>
      </w:tr>
      <w:tr>
        <w:trPr>
          <w:trHeight w:val="457" w:hRule="exact"/>
        </w:trPr>
        <w:tc>
          <w:tcPr>
            <w:tcW w:w="1134" w:type="dxa"/>
            <w:tcBorders>
              <w:top w:val="nil" w:sz="6" w:space="0" w:color="auto"/>
              <w:left w:val="nil" w:sz="6" w:space="0" w:color="auto"/>
              <w:bottom w:val="nil" w:sz="6" w:space="0" w:color="auto"/>
              <w:right w:val="nil" w:sz="6" w:space="0" w:color="auto"/>
            </w:tcBorders>
          </w:tcPr>
          <w:p>
            <w:pPr>
              <w:pStyle w:val="TableParagraph"/>
              <w:spacing w:line="242" w:lineRule="exact" w:before="22"/>
              <w:ind w:left="27" w:right="162"/>
              <w:jc w:val="left"/>
              <w:rPr>
                <w:rFonts w:ascii="宋体" w:hAnsi="宋体" w:cs="宋体" w:eastAsia="宋体" w:hint="default"/>
                <w:sz w:val="18"/>
                <w:szCs w:val="18"/>
              </w:rPr>
            </w:pPr>
            <w:r>
              <w:rPr>
                <w:rFonts w:ascii="宋体" w:hAnsi="宋体" w:cs="宋体" w:eastAsia="宋体" w:hint="default"/>
                <w:spacing w:val="-4"/>
                <w:sz w:val="18"/>
                <w:szCs w:val="18"/>
              </w:rPr>
              <w:t>民生证券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浦</w:t>
            </w:r>
            <w:r>
              <w:rPr>
                <w:rFonts w:ascii="宋体" w:hAnsi="宋体" w:cs="宋体" w:eastAsia="宋体" w:hint="default"/>
                <w:spacing w:val="-86"/>
                <w:sz w:val="18"/>
                <w:szCs w:val="18"/>
              </w:rPr>
              <w:t> </w:t>
            </w:r>
            <w:r>
              <w:rPr>
                <w:rFonts w:ascii="宋体" w:hAnsi="宋体" w:cs="宋体" w:eastAsia="宋体" w:hint="default"/>
                <w:spacing w:val="-4"/>
                <w:sz w:val="18"/>
                <w:szCs w:val="18"/>
              </w:rPr>
              <w:t>发银行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民生</w:t>
            </w:r>
            <w:r>
              <w:rPr>
                <w:rFonts w:ascii="宋体" w:hAnsi="宋体" w:cs="宋体" w:eastAsia="宋体" w:hint="default"/>
                <w:sz w:val="18"/>
                <w:szCs w:val="18"/>
              </w:rPr>
            </w:r>
          </w:p>
        </w:tc>
        <w:tc>
          <w:tcPr>
            <w:tcW w:w="99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非公开发行锁定</w:t>
            </w:r>
          </w:p>
        </w:tc>
        <w:tc>
          <w:tcPr>
            <w:tcW w:w="3051" w:type="dxa"/>
            <w:tcBorders>
              <w:top w:val="nil" w:sz="6" w:space="0" w:color="auto"/>
              <w:left w:val="nil" w:sz="6" w:space="0" w:color="auto"/>
              <w:bottom w:val="nil" w:sz="6" w:space="0" w:color="auto"/>
              <w:right w:val="nil" w:sz="6" w:space="0" w:color="auto"/>
            </w:tcBorders>
          </w:tcPr>
          <w:p>
            <w:pPr/>
          </w:p>
        </w:tc>
        <w:tc>
          <w:tcPr>
            <w:tcW w:w="97" w:type="dxa"/>
            <w:tcBorders>
              <w:top w:val="nil" w:sz="6" w:space="0" w:color="auto"/>
              <w:left w:val="nil" w:sz="6" w:space="0" w:color="auto"/>
              <w:bottom w:val="nil" w:sz="6" w:space="0" w:color="auto"/>
              <w:right w:val="nil" w:sz="6" w:space="0" w:color="auto"/>
            </w:tcBorders>
          </w:tcPr>
          <w:p>
            <w:pPr/>
          </w:p>
        </w:tc>
      </w:tr>
      <w:tr>
        <w:trPr>
          <w:trHeight w:val="180" w:hRule="exact"/>
        </w:trPr>
        <w:tc>
          <w:tcPr>
            <w:tcW w:w="3119" w:type="dxa"/>
            <w:gridSpan w:val="3"/>
            <w:tcBorders>
              <w:top w:val="nil" w:sz="6" w:space="0" w:color="auto"/>
              <w:left w:val="nil" w:sz="6" w:space="0" w:color="auto"/>
              <w:bottom w:val="nil" w:sz="6" w:space="0" w:color="auto"/>
              <w:right w:val="nil" w:sz="6" w:space="0" w:color="auto"/>
            </w:tcBorders>
          </w:tcPr>
          <w:p>
            <w:pPr>
              <w:pStyle w:val="TableParagraph"/>
              <w:tabs>
                <w:tab w:pos="1379" w:val="left" w:leader="none"/>
              </w:tabs>
              <w:spacing w:line="220"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pacing w:val="-3"/>
                <w:position w:val="-11"/>
                <w:sz w:val="18"/>
                <w:szCs w:val="18"/>
              </w:rPr>
              <w:t>方欣</w:t>
            </w:r>
            <w:r>
              <w:rPr>
                <w:rFonts w:ascii="宋体" w:hAnsi="宋体" w:cs="宋体" w:eastAsia="宋体" w:hint="default"/>
                <w:spacing w:val="-51"/>
                <w:position w:val="-11"/>
                <w:sz w:val="18"/>
                <w:szCs w:val="18"/>
              </w:rPr>
              <w:t> </w:t>
            </w:r>
            <w:r>
              <w:rPr>
                <w:rFonts w:ascii="Times New Roman" w:hAnsi="Times New Roman" w:cs="Times New Roman" w:eastAsia="Times New Roman" w:hint="default"/>
                <w:position w:val="-11"/>
                <w:sz w:val="18"/>
                <w:szCs w:val="18"/>
              </w:rPr>
              <w:t>1</w:t>
            </w:r>
            <w:r>
              <w:rPr>
                <w:rFonts w:ascii="Times New Roman" w:hAnsi="Times New Roman" w:cs="Times New Roman" w:eastAsia="Times New Roman" w:hint="default"/>
                <w:spacing w:val="-2"/>
                <w:position w:val="-11"/>
                <w:sz w:val="18"/>
                <w:szCs w:val="18"/>
              </w:rPr>
              <w:t> </w:t>
            </w:r>
            <w:r>
              <w:rPr>
                <w:rFonts w:ascii="宋体" w:hAnsi="宋体" w:cs="宋体" w:eastAsia="宋体" w:hint="default"/>
                <w:spacing w:val="-3"/>
                <w:position w:val="-11"/>
                <w:sz w:val="18"/>
                <w:szCs w:val="18"/>
              </w:rPr>
              <w:t>号集合</w:t>
              <w:tab/>
            </w:r>
            <w:r>
              <w:rPr>
                <w:rFonts w:ascii="Times New Roman" w:hAnsi="Times New Roman" w:cs="Times New Roman" w:eastAsia="Times New Roman" w:hint="default"/>
                <w:sz w:val="18"/>
                <w:szCs w:val="18"/>
              </w:rPr>
              <w:t>4,434,944</w:t>
            </w:r>
          </w:p>
        </w:tc>
        <w:tc>
          <w:tcPr>
            <w:tcW w:w="993" w:type="dxa"/>
            <w:tcBorders>
              <w:top w:val="nil" w:sz="6" w:space="0" w:color="auto"/>
              <w:left w:val="nil" w:sz="6" w:space="0" w:color="auto"/>
              <w:bottom w:val="nil" w:sz="6" w:space="0" w:color="auto"/>
              <w:right w:val="nil" w:sz="6" w:space="0" w:color="auto"/>
            </w:tcBorders>
          </w:tcPr>
          <w:p>
            <w:pPr>
              <w:pStyle w:val="TableParagraph"/>
              <w:spacing w:line="158" w:lineRule="exact"/>
              <w:ind w:right="27"/>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nil" w:sz="6" w:space="0" w:color="auto"/>
              <w:left w:val="nil" w:sz="6" w:space="0" w:color="auto"/>
              <w:bottom w:val="nil" w:sz="6" w:space="0" w:color="auto"/>
              <w:right w:val="nil" w:sz="6" w:space="0" w:color="auto"/>
            </w:tcBorders>
          </w:tcPr>
          <w:p>
            <w:pPr>
              <w:pStyle w:val="TableParagraph"/>
              <w:spacing w:line="158" w:lineRule="exact"/>
              <w:ind w:right="26"/>
              <w:jc w:val="right"/>
              <w:rPr>
                <w:rFonts w:ascii="Times New Roman" w:hAnsi="Times New Roman" w:cs="Times New Roman" w:eastAsia="Times New Roman" w:hint="default"/>
                <w:sz w:val="18"/>
                <w:szCs w:val="18"/>
              </w:rPr>
            </w:pPr>
            <w:r>
              <w:rPr>
                <w:rFonts w:ascii="Times New Roman"/>
                <w:sz w:val="18"/>
              </w:rPr>
              <w:t>2,660,966</w:t>
            </w:r>
          </w:p>
        </w:tc>
        <w:tc>
          <w:tcPr>
            <w:tcW w:w="1417" w:type="dxa"/>
            <w:tcBorders>
              <w:top w:val="nil" w:sz="6" w:space="0" w:color="auto"/>
              <w:left w:val="nil" w:sz="6" w:space="0" w:color="auto"/>
              <w:bottom w:val="nil" w:sz="6" w:space="0" w:color="auto"/>
              <w:right w:val="nil" w:sz="6" w:space="0" w:color="auto"/>
            </w:tcBorders>
          </w:tcPr>
          <w:p>
            <w:pPr>
              <w:pStyle w:val="TableParagraph"/>
              <w:spacing w:line="159" w:lineRule="exact"/>
              <w:ind w:left="243" w:right="-863"/>
              <w:jc w:val="center"/>
              <w:rPr>
                <w:rFonts w:ascii="宋体" w:hAnsi="宋体" w:cs="宋体" w:eastAsia="宋体" w:hint="default"/>
                <w:sz w:val="18"/>
                <w:szCs w:val="18"/>
              </w:rPr>
            </w:pPr>
            <w:r>
              <w:rPr>
                <w:rFonts w:ascii="Times New Roman" w:hAnsi="Times New Roman" w:cs="Times New Roman" w:eastAsia="Times New Roman" w:hint="default"/>
                <w:sz w:val="18"/>
                <w:szCs w:val="18"/>
              </w:rPr>
              <w:t>7,095,910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股份转增部分继</w:t>
            </w:r>
          </w:p>
        </w:tc>
        <w:tc>
          <w:tcPr>
            <w:tcW w:w="3051" w:type="dxa"/>
            <w:tcBorders>
              <w:top w:val="nil" w:sz="6" w:space="0" w:color="auto"/>
              <w:left w:val="nil" w:sz="6" w:space="0" w:color="auto"/>
              <w:bottom w:val="nil" w:sz="6" w:space="0" w:color="auto"/>
              <w:right w:val="nil" w:sz="6" w:space="0" w:color="auto"/>
            </w:tcBorders>
          </w:tcPr>
          <w:p>
            <w:pPr>
              <w:pStyle w:val="TableParagraph"/>
              <w:spacing w:line="158" w:lineRule="exact"/>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7,095,910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7" w:type="dxa"/>
            <w:tcBorders>
              <w:top w:val="nil" w:sz="6" w:space="0" w:color="auto"/>
              <w:left w:val="nil" w:sz="6" w:space="0" w:color="auto"/>
              <w:bottom w:val="nil" w:sz="6" w:space="0" w:color="auto"/>
              <w:right w:val="nil" w:sz="6" w:space="0" w:color="auto"/>
            </w:tcBorders>
          </w:tcPr>
          <w:p>
            <w:pPr/>
          </w:p>
        </w:tc>
      </w:tr>
      <w:tr>
        <w:trPr>
          <w:trHeight w:val="205" w:hRule="exact"/>
        </w:trPr>
        <w:tc>
          <w:tcPr>
            <w:tcW w:w="3119" w:type="dxa"/>
            <w:gridSpan w:val="3"/>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05" w:lineRule="exact"/>
              <w:ind w:left="1019" w:right="-143"/>
              <w:jc w:val="center"/>
              <w:rPr>
                <w:rFonts w:ascii="宋体" w:hAnsi="宋体" w:cs="宋体" w:eastAsia="宋体" w:hint="default"/>
                <w:sz w:val="18"/>
                <w:szCs w:val="18"/>
              </w:rPr>
            </w:pPr>
            <w:r>
              <w:rPr>
                <w:rFonts w:ascii="宋体" w:hAnsi="宋体" w:cs="宋体" w:eastAsia="宋体" w:hint="default"/>
                <w:sz w:val="18"/>
                <w:szCs w:val="18"/>
              </w:rPr>
              <w:t>续锁定</w:t>
            </w:r>
          </w:p>
        </w:tc>
        <w:tc>
          <w:tcPr>
            <w:tcW w:w="3051" w:type="dxa"/>
            <w:tcBorders>
              <w:top w:val="nil" w:sz="6" w:space="0" w:color="auto"/>
              <w:left w:val="nil" w:sz="6" w:space="0" w:color="auto"/>
              <w:bottom w:val="nil" w:sz="6" w:space="0" w:color="auto"/>
              <w:right w:val="nil" w:sz="6" w:space="0" w:color="auto"/>
            </w:tcBorders>
          </w:tcPr>
          <w:p>
            <w:pPr/>
          </w:p>
        </w:tc>
        <w:tc>
          <w:tcPr>
            <w:tcW w:w="97" w:type="dxa"/>
            <w:tcBorders>
              <w:top w:val="nil" w:sz="6" w:space="0" w:color="auto"/>
              <w:left w:val="nil" w:sz="6" w:space="0" w:color="auto"/>
              <w:bottom w:val="nil" w:sz="6" w:space="0" w:color="auto"/>
              <w:right w:val="nil" w:sz="6" w:space="0" w:color="auto"/>
            </w:tcBorders>
          </w:tcPr>
          <w:p>
            <w:pPr/>
          </w:p>
        </w:tc>
      </w:tr>
      <w:tr>
        <w:trPr>
          <w:trHeight w:val="979" w:hRule="exact"/>
        </w:trPr>
        <w:tc>
          <w:tcPr>
            <w:tcW w:w="3119" w:type="dxa"/>
            <w:gridSpan w:val="3"/>
            <w:tcBorders>
              <w:top w:val="nil" w:sz="6" w:space="0" w:color="auto"/>
              <w:left w:val="nil" w:sz="6" w:space="0" w:color="auto"/>
              <w:bottom w:val="nil" w:sz="6" w:space="0" w:color="auto"/>
              <w:right w:val="nil" w:sz="6" w:space="0" w:color="auto"/>
            </w:tcBorders>
          </w:tcPr>
          <w:p>
            <w:pPr>
              <w:pStyle w:val="TableParagraph"/>
              <w:spacing w:line="120" w:lineRule="exact"/>
              <w:ind w:left="27" w:right="0"/>
              <w:jc w:val="left"/>
              <w:rPr>
                <w:rFonts w:ascii="宋体" w:hAnsi="宋体" w:cs="宋体" w:eastAsia="宋体" w:hint="default"/>
                <w:sz w:val="18"/>
                <w:szCs w:val="18"/>
              </w:rPr>
            </w:pPr>
            <w:r>
              <w:rPr>
                <w:rFonts w:ascii="宋体" w:hAnsi="宋体" w:cs="宋体" w:eastAsia="宋体" w:hint="default"/>
                <w:spacing w:val="-4"/>
                <w:sz w:val="18"/>
                <w:szCs w:val="18"/>
              </w:rPr>
              <w:t>资产管理计划</w:t>
            </w:r>
          </w:p>
          <w:p>
            <w:pPr>
              <w:pStyle w:val="TableParagraph"/>
              <w:spacing w:line="240" w:lineRule="auto" w:before="1"/>
              <w:ind w:right="0"/>
              <w:jc w:val="left"/>
              <w:rPr>
                <w:rFonts w:ascii="宋体" w:hAnsi="宋体" w:cs="宋体" w:eastAsia="宋体" w:hint="default"/>
                <w:sz w:val="24"/>
                <w:szCs w:val="24"/>
              </w:rPr>
            </w:pPr>
          </w:p>
          <w:p>
            <w:pPr>
              <w:pStyle w:val="TableParagraph"/>
              <w:tabs>
                <w:tab w:pos="1379" w:val="left" w:leader="none"/>
              </w:tabs>
              <w:spacing w:line="240" w:lineRule="auto"/>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谢兵</w:t>
              <w:tab/>
            </w:r>
            <w:r>
              <w:rPr>
                <w:rFonts w:ascii="Times New Roman" w:hAnsi="Times New Roman" w:cs="Times New Roman" w:eastAsia="Times New Roman" w:hint="default"/>
                <w:sz w:val="18"/>
                <w:szCs w:val="18"/>
              </w:rPr>
              <w:t>2,727,385</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1,636,431</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63"/>
              <w:jc w:val="right"/>
              <w:rPr>
                <w:rFonts w:ascii="宋体" w:hAnsi="宋体" w:cs="宋体" w:eastAsia="宋体" w:hint="default"/>
                <w:sz w:val="18"/>
                <w:szCs w:val="18"/>
              </w:rPr>
            </w:pPr>
            <w:r>
              <w:rPr>
                <w:rFonts w:ascii="宋体" w:hAnsi="宋体" w:cs="宋体" w:eastAsia="宋体" w:hint="default"/>
                <w:sz w:val="18"/>
                <w:szCs w:val="18"/>
              </w:rPr>
              <w:t>非公开发行锁定</w:t>
            </w:r>
          </w:p>
          <w:p>
            <w:pPr>
              <w:pStyle w:val="TableParagraph"/>
              <w:spacing w:line="240" w:lineRule="exact" w:before="22"/>
              <w:ind w:left="1019" w:right="-863" w:hanging="777"/>
              <w:jc w:val="left"/>
              <w:rPr>
                <w:rFonts w:ascii="宋体" w:hAnsi="宋体" w:cs="宋体" w:eastAsia="宋体" w:hint="default"/>
                <w:sz w:val="18"/>
                <w:szCs w:val="18"/>
              </w:rPr>
            </w:pPr>
            <w:r>
              <w:rPr>
                <w:rFonts w:ascii="Times New Roman" w:hAnsi="Times New Roman" w:cs="Times New Roman" w:eastAsia="Times New Roman" w:hint="default"/>
                <w:sz w:val="18"/>
                <w:szCs w:val="18"/>
              </w:rPr>
              <w:t>4,363,816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股份转增部分继 续锁定</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4,363,816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134"/>
        <w:gridCol w:w="994"/>
        <w:gridCol w:w="991"/>
        <w:gridCol w:w="993"/>
        <w:gridCol w:w="992"/>
        <w:gridCol w:w="1417"/>
        <w:gridCol w:w="3051"/>
      </w:tblGrid>
      <w:tr>
        <w:trPr>
          <w:trHeight w:val="81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徐锦宏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272,614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163,568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436,182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2"/>
              <w:jc w:val="both"/>
              <w:rPr>
                <w:rFonts w:ascii="宋体" w:hAnsi="宋体" w:cs="宋体" w:eastAsia="宋体" w:hint="default"/>
                <w:sz w:val="18"/>
                <w:szCs w:val="18"/>
              </w:rPr>
            </w:pPr>
            <w:r>
              <w:rPr>
                <w:rFonts w:ascii="宋体" w:hAnsi="宋体" w:cs="宋体" w:eastAsia="宋体" w:hint="default"/>
                <w:sz w:val="18"/>
                <w:szCs w:val="18"/>
              </w:rPr>
              <w:t>非公开发行锁定 股份转增部分继 续锁定</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436,182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12,820,297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12,820,297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2"/>
              <w:jc w:val="left"/>
              <w:rPr>
                <w:rFonts w:ascii="宋体" w:hAnsi="宋体" w:cs="宋体" w:eastAsia="宋体" w:hint="default"/>
                <w:sz w:val="18"/>
                <w:szCs w:val="18"/>
              </w:rPr>
            </w:pPr>
            <w:r>
              <w:rPr>
                <w:rFonts w:ascii="宋体" w:hAnsi="宋体" w:cs="宋体" w:eastAsia="宋体" w:hint="default"/>
                <w:sz w:val="18"/>
                <w:szCs w:val="18"/>
              </w:rPr>
              <w:t>高管锁定股转增 部分继续锁定</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22"/>
              <w:jc w:val="left"/>
              <w:rPr>
                <w:rFonts w:ascii="宋体" w:hAnsi="宋体" w:cs="宋体" w:eastAsia="宋体" w:hint="default"/>
                <w:sz w:val="18"/>
                <w:szCs w:val="18"/>
              </w:rPr>
            </w:pPr>
            <w:r>
              <w:rPr>
                <w:rFonts w:ascii="宋体" w:hAnsi="宋体" w:cs="宋体" w:eastAsia="宋体" w:hint="default"/>
                <w:sz w:val="18"/>
                <w:szCs w:val="18"/>
              </w:rPr>
              <w:t>高管锁定股转增 部分继续锁定</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279,142,181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47,958,408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180,306,885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411,490,658</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二、证券发行与上市情况" w:id="133"/>
      <w:bookmarkEnd w:id="133"/>
      <w:r>
        <w:rPr>
          <w:b w:val="0"/>
          <w:bCs w:val="0"/>
        </w:rPr>
      </w:r>
      <w:r>
        <w:rPr/>
        <w:t>二、证券发行与上市情况</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报告期内证券发行（不含优先股）情况" w:id="134"/>
      <w:bookmarkEnd w:id="134"/>
      <w:r>
        <w:rPr>
          <w:b w:val="0"/>
          <w:bCs w:val="0"/>
        </w:rPr>
      </w:r>
      <w:r>
        <w:rPr>
          <w:rFonts w:ascii="Times New Roman" w:hAnsi="Times New Roman" w:cs="Times New Roman" w:eastAsia="Times New Roman" w:hint="default"/>
        </w:rPr>
        <w:t>1</w:t>
      </w:r>
      <w:r>
        <w:rPr/>
        <w:t>、报告期内证券发行（不含优先股）情况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2、公司股份总数及股东结构的变动、公司资产和负债结构的变动情况说明" w:id="135"/>
      <w:bookmarkEnd w:id="13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3、现存的内部职工股情况" w:id="136"/>
      <w:bookmarkEnd w:id="136"/>
      <w:r>
        <w:rPr>
          <w:b w:val="0"/>
          <w:bCs w:val="0"/>
        </w:rPr>
      </w:r>
      <w:r>
        <w:rPr>
          <w:rFonts w:ascii="Times New Roman" w:hAnsi="Times New Roman" w:cs="Times New Roman" w:eastAsia="Times New Roman" w:hint="default"/>
        </w:rPr>
        <w:t>3</w:t>
      </w:r>
      <w:r>
        <w:rPr/>
        <w:t>、现存的内部职工股情况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3"/>
        <w:ind w:right="0"/>
        <w:jc w:val="left"/>
        <w:rPr>
          <w:b w:val="0"/>
          <w:bCs w:val="0"/>
        </w:rPr>
      </w:pPr>
      <w:bookmarkStart w:name="三、股东和实际控制人情况" w:id="137"/>
      <w:bookmarkEnd w:id="137"/>
      <w:r>
        <w:rPr>
          <w:b w:val="0"/>
          <w:bCs w:val="0"/>
        </w:rPr>
      </w:r>
      <w:r>
        <w:rPr/>
        <w:t>三、股东和实际控制人情况</w:t>
      </w:r>
      <w:r>
        <w:rPr>
          <w:b w:val="0"/>
          <w:bCs w:val="0"/>
        </w:rPr>
      </w:r>
    </w:p>
    <w:p>
      <w:pPr>
        <w:spacing w:line="240" w:lineRule="auto" w:before="2"/>
        <w:rPr>
          <w:rFonts w:ascii="宋体" w:hAnsi="宋体" w:cs="宋体" w:eastAsia="宋体" w:hint="default"/>
          <w:b/>
          <w:bCs/>
          <w:sz w:val="29"/>
          <w:szCs w:val="29"/>
        </w:rPr>
      </w:pPr>
    </w:p>
    <w:p>
      <w:pPr>
        <w:pStyle w:val="Heading3"/>
        <w:spacing w:line="240" w:lineRule="auto" w:before="0"/>
        <w:ind w:right="0"/>
        <w:jc w:val="left"/>
        <w:rPr>
          <w:b w:val="0"/>
          <w:bCs w:val="0"/>
        </w:rPr>
      </w:pPr>
      <w:bookmarkStart w:name="1、公司股东数量及持股情况" w:id="138"/>
      <w:bookmarkEnd w:id="13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pict>
          <v:shape style="position:absolute;margin-left:449.097015pt;margin-top:59.577339pt;width:85.85pt;height:24.2pt;mso-position-horizontal-relative:page;mso-position-vertical-relative:paragraph;z-index:-1027648" type="#_x0000_t202" filled="false" stroked="false">
            <v:textbox inset="0,0,0,0">
              <w:txbxContent>
                <w:p>
                  <w:pPr>
                    <w:pStyle w:val="BodyText"/>
                    <w:spacing w:line="180" w:lineRule="exact" w:before="0"/>
                    <w:ind w:left="0" w:right="0"/>
                    <w:jc w:val="left"/>
                  </w:pPr>
                  <w:r>
                    <w:rPr/>
                    <w:t>（如有）</w:t>
                  </w:r>
                </w:p>
              </w:txbxContent>
            </v:textbox>
            <w10:wrap type="none"/>
          </v:shape>
        </w:pict>
      </w:r>
      <w:r>
        <w:rPr/>
        <w:pict>
          <v:group style="position:absolute;margin-left:482.279999pt;margin-top:59.751713pt;width:52.65pt;height:24pt;mso-position-horizontal-relative:page;mso-position-vertical-relative:paragraph;z-index:-1027624" coordorigin="9646,1195" coordsize="1053,480">
            <v:shape style="position:absolute;left:9646;top:1195;width:1053;height:480" coordorigin="9646,1195" coordsize="1053,480" path="m9646,1675l10698,1675,10698,1195,9646,1195,9646,167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196"/>
        <w:gridCol w:w="648"/>
        <w:gridCol w:w="560"/>
        <w:gridCol w:w="859"/>
        <w:gridCol w:w="555"/>
        <w:gridCol w:w="153"/>
        <w:gridCol w:w="825"/>
        <w:gridCol w:w="167"/>
        <w:gridCol w:w="992"/>
        <w:gridCol w:w="271"/>
        <w:gridCol w:w="720"/>
        <w:gridCol w:w="242"/>
        <w:gridCol w:w="751"/>
        <w:gridCol w:w="562"/>
        <w:gridCol w:w="509"/>
        <w:gridCol w:w="559"/>
      </w:tblGrid>
      <w:tr>
        <w:trPr>
          <w:trHeight w:val="125"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22,319</w:t>
            </w: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
        </w:tc>
        <w:tc>
          <w:tcPr>
            <w:tcW w:w="97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20,251</w:t>
            </w:r>
          </w:p>
        </w:tc>
        <w:tc>
          <w:tcPr>
            <w:tcW w:w="143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962" w:type="dxa"/>
            <w:gridSpan w:val="2"/>
            <w:vMerge w:val="restart"/>
            <w:tcBorders>
              <w:top w:val="single" w:sz="4" w:space="0" w:color="000000"/>
              <w:left w:val="single" w:sz="13"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11" w:right="29"/>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09" w:type="dxa"/>
            <w:tcBorders>
              <w:top w:val="single" w:sz="4" w:space="0" w:color="000000"/>
              <w:left w:val="single" w:sz="13" w:space="0" w:color="D2D2D2"/>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20"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13" w:space="0" w:color="D2D2D2"/>
            </w:tcBorders>
          </w:tcPr>
          <w:p>
            <w:pPr/>
          </w:p>
        </w:tc>
        <w:tc>
          <w:tcPr>
            <w:tcW w:w="143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11" w:right="10"/>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5"/>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62" w:type="dxa"/>
            <w:gridSpan w:val="2"/>
            <w:vMerge/>
            <w:tcBorders>
              <w:left w:val="single" w:sz="13" w:space="0" w:color="D2D2D2"/>
              <w:right w:val="single" w:sz="9" w:space="0" w:color="D2D2D2"/>
            </w:tcBorders>
          </w:tcPr>
          <w:p>
            <w:pPr/>
          </w:p>
        </w:tc>
        <w:tc>
          <w:tcPr>
            <w:tcW w:w="1312" w:type="dxa"/>
            <w:gridSpan w:val="2"/>
            <w:vMerge/>
            <w:tcBorders>
              <w:left w:val="single" w:sz="4" w:space="0" w:color="000000"/>
              <w:right w:val="single" w:sz="4" w:space="0" w:color="000000"/>
            </w:tcBorders>
            <w:shd w:val="clear" w:color="auto" w:fill="D2D2D2"/>
          </w:tcPr>
          <w:p>
            <w:pPr/>
          </w:p>
        </w:tc>
        <w:tc>
          <w:tcPr>
            <w:tcW w:w="509" w:type="dxa"/>
            <w:vMerge w:val="restart"/>
            <w:tcBorders>
              <w:top w:val="nil" w:sz="6" w:space="0" w:color="auto"/>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2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11" w:right="1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78" w:type="dxa"/>
            <w:gridSpan w:val="2"/>
            <w:vMerge/>
            <w:tcBorders>
              <w:left w:val="single" w:sz="9" w:space="0" w:color="D2D2D2"/>
              <w:right w:val="single" w:sz="13" w:space="0" w:color="D2D2D2"/>
            </w:tcBorders>
          </w:tcPr>
          <w:p>
            <w:pPr/>
          </w:p>
        </w:tc>
        <w:tc>
          <w:tcPr>
            <w:tcW w:w="1431" w:type="dxa"/>
            <w:gridSpan w:val="3"/>
            <w:vMerge/>
            <w:tcBorders>
              <w:left w:val="single" w:sz="4" w:space="0" w:color="000000"/>
              <w:right w:val="single" w:sz="4" w:space="0" w:color="000000"/>
            </w:tcBorders>
            <w:shd w:val="clear" w:color="auto" w:fill="D2D2D2"/>
          </w:tcPr>
          <w:p>
            <w:pPr/>
          </w:p>
        </w:tc>
        <w:tc>
          <w:tcPr>
            <w:tcW w:w="962" w:type="dxa"/>
            <w:gridSpan w:val="2"/>
            <w:vMerge/>
            <w:tcBorders>
              <w:left w:val="single" w:sz="13" w:space="0" w:color="D2D2D2"/>
              <w:right w:val="single" w:sz="9" w:space="0" w:color="D2D2D2"/>
            </w:tcBorders>
          </w:tcPr>
          <w:p>
            <w:pPr/>
          </w:p>
        </w:tc>
        <w:tc>
          <w:tcPr>
            <w:tcW w:w="1312" w:type="dxa"/>
            <w:gridSpan w:val="2"/>
            <w:vMerge/>
            <w:tcBorders>
              <w:left w:val="single" w:sz="4" w:space="0" w:color="000000"/>
              <w:right w:val="single" w:sz="4" w:space="0" w:color="000000"/>
            </w:tcBorders>
            <w:shd w:val="clear" w:color="auto" w:fill="D2D2D2"/>
          </w:tcPr>
          <w:p>
            <w:pPr/>
          </w:p>
        </w:tc>
        <w:tc>
          <w:tcPr>
            <w:tcW w:w="509"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560"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13" w:space="0" w:color="D2D2D2"/>
            </w:tcBorders>
          </w:tcPr>
          <w:p>
            <w:pPr/>
          </w:p>
        </w:tc>
        <w:tc>
          <w:tcPr>
            <w:tcW w:w="1431" w:type="dxa"/>
            <w:gridSpan w:val="3"/>
            <w:vMerge/>
            <w:tcBorders>
              <w:left w:val="single" w:sz="4" w:space="0" w:color="000000"/>
              <w:right w:val="single" w:sz="4" w:space="0" w:color="000000"/>
            </w:tcBorders>
            <w:shd w:val="clear" w:color="auto" w:fill="D2D2D2"/>
          </w:tcPr>
          <w:p>
            <w:pPr/>
          </w:p>
        </w:tc>
        <w:tc>
          <w:tcPr>
            <w:tcW w:w="962" w:type="dxa"/>
            <w:gridSpan w:val="2"/>
            <w:vMerge/>
            <w:tcBorders>
              <w:left w:val="single" w:sz="13" w:space="0" w:color="D2D2D2"/>
              <w:right w:val="single" w:sz="9" w:space="0" w:color="D2D2D2"/>
            </w:tcBorders>
          </w:tcPr>
          <w:p>
            <w:pPr/>
          </w:p>
        </w:tc>
        <w:tc>
          <w:tcPr>
            <w:tcW w:w="1312" w:type="dxa"/>
            <w:gridSpan w:val="2"/>
            <w:vMerge/>
            <w:tcBorders>
              <w:left w:val="single" w:sz="4" w:space="0" w:color="000000"/>
              <w:right w:val="single" w:sz="4" w:space="0" w:color="000000"/>
            </w:tcBorders>
            <w:shd w:val="clear" w:color="auto" w:fill="D2D2D2"/>
          </w:tcPr>
          <w:p>
            <w:pPr/>
          </w:p>
        </w:tc>
        <w:tc>
          <w:tcPr>
            <w:tcW w:w="509"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20"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13" w:space="0" w:color="D2D2D2"/>
            </w:tcBorders>
          </w:tcPr>
          <w:p>
            <w:pPr/>
          </w:p>
        </w:tc>
        <w:tc>
          <w:tcPr>
            <w:tcW w:w="1431" w:type="dxa"/>
            <w:gridSpan w:val="3"/>
            <w:vMerge/>
            <w:tcBorders>
              <w:left w:val="single" w:sz="4" w:space="0" w:color="000000"/>
              <w:right w:val="single" w:sz="4" w:space="0" w:color="000000"/>
            </w:tcBorders>
            <w:shd w:val="clear" w:color="auto" w:fill="D2D2D2"/>
          </w:tcPr>
          <w:p>
            <w:pPr/>
          </w:p>
        </w:tc>
        <w:tc>
          <w:tcPr>
            <w:tcW w:w="962" w:type="dxa"/>
            <w:gridSpan w:val="2"/>
            <w:vMerge/>
            <w:tcBorders>
              <w:left w:val="single" w:sz="13" w:space="0" w:color="D2D2D2"/>
              <w:right w:val="single" w:sz="9" w:space="0" w:color="D2D2D2"/>
            </w:tcBorders>
          </w:tcPr>
          <w:p>
            <w:pPr/>
          </w:p>
        </w:tc>
        <w:tc>
          <w:tcPr>
            <w:tcW w:w="1312" w:type="dxa"/>
            <w:gridSpan w:val="2"/>
            <w:vMerge/>
            <w:tcBorders>
              <w:left w:val="single" w:sz="4" w:space="0" w:color="000000"/>
              <w:right w:val="single" w:sz="4" w:space="0" w:color="000000"/>
            </w:tcBorders>
            <w:shd w:val="clear" w:color="auto" w:fill="D2D2D2"/>
          </w:tcPr>
          <w:p>
            <w:pPr/>
          </w:p>
        </w:tc>
        <w:tc>
          <w:tcPr>
            <w:tcW w:w="509"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250"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41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8" w:type="dxa"/>
            <w:gridSpan w:val="2"/>
            <w:vMerge/>
            <w:tcBorders>
              <w:left w:val="single" w:sz="9" w:space="0" w:color="D2D2D2"/>
              <w:bottom w:val="single" w:sz="4" w:space="0" w:color="000000"/>
              <w:right w:val="single" w:sz="13" w:space="0" w:color="D2D2D2"/>
            </w:tcBorders>
          </w:tcPr>
          <w:p>
            <w:pPr/>
          </w:p>
        </w:tc>
        <w:tc>
          <w:tcPr>
            <w:tcW w:w="1431" w:type="dxa"/>
            <w:gridSpan w:val="3"/>
            <w:vMerge/>
            <w:tcBorders>
              <w:left w:val="single" w:sz="4" w:space="0" w:color="000000"/>
              <w:bottom w:val="single" w:sz="4" w:space="0" w:color="000000"/>
              <w:right w:val="single" w:sz="4" w:space="0" w:color="000000"/>
            </w:tcBorders>
            <w:shd w:val="clear" w:color="auto" w:fill="D2D2D2"/>
          </w:tcPr>
          <w:p>
            <w:pPr/>
          </w:p>
        </w:tc>
        <w:tc>
          <w:tcPr>
            <w:tcW w:w="962" w:type="dxa"/>
            <w:gridSpan w:val="2"/>
            <w:vMerge/>
            <w:tcBorders>
              <w:left w:val="single" w:sz="13" w:space="0" w:color="D2D2D2"/>
              <w:bottom w:val="single" w:sz="4" w:space="0" w:color="000000"/>
              <w:right w:val="single" w:sz="9" w:space="0" w:color="D2D2D2"/>
            </w:tcBorders>
          </w:tcPr>
          <w:p>
            <w:pPr/>
          </w:p>
        </w:tc>
        <w:tc>
          <w:tcPr>
            <w:tcW w:w="1312" w:type="dxa"/>
            <w:gridSpan w:val="2"/>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90" w:hRule="exact"/>
        </w:trPr>
        <w:tc>
          <w:tcPr>
            <w:tcW w:w="1844" w:type="dxa"/>
            <w:gridSpan w:val="2"/>
            <w:vMerge w:val="restart"/>
            <w:tcBorders>
              <w:top w:val="single" w:sz="4" w:space="0" w:color="000000"/>
              <w:left w:val="single" w:sz="4" w:space="0" w:color="000000"/>
              <w:right w:val="single" w:sz="4" w:space="0" w:color="000000"/>
            </w:tcBorders>
            <w:shd w:val="clear" w:color="auto" w:fill="D2D2D2"/>
          </w:tcPr>
          <w:p>
            <w:pP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20" w:hRule="exact"/>
        </w:trPr>
        <w:tc>
          <w:tcPr>
            <w:tcW w:w="1844" w:type="dxa"/>
            <w:gridSpan w:val="2"/>
            <w:vMerge/>
            <w:tcBorders>
              <w:left w:val="single" w:sz="4" w:space="0" w:color="000000"/>
              <w:right w:val="single" w:sz="4" w:space="0" w:color="000000"/>
            </w:tcBorders>
            <w:shd w:val="clear" w:color="auto" w:fill="D2D2D2"/>
          </w:tcPr>
          <w:p>
            <w:pPr/>
          </w:p>
        </w:tc>
        <w:tc>
          <w:tcPr>
            <w:tcW w:w="1418" w:type="dxa"/>
            <w:gridSpan w:val="2"/>
            <w:vMerge/>
            <w:tcBorders>
              <w:left w:val="single" w:sz="4" w:space="0" w:color="000000"/>
              <w:right w:val="single" w:sz="4" w:space="0" w:color="000000"/>
            </w:tcBorders>
            <w:shd w:val="clear" w:color="auto" w:fill="D2D2D2"/>
          </w:tcPr>
          <w:p>
            <w:pPr/>
          </w:p>
        </w:tc>
        <w:tc>
          <w:tcPr>
            <w:tcW w:w="708"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42"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3"/>
            <w:vMerge/>
            <w:tcBorders>
              <w:left w:val="single" w:sz="4" w:space="0" w:color="000000"/>
              <w:right w:val="single" w:sz="4" w:space="0" w:color="000000"/>
            </w:tcBorders>
            <w:shd w:val="clear" w:color="auto" w:fill="D2D2D2"/>
          </w:tcPr>
          <w:p>
            <w:pPr/>
          </w:p>
        </w:tc>
      </w:tr>
      <w:tr>
        <w:trPr>
          <w:trHeight w:val="120"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418"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85" w:lineRule="auto" w:before="2"/>
              <w:ind w:left="167"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630" w:type="dxa"/>
            <w:gridSpan w:val="3"/>
            <w:vMerge/>
            <w:tcBorders>
              <w:left w:val="single" w:sz="4" w:space="0" w:color="000000"/>
              <w:right w:val="single" w:sz="4" w:space="0" w:color="000000"/>
            </w:tcBorders>
            <w:shd w:val="clear" w:color="auto" w:fill="D2D2D2"/>
          </w:tcPr>
          <w:p>
            <w:pPr/>
          </w:p>
        </w:tc>
      </w:tr>
      <w:tr>
        <w:trPr>
          <w:trHeight w:val="137"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5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630" w:type="dxa"/>
            <w:gridSpan w:val="3"/>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844" w:type="dxa"/>
            <w:gridSpan w:val="2"/>
            <w:vMerge/>
            <w:tcBorders>
              <w:left w:val="single" w:sz="4" w:space="0" w:color="000000"/>
              <w:bottom w:val="nil" w:sz="6" w:space="0" w:color="auto"/>
              <w:right w:val="single" w:sz="4" w:space="0" w:color="000000"/>
            </w:tcBorders>
            <w:shd w:val="clear" w:color="auto" w:fill="D2D2D2"/>
          </w:tcPr>
          <w:p>
            <w:pPr/>
          </w:p>
        </w:tc>
        <w:tc>
          <w:tcPr>
            <w:tcW w:w="1418"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197" w:lineRule="exact"/>
              <w:ind w:left="98"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61" w:hRule="exact"/>
        </w:trPr>
        <w:tc>
          <w:tcPr>
            <w:tcW w:w="1844" w:type="dxa"/>
            <w:gridSpan w:val="2"/>
            <w:vMerge w:val="restart"/>
            <w:tcBorders>
              <w:top w:val="nil" w:sz="6" w:space="0" w:color="auto"/>
              <w:left w:val="single" w:sz="4" w:space="0" w:color="000000"/>
              <w:right w:val="single" w:sz="4" w:space="0" w:color="000000"/>
            </w:tcBorders>
            <w:shd w:val="clear" w:color="auto" w:fill="D2D2D2"/>
          </w:tcPr>
          <w:p>
            <w:pPr/>
          </w:p>
        </w:tc>
        <w:tc>
          <w:tcPr>
            <w:tcW w:w="1418"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7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1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70"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9"/>
              <w:jc w:val="left"/>
              <w:rPr>
                <w:rFonts w:ascii="宋体" w:hAnsi="宋体" w:cs="宋体" w:eastAsia="宋体" w:hint="default"/>
                <w:sz w:val="18"/>
                <w:szCs w:val="18"/>
              </w:rPr>
            </w:pPr>
            <w:r>
              <w:rPr>
                <w:rFonts w:ascii="宋体" w:hAnsi="宋体" w:cs="宋体" w:eastAsia="宋体" w:hint="default"/>
                <w:sz w:val="18"/>
                <w:szCs w:val="18"/>
              </w:rPr>
              <w:t>江苏东润金财投资管 理有限公司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19.75%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155,040,000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58,140,000</w:t>
            </w:r>
          </w:p>
        </w:tc>
        <w:tc>
          <w:tcPr>
            <w:tcW w:w="991" w:type="dxa"/>
            <w:gridSpan w:val="2"/>
            <w:tcBorders>
              <w:top w:val="single" w:sz="36" w:space="0" w:color="D2D2D2"/>
              <w:left w:val="single" w:sz="4" w:space="0" w:color="000000"/>
              <w:bottom w:val="single" w:sz="4" w:space="0" w:color="000000"/>
              <w:right w:val="single" w:sz="4" w:space="0" w:color="000000"/>
            </w:tcBorders>
          </w:tcPr>
          <w:p>
            <w:pPr>
              <w:pStyle w:val="TableParagraph"/>
              <w:spacing w:line="240" w:lineRule="auto" w:before="142"/>
              <w:ind w:left="58" w:right="0"/>
              <w:jc w:val="left"/>
              <w:rPr>
                <w:rFonts w:ascii="Times New Roman" w:hAnsi="Times New Roman" w:cs="Times New Roman" w:eastAsia="Times New Roman" w:hint="default"/>
                <w:sz w:val="18"/>
                <w:szCs w:val="18"/>
              </w:rPr>
            </w:pPr>
            <w:r>
              <w:rPr>
                <w:rFonts w:ascii="Times New Roman"/>
                <w:sz w:val="18"/>
              </w:rPr>
              <w:t>155,040,000</w:t>
            </w:r>
          </w:p>
        </w:tc>
        <w:tc>
          <w:tcPr>
            <w:tcW w:w="993" w:type="dxa"/>
            <w:gridSpan w:val="2"/>
            <w:tcBorders>
              <w:top w:val="single" w:sz="36" w:space="0" w:color="D2D2D2"/>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1"/>
              <w:jc w:val="righ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3"/>
              <w:ind w:left="225" w:right="0"/>
              <w:jc w:val="left"/>
              <w:rPr>
                <w:rFonts w:ascii="Times New Roman" w:hAnsi="Times New Roman" w:cs="Times New Roman" w:eastAsia="Times New Roman" w:hint="default"/>
                <w:sz w:val="18"/>
                <w:szCs w:val="18"/>
              </w:rPr>
            </w:pPr>
            <w:r>
              <w:rPr>
                <w:rFonts w:ascii="Times New Roman"/>
                <w:sz w:val="18"/>
              </w:rPr>
              <w:t>90,800,000</w:t>
            </w: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16.33%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128,202,971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48,076,114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96,152,229</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32,050,742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128,202,671</w:t>
            </w: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9.60%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75,360,000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28,260,000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75,360,000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8.40%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65,934,482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25,661,868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64,436,182</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1,498,300</w:t>
            </w:r>
          </w:p>
        </w:tc>
        <w:tc>
          <w:tcPr>
            <w:tcW w:w="56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6.94%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54,511,499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20,441,812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35,432,475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19,079,024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25,951,520</w:t>
            </w: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5.43%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42,627,013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15,985,130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42,627,013</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1.66%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13,019,909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4,756,441</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13,019,909</w:t>
            </w:r>
          </w:p>
        </w:tc>
        <w:tc>
          <w:tcPr>
            <w:tcW w:w="562"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844"/>
        <w:gridCol w:w="1418"/>
        <w:gridCol w:w="708"/>
        <w:gridCol w:w="992"/>
        <w:gridCol w:w="283"/>
        <w:gridCol w:w="709"/>
        <w:gridCol w:w="954"/>
        <w:gridCol w:w="1030"/>
        <w:gridCol w:w="282"/>
        <w:gridCol w:w="286"/>
        <w:gridCol w:w="1062"/>
      </w:tblGrid>
      <w:tr>
        <w:trPr>
          <w:trHeight w:val="5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89"/>
              <w:jc w:val="left"/>
              <w:rPr>
                <w:rFonts w:ascii="宋体" w:hAnsi="宋体" w:cs="宋体" w:eastAsia="宋体" w:hint="default"/>
                <w:sz w:val="18"/>
                <w:szCs w:val="18"/>
              </w:rPr>
            </w:pPr>
            <w:r>
              <w:rPr>
                <w:rFonts w:ascii="宋体" w:hAnsi="宋体" w:cs="宋体" w:eastAsia="宋体" w:hint="default"/>
                <w:sz w:val="18"/>
                <w:szCs w:val="18"/>
              </w:rPr>
              <w:t>北京众诚方圆投资中 心（有限合伙）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8,679,317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-1,652,631</w:t>
            </w:r>
          </w:p>
        </w:tc>
        <w:tc>
          <w:tcPr>
            <w:tcW w:w="95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8,679,317</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8,679,317</w:t>
            </w:r>
          </w:p>
        </w:tc>
      </w:tr>
      <w:tr>
        <w:trPr>
          <w:trHeight w:val="76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89"/>
              <w:jc w:val="both"/>
              <w:rPr>
                <w:rFonts w:ascii="宋体" w:hAnsi="宋体" w:cs="宋体" w:eastAsia="宋体" w:hint="default"/>
                <w:sz w:val="18"/>
                <w:szCs w:val="18"/>
              </w:rPr>
            </w:pPr>
            <w:r>
              <w:rPr>
                <w:rFonts w:ascii="宋体" w:hAnsi="宋体" w:cs="宋体" w:eastAsia="宋体" w:hint="default"/>
                <w:sz w:val="18"/>
                <w:szCs w:val="18"/>
              </w:rPr>
              <w:t>新华人寿保险股份有 限公司－分红－个人 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78"/>
                <w:sz w:val="18"/>
                <w:szCs w:val="18"/>
              </w:rPr>
              <w:t>、</w:t>
            </w:r>
            <w:r>
              <w:rPr>
                <w:rFonts w:ascii="宋体" w:hAnsi="宋体" w:cs="宋体" w:eastAsia="宋体" w:hint="default"/>
                <w:sz w:val="18"/>
                <w:szCs w:val="18"/>
              </w:rPr>
              <w:t>理财产品等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8,172,151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3,348,512</w:t>
            </w:r>
          </w:p>
        </w:tc>
        <w:tc>
          <w:tcPr>
            <w:tcW w:w="954"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8,172,151</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7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民生证券－浦发银行</w:t>
            </w:r>
          </w:p>
          <w:p>
            <w:pPr>
              <w:pStyle w:val="TableParagraph"/>
              <w:spacing w:line="238" w:lineRule="exact" w:before="24"/>
              <w:ind w:left="22" w:right="23"/>
              <w:jc w:val="left"/>
              <w:rPr>
                <w:rFonts w:ascii="宋体" w:hAnsi="宋体" w:cs="宋体" w:eastAsia="宋体" w:hint="default"/>
                <w:sz w:val="18"/>
                <w:szCs w:val="18"/>
              </w:rPr>
            </w:pPr>
            <w:r>
              <w:rPr>
                <w:rFonts w:ascii="宋体" w:hAnsi="宋体" w:cs="宋体" w:eastAsia="宋体" w:hint="default"/>
                <w:sz w:val="18"/>
                <w:szCs w:val="18"/>
              </w:rPr>
              <w:t>－民生方欣</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号集合资 产管理计划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78"/>
                <w:sz w:val="18"/>
                <w:szCs w:val="18"/>
              </w:rPr>
              <w:t>、</w:t>
            </w:r>
            <w:r>
              <w:rPr>
                <w:rFonts w:ascii="宋体" w:hAnsi="宋体" w:cs="宋体" w:eastAsia="宋体" w:hint="default"/>
                <w:sz w:val="18"/>
                <w:szCs w:val="18"/>
              </w:rPr>
              <w:t>理财产品等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7,095,910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2,660,966</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8" w:right="-16"/>
              <w:jc w:val="left"/>
              <w:rPr>
                <w:rFonts w:ascii="Times New Roman" w:hAnsi="Times New Roman" w:cs="Times New Roman" w:eastAsia="Times New Roman" w:hint="default"/>
                <w:sz w:val="18"/>
                <w:szCs w:val="18"/>
              </w:rPr>
            </w:pPr>
            <w:r>
              <w:rPr>
                <w:rFonts w:ascii="Times New Roman"/>
                <w:sz w:val="18"/>
              </w:rPr>
              <w:t>7,095,910</w:t>
            </w:r>
          </w:p>
        </w:tc>
        <w:tc>
          <w:tcPr>
            <w:tcW w:w="1030" w:type="dxa"/>
            <w:tcBorders>
              <w:top w:val="single" w:sz="4" w:space="0" w:color="000000"/>
              <w:left w:val="single" w:sz="4" w:space="0" w:color="000000"/>
              <w:bottom w:val="single" w:sz="4" w:space="0" w:color="000000"/>
              <w:right w:val="single" w:sz="4" w:space="0" w:color="000000"/>
            </w:tcBorders>
          </w:tcPr>
          <w:p>
            <w:pP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
              <w:ind w:left="22" w:right="3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307"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5" w:hRule="exact"/>
        </w:trPr>
        <w:tc>
          <w:tcPr>
            <w:tcW w:w="32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07" w:type="dxa"/>
            <w:gridSpan w:val="9"/>
            <w:vMerge w:val="restart"/>
            <w:tcBorders>
              <w:top w:val="single" w:sz="4" w:space="0" w:color="000000"/>
              <w:left w:val="single" w:sz="9" w:space="0" w:color="D2D2D2"/>
              <w:right w:val="single" w:sz="4" w:space="0" w:color="000000"/>
            </w:tcBorders>
          </w:tcPr>
          <w:p>
            <w:pPr>
              <w:pStyle w:val="TableParagraph"/>
              <w:spacing w:line="244" w:lineRule="auto" w:before="21"/>
              <w:ind w:left="16" w:right="19"/>
              <w:jc w:val="both"/>
              <w:rPr>
                <w:rFonts w:ascii="宋体" w:hAnsi="宋体" w:cs="宋体" w:eastAsia="宋体" w:hint="default"/>
                <w:sz w:val="18"/>
                <w:szCs w:val="18"/>
              </w:rPr>
            </w:pPr>
            <w:r>
              <w:rPr>
                <w:rFonts w:ascii="宋体" w:hAnsi="宋体" w:cs="宋体" w:eastAsia="宋体" w:hint="default"/>
                <w:spacing w:val="-2"/>
                <w:sz w:val="18"/>
                <w:szCs w:val="18"/>
              </w:rPr>
              <w:t>上述股东中，朱文明、东润投资、束昱辉为一致行动人；徐正军、王金根为一致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行动人。除此之外，上述股东之间不存在公司已知的关联关系，亦不存在公司已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知的一致行动人关系。</w:t>
            </w:r>
          </w:p>
        </w:tc>
      </w:tr>
      <w:tr>
        <w:trPr>
          <w:trHeight w:val="320" w:hRule="exact"/>
        </w:trPr>
        <w:tc>
          <w:tcPr>
            <w:tcW w:w="326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07" w:type="dxa"/>
            <w:gridSpan w:val="9"/>
            <w:vMerge/>
            <w:tcBorders>
              <w:left w:val="single" w:sz="9" w:space="0" w:color="D2D2D2"/>
              <w:right w:val="single" w:sz="4" w:space="0" w:color="000000"/>
            </w:tcBorders>
          </w:tcPr>
          <w:p>
            <w:pPr/>
          </w:p>
        </w:tc>
      </w:tr>
      <w:tr>
        <w:trPr>
          <w:trHeight w:val="245" w:hRule="exact"/>
        </w:trPr>
        <w:tc>
          <w:tcPr>
            <w:tcW w:w="32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07" w:type="dxa"/>
            <w:gridSpan w:val="9"/>
            <w:vMerge/>
            <w:tcBorders>
              <w:left w:val="single" w:sz="9" w:space="0" w:color="D2D2D2"/>
              <w:bottom w:val="single" w:sz="4" w:space="0" w:color="000000"/>
              <w:right w:val="single" w:sz="4" w:space="0" w:color="000000"/>
            </w:tcBorders>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91" w:hRule="exact"/>
        </w:trPr>
        <w:tc>
          <w:tcPr>
            <w:tcW w:w="52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177" w:right="125"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66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5"/>
              <w:ind w:right="37"/>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70" w:hRule="exact"/>
        </w:trPr>
        <w:tc>
          <w:tcPr>
            <w:tcW w:w="52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63" w:type="dxa"/>
            <w:gridSpan w:val="2"/>
            <w:vMerge/>
            <w:tcBorders>
              <w:left w:val="single" w:sz="4" w:space="0" w:color="000000"/>
              <w:right w:val="single" w:sz="4" w:space="0" w:color="000000"/>
            </w:tcBorders>
            <w:shd w:val="clear" w:color="auto" w:fill="D2D2D2"/>
          </w:tcPr>
          <w:p>
            <w:pPr/>
          </w:p>
        </w:tc>
        <w:tc>
          <w:tcPr>
            <w:tcW w:w="2660" w:type="dxa"/>
            <w:gridSpan w:val="4"/>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5246" w:type="dxa"/>
            <w:gridSpan w:val="5"/>
            <w:vMerge/>
            <w:tcBorders>
              <w:left w:val="single" w:sz="4" w:space="0" w:color="000000"/>
              <w:bottom w:val="nil" w:sz="6" w:space="0" w:color="auto"/>
              <w:right w:val="single" w:sz="4" w:space="0" w:color="000000"/>
            </w:tcBorders>
            <w:shd w:val="clear" w:color="auto" w:fill="D2D2D2"/>
          </w:tcPr>
          <w:p>
            <w:pPr/>
          </w:p>
        </w:tc>
        <w:tc>
          <w:tcPr>
            <w:tcW w:w="1663" w:type="dxa"/>
            <w:gridSpan w:val="2"/>
            <w:vMerge/>
            <w:tcBorders>
              <w:left w:val="single" w:sz="4" w:space="0" w:color="000000"/>
              <w:right w:val="single" w:sz="4" w:space="0" w:color="000000"/>
            </w:tcBorders>
            <w:shd w:val="clear" w:color="auto" w:fill="D2D2D2"/>
          </w:tcPr>
          <w:p>
            <w:pPr/>
          </w:p>
        </w:tc>
        <w:tc>
          <w:tcPr>
            <w:tcW w:w="13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7"/>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86" w:hRule="exact"/>
        </w:trPr>
        <w:tc>
          <w:tcPr>
            <w:tcW w:w="52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gridSpan w:val="2"/>
            <w:vMerge/>
            <w:tcBorders>
              <w:left w:val="single" w:sz="4" w:space="0" w:color="000000"/>
              <w:bottom w:val="single" w:sz="4" w:space="0" w:color="000000"/>
              <w:right w:val="single" w:sz="4" w:space="0" w:color="000000"/>
            </w:tcBorders>
            <w:shd w:val="clear" w:color="auto" w:fill="D2D2D2"/>
          </w:tcPr>
          <w:p>
            <w:pPr/>
          </w:p>
        </w:tc>
        <w:tc>
          <w:tcPr>
            <w:tcW w:w="1312"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663" w:type="dxa"/>
            <w:gridSpan w:val="2"/>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left="782" w:right="0"/>
              <w:jc w:val="left"/>
              <w:rPr>
                <w:rFonts w:ascii="Times New Roman" w:hAnsi="Times New Roman" w:cs="Times New Roman" w:eastAsia="Times New Roman" w:hint="default"/>
                <w:sz w:val="18"/>
                <w:szCs w:val="18"/>
              </w:rPr>
            </w:pPr>
            <w:r>
              <w:rPr>
                <w:rFonts w:ascii="Times New Roman"/>
                <w:sz w:val="18"/>
              </w:rPr>
              <w:t>75,360,000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75,360,000</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2" w:right="0"/>
              <w:jc w:val="left"/>
              <w:rPr>
                <w:rFonts w:ascii="Times New Roman" w:hAnsi="Times New Roman" w:cs="Times New Roman" w:eastAsia="Times New Roman" w:hint="default"/>
                <w:sz w:val="18"/>
                <w:szCs w:val="18"/>
              </w:rPr>
            </w:pPr>
            <w:r>
              <w:rPr>
                <w:rFonts w:ascii="Times New Roman"/>
                <w:sz w:val="18"/>
              </w:rPr>
              <w:t>32,050,742</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32,050,742</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2" w:right="0"/>
              <w:jc w:val="left"/>
              <w:rPr>
                <w:rFonts w:ascii="Times New Roman" w:hAnsi="Times New Roman" w:cs="Times New Roman" w:eastAsia="Times New Roman" w:hint="default"/>
                <w:sz w:val="18"/>
                <w:szCs w:val="18"/>
              </w:rPr>
            </w:pPr>
            <w:r>
              <w:rPr>
                <w:rFonts w:ascii="Times New Roman"/>
                <w:sz w:val="18"/>
              </w:rPr>
              <w:t>19,079,024</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19,079,024</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2" w:right="0"/>
              <w:jc w:val="left"/>
              <w:rPr>
                <w:rFonts w:ascii="Times New Roman" w:hAnsi="Times New Roman" w:cs="Times New Roman" w:eastAsia="Times New Roman" w:hint="default"/>
                <w:sz w:val="18"/>
                <w:szCs w:val="18"/>
              </w:rPr>
            </w:pPr>
            <w:r>
              <w:rPr>
                <w:rFonts w:ascii="Times New Roman"/>
                <w:sz w:val="18"/>
              </w:rPr>
              <w:t>13,019,909</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13,019,909</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北京众诚方圆投资中心（有限合伙）</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8,679,317</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8,679,317</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新华人寿保险股份有限公司－分红－个人分红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深</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8,172,151</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8,172,151</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苏州松禾成长二号创业投资中心（有限合伙）</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5,959,812</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5,959,812</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兴业银行股份有限公司－兴全趋势投资混合型证券投资基金</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5,046,400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5,046,400</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赣州西域洪昌互联网创业投资合伙企业（有限合伙）</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4,840,576</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4,840,576</w:t>
            </w:r>
          </w:p>
        </w:tc>
      </w:tr>
      <w:tr>
        <w:trPr>
          <w:trHeight w:val="402" w:hRule="exact"/>
        </w:trPr>
        <w:tc>
          <w:tcPr>
            <w:tcW w:w="52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朱德芳</w:t>
            </w:r>
          </w:p>
        </w:tc>
        <w:tc>
          <w:tcPr>
            <w:tcW w:w="16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2,976,565</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2,976,565</w:t>
            </w:r>
          </w:p>
        </w:tc>
      </w:tr>
      <w:tr>
        <w:trPr>
          <w:trHeight w:val="730" w:hRule="exact"/>
        </w:trPr>
        <w:tc>
          <w:tcPr>
            <w:tcW w:w="52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before="10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3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30"/>
              <w:jc w:val="both"/>
              <w:rPr>
                <w:rFonts w:ascii="宋体" w:hAnsi="宋体" w:cs="宋体" w:eastAsia="宋体" w:hint="default"/>
                <w:sz w:val="18"/>
                <w:szCs w:val="18"/>
              </w:rPr>
            </w:pPr>
            <w:r>
              <w:rPr>
                <w:rFonts w:ascii="宋体" w:hAnsi="宋体" w:cs="宋体" w:eastAsia="宋体" w:hint="default"/>
                <w:sz w:val="18"/>
                <w:szCs w:val="18"/>
              </w:rPr>
              <w:t>上述股东之间，除徐正军、王金根为一致行动人之外， </w:t>
            </w:r>
            <w:r>
              <w:rPr>
                <w:rFonts w:ascii="宋体" w:hAnsi="宋体" w:cs="宋体" w:eastAsia="宋体" w:hint="default"/>
                <w:spacing w:val="-3"/>
                <w:sz w:val="18"/>
                <w:szCs w:val="18"/>
              </w:rPr>
              <w:t>不存在公司已知的关联关系，亦不存在公司已知的一致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行动人关系。</w:t>
            </w:r>
          </w:p>
        </w:tc>
      </w:tr>
      <w:tr>
        <w:trPr>
          <w:trHeight w:val="403" w:hRule="exact"/>
        </w:trPr>
        <w:tc>
          <w:tcPr>
            <w:tcW w:w="52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w:t>
            </w:r>
            <w:r>
              <w:rPr>
                <w:rFonts w:ascii="宋体" w:hAnsi="宋体" w:cs="宋体" w:eastAsia="宋体" w:hint="default"/>
                <w:spacing w:val="1"/>
                <w:sz w:val="18"/>
                <w:szCs w:val="18"/>
              </w:rPr>
              <w:t>股</w:t>
            </w:r>
            <w:r>
              <w:rPr>
                <w:rFonts w:ascii="宋体" w:hAnsi="宋体" w:cs="宋体" w:eastAsia="宋体" w:hint="default"/>
                <w:sz w:val="18"/>
                <w:szCs w:val="18"/>
              </w:rPr>
              <w:t>股东参与融资融券业务情况说</w:t>
            </w:r>
            <w:r>
              <w:rPr>
                <w:rFonts w:ascii="宋体" w:hAnsi="宋体" w:cs="宋体" w:eastAsia="宋体" w:hint="default"/>
                <w:spacing w:val="-39"/>
                <w:sz w:val="18"/>
                <w:szCs w:val="18"/>
              </w:rPr>
              <w:t>明</w:t>
            </w:r>
            <w:r>
              <w:rPr>
                <w:rFonts w:ascii="宋体" w:hAnsi="宋体" w:cs="宋体" w:eastAsia="宋体" w:hint="default"/>
                <w:sz w:val="18"/>
                <w:szCs w:val="18"/>
              </w:rPr>
              <w:t>（如有</w:t>
            </w:r>
            <w:r>
              <w:rPr>
                <w:rFonts w:ascii="宋体" w:hAnsi="宋体" w:cs="宋体" w:eastAsia="宋体" w:hint="default"/>
                <w:spacing w:val="-129"/>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pacing w:val="-34"/>
                <w:sz w:val="18"/>
                <w:szCs w:val="18"/>
              </w:rPr>
              <w:t>）</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4" w:type="dxa"/>
            <w:tcBorders>
              <w:top w:val="single" w:sz="4" w:space="0" w:color="000000"/>
              <w:left w:val="nil" w:sz="6" w:space="0" w:color="auto"/>
              <w:bottom w:val="single" w:sz="4" w:space="0" w:color="000000"/>
              <w:right w:val="nil" w:sz="6" w:space="0" w:color="auto"/>
            </w:tcBorders>
          </w:tcPr>
          <w:p>
            <w:pPr/>
          </w:p>
        </w:tc>
        <w:tc>
          <w:tcPr>
            <w:tcW w:w="1030" w:type="dxa"/>
            <w:tcBorders>
              <w:top w:val="single" w:sz="4" w:space="0" w:color="000000"/>
              <w:left w:val="nil" w:sz="6" w:space="0" w:color="auto"/>
              <w:bottom w:val="single" w:sz="4" w:space="0" w:color="000000"/>
              <w:right w:val="nil" w:sz="6" w:space="0" w:color="auto"/>
            </w:tcBorders>
          </w:tcPr>
          <w:p>
            <w:pPr/>
          </w:p>
        </w:tc>
        <w:tc>
          <w:tcPr>
            <w:tcW w:w="282" w:type="dxa"/>
            <w:tcBorders>
              <w:top w:val="single" w:sz="4" w:space="0" w:color="000000"/>
              <w:left w:val="nil" w:sz="6" w:space="0" w:color="auto"/>
              <w:bottom w:val="single" w:sz="4" w:space="0" w:color="000000"/>
              <w:right w:val="nil" w:sz="6" w:space="0" w:color="auto"/>
            </w:tcBorders>
          </w:tcPr>
          <w:p>
            <w:pPr/>
          </w:p>
        </w:tc>
        <w:tc>
          <w:tcPr>
            <w:tcW w:w="286" w:type="dxa"/>
            <w:tcBorders>
              <w:top w:val="single" w:sz="4" w:space="0" w:color="000000"/>
              <w:left w:val="nil" w:sz="6" w:space="0" w:color="auto"/>
              <w:bottom w:val="single" w:sz="4" w:space="0" w:color="000000"/>
              <w:right w:val="nil" w:sz="6" w:space="0" w:color="auto"/>
            </w:tcBorders>
          </w:tcPr>
          <w:p>
            <w:pPr/>
          </w:p>
        </w:tc>
        <w:tc>
          <w:tcPr>
            <w:tcW w:w="1062" w:type="dxa"/>
            <w:tcBorders>
              <w:top w:val="single" w:sz="4" w:space="0" w:color="000000"/>
              <w:left w:val="nil" w:sz="6" w:space="0" w:color="auto"/>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pict>
          <v:group style="position:absolute;margin-left:319.239990pt;margin-top:-25.058296pt;width:214.55pt;height:20.7pt;mso-position-horizontal-relative:page;mso-position-vertical-relative:paragraph;z-index:-1027600" coordorigin="6385,-501" coordsize="4291,414">
            <v:group style="position:absolute;left:6396;top:-490;width:2;height:392" coordorigin="6396,-490" coordsize="2,392">
              <v:shape style="position:absolute;left:6396;top:-490;width:2;height:392" coordorigin="6396,-490" coordsize="0,392" path="m6396,-490l6396,-99e" filled="false" stroked="true" strokeweight="1.140pt" strokecolor="#ffffff">
                <v:path arrowok="t"/>
              </v:shape>
            </v:group>
            <v:group style="position:absolute;left:6408;top:-490;width:4268;height:392" coordorigin="6408,-490" coordsize="4268,392">
              <v:shape style="position:absolute;left:6408;top:-490;width:4268;height:392" coordorigin="6408,-490" coordsize="4268,392" path="m6408,-99l10675,-99,10675,-490,6408,-490,6408,-99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4"/>
        <w:rPr>
          <w:rFonts w:ascii="宋体" w:hAnsi="宋体" w:cs="宋体" w:eastAsia="宋体" w:hint="default"/>
          <w:sz w:val="16"/>
          <w:szCs w:val="16"/>
        </w:rPr>
      </w:pPr>
    </w:p>
    <w:p>
      <w:pPr>
        <w:spacing w:line="364" w:lineRule="auto" w:before="0"/>
        <w:ind w:left="534" w:right="8232" w:firstLine="62"/>
        <w:jc w:val="left"/>
        <w:rPr>
          <w:rFonts w:ascii="宋体" w:hAnsi="宋体" w:cs="宋体" w:eastAsia="宋体" w:hint="default"/>
          <w:sz w:val="18"/>
          <w:szCs w:val="18"/>
        </w:rPr>
      </w:pPr>
      <w:bookmarkStart w:name="2、公司控股股东情况" w:id="139"/>
      <w:bookmarkEnd w:id="1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18"/>
          <w:szCs w:val="18"/>
        </w:rPr>
        <w:t>控股股东性质：自然人控股 控股股东类型：法人</w:t>
      </w:r>
    </w:p>
    <w:tbl>
      <w:tblPr>
        <w:tblW w:w="0" w:type="auto"/>
        <w:jc w:val="left"/>
        <w:tblInd w:w="169" w:type="dxa"/>
        <w:tblLayout w:type="fixed"/>
        <w:tblCellMar>
          <w:top w:w="0" w:type="dxa"/>
          <w:left w:w="0" w:type="dxa"/>
          <w:bottom w:w="0" w:type="dxa"/>
          <w:right w:w="0" w:type="dxa"/>
        </w:tblCellMar>
        <w:tblLook w:val="01E0"/>
      </w:tblPr>
      <w:tblGrid>
        <w:gridCol w:w="2836"/>
        <w:gridCol w:w="1276"/>
        <w:gridCol w:w="1608"/>
        <w:gridCol w:w="1794"/>
        <w:gridCol w:w="2054"/>
      </w:tblGrid>
      <w:tr>
        <w:trPr>
          <w:trHeight w:val="57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8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72" w:right="66"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5"/>
              <w:ind w:left="48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57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江苏东润金财投资管理有限公司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9132098272281206X2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1"/>
              <w:jc w:val="left"/>
              <w:rPr>
                <w:rFonts w:ascii="宋体" w:hAnsi="宋体" w:cs="宋体" w:eastAsia="宋体" w:hint="default"/>
                <w:sz w:val="18"/>
                <w:szCs w:val="18"/>
              </w:rPr>
            </w:pPr>
            <w:r>
              <w:rPr>
                <w:rFonts w:ascii="宋体" w:hAnsi="宋体" w:cs="宋体" w:eastAsia="宋体" w:hint="default"/>
                <w:sz w:val="18"/>
                <w:szCs w:val="18"/>
              </w:rPr>
              <w:t>投资业务；投资管理咨询 服务。</w:t>
            </w:r>
          </w:p>
        </w:tc>
      </w:tr>
      <w:tr>
        <w:trPr>
          <w:trHeight w:val="57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0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t>控股股东报告期内变更</w:t>
      </w:r>
    </w:p>
    <w:p>
      <w:pPr>
        <w:pStyle w:val="BodyText"/>
        <w:spacing w:line="340" w:lineRule="auto" w:before="116"/>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364" w:lineRule="auto" w:before="151"/>
        <w:ind w:left="534" w:right="7063" w:firstLine="62"/>
        <w:jc w:val="left"/>
        <w:rPr>
          <w:rFonts w:ascii="宋体" w:hAnsi="宋体" w:cs="宋体" w:eastAsia="宋体" w:hint="default"/>
          <w:sz w:val="18"/>
          <w:szCs w:val="18"/>
        </w:rPr>
      </w:pPr>
      <w:bookmarkStart w:name="3、公司实际控制人及其一致行动人" w:id="140"/>
      <w:bookmarkEnd w:id="1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b/>
          <w:bCs/>
          <w:w w:val="99"/>
          <w:sz w:val="21"/>
          <w:szCs w:val="21"/>
        </w:rPr>
        <w:t> </w:t>
      </w:r>
      <w:r>
        <w:rPr>
          <w:rFonts w:ascii="宋体" w:hAnsi="宋体" w:cs="宋体" w:eastAsia="宋体" w:hint="default"/>
          <w:sz w:val="18"/>
          <w:szCs w:val="18"/>
        </w:rPr>
        <w:t>实际控制人性质：境内自然人 实际控制人类型：自然人</w:t>
      </w:r>
    </w:p>
    <w:tbl>
      <w:tblPr>
        <w:tblW w:w="0" w:type="auto"/>
        <w:jc w:val="left"/>
        <w:tblInd w:w="169" w:type="dxa"/>
        <w:tblLayout w:type="fixed"/>
        <w:tblCellMar>
          <w:top w:w="0" w:type="dxa"/>
          <w:left w:w="0" w:type="dxa"/>
          <w:bottom w:w="0" w:type="dxa"/>
          <w:right w:w="0" w:type="dxa"/>
        </w:tblCellMar>
        <w:tblLook w:val="01E0"/>
      </w:tblPr>
      <w:tblGrid>
        <w:gridCol w:w="1701"/>
        <w:gridCol w:w="2552"/>
        <w:gridCol w:w="2551"/>
        <w:gridCol w:w="2764"/>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30"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8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91" w:firstLine="360"/>
              <w:jc w:val="both"/>
              <w:rPr>
                <w:rFonts w:ascii="宋体" w:hAnsi="宋体" w:cs="宋体" w:eastAsia="宋体" w:hint="default"/>
                <w:sz w:val="18"/>
                <w:szCs w:val="18"/>
              </w:rPr>
            </w:pPr>
            <w:r>
              <w:rPr>
                <w:rFonts w:ascii="宋体" w:hAnsi="宋体" w:cs="宋体" w:eastAsia="宋体" w:hint="default"/>
                <w:sz w:val="18"/>
                <w:szCs w:val="18"/>
              </w:rPr>
              <w:t>现任本公司董事长、总经理；兼任中国机械工程学会热处理分会副理事长、江苏省党代表、盐 城市工商联副会长；江苏东润金财投资管理有限公司、上海丰东热处理工程有限公司、天津丰东热 处理有限公司、广州鑫润丰东热处理有限公司、江苏石川岛丰东真空技术有限公司、盐城高周波热 炼有限公司董事长，广州丰东热炼有限公司副董事长，上海垒土资产管理有限公司、苏州丰东热处 理技术有限公司、南京丰东热处理工程有限公司、常州鑫润丰东热处理工程有限公司董事，江苏朸 健生命科技发展有限公司监事，上海君德实业有限公司、上海君浩实业有限公司执行董事。</w:t>
            </w:r>
          </w:p>
        </w:tc>
      </w:tr>
      <w:tr>
        <w:trPr>
          <w:trHeight w:val="57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22" w:right="48"/>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 境内外上市公司情况</w:t>
            </w:r>
          </w:p>
        </w:tc>
        <w:tc>
          <w:tcPr>
            <w:tcW w:w="78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83" w:right="0"/>
              <w:jc w:val="left"/>
              <w:rPr>
                <w:rFonts w:ascii="宋体" w:hAnsi="宋体" w:cs="宋体" w:eastAsia="宋体" w:hint="default"/>
                <w:sz w:val="18"/>
                <w:szCs w:val="18"/>
              </w:rPr>
            </w:pPr>
            <w:r>
              <w:rPr>
                <w:rFonts w:ascii="宋体" w:hAnsi="宋体" w:cs="宋体" w:eastAsia="宋体" w:hint="default"/>
                <w:sz w:val="18"/>
                <w:szCs w:val="18"/>
              </w:rPr>
              <w:t>朱文明先生除为本公司实际控制人外，过去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年内未曾控股其他境内外上市公司。</w:t>
            </w:r>
          </w:p>
        </w:tc>
      </w:tr>
    </w:tbl>
    <w:p>
      <w:pPr>
        <w:spacing w:line="240" w:lineRule="auto" w:before="7"/>
        <w:rPr>
          <w:rFonts w:ascii="宋体" w:hAnsi="宋体" w:cs="宋体" w:eastAsia="宋体" w:hint="default"/>
          <w:sz w:val="7"/>
          <w:szCs w:val="7"/>
        </w:rPr>
      </w:pPr>
    </w:p>
    <w:p>
      <w:pPr>
        <w:pStyle w:val="BodyText"/>
        <w:spacing w:line="240" w:lineRule="auto"/>
        <w:ind w:right="0"/>
        <w:jc w:val="left"/>
      </w:pPr>
      <w:r>
        <w:rPr/>
        <w:t>实际控制人报告期内变更</w:t>
      </w:r>
    </w:p>
    <w:p>
      <w:pPr>
        <w:pStyle w:val="BodyText"/>
        <w:spacing w:line="348" w:lineRule="auto" w:before="116"/>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25"/>
          <w:szCs w:val="25"/>
        </w:rPr>
      </w:pPr>
    </w:p>
    <w:p>
      <w:pPr>
        <w:spacing w:line="2175" w:lineRule="exact"/>
        <w:ind w:left="2885"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2661884" cy="138112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6" cstate="print"/>
                    <a:stretch>
                      <a:fillRect/>
                    </a:stretch>
                  </pic:blipFill>
                  <pic:spPr>
                    <a:xfrm>
                      <a:off x="0" y="0"/>
                      <a:ext cx="2661884" cy="1381125"/>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9"/>
        <w:rPr>
          <w:rFonts w:ascii="宋体" w:hAnsi="宋体" w:cs="宋体" w:eastAsia="宋体" w:hint="default"/>
          <w:sz w:val="25"/>
          <w:szCs w:val="25"/>
        </w:rPr>
      </w:pPr>
    </w:p>
    <w:p>
      <w:pPr>
        <w:pStyle w:val="BodyText"/>
        <w:spacing w:line="240" w:lineRule="auto"/>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4、其他持股在10%以上的法人股东" w:id="141"/>
      <w:bookmarkEnd w:id="14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5、控股股东、实际控制人、重组方及其他承诺主体股份限制减持情况" w:id="142"/>
      <w:bookmarkEnd w:id="14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306" w:right="0"/>
        <w:jc w:val="left"/>
        <w:rPr>
          <w:b w:val="0"/>
          <w:bCs w:val="0"/>
        </w:rPr>
      </w:pPr>
      <w:bookmarkStart w:name="第七节 优先股相关情况" w:id="143"/>
      <w:bookmarkEnd w:id="143"/>
      <w:r>
        <w:rPr>
          <w:b w:val="0"/>
          <w:bCs w:val="0"/>
        </w:rPr>
      </w:r>
      <w:bookmarkStart w:name="_bookmark6" w:id="144"/>
      <w:bookmarkEnd w:id="14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1700" w:right="0"/>
        <w:jc w:val="left"/>
        <w:rPr>
          <w:b w:val="0"/>
          <w:bCs w:val="0"/>
        </w:rPr>
      </w:pPr>
      <w:bookmarkStart w:name="第八节 董事、监事、高级管理人员和员工情况" w:id="145"/>
      <w:bookmarkEnd w:id="145"/>
      <w:r>
        <w:rPr>
          <w:b w:val="0"/>
          <w:bCs w:val="0"/>
        </w:rPr>
      </w:r>
      <w:bookmarkStart w:name="_bookmark7" w:id="146"/>
      <w:bookmarkEnd w:id="146"/>
      <w:r>
        <w:rPr>
          <w:b w:val="0"/>
          <w:bCs w:val="0"/>
        </w:rPr>
      </w:r>
      <w:r>
        <w:rPr/>
        <w:t>第八节</w:t>
      </w:r>
      <w:r>
        <w:rPr>
          <w:spacing w:val="-16"/>
        </w:rPr>
        <w:t> </w:t>
      </w:r>
      <w:r>
        <w:rPr/>
        <w:t>董事、监事、高级管理人员和员工情况</w:t>
      </w:r>
      <w:r>
        <w:rPr>
          <w:b w:val="0"/>
          <w:bCs w:val="0"/>
        </w:rPr>
      </w:r>
    </w:p>
    <w:p>
      <w:pPr>
        <w:spacing w:line="240" w:lineRule="auto" w:before="4"/>
        <w:rPr>
          <w:rFonts w:ascii="宋体" w:hAnsi="宋体" w:cs="宋体" w:eastAsia="宋体" w:hint="default"/>
          <w:b/>
          <w:bCs/>
          <w:sz w:val="42"/>
          <w:szCs w:val="42"/>
        </w:rPr>
      </w:pPr>
    </w:p>
    <w:p>
      <w:pPr>
        <w:pStyle w:val="Heading2"/>
        <w:spacing w:line="240" w:lineRule="auto"/>
        <w:ind w:right="0"/>
        <w:jc w:val="left"/>
        <w:rPr>
          <w:b w:val="0"/>
          <w:bCs w:val="0"/>
        </w:rPr>
      </w:pPr>
      <w:bookmarkStart w:name="一、董事、监事和高级管理人员持股变动" w:id="147"/>
      <w:bookmarkEnd w:id="147"/>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710"/>
        <w:gridCol w:w="709"/>
        <w:gridCol w:w="425"/>
        <w:gridCol w:w="425"/>
        <w:gridCol w:w="426"/>
        <w:gridCol w:w="992"/>
        <w:gridCol w:w="992"/>
        <w:gridCol w:w="992"/>
        <w:gridCol w:w="994"/>
        <w:gridCol w:w="850"/>
        <w:gridCol w:w="992"/>
        <w:gridCol w:w="1067"/>
      </w:tblGrid>
      <w:tr>
        <w:trPr>
          <w:trHeight w:val="730"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52" w:space="0" w:color="FFFFFF"/>
              <w:right w:val="single" w:sz="4" w:space="0" w:color="000000"/>
            </w:tcBorders>
            <w:shd w:val="clear" w:color="auto" w:fill="D2D2D2"/>
          </w:tcPr>
          <w:p>
            <w:pPr>
              <w:pStyle w:val="TableParagraph"/>
              <w:spacing w:line="244" w:lineRule="auto" w:before="101"/>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310" w:right="1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311" w:right="12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22" w:right="41"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1"/>
                <w:sz w:val="18"/>
                <w:szCs w:val="18"/>
              </w:rPr>
              <w:t>份数量（股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本期减持</w:t>
            </w:r>
          </w:p>
          <w:p>
            <w:pPr>
              <w:pStyle w:val="TableParagraph"/>
              <w:spacing w:line="298" w:lineRule="exact" w:before="4"/>
              <w:ind w:left="-124" w:right="58"/>
              <w:jc w:val="center"/>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sz w:val="18"/>
                <w:szCs w:val="18"/>
              </w:rPr>
              <w:t>股份数量</w:t>
            </w:r>
          </w:p>
          <w:p>
            <w:pPr>
              <w:pStyle w:val="TableParagraph"/>
              <w:spacing w:line="178"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242" w:lineRule="auto" w:before="2"/>
              <w:ind w:left="22" w:right="-50"/>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425" w:type="dxa"/>
            <w:tcBorders>
              <w:top w:val="single" w:sz="52" w:space="0" w:color="FFFFFF"/>
              <w:left w:val="single" w:sz="9" w:space="0" w:color="FFFFFF"/>
              <w:bottom w:val="single" w:sz="4" w:space="0" w:color="000000"/>
              <w:right w:val="single" w:sz="4" w:space="0" w:color="000000"/>
            </w:tcBorders>
          </w:tcPr>
          <w:p>
            <w:pPr>
              <w:pStyle w:val="TableParagraph"/>
              <w:spacing w:line="240" w:lineRule="auto" w:before="61"/>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40,272,614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1,498,300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24,163,568</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65,934,482</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34"/>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80,126,857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48,076,114</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128,202,971</w:t>
            </w:r>
          </w:p>
        </w:tc>
      </w:tr>
      <w:tr>
        <w:trPr>
          <w:trHeight w:val="52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34"/>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王  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2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1,920</w:t>
            </w:r>
          </w:p>
        </w:tc>
      </w:tr>
      <w:tr>
        <w:trPr>
          <w:trHeight w:val="551"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
              <w:ind w:left="22" w:right="314"/>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
              <w:ind w:left="22" w:right="314"/>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
              <w:ind w:left="22" w:right="314"/>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
              <w:ind w:left="22" w:right="134"/>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2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俞玉岚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34"/>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
              <w:ind w:left="22" w:right="13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3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2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3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
              <w:ind w:left="22" w:right="134"/>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褚文兰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34"/>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2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35"/>
              <w:jc w:val="left"/>
              <w:rPr>
                <w:rFonts w:ascii="宋体" w:hAnsi="宋体" w:cs="宋体" w:eastAsia="宋体" w:hint="default"/>
                <w:sz w:val="18"/>
                <w:szCs w:val="18"/>
              </w:rPr>
            </w:pPr>
            <w:r>
              <w:rPr>
                <w:rFonts w:ascii="宋体" w:hAnsi="宋体" w:cs="宋体" w:eastAsia="宋体" w:hint="default"/>
                <w:sz w:val="18"/>
                <w:szCs w:val="18"/>
              </w:rPr>
              <w:t>河田一 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
              <w:ind w:left="22" w:right="134"/>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31"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金珍霞</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
              <w:ind w:left="22" w:right="134"/>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6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120,400,671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1,498,300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Times New Roman" w:hAnsi="Times New Roman" w:cs="Times New Roman" w:eastAsia="Times New Roman" w:hint="default"/>
                <w:sz w:val="18"/>
                <w:szCs w:val="18"/>
              </w:rPr>
            </w:pPr>
            <w:r>
              <w:rPr>
                <w:rFonts w:ascii="Times New Roman"/>
                <w:sz w:val="18"/>
              </w:rPr>
              <w:t>72,239,682</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z w:val="18"/>
              </w:rPr>
              <w:t>194,139,373</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8"/>
        <w:rPr>
          <w:rFonts w:ascii="宋体" w:hAnsi="宋体" w:cs="宋体" w:eastAsia="宋体" w:hint="default"/>
          <w:b/>
          <w:bCs/>
          <w:sz w:val="22"/>
          <w:szCs w:val="22"/>
        </w:rPr>
      </w:pPr>
    </w:p>
    <w:p>
      <w:pPr>
        <w:pStyle w:val="Heading2"/>
        <w:spacing w:line="240" w:lineRule="auto" w:before="26"/>
        <w:ind w:right="0"/>
        <w:jc w:val="left"/>
        <w:rPr>
          <w:b w:val="0"/>
          <w:bCs w:val="0"/>
        </w:rPr>
      </w:pPr>
      <w:bookmarkStart w:name="二、公司董事、监事、高级管理人员变动情况" w:id="148"/>
      <w:bookmarkEnd w:id="14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1330"/>
        <w:gridCol w:w="1331"/>
        <w:gridCol w:w="1330"/>
        <w:gridCol w:w="1964"/>
        <w:gridCol w:w="3614"/>
      </w:tblGrid>
      <w:tr>
        <w:trPr>
          <w:trHeight w:val="330"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3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因个人原因，主动辞职</w:t>
            </w:r>
          </w:p>
        </w:tc>
      </w:tr>
      <w:tr>
        <w:trPr>
          <w:trHeight w:val="33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金珍霞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因个人原因，主动辞职</w:t>
            </w:r>
          </w:p>
        </w:tc>
      </w:tr>
    </w:tbl>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三、任职情况" w:id="149"/>
      <w:bookmarkEnd w:id="149"/>
      <w:r>
        <w:rPr>
          <w:b w:val="0"/>
          <w:bCs w:val="0"/>
        </w:rPr>
      </w:r>
      <w:r>
        <w:rPr/>
        <w:t>三、任职情况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Heading4"/>
        <w:spacing w:line="240" w:lineRule="auto" w:before="117"/>
        <w:ind w:right="0"/>
        <w:jc w:val="left"/>
        <w:rPr>
          <w:b w:val="0"/>
          <w:bCs w:val="0"/>
        </w:rPr>
      </w:pPr>
      <w:r>
        <w:rPr>
          <w:rFonts w:ascii="Times New Roman" w:hAnsi="Times New Roman" w:cs="Times New Roman" w:eastAsia="Times New Roman" w:hint="default"/>
        </w:rPr>
        <w:t>1</w:t>
      </w:r>
      <w:r>
        <w:rPr/>
        <w:t>、本公司现任董事专业背景、主要工作经历以及目前在公司的主要职责</w:t>
      </w:r>
      <w:r>
        <w:rPr>
          <w:b w:val="0"/>
          <w:bCs w:val="0"/>
        </w:rPr>
      </w:r>
    </w:p>
    <w:p>
      <w:pPr>
        <w:pStyle w:val="BodyText"/>
        <w:spacing w:line="314" w:lineRule="auto" w:before="101"/>
        <w:ind w:left="174" w:right="1032" w:firstLine="361"/>
        <w:jc w:val="left"/>
      </w:pPr>
      <w:r>
        <w:rPr>
          <w:rFonts w:ascii="宋体" w:hAnsi="宋体" w:cs="宋体" w:eastAsia="宋体" w:hint="default"/>
          <w:b/>
          <w:bCs/>
        </w:rPr>
        <w:t>朱文明</w:t>
      </w:r>
      <w:r>
        <w:rPr/>
        <w:t>，男，中国国籍，</w:t>
      </w:r>
      <w:r>
        <w:rPr>
          <w:rFonts w:ascii="Times New Roman" w:hAnsi="Times New Roman" w:cs="Times New Roman" w:eastAsia="Times New Roman" w:hint="default"/>
        </w:rPr>
        <w:t>1967</w:t>
      </w:r>
      <w:r>
        <w:rPr>
          <w:rFonts w:ascii="Times New Roman" w:hAnsi="Times New Roman" w:cs="Times New Roman" w:eastAsia="Times New Roman" w:hint="default"/>
          <w:spacing w:val="-2"/>
        </w:rPr>
        <w:t> </w:t>
      </w:r>
      <w:r>
        <w:rPr/>
        <w:t>年出生，本科学历。历任本公司前身盐城丰东热处理有限公司生产部技术员、营销部部 </w:t>
      </w:r>
      <w:r>
        <w:rPr>
          <w:spacing w:val="-2"/>
        </w:rPr>
        <w:t>长、副总经理、总经理、董事、董事长。现任本公司董事长、总经理；江苏东润金财投资管理有限公司董事长；兼任上海丰</w:t>
      </w:r>
      <w:r>
        <w:rPr>
          <w:spacing w:val="-67"/>
        </w:rPr>
        <w:t> </w:t>
      </w:r>
      <w:r>
        <w:rPr>
          <w:spacing w:val="-67"/>
        </w:rPr>
      </w:r>
      <w:r>
        <w:rPr>
          <w:spacing w:val="-2"/>
        </w:rPr>
        <w:t>东热处理工程有限公司、广州鑫润丰东热处理有限公司、天津丰东热处理有限公司、江苏石川岛丰东真空技术有限公司、盐</w:t>
      </w:r>
      <w:r>
        <w:rPr>
          <w:spacing w:val="-66"/>
        </w:rPr>
        <w:t> </w:t>
      </w:r>
      <w:r>
        <w:rPr>
          <w:spacing w:val="-66"/>
        </w:rPr>
      </w:r>
      <w:r>
        <w:rPr>
          <w:spacing w:val="-2"/>
        </w:rPr>
        <w:t>城高周波热炼有限公司董事长，上广州丰东热炼有限公司副董事长，上海垒土资产管理有限公司、苏州丰东热处理技术有限</w:t>
      </w:r>
      <w:r>
        <w:rPr>
          <w:spacing w:val="-66"/>
        </w:rPr>
        <w:t> </w:t>
      </w:r>
      <w:r>
        <w:rPr>
          <w:spacing w:val="-66"/>
        </w:rPr>
      </w:r>
      <w:r>
        <w:rPr>
          <w:spacing w:val="-2"/>
        </w:rPr>
        <w:t>公司、南京丰东热处理工程有限公司、常州鑫润丰东热处理工程有限公司董事，江苏朸健生命科技发展有限公司监事，海君</w:t>
      </w:r>
      <w:r>
        <w:rPr>
          <w:spacing w:val="-65"/>
        </w:rPr>
        <w:t> </w:t>
      </w:r>
      <w:r>
        <w:rPr>
          <w:spacing w:val="-65"/>
        </w:rPr>
      </w:r>
      <w:r>
        <w:rPr/>
        <w:t>德实业有限公司、上海君浩实业有限公司执行董事。社会职务有：中国机械工程学会热处理分会副理事长、江苏省党代表、 盐城市工商联副会长。</w:t>
      </w:r>
    </w:p>
    <w:p>
      <w:pPr>
        <w:pStyle w:val="BodyText"/>
        <w:spacing w:line="309" w:lineRule="auto" w:before="59"/>
        <w:ind w:left="174" w:right="1132" w:firstLine="361"/>
        <w:jc w:val="both"/>
      </w:pPr>
      <w:r>
        <w:rPr>
          <w:rFonts w:ascii="宋体" w:hAnsi="宋体" w:cs="宋体" w:eastAsia="宋体" w:hint="default"/>
          <w:b/>
          <w:bCs/>
        </w:rPr>
        <w:t>徐正军，</w:t>
      </w:r>
      <w:r>
        <w:rPr/>
        <w:t>男，中国国籍，</w:t>
      </w:r>
      <w:r>
        <w:rPr>
          <w:rFonts w:ascii="Times New Roman" w:hAnsi="Times New Roman" w:cs="Times New Roman" w:eastAsia="Times New Roman" w:hint="default"/>
        </w:rPr>
        <w:t>1971</w:t>
      </w:r>
      <w:r>
        <w:rPr>
          <w:rFonts w:ascii="Times New Roman" w:hAnsi="Times New Roman" w:cs="Times New Roman" w:eastAsia="Times New Roman" w:hint="default"/>
          <w:spacing w:val="-2"/>
        </w:rPr>
        <w:t> </w:t>
      </w:r>
      <w:r>
        <w:rPr/>
        <w:t>年出生，清华大学高级工商管理硕士，方欣科技有限公司创始人、董事长。现任方欣科 </w:t>
      </w:r>
      <w:r>
        <w:rPr>
          <w:spacing w:val="-2"/>
        </w:rPr>
        <w:t>技有限公司董事长；本公司副董事长。兼任广东益东金财资产管理中心（有限合伙）执行事务合伙人；北京方欣恒利科技有</w:t>
      </w:r>
      <w:r>
        <w:rPr>
          <w:spacing w:val="-66"/>
        </w:rPr>
        <w:t> </w:t>
      </w:r>
      <w:r>
        <w:rPr>
          <w:spacing w:val="-66"/>
        </w:rPr>
      </w:r>
      <w:r>
        <w:rPr/>
        <w:t>限公司董事长。</w:t>
      </w:r>
    </w:p>
    <w:p>
      <w:pPr>
        <w:pStyle w:val="BodyText"/>
        <w:spacing w:line="316" w:lineRule="auto" w:before="64"/>
        <w:ind w:left="174" w:right="1032" w:firstLine="361"/>
        <w:jc w:val="left"/>
      </w:pPr>
      <w:r>
        <w:rPr>
          <w:rFonts w:ascii="宋体" w:hAnsi="宋体" w:cs="宋体" w:eastAsia="宋体" w:hint="default"/>
          <w:b/>
          <w:bCs/>
        </w:rPr>
        <w:t>向建华</w:t>
      </w:r>
      <w:r>
        <w:rPr/>
        <w:t>，男，中国国籍，</w:t>
      </w:r>
      <w:r>
        <w:rPr>
          <w:rFonts w:ascii="Times New Roman" w:hAnsi="Times New Roman" w:cs="Times New Roman" w:eastAsia="Times New Roman" w:hint="default"/>
        </w:rPr>
        <w:t>1966</w:t>
      </w:r>
      <w:r>
        <w:rPr>
          <w:rFonts w:ascii="Times New Roman" w:hAnsi="Times New Roman" w:cs="Times New Roman" w:eastAsia="Times New Roman" w:hint="default"/>
          <w:spacing w:val="-2"/>
        </w:rPr>
        <w:t> </w:t>
      </w:r>
      <w:r>
        <w:rPr/>
        <w:t>年出生，研究生学历，享受国务院特殊津贴专家，高级工程师。曾任公司前身盐城丰东 热处理有限公司生产部技术员、加工部部长、副总经理、副董事长；大丰市新团镇副镇长、副书记。现任本公司副董事长； 江苏东润金财投资管理有限公司董事；兼任江苏丰东热技术有限公司、江苏丰东热处理及表面改性工程技术研究有限公司、 </w:t>
      </w:r>
      <w:r>
        <w:rPr>
          <w:spacing w:val="-2"/>
        </w:rPr>
        <w:t>青岛丰东热处理有限公司、青岛丰东热工技术有限公司、潍坊丰东热处理有限公司、南京丰东热处理工程有限公司、常州鑫</w:t>
      </w:r>
      <w:r>
        <w:rPr>
          <w:spacing w:val="-66"/>
        </w:rPr>
        <w:t> </w:t>
      </w:r>
      <w:r>
        <w:rPr>
          <w:spacing w:val="-66"/>
        </w:rPr>
      </w:r>
      <w:r>
        <w:rPr>
          <w:spacing w:val="-2"/>
        </w:rPr>
        <w:t>润丰东热处理工程有限公司、江苏华本健康生活科技股份有限公司和江苏秉华健康科技有限公司董事长，盐都华本中医诊所</w:t>
      </w:r>
      <w:r>
        <w:rPr>
          <w:spacing w:val="-64"/>
        </w:rPr>
        <w:t> </w:t>
      </w:r>
      <w:r>
        <w:rPr>
          <w:spacing w:val="-64"/>
        </w:rPr>
      </w:r>
      <w:r>
        <w:rPr>
          <w:spacing w:val="-2"/>
        </w:rPr>
        <w:t>负责人，上海丰东热处理工程有限公司、盐城丰东特种炉业有限公司董事，盐城明华电气安装有限公司执行董事，南京东旭</w:t>
      </w:r>
      <w:r>
        <w:rPr>
          <w:spacing w:val="-66"/>
        </w:rPr>
        <w:t> </w:t>
      </w:r>
      <w:r>
        <w:rPr>
          <w:spacing w:val="-66"/>
        </w:rPr>
      </w:r>
      <w:r>
        <w:rPr>
          <w:spacing w:val="-2"/>
        </w:rPr>
        <w:t>投资管理合伙企业（有限合伙）、盐城市大丰区秉华管理咨询企业（有限合伙）执行事务合伙人。社会职务有：中国热处理</w:t>
      </w:r>
      <w:r>
        <w:rPr>
          <w:spacing w:val="-71"/>
        </w:rPr>
        <w:t> </w:t>
      </w:r>
      <w:r>
        <w:rPr>
          <w:spacing w:val="-71"/>
        </w:rPr>
      </w:r>
      <w:r>
        <w:rPr>
          <w:spacing w:val="-2"/>
        </w:rPr>
        <w:t>行业协会副理事长、全国热处理标准化技术委员会副主任委员、南京航空航天大学兼职教授、《金属热处理》杂志编委、盐</w:t>
      </w:r>
      <w:r>
        <w:rPr>
          <w:spacing w:val="-72"/>
        </w:rPr>
        <w:t> </w:t>
      </w:r>
      <w:r>
        <w:rPr>
          <w:spacing w:val="-72"/>
        </w:rPr>
      </w:r>
      <w:r>
        <w:rPr/>
        <w:t>城市机械工程学会理事长、盐城市质量与信息化协会副会长、盐城市大丰区科协副主席等职务。</w:t>
      </w:r>
    </w:p>
    <w:p>
      <w:pPr>
        <w:pStyle w:val="BodyText"/>
        <w:spacing w:line="312" w:lineRule="auto" w:before="57"/>
        <w:ind w:left="174" w:right="1131" w:firstLine="361"/>
        <w:jc w:val="both"/>
      </w:pPr>
      <w:r>
        <w:rPr>
          <w:rFonts w:ascii="宋体" w:hAnsi="宋体" w:cs="宋体" w:eastAsia="宋体" w:hint="default"/>
          <w:b/>
          <w:bCs/>
        </w:rPr>
        <w:t>王毅</w:t>
      </w:r>
      <w:r>
        <w:rPr/>
        <w:t>，男，中国国籍，</w:t>
      </w:r>
      <w:r>
        <w:rPr>
          <w:rFonts w:ascii="Times New Roman" w:hAnsi="Times New Roman" w:cs="Times New Roman" w:eastAsia="Times New Roman" w:hint="default"/>
        </w:rPr>
        <w:t>1967</w:t>
      </w:r>
      <w:r>
        <w:rPr>
          <w:rFonts w:ascii="Times New Roman" w:hAnsi="Times New Roman" w:cs="Times New Roman" w:eastAsia="Times New Roman" w:hint="default"/>
          <w:spacing w:val="-2"/>
        </w:rPr>
        <w:t> </w:t>
      </w:r>
      <w:r>
        <w:rPr/>
        <w:t>年出生，大专学历。曾任南京跃进汽车集团技术员、工程师，南京法雷奥离合器有限公司 </w:t>
      </w:r>
      <w:r>
        <w:rPr>
          <w:spacing w:val="-2"/>
        </w:rPr>
        <w:t>制造工程部部长；历任公司前身盐城丰东热处理有限公司营销部副部长、营销总监。现任本公司董事、副总经理；兼任盐城</w:t>
      </w:r>
      <w:r>
        <w:rPr>
          <w:spacing w:val="-65"/>
        </w:rPr>
        <w:t> </w:t>
      </w:r>
      <w:r>
        <w:rPr>
          <w:spacing w:val="-65"/>
        </w:rPr>
      </w:r>
      <w:r>
        <w:rPr>
          <w:spacing w:val="-2"/>
        </w:rPr>
        <w:t>高周波热炼有限公司、上海丰东热处理工程有限公司、南京丰东热处理工程有限公司、常州鑫润丰东热处理工程有限公司董</w:t>
      </w:r>
      <w:r>
        <w:rPr>
          <w:spacing w:val="-65"/>
        </w:rPr>
        <w:t> </w:t>
      </w:r>
      <w:r>
        <w:rPr>
          <w:spacing w:val="-65"/>
        </w:rPr>
      </w:r>
      <w:r>
        <w:rPr/>
        <w:t>事。</w:t>
      </w:r>
    </w:p>
    <w:p>
      <w:pPr>
        <w:pStyle w:val="BodyText"/>
        <w:spacing w:line="316" w:lineRule="auto" w:before="61"/>
        <w:ind w:left="174" w:right="1131" w:firstLine="361"/>
        <w:jc w:val="both"/>
      </w:pPr>
      <w:r>
        <w:rPr>
          <w:rFonts w:ascii="宋体" w:hAnsi="宋体" w:cs="宋体" w:eastAsia="宋体" w:hint="default"/>
          <w:b/>
          <w:bCs/>
        </w:rPr>
        <w:t>朱小军</w:t>
      </w:r>
      <w:r>
        <w:rPr/>
        <w:t>，男，中国国籍，</w:t>
      </w:r>
      <w:r>
        <w:rPr>
          <w:rFonts w:ascii="Times New Roman" w:hAnsi="Times New Roman" w:cs="Times New Roman" w:eastAsia="Times New Roman" w:hint="default"/>
        </w:rPr>
        <w:t>1975</w:t>
      </w:r>
      <w:r>
        <w:rPr>
          <w:rFonts w:ascii="Times New Roman" w:hAnsi="Times New Roman" w:cs="Times New Roman" w:eastAsia="Times New Roman" w:hint="default"/>
          <w:spacing w:val="-2"/>
        </w:rPr>
        <w:t> </w:t>
      </w:r>
      <w:r>
        <w:rPr/>
        <w:t>年出生，本科学历。曾就职于江苏森威集团股份有限公司，历任公司前身盐城丰东热处 </w:t>
      </w:r>
      <w:r>
        <w:rPr>
          <w:spacing w:val="-2"/>
        </w:rPr>
        <w:t>理有限公司技术部技术员、主任工程师及营销部销售经理、部长助理、部长。现任本公司董事；江苏丰东热技术有限公司董</w:t>
      </w:r>
      <w:r>
        <w:rPr>
          <w:spacing w:val="-66"/>
        </w:rPr>
        <w:t> </w:t>
      </w:r>
      <w:r>
        <w:rPr>
          <w:spacing w:val="-66"/>
        </w:rPr>
      </w:r>
      <w:r>
        <w:rPr>
          <w:spacing w:val="-2"/>
        </w:rPr>
        <w:t>事、总经理；兼任上海宝华威热处理设备有限公司、盐城丰东祺耀工业炉有限公司、盐城丰东特种炉业有限公司、重庆丰东</w:t>
      </w:r>
      <w:r>
        <w:rPr>
          <w:spacing w:val="-66"/>
        </w:rPr>
        <w:t> </w:t>
      </w:r>
      <w:r>
        <w:rPr>
          <w:spacing w:val="-66"/>
        </w:rPr>
      </w:r>
      <w:r>
        <w:rPr>
          <w:spacing w:val="-2"/>
        </w:rPr>
        <w:t>金属表面处理有限公司、重庆丰东热处理工程有限公司董事长，烟台丰东热技术有限公司和苏州丰东热处理技术有限公司董</w:t>
      </w:r>
      <w:r>
        <w:rPr>
          <w:spacing w:val="-64"/>
        </w:rPr>
        <w:t> </w:t>
      </w:r>
      <w:r>
        <w:rPr>
          <w:spacing w:val="-64"/>
        </w:rPr>
      </w:r>
      <w:r>
        <w:rPr>
          <w:spacing w:val="-2"/>
        </w:rPr>
        <w:t>事长、总经理；上海丰东热处理工程有限公司、南京丰东热处理工程有限公司、天津丰东热处理有限公司、青岛丰东热处理</w:t>
      </w:r>
      <w:r>
        <w:rPr>
          <w:spacing w:val="-66"/>
        </w:rPr>
        <w:t> </w:t>
      </w:r>
      <w:r>
        <w:rPr>
          <w:spacing w:val="-66"/>
        </w:rPr>
      </w:r>
      <w:r>
        <w:rPr>
          <w:spacing w:val="-2"/>
        </w:rPr>
        <w:t>有限公司、青岛丰东热工技术有限公司、潍坊丰东热处理有限公司、广州鑫润丰东热处理有限公司、常州鑫润丰东热处理工</w:t>
      </w:r>
      <w:r>
        <w:rPr>
          <w:spacing w:val="-66"/>
        </w:rPr>
        <w:t> </w:t>
      </w:r>
      <w:r>
        <w:rPr>
          <w:spacing w:val="-66"/>
        </w:rPr>
      </w:r>
      <w:r>
        <w:rPr>
          <w:spacing w:val="-2"/>
        </w:rPr>
        <w:t>程有限公司、江苏石川岛丰东真空技术有限公司、艾普零件制造（苏州）股份有限公司董事；盐城大丰东鑫投资管理合伙企</w:t>
      </w:r>
      <w:r>
        <w:rPr>
          <w:spacing w:val="-66"/>
        </w:rPr>
        <w:t> </w:t>
      </w:r>
      <w:r>
        <w:rPr>
          <w:spacing w:val="-66"/>
        </w:rPr>
      </w:r>
      <w:r>
        <w:rPr/>
        <w:t>业（有限合伙）执行事务合伙人。社会职务有：中国热处理行业协会理事。</w:t>
      </w:r>
    </w:p>
    <w:p>
      <w:pPr>
        <w:pStyle w:val="BodyText"/>
        <w:spacing w:line="240" w:lineRule="auto" w:before="58"/>
        <w:ind w:left="535" w:right="0"/>
        <w:jc w:val="left"/>
      </w:pPr>
      <w:r>
        <w:rPr>
          <w:rFonts w:ascii="宋体" w:hAnsi="宋体" w:cs="宋体" w:eastAsia="宋体" w:hint="default"/>
          <w:b/>
          <w:bCs/>
        </w:rPr>
        <w:t>夏晓宇</w:t>
      </w:r>
      <w:r>
        <w:rPr/>
        <w:t>，男，</w:t>
      </w:r>
      <w:r>
        <w:rPr>
          <w:spacing w:val="-47"/>
        </w:rPr>
        <w:t> </w:t>
      </w:r>
      <w:r>
        <w:rPr/>
        <w:t>中国国籍，</w:t>
      </w:r>
      <w:r>
        <w:rPr>
          <w:rFonts w:ascii="Times New Roman" w:hAnsi="Times New Roman" w:cs="Times New Roman" w:eastAsia="Times New Roman" w:hint="default"/>
        </w:rPr>
        <w:t>1969</w:t>
      </w:r>
      <w:r>
        <w:rPr>
          <w:rFonts w:ascii="Times New Roman" w:hAnsi="Times New Roman" w:cs="Times New Roman" w:eastAsia="Times New Roman" w:hint="default"/>
          <w:spacing w:val="-1"/>
        </w:rPr>
        <w:t> </w:t>
      </w:r>
      <w:r>
        <w:rPr/>
        <w:t>年出生，本科学历，民主党派九三学社社员。曾任公司前身盐城丰东热处理有限公司技</w:t>
      </w:r>
    </w:p>
    <w:p>
      <w:pPr>
        <w:spacing w:after="0" w:line="240"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0"/>
        <w:jc w:val="left"/>
      </w:pPr>
      <w:r>
        <w:rPr>
          <w:spacing w:val="-4"/>
        </w:rPr>
        <w:t>术员、技术部部长助理、副部长、技术部部长；盐城丰东特种炉业有限公司副总经理；广州丰东热炼有限公司董事、总经理。</w:t>
      </w:r>
      <w:r>
        <w:rPr>
          <w:spacing w:val="-43"/>
        </w:rPr>
        <w:t> </w:t>
      </w:r>
      <w:r>
        <w:rPr>
          <w:spacing w:val="-43"/>
        </w:rPr>
      </w:r>
      <w:r>
        <w:rPr>
          <w:spacing w:val="-2"/>
        </w:rPr>
        <w:t>现任本公司董事，广州丰东热炼有限公司董事、总经理，江苏丰东热技术有限公司董事。社会职务有：中国热处理行业协会</w:t>
      </w:r>
      <w:r>
        <w:rPr>
          <w:spacing w:val="-66"/>
        </w:rPr>
        <w:t> </w:t>
      </w:r>
      <w:r>
        <w:rPr>
          <w:spacing w:val="-66"/>
        </w:rPr>
      </w:r>
      <w:r>
        <w:rPr/>
        <w:t>理事、广东省热处理协会副会长。</w:t>
      </w:r>
    </w:p>
    <w:p>
      <w:pPr>
        <w:pStyle w:val="BodyText"/>
        <w:spacing w:line="309" w:lineRule="auto" w:before="55"/>
        <w:ind w:left="174" w:right="1133" w:firstLine="361"/>
        <w:jc w:val="both"/>
      </w:pPr>
      <w:r>
        <w:rPr>
          <w:rFonts w:ascii="宋体" w:hAnsi="宋体" w:cs="宋体" w:eastAsia="宋体" w:hint="default"/>
          <w:b/>
          <w:bCs/>
        </w:rPr>
        <w:t>陈丽花</w:t>
      </w:r>
      <w:r>
        <w:rPr/>
        <w:t>，女，中国国籍，</w:t>
      </w:r>
      <w:r>
        <w:rPr>
          <w:rFonts w:ascii="Times New Roman" w:hAnsi="Times New Roman" w:cs="Times New Roman" w:eastAsia="Times New Roman" w:hint="default"/>
        </w:rPr>
        <w:t>1965</w:t>
      </w:r>
      <w:r>
        <w:rPr>
          <w:rFonts w:ascii="Times New Roman" w:hAnsi="Times New Roman" w:cs="Times New Roman" w:eastAsia="Times New Roman" w:hint="default"/>
          <w:spacing w:val="-2"/>
        </w:rPr>
        <w:t> </w:t>
      </w:r>
      <w:r>
        <w:rPr/>
        <w:t>年出生，管理学博士，南京大学商学院会计学系教授。历任南京大学讲师、南京大学副 </w:t>
      </w:r>
      <w:r>
        <w:rPr>
          <w:spacing w:val="-2"/>
        </w:rPr>
        <w:t>教授、南京大学教授。现任南京大学教授；担任本公司、江苏联发纺织股份有限公司、北海银河生物产业投资股份有限公司</w:t>
      </w:r>
      <w:r>
        <w:rPr>
          <w:spacing w:val="-66"/>
        </w:rPr>
        <w:t> </w:t>
      </w:r>
      <w:r>
        <w:rPr>
          <w:spacing w:val="-66"/>
        </w:rPr>
      </w:r>
      <w:r>
        <w:rPr/>
        <w:t>独立董事。</w:t>
      </w:r>
    </w:p>
    <w:p>
      <w:pPr>
        <w:pStyle w:val="BodyText"/>
        <w:spacing w:line="312" w:lineRule="auto" w:before="64"/>
        <w:ind w:left="174" w:right="1030" w:firstLine="361"/>
        <w:jc w:val="left"/>
      </w:pPr>
      <w:r>
        <w:rPr>
          <w:rFonts w:ascii="宋体" w:hAnsi="宋体" w:cs="宋体" w:eastAsia="宋体" w:hint="default"/>
          <w:b/>
          <w:bCs/>
          <w:spacing w:val="-1"/>
        </w:rPr>
        <w:t>季小琴</w:t>
      </w:r>
      <w:r>
        <w:rPr>
          <w:spacing w:val="-1"/>
        </w:rPr>
        <w:t>，女，中国国籍，</w:t>
      </w:r>
      <w:r>
        <w:rPr>
          <w:rFonts w:ascii="Times New Roman" w:hAnsi="Times New Roman" w:cs="Times New Roman" w:eastAsia="Times New Roman" w:hint="default"/>
          <w:spacing w:val="-1"/>
        </w:rPr>
        <w:t>1963</w:t>
      </w:r>
      <w:r>
        <w:rPr>
          <w:rFonts w:ascii="Times New Roman" w:hAnsi="Times New Roman" w:cs="Times New Roman" w:eastAsia="Times New Roman" w:hint="default"/>
          <w:spacing w:val="8"/>
        </w:rPr>
        <w:t> </w:t>
      </w:r>
      <w:r>
        <w:rPr>
          <w:spacing w:val="-1"/>
        </w:rPr>
        <w:t>年出生，管理学（会计学）博士，中国注册会计师非执业会员，中国会计学会资深会员。</w:t>
      </w:r>
      <w:r>
        <w:rPr/>
        <w:t> 现任职于中南财经政法大学会计学院会计系副教授、会计学专业硕士生导师；兼任中南财经政法大学司法鉴定中心副主任、 </w:t>
      </w:r>
      <w:r>
        <w:rPr>
          <w:spacing w:val="-2"/>
        </w:rPr>
        <w:t>“九三”学社湖北省委第六届妇女工作委员会委员。担任本公司、广东太安堂药业股份有限公司、湖北鼎龙控股股份有限公</w:t>
      </w:r>
      <w:r>
        <w:rPr>
          <w:spacing w:val="-66"/>
        </w:rPr>
        <w:t> </w:t>
      </w:r>
      <w:r>
        <w:rPr>
          <w:spacing w:val="-66"/>
        </w:rPr>
      </w:r>
      <w:r>
        <w:rPr/>
        <w:t>司独立董事。</w:t>
      </w:r>
    </w:p>
    <w:p>
      <w:pPr>
        <w:pStyle w:val="BodyText"/>
        <w:spacing w:line="240" w:lineRule="auto" w:before="61"/>
        <w:ind w:left="535" w:right="0"/>
        <w:jc w:val="left"/>
        <w:rPr>
          <w:rFonts w:ascii="Times New Roman" w:hAnsi="Times New Roman" w:cs="Times New Roman" w:eastAsia="Times New Roman" w:hint="default"/>
        </w:rPr>
      </w:pPr>
      <w:r>
        <w:rPr>
          <w:rFonts w:ascii="宋体" w:hAnsi="宋体" w:cs="宋体" w:eastAsia="宋体" w:hint="default"/>
          <w:b/>
          <w:bCs/>
        </w:rPr>
        <w:t>夏维剑</w:t>
      </w:r>
      <w:r>
        <w:rPr/>
        <w:t>，男，中国国籍，</w:t>
      </w:r>
      <w:r>
        <w:rPr>
          <w:rFonts w:ascii="Times New Roman" w:hAnsi="Times New Roman" w:cs="Times New Roman" w:eastAsia="Times New Roman" w:hint="default"/>
        </w:rPr>
        <w:t>1967 </w:t>
      </w:r>
      <w:r>
        <w:rPr/>
        <w:t>年出生，大学法律本科毕业，执业律师，中共党员。曾在南京市司法局工作；</w:t>
      </w:r>
      <w:r>
        <w:rPr>
          <w:rFonts w:ascii="Times New Roman" w:hAnsi="Times New Roman" w:cs="Times New Roman" w:eastAsia="Times New Roman" w:hint="default"/>
        </w:rPr>
        <w:t>1993 </w:t>
      </w:r>
      <w:r>
        <w:rPr/>
        <w:t>年</w:t>
      </w:r>
      <w:r>
        <w:rPr>
          <w:spacing w:val="-50"/>
        </w:rPr>
        <w:t> </w:t>
      </w:r>
      <w:r>
        <w:rPr>
          <w:rFonts w:ascii="Times New Roman" w:hAnsi="Times New Roman" w:cs="Times New Roman" w:eastAsia="Times New Roman" w:hint="default"/>
        </w:rPr>
        <w:t>7</w:t>
      </w:r>
    </w:p>
    <w:p>
      <w:pPr>
        <w:pStyle w:val="BodyText"/>
        <w:spacing w:line="240" w:lineRule="auto" w:before="64"/>
        <w:ind w:left="174" w:right="0"/>
        <w:jc w:val="left"/>
      </w:pPr>
      <w:r>
        <w:rPr/>
        <w:t>月至今，从事律师工作。现任江苏金禾律师事务所合伙人、本公司独立董事。</w:t>
      </w:r>
    </w:p>
    <w:p>
      <w:pPr>
        <w:pStyle w:val="Heading4"/>
        <w:spacing w:line="240" w:lineRule="auto" w:before="116"/>
        <w:ind w:right="0"/>
        <w:jc w:val="left"/>
        <w:rPr>
          <w:b w:val="0"/>
          <w:bCs w:val="0"/>
        </w:rPr>
      </w:pPr>
      <w:r>
        <w:rPr>
          <w:rFonts w:ascii="Times New Roman" w:hAnsi="Times New Roman" w:cs="Times New Roman" w:eastAsia="Times New Roman" w:hint="default"/>
        </w:rPr>
        <w:t>2</w:t>
      </w:r>
      <w:r>
        <w:rPr/>
        <w:t>、本公司现任监事专业背景、主要工作经历以及目前在公司的主要职责</w:t>
      </w:r>
      <w:r>
        <w:rPr>
          <w:b w:val="0"/>
          <w:bCs w:val="0"/>
        </w:rPr>
      </w:r>
    </w:p>
    <w:p>
      <w:pPr>
        <w:pStyle w:val="BodyText"/>
        <w:spacing w:line="314" w:lineRule="auto" w:before="102"/>
        <w:ind w:left="174" w:right="1131" w:firstLine="361"/>
        <w:jc w:val="both"/>
      </w:pPr>
      <w:r>
        <w:rPr>
          <w:rFonts w:ascii="宋体" w:hAnsi="宋体" w:cs="宋体" w:eastAsia="宋体" w:hint="default"/>
          <w:b/>
          <w:bCs/>
        </w:rPr>
        <w:t>季祥</w:t>
      </w:r>
      <w:r>
        <w:rPr/>
        <w:t>，男，中国国籍，</w:t>
      </w:r>
      <w:r>
        <w:rPr>
          <w:rFonts w:ascii="Times New Roman" w:hAnsi="Times New Roman" w:cs="Times New Roman" w:eastAsia="Times New Roman" w:hint="default"/>
        </w:rPr>
        <w:t>1968</w:t>
      </w:r>
      <w:r>
        <w:rPr>
          <w:rFonts w:ascii="Times New Roman" w:hAnsi="Times New Roman" w:cs="Times New Roman" w:eastAsia="Times New Roman" w:hint="default"/>
          <w:spacing w:val="43"/>
        </w:rPr>
        <w:t> </w:t>
      </w:r>
      <w:r>
        <w:rPr/>
        <w:t>年出生，本科学历。历任公司前身盐城丰东热处理有限公司技术员、售后服务部部长。现 </w:t>
      </w:r>
      <w:r>
        <w:rPr>
          <w:spacing w:val="-2"/>
        </w:rPr>
        <w:t>任江苏丰东热技术有限公司监事、投资管理部部长；兼任重庆丰东热处理工程有限公司、重庆丰东金属表面处理有限公司董</w:t>
      </w:r>
      <w:r>
        <w:rPr>
          <w:spacing w:val="-66"/>
        </w:rPr>
        <w:t> </w:t>
      </w:r>
      <w:r>
        <w:rPr>
          <w:spacing w:val="-66"/>
        </w:rPr>
      </w:r>
      <w:r>
        <w:rPr>
          <w:spacing w:val="-2"/>
        </w:rPr>
        <w:t>事，南京丰东热处理工程有限公司、天津丰东热处理有限公司、盐城丰东特种炉业有限公司、常州鑫润丰东热处理工程有限</w:t>
      </w:r>
      <w:r>
        <w:rPr>
          <w:spacing w:val="-66"/>
        </w:rPr>
        <w:t> </w:t>
      </w:r>
      <w:r>
        <w:rPr>
          <w:spacing w:val="-66"/>
        </w:rPr>
      </w:r>
      <w:r>
        <w:rPr>
          <w:spacing w:val="-2"/>
        </w:rPr>
        <w:t>公司、广州鑫润丰东热处理有限公司、烟台丰东热技术有限公司、盐城丰东祺耀工业炉有限公司和苏州丰东热处理技术有限</w:t>
      </w:r>
      <w:r>
        <w:rPr>
          <w:spacing w:val="-66"/>
        </w:rPr>
        <w:t> </w:t>
      </w:r>
      <w:r>
        <w:rPr>
          <w:spacing w:val="-66"/>
        </w:rPr>
      </w:r>
      <w:r>
        <w:rPr/>
        <w:t>公司监事。</w:t>
      </w:r>
    </w:p>
    <w:p>
      <w:pPr>
        <w:pStyle w:val="BodyText"/>
        <w:spacing w:line="302" w:lineRule="auto" w:before="59"/>
        <w:ind w:left="174" w:right="1166" w:firstLine="361"/>
        <w:jc w:val="left"/>
      </w:pPr>
      <w:r>
        <w:rPr>
          <w:rFonts w:ascii="宋体" w:hAnsi="宋体" w:cs="宋体" w:eastAsia="宋体" w:hint="default"/>
          <w:b/>
          <w:bCs/>
        </w:rPr>
        <w:t>朱雪芳</w:t>
      </w:r>
      <w:r>
        <w:rPr/>
        <w:t>，女，中国国籍，</w:t>
      </w:r>
      <w:r>
        <w:rPr>
          <w:rFonts w:ascii="Times New Roman" w:hAnsi="Times New Roman" w:cs="Times New Roman" w:eastAsia="Times New Roman" w:hint="default"/>
        </w:rPr>
        <w:t>1983</w:t>
      </w:r>
      <w:r>
        <w:rPr>
          <w:rFonts w:ascii="Times New Roman" w:hAnsi="Times New Roman" w:cs="Times New Roman" w:eastAsia="Times New Roman" w:hint="default"/>
          <w:spacing w:val="-2"/>
        </w:rPr>
        <w:t> </w:t>
      </w:r>
      <w:r>
        <w:rPr/>
        <w:t>年出生，本科学历，人力资源管理师。现任方欣科技有限公司董事长秘书、采购部副总 监，本公司监事；兼任北京方欣恒利科技有限公司董事。</w:t>
      </w:r>
    </w:p>
    <w:p>
      <w:pPr>
        <w:pStyle w:val="BodyText"/>
        <w:spacing w:line="240" w:lineRule="auto" w:before="68"/>
        <w:ind w:left="535" w:right="0"/>
        <w:jc w:val="left"/>
      </w:pPr>
      <w:r>
        <w:rPr>
          <w:rFonts w:ascii="宋体" w:hAnsi="宋体" w:cs="宋体" w:eastAsia="宋体" w:hint="default"/>
          <w:b/>
          <w:bCs/>
        </w:rPr>
        <w:t>俞玉岚</w:t>
      </w:r>
      <w:r>
        <w:rPr/>
        <w:t>，女，中国国籍，</w:t>
      </w:r>
      <w:r>
        <w:rPr>
          <w:rFonts w:ascii="Times New Roman" w:hAnsi="Times New Roman" w:cs="Times New Roman" w:eastAsia="Times New Roman" w:hint="default"/>
        </w:rPr>
        <w:t>1989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月出生，本科学历。</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月就职于众华会计师事务所（特殊普</w:t>
      </w:r>
    </w:p>
    <w:p>
      <w:pPr>
        <w:pStyle w:val="BodyText"/>
        <w:spacing w:line="302" w:lineRule="auto" w:before="63"/>
        <w:ind w:left="174" w:right="1131"/>
        <w:jc w:val="left"/>
      </w:pPr>
      <w:r>
        <w:rPr>
          <w:spacing w:val="-14"/>
        </w:rPr>
        <w:t>通合伙），</w:t>
      </w:r>
      <w:r>
        <w:rPr>
          <w:rFonts w:ascii="Times New Roman" w:hAnsi="Times New Roman" w:cs="Times New Roman" w:eastAsia="Times New Roman" w:hint="default"/>
          <w:spacing w:val="-14"/>
        </w:rPr>
        <w:t>2016</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月至</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2"/>
        </w:rPr>
        <w:t>月就职于上海三众企业管理咨询有限公司。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2"/>
        </w:rPr>
        <w:t>月就职于本公司，任投资部投资经</w:t>
      </w:r>
      <w:r>
        <w:rPr/>
        <w:t> 理。现任本公司职工代表监事、内部审计部负责人。</w:t>
      </w:r>
    </w:p>
    <w:p>
      <w:pPr>
        <w:spacing w:line="348" w:lineRule="auto" w:before="70"/>
        <w:ind w:left="535" w:right="3897" w:firstLine="0"/>
        <w:jc w:val="lef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、本公司现任高级管理人员专业背景、主要工作经历以及目前在公司的主要职责</w:t>
      </w:r>
      <w:r>
        <w:rPr>
          <w:rFonts w:ascii="宋体" w:hAnsi="宋体" w:cs="宋体" w:eastAsia="宋体" w:hint="default"/>
          <w:b/>
          <w:bCs/>
          <w:spacing w:val="55"/>
          <w:w w:val="95"/>
          <w:sz w:val="18"/>
          <w:szCs w:val="18"/>
        </w:rPr>
        <w:t> </w:t>
      </w:r>
      <w:r>
        <w:rPr>
          <w:rFonts w:ascii="宋体" w:hAnsi="宋体" w:cs="宋体" w:eastAsia="宋体" w:hint="default"/>
          <w:b/>
          <w:bCs/>
          <w:spacing w:val="55"/>
          <w:w w:val="95"/>
          <w:sz w:val="18"/>
          <w:szCs w:val="18"/>
        </w:rPr>
      </w:r>
      <w:r>
        <w:rPr>
          <w:rFonts w:ascii="宋体" w:hAnsi="宋体" w:cs="宋体" w:eastAsia="宋体" w:hint="default"/>
          <w:b/>
          <w:bCs/>
          <w:sz w:val="18"/>
          <w:szCs w:val="18"/>
        </w:rPr>
        <w:t>朱文明</w:t>
      </w:r>
      <w:r>
        <w:rPr>
          <w:rFonts w:ascii="宋体" w:hAnsi="宋体" w:cs="宋体" w:eastAsia="宋体" w:hint="default"/>
          <w:sz w:val="18"/>
          <w:szCs w:val="18"/>
        </w:rPr>
        <w:t>，总经理，详见本节“董事”部分。 </w:t>
      </w:r>
      <w:r>
        <w:rPr>
          <w:rFonts w:ascii="宋体" w:hAnsi="宋体" w:cs="宋体" w:eastAsia="宋体" w:hint="default"/>
          <w:b/>
          <w:bCs/>
          <w:sz w:val="18"/>
          <w:szCs w:val="18"/>
        </w:rPr>
        <w:t>王毅</w:t>
      </w:r>
      <w:r>
        <w:rPr>
          <w:rFonts w:ascii="宋体" w:hAnsi="宋体" w:cs="宋体" w:eastAsia="宋体" w:hint="default"/>
          <w:sz w:val="18"/>
          <w:szCs w:val="18"/>
        </w:rPr>
        <w:t>，副总经理，详见本节“董事”部分。</w:t>
      </w:r>
    </w:p>
    <w:p>
      <w:pPr>
        <w:pStyle w:val="BodyText"/>
        <w:spacing w:line="309" w:lineRule="auto" w:before="35"/>
        <w:ind w:left="174" w:right="0" w:firstLine="361"/>
        <w:jc w:val="left"/>
      </w:pPr>
      <w:r>
        <w:rPr>
          <w:rFonts w:ascii="宋体" w:hAnsi="宋体" w:cs="宋体" w:eastAsia="宋体" w:hint="default"/>
          <w:b/>
          <w:bCs/>
        </w:rPr>
        <w:t>黄光明</w:t>
      </w:r>
      <w:r>
        <w:rPr/>
        <w:t>，男，中国国籍，</w:t>
      </w:r>
      <w:r>
        <w:rPr>
          <w:rFonts w:ascii="Times New Roman" w:hAnsi="Times New Roman" w:cs="Times New Roman" w:eastAsia="Times New Roman" w:hint="default"/>
        </w:rPr>
        <w:t>1970</w:t>
      </w:r>
      <w:r>
        <w:rPr>
          <w:rFonts w:ascii="Times New Roman" w:hAnsi="Times New Roman" w:cs="Times New Roman" w:eastAsia="Times New Roman" w:hint="default"/>
          <w:spacing w:val="-2"/>
        </w:rPr>
        <w:t> </w:t>
      </w:r>
      <w:r>
        <w:rPr/>
        <w:t>年出生，研究生毕业，硕士学位。历任深圳市华达电源系统有限公司和艾诺斯（中国） </w:t>
      </w:r>
      <w:r>
        <w:rPr>
          <w:spacing w:val="-4"/>
        </w:rPr>
        <w:t>华达电源系统有限公司经理、方欣科技有限公司营销中心总监、副总经理。现任方欣科技有限公司总经理，本公司副总经理。</w:t>
      </w:r>
      <w:r>
        <w:rPr>
          <w:spacing w:val="-45"/>
        </w:rPr>
        <w:t> </w:t>
      </w:r>
      <w:r>
        <w:rPr>
          <w:spacing w:val="-45"/>
        </w:rPr>
      </w:r>
      <w:r>
        <w:rPr/>
        <w:t>兼任金财互联数据服务有限公司、青岛高新金财信息科技有限公司、北京方欣恒利科技有限公司董事。</w:t>
      </w:r>
    </w:p>
    <w:p>
      <w:pPr>
        <w:pStyle w:val="BodyText"/>
        <w:spacing w:line="302" w:lineRule="auto" w:before="62"/>
        <w:ind w:left="174" w:right="1166" w:firstLine="361"/>
        <w:jc w:val="left"/>
      </w:pPr>
      <w:r>
        <w:rPr>
          <w:rFonts w:ascii="宋体" w:hAnsi="宋体" w:cs="宋体" w:eastAsia="宋体" w:hint="default"/>
          <w:b/>
          <w:bCs/>
        </w:rPr>
        <w:t>房莉莉</w:t>
      </w:r>
      <w:r>
        <w:rPr/>
        <w:t>，女，中国国籍，</w:t>
      </w:r>
      <w:r>
        <w:rPr>
          <w:rFonts w:ascii="Times New Roman" w:hAnsi="Times New Roman" w:cs="Times New Roman" w:eastAsia="Times New Roman" w:hint="default"/>
        </w:rPr>
        <w:t>1980</w:t>
      </w:r>
      <w:r>
        <w:rPr>
          <w:rFonts w:ascii="Times New Roman" w:hAnsi="Times New Roman" w:cs="Times New Roman" w:eastAsia="Times New Roman" w:hint="default"/>
          <w:spacing w:val="-2"/>
        </w:rPr>
        <w:t> </w:t>
      </w:r>
      <w:r>
        <w:rPr/>
        <w:t>年出生，本科学历。历任公司证券部助理、职工代表监事。现任本公司副总经理、董事 会秘书、证券部部长，兼任江苏大丰农村商业银行股份有限公司监事。</w:t>
      </w:r>
    </w:p>
    <w:p>
      <w:pPr>
        <w:pStyle w:val="BodyText"/>
        <w:spacing w:line="300" w:lineRule="auto" w:before="68"/>
        <w:ind w:left="174" w:right="1091" w:firstLine="361"/>
        <w:jc w:val="both"/>
      </w:pPr>
      <w:r>
        <w:rPr>
          <w:rFonts w:ascii="宋体" w:hAnsi="宋体" w:cs="宋体" w:eastAsia="宋体" w:hint="default"/>
          <w:b/>
          <w:bCs/>
          <w:w w:val="99"/>
        </w:rPr>
        <w:t>褚文兰</w:t>
      </w:r>
      <w:r>
        <w:rPr>
          <w:w w:val="99"/>
        </w:rPr>
        <w:t>，女，中国国籍，</w:t>
      </w:r>
      <w:r>
        <w:rPr>
          <w:rFonts w:ascii="Times New Roman" w:hAnsi="Times New Roman" w:cs="Times New Roman" w:eastAsia="Times New Roman" w:hint="default"/>
          <w:w w:val="99"/>
        </w:rPr>
        <w:t>1976</w:t>
      </w:r>
      <w:r>
        <w:rPr>
          <w:rFonts w:ascii="Times New Roman" w:hAnsi="Times New Roman" w:cs="Times New Roman" w:eastAsia="Times New Roman" w:hint="default"/>
          <w:spacing w:val="22"/>
          <w:w w:val="99"/>
        </w:rPr>
        <w:t> </w:t>
      </w:r>
      <w:r>
        <w:rPr>
          <w:spacing w:val="-3"/>
        </w:rPr>
        <w:t>年出生，硕士，高级会计师，中国注册会计师（证券从业资格），中国注册资产评估师、</w:t>
      </w:r>
      <w:r>
        <w:rPr/>
        <w:t> 中国注册税务师，并拥有中国律师资格，</w:t>
      </w:r>
      <w:r>
        <w:rPr>
          <w:rFonts w:ascii="Times New Roman" w:hAnsi="Times New Roman" w:cs="Times New Roman" w:eastAsia="Times New Roman" w:hint="default"/>
        </w:rPr>
        <w:t>ACA </w:t>
      </w:r>
      <w:r>
        <w:rPr/>
        <w:t>、</w:t>
      </w:r>
      <w:r>
        <w:rPr>
          <w:rFonts w:ascii="Times New Roman" w:hAnsi="Times New Roman" w:cs="Times New Roman" w:eastAsia="Times New Roman" w:hint="default"/>
        </w:rPr>
        <w:t>ACCA</w:t>
      </w:r>
      <w:r>
        <w:rPr>
          <w:rFonts w:ascii="Times New Roman" w:hAnsi="Times New Roman" w:cs="Times New Roman" w:eastAsia="Times New Roman" w:hint="default"/>
          <w:spacing w:val="36"/>
        </w:rPr>
        <w:t> </w:t>
      </w:r>
      <w:r>
        <w:rPr/>
        <w:t>资格。历任众华会计师事务所（特殊普通合伙）授薪合伙人、上海 华群实业股份有限公司财务总监、西交利物浦（国际）大学国际商学院兼职讲师。现任本公司财务总监。</w:t>
      </w:r>
    </w:p>
    <w:p>
      <w:pPr>
        <w:pStyle w:val="BodyText"/>
        <w:spacing w:line="240" w:lineRule="auto" w:before="151"/>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9" w:type="dxa"/>
        <w:tblLayout w:type="fixed"/>
        <w:tblCellMar>
          <w:top w:w="0" w:type="dxa"/>
          <w:left w:w="0" w:type="dxa"/>
          <w:bottom w:w="0" w:type="dxa"/>
          <w:right w:w="0" w:type="dxa"/>
        </w:tblCellMar>
        <w:tblLook w:val="01E0"/>
      </w:tblPr>
      <w:tblGrid>
        <w:gridCol w:w="1217"/>
        <w:gridCol w:w="2612"/>
        <w:gridCol w:w="1134"/>
        <w:gridCol w:w="1559"/>
        <w:gridCol w:w="1563"/>
        <w:gridCol w:w="1484"/>
      </w:tblGrid>
      <w:tr>
        <w:trPr>
          <w:trHeight w:val="570"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1" w:right="11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江苏东润金财投资管理有限公司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江苏东润金财投资管理有限公司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240" w:lineRule="auto"/>
        <w:ind w:right="0"/>
        <w:jc w:val="left"/>
      </w:pPr>
      <w:r>
        <w:rPr/>
        <w:t>在其他单位任职情况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710"/>
        <w:gridCol w:w="2977"/>
        <w:gridCol w:w="1559"/>
        <w:gridCol w:w="1700"/>
        <w:gridCol w:w="1560"/>
        <w:gridCol w:w="1062"/>
      </w:tblGrid>
      <w:tr>
        <w:trPr>
          <w:trHeight w:val="810"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79" w:right="78"/>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594"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75"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上海君浩实业有限公司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上海垒土资产管理有限公司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苏州丰东热处理技术有限公司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江苏朸健生命科技发展有限公司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1"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62"/>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 研究有限公司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青岛丰东热工技术有限公司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江苏华本健康生活科技股份有限公司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江苏秉华健康科技有限公司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盐都华本中医诊所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盐城明华电气安装有限公司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南京东旭投资管理合伙企业</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盐城市大丰区秉华管理咨询企业</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710"/>
        <w:gridCol w:w="2977"/>
        <w:gridCol w:w="1559"/>
        <w:gridCol w:w="1700"/>
        <w:gridCol w:w="1560"/>
        <w:gridCol w:w="1062"/>
      </w:tblGrid>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上海宝华威热处理设备有限公司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重庆丰东金属表面处理有限公司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烟台丰东热技术有限公司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苏州丰东热处理技术有限公司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艾普零件制造（苏州）股份有限公司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62"/>
              <w:jc w:val="left"/>
              <w:rPr>
                <w:rFonts w:ascii="宋体" w:hAnsi="宋体" w:cs="宋体" w:eastAsia="宋体" w:hint="default"/>
                <w:sz w:val="18"/>
                <w:szCs w:val="18"/>
              </w:rPr>
            </w:pPr>
            <w:r>
              <w:rPr>
                <w:rFonts w:ascii="宋体" w:hAnsi="宋体" w:cs="宋体" w:eastAsia="宋体" w:hint="default"/>
                <w:sz w:val="18"/>
                <w:szCs w:val="18"/>
              </w:rPr>
              <w:t>盐城大丰东鑫投资管理合伙企业（有 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南京大学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江苏联发纺织股份有限公司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北海银河生物产业投资股份有限公司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1"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192"/>
              <w:jc w:val="left"/>
              <w:rPr>
                <w:rFonts w:ascii="宋体" w:hAnsi="宋体" w:cs="宋体" w:eastAsia="宋体" w:hint="default"/>
                <w:sz w:val="18"/>
                <w:szCs w:val="18"/>
              </w:rPr>
            </w:pPr>
            <w:r>
              <w:rPr>
                <w:rFonts w:ascii="宋体" w:hAnsi="宋体" w:cs="宋体" w:eastAsia="宋体" w:hint="default"/>
                <w:sz w:val="18"/>
                <w:szCs w:val="18"/>
              </w:rPr>
              <w:t>中南财经政法大学会计学院会计系</w:t>
            </w:r>
            <w:r>
              <w:rPr>
                <w:rFonts w:ascii="Times New Roman" w:hAnsi="Times New Roman" w:cs="Times New Roman" w:eastAsia="Times New Roman" w:hint="default"/>
                <w:sz w:val="18"/>
                <w:szCs w:val="18"/>
              </w:rPr>
              <w:t>/ </w:t>
            </w:r>
            <w:r>
              <w:rPr>
                <w:rFonts w:ascii="宋体" w:hAnsi="宋体" w:cs="宋体" w:eastAsia="宋体" w:hint="default"/>
                <w:sz w:val="18"/>
                <w:szCs w:val="18"/>
              </w:rPr>
              <w:t>会计学专业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624"/>
              <w:jc w:val="left"/>
              <w:rPr>
                <w:rFonts w:ascii="宋体" w:hAnsi="宋体" w:cs="宋体" w:eastAsia="宋体" w:hint="default"/>
                <w:sz w:val="18"/>
                <w:szCs w:val="18"/>
              </w:rPr>
            </w:pPr>
            <w:r>
              <w:rPr>
                <w:rFonts w:ascii="宋体" w:hAnsi="宋体" w:cs="宋体" w:eastAsia="宋体" w:hint="default"/>
                <w:sz w:val="18"/>
                <w:szCs w:val="18"/>
              </w:rPr>
              <w:t>副教授 研究生导师</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中南财经政法大学司法鉴定中心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62"/>
              <w:jc w:val="left"/>
              <w:rPr>
                <w:rFonts w:ascii="宋体" w:hAnsi="宋体" w:cs="宋体" w:eastAsia="宋体" w:hint="default"/>
                <w:sz w:val="18"/>
                <w:szCs w:val="18"/>
              </w:rPr>
            </w:pPr>
            <w:r>
              <w:rPr>
                <w:rFonts w:ascii="宋体" w:hAnsi="宋体" w:cs="宋体" w:eastAsia="宋体" w:hint="default"/>
                <w:sz w:val="18"/>
                <w:szCs w:val="18"/>
              </w:rPr>
              <w:t>“九三”学社湖北省委第六届妇女工 作委员会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广东太安堂药业股份有限公司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湖北鼎龙控股股份有限公司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江苏金禾律师事务所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重庆丰东金属表面热处理有限公司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烟台丰东热技术有限公司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苏州丰东热处理技术有限公司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710"/>
        <w:gridCol w:w="2977"/>
        <w:gridCol w:w="1559"/>
        <w:gridCol w:w="1700"/>
        <w:gridCol w:w="1560"/>
        <w:gridCol w:w="1062"/>
      </w:tblGrid>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9"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
              <w:ind w:left="22" w:right="444"/>
              <w:jc w:val="left"/>
              <w:rPr>
                <w:rFonts w:ascii="宋体" w:hAnsi="宋体" w:cs="宋体" w:eastAsia="宋体" w:hint="default"/>
                <w:sz w:val="18"/>
                <w:szCs w:val="18"/>
              </w:rPr>
            </w:pPr>
            <w:r>
              <w:rPr>
                <w:rFonts w:ascii="宋体" w:hAnsi="宋体" w:cs="宋体" w:eastAsia="宋体" w:hint="default"/>
                <w:sz w:val="18"/>
                <w:szCs w:val="18"/>
              </w:rPr>
              <w:t>董事长秘书 采购部副总监</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江苏大丰农村商业银行股份有限公司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金财互联数据服务有限公司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青岛高新金财信息科技有限公司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ind w:right="0"/>
        <w:jc w:val="left"/>
      </w:pPr>
      <w:r>
        <w:rPr/>
        <w:t>公司现任及报告期内离任董事、监事和高级管理人员近三年证券监管机构处罚的情况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3"/>
        <w:ind w:right="0"/>
        <w:jc w:val="left"/>
        <w:rPr>
          <w:b w:val="0"/>
          <w:bCs w:val="0"/>
        </w:rPr>
      </w:pPr>
      <w:bookmarkStart w:name="四、董事、监事、高级管理人员报酬情况" w:id="150"/>
      <w:bookmarkEnd w:id="150"/>
      <w:r>
        <w:rPr>
          <w:b w:val="0"/>
          <w:bCs w:val="0"/>
        </w:rPr>
      </w:r>
      <w:r>
        <w:rPr/>
        <w:t>四、董事、监事、高级管理人员报酬情况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董事、监事、高级管理人员报酬的决策程序、确定依据、实际支付情况</w:t>
      </w:r>
    </w:p>
    <w:p>
      <w:pPr>
        <w:pStyle w:val="BodyText"/>
        <w:spacing w:line="300" w:lineRule="auto" w:before="116"/>
        <w:ind w:left="174" w:right="1133" w:firstLine="360"/>
        <w:jc w:val="both"/>
      </w:pPr>
      <w:r>
        <w:rPr>
          <w:rFonts w:ascii="Times New Roman" w:hAnsi="Times New Roman" w:cs="Times New Roman" w:eastAsia="Times New Roman" w:hint="default"/>
          <w:spacing w:val="-4"/>
        </w:rPr>
        <w:t>1</w:t>
      </w:r>
      <w:r>
        <w:rPr>
          <w:spacing w:val="-4"/>
        </w:rPr>
        <w:t>、董事、监事、高级管理人员报酬的决策程序：《关于第四届独立董事津贴的议案》经公司第四届董事会第三次会议审</w:t>
      </w:r>
      <w:r>
        <w:rPr/>
        <w:t> 议并经</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年度股东大会审议通过；高级管理人员</w:t>
      </w:r>
      <w:r>
        <w:rPr>
          <w:spacing w:val="-46"/>
        </w:rPr>
        <w:t> </w:t>
      </w:r>
      <w:r>
        <w:rPr>
          <w:rFonts w:ascii="Times New Roman" w:hAnsi="Times New Roman" w:cs="Times New Roman" w:eastAsia="Times New Roman" w:hint="default"/>
        </w:rPr>
        <w:t>2018 </w:t>
      </w:r>
      <w:r>
        <w:rPr/>
        <w:t>年度薪酬经公司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日召开的董事会薪酬委员会会议同 意，并提交公司第四届董事会第二十四次会议审议通过。</w:t>
      </w:r>
    </w:p>
    <w:p>
      <w:pPr>
        <w:pStyle w:val="BodyText"/>
        <w:spacing w:line="300" w:lineRule="auto" w:before="70"/>
        <w:ind w:left="174" w:right="1140" w:firstLine="360"/>
        <w:jc w:val="both"/>
      </w:pPr>
      <w:r>
        <w:rPr>
          <w:rFonts w:ascii="Times New Roman" w:hAnsi="Times New Roman" w:cs="Times New Roman" w:eastAsia="Times New Roman" w:hint="default"/>
        </w:rPr>
        <w:t>2</w:t>
      </w:r>
      <w:r>
        <w:rPr/>
        <w:t>、董事、监事、高级管理人员报酬的确定依据：独立董事薪酬是公司根据独立董事实际工作开展情况结合当前市场实 际确定。高级管理人员的报酬是根据公司《高级管理人员薪酬管理制度》的相关规定，结合公司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年度经营结果和公司 高级管理人员在完成年度经营目标所承担的具体岗位职责确定的。</w:t>
      </w:r>
    </w:p>
    <w:p>
      <w:pPr>
        <w:pStyle w:val="BodyText"/>
        <w:spacing w:line="302" w:lineRule="auto" w:before="70"/>
        <w:ind w:left="174" w:right="1140" w:firstLine="360"/>
        <w:jc w:val="both"/>
      </w:pPr>
      <w:r>
        <w:rPr>
          <w:rFonts w:ascii="Times New Roman" w:hAnsi="Times New Roman" w:cs="Times New Roman" w:eastAsia="Times New Roman" w:hint="default"/>
        </w:rPr>
        <w:t>3</w:t>
      </w:r>
      <w:r>
        <w:rPr/>
        <w:t>、董事、监事、高级管理人员报酬的实际支付情况：独立董事报酬每月按标准支付到个人账户；高级管理人员报酬根 据月度考核结果按月发放。</w:t>
      </w:r>
    </w:p>
    <w:p>
      <w:pPr>
        <w:pStyle w:val="BodyText"/>
        <w:spacing w:line="240" w:lineRule="auto" w:before="70"/>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134"/>
        <w:gridCol w:w="2128"/>
        <w:gridCol w:w="1134"/>
        <w:gridCol w:w="1074"/>
        <w:gridCol w:w="1368"/>
        <w:gridCol w:w="1367"/>
        <w:gridCol w:w="1367"/>
      </w:tblGrid>
      <w:tr>
        <w:trPr>
          <w:trHeight w:val="569"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5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季祥</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2"/>
                <w:sz w:val="18"/>
              </w:rPr>
              <w:t>11.46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俞玉岚</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18"/>
                <w:szCs w:val="18"/>
              </w:rPr>
            </w:pPr>
            <w:r>
              <w:rPr>
                <w:rFonts w:ascii="Times New Roman"/>
                <w:sz w:val="18"/>
              </w:rPr>
              <w:t>19.70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2"/>
                <w:sz w:val="18"/>
              </w:rPr>
              <w:t>54.11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褚文兰</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134"/>
        <w:gridCol w:w="2128"/>
        <w:gridCol w:w="1134"/>
        <w:gridCol w:w="1074"/>
        <w:gridCol w:w="1368"/>
        <w:gridCol w:w="1367"/>
        <w:gridCol w:w="1367"/>
      </w:tblGrid>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金珍霞</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0"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10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472.73</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公司董事、高级管理人员报告期内被授予的股权激励情况</w:t>
      </w:r>
    </w:p>
    <w:p>
      <w:pPr>
        <w:spacing w:line="240" w:lineRule="auto" w:before="1"/>
        <w:rPr>
          <w:rFonts w:ascii="宋体" w:hAnsi="宋体" w:cs="宋体" w:eastAsia="宋体" w:hint="default"/>
          <w:sz w:val="15"/>
          <w:szCs w:val="1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3"/>
        <w:ind w:left="0" w:right="8670"/>
        <w:jc w:val="center"/>
        <w:rPr>
          <w:b w:val="0"/>
          <w:bCs w:val="0"/>
        </w:rPr>
      </w:pPr>
      <w:bookmarkStart w:name="五、公司员工情况" w:id="151"/>
      <w:bookmarkEnd w:id="151"/>
      <w:r>
        <w:rPr>
          <w:b w:val="0"/>
          <w:bCs w:val="0"/>
        </w:rPr>
      </w:r>
      <w:r>
        <w:rPr/>
        <w:t>五、公司员工情况</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员工数量、专业构成及教育程度" w:id="152"/>
      <w:bookmarkEnd w:id="15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3"/>
        <w:rPr>
          <w:rFonts w:ascii="宋体" w:hAnsi="宋体" w:cs="宋体" w:eastAsia="宋体" w:hint="default"/>
          <w:b/>
          <w:bCs/>
          <w:sz w:val="11"/>
          <w:szCs w:val="11"/>
        </w:rPr>
      </w:pPr>
    </w:p>
    <w:tbl>
      <w:tblPr>
        <w:tblW w:w="0" w:type="auto"/>
        <w:jc w:val="left"/>
        <w:tblInd w:w="180" w:type="dxa"/>
        <w:tblLayout w:type="fixed"/>
        <w:tblCellMar>
          <w:top w:w="0" w:type="dxa"/>
          <w:left w:w="0" w:type="dxa"/>
          <w:bottom w:w="0" w:type="dxa"/>
          <w:right w:w="0" w:type="dxa"/>
        </w:tblCellMar>
        <w:tblLook w:val="01E0"/>
      </w:tblPr>
      <w:tblGrid>
        <w:gridCol w:w="4766"/>
        <w:gridCol w:w="4792"/>
      </w:tblGrid>
      <w:tr>
        <w:trPr>
          <w:trHeight w:val="331"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19</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3,183</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3,202</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3,202</w:t>
            </w:r>
          </w:p>
        </w:tc>
      </w:tr>
      <w:tr>
        <w:trPr>
          <w:trHeight w:val="335"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0</w:t>
            </w:r>
          </w:p>
        </w:tc>
      </w:tr>
      <w:tr>
        <w:trPr>
          <w:trHeight w:val="319"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35"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905</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689</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1,202</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85</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321</w:t>
            </w:r>
          </w:p>
        </w:tc>
      </w:tr>
      <w:tr>
        <w:trPr>
          <w:trHeight w:val="335"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3,202</w:t>
            </w:r>
          </w:p>
        </w:tc>
      </w:tr>
      <w:tr>
        <w:trPr>
          <w:trHeight w:val="319"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35"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46</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1,283</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1,084</w:t>
            </w:r>
          </w:p>
        </w:tc>
      </w:tr>
      <w:tr>
        <w:trPr>
          <w:trHeight w:val="330"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787</w:t>
            </w:r>
          </w:p>
        </w:tc>
      </w:tr>
      <w:tr>
        <w:trPr>
          <w:trHeight w:val="331"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3,202</w:t>
            </w:r>
          </w:p>
        </w:tc>
      </w:tr>
    </w:tbl>
    <w:p>
      <w:pPr>
        <w:spacing w:line="240" w:lineRule="auto" w:before="10"/>
        <w:rPr>
          <w:rFonts w:ascii="宋体" w:hAnsi="宋体" w:cs="宋体" w:eastAsia="宋体" w:hint="default"/>
          <w:b/>
          <w:bCs/>
          <w:sz w:val="9"/>
          <w:szCs w:val="9"/>
        </w:rPr>
      </w:pPr>
    </w:p>
    <w:p>
      <w:pPr>
        <w:pStyle w:val="Heading3"/>
        <w:spacing w:line="240" w:lineRule="auto"/>
        <w:ind w:right="0"/>
        <w:jc w:val="left"/>
        <w:rPr>
          <w:b w:val="0"/>
          <w:bCs w:val="0"/>
        </w:rPr>
      </w:pPr>
      <w:bookmarkStart w:name="2、薪酬政策" w:id="153"/>
      <w:bookmarkEnd w:id="153"/>
      <w:r>
        <w:rPr>
          <w:b w:val="0"/>
          <w:bCs w:val="0"/>
        </w:rPr>
      </w:r>
      <w:r>
        <w:rPr>
          <w:rFonts w:ascii="Times New Roman" w:hAnsi="Times New Roman" w:cs="Times New Roman" w:eastAsia="Times New Roman" w:hint="default"/>
        </w:rPr>
        <w:t>2</w:t>
      </w:r>
      <w:r>
        <w:rPr/>
        <w:t>、薪酬政策</w:t>
      </w:r>
      <w:r>
        <w:rPr>
          <w:b w:val="0"/>
          <w:bCs w:val="0"/>
        </w:rPr>
      </w:r>
    </w:p>
    <w:p>
      <w:pPr>
        <w:pStyle w:val="BodyText"/>
        <w:spacing w:line="348" w:lineRule="auto" w:before="158"/>
        <w:ind w:right="0"/>
        <w:jc w:val="left"/>
      </w:pPr>
      <w:r>
        <w:rPr/>
        <w:t>公司员工薪酬由基本工资、绩效工资构成；公司独立董事薪酬根据股东大会确定的标准发放。 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5"/>
        </w:rPr>
        <w:t>报告期内，公司互联网财税业务板块的职工薪酬总额（计入成本部分）为</w:t>
      </w:r>
      <w:r>
        <w:rPr>
          <w:rFonts w:ascii="Times New Roman" w:hAnsi="Times New Roman" w:cs="Times New Roman" w:eastAsia="Times New Roman" w:hint="default"/>
          <w:spacing w:val="-5"/>
        </w:rPr>
        <w:t>9,860.28</w:t>
      </w:r>
      <w:r>
        <w:rPr>
          <w:spacing w:val="-5"/>
        </w:rPr>
        <w:t>万元，占该业务板块营业成本的</w:t>
      </w:r>
      <w:r>
        <w:rPr>
          <w:rFonts w:ascii="Times New Roman" w:hAnsi="Times New Roman" w:cs="Times New Roman" w:eastAsia="Times New Roman" w:hint="default"/>
          <w:spacing w:val="-5"/>
        </w:rPr>
        <w:t>34.73%</w:t>
      </w:r>
      <w:r>
        <w:rPr>
          <w:spacing w:val="-5"/>
        </w:rPr>
        <w:t>。</w:t>
      </w:r>
    </w:p>
    <w:p>
      <w:pPr>
        <w:pStyle w:val="BodyText"/>
        <w:spacing w:line="222" w:lineRule="exact" w:before="0"/>
        <w:ind w:left="17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日，该业务板块核心技术人员为</w:t>
      </w:r>
      <w:r>
        <w:rPr>
          <w:rFonts w:ascii="Times New Roman" w:hAnsi="Times New Roman" w:cs="Times New Roman" w:eastAsia="Times New Roman" w:hint="default"/>
        </w:rPr>
        <w:t>287</w:t>
      </w:r>
      <w:r>
        <w:rPr/>
        <w:t>人，占其全体员工人数的</w:t>
      </w:r>
      <w:r>
        <w:rPr>
          <w:rFonts w:ascii="Times New Roman" w:hAnsi="Times New Roman" w:cs="Times New Roman" w:eastAsia="Times New Roman" w:hint="default"/>
        </w:rPr>
        <w:t>13.75%</w:t>
      </w:r>
      <w:r>
        <w:rPr/>
        <w:t>，上年同期核心技术人员为</w:t>
      </w:r>
      <w:r>
        <w:rPr>
          <w:rFonts w:ascii="Times New Roman" w:hAnsi="Times New Roman" w:cs="Times New Roman" w:eastAsia="Times New Roman" w:hint="default"/>
        </w:rPr>
        <w:t>200</w:t>
      </w:r>
      <w:r>
        <w:rPr/>
        <w:t>人，</w:t>
      </w:r>
    </w:p>
    <w:p>
      <w:pPr>
        <w:pStyle w:val="BodyText"/>
        <w:spacing w:line="302" w:lineRule="auto" w:before="63"/>
        <w:ind w:left="174" w:right="1182"/>
        <w:jc w:val="left"/>
      </w:pPr>
      <w:r>
        <w:rPr/>
        <w:t>占其全体员工人数的</w:t>
      </w:r>
      <w:r>
        <w:rPr>
          <w:rFonts w:ascii="Times New Roman" w:hAnsi="Times New Roman" w:cs="Times New Roman" w:eastAsia="Times New Roman" w:hint="default"/>
        </w:rPr>
        <w:t>10.51%</w:t>
      </w:r>
      <w:r>
        <w:rPr/>
        <w:t>；截至报告期末，互联网财税业务板块核心技术人员薪酬占其全体员工薪酬总额的</w:t>
      </w:r>
      <w:r>
        <w:rPr>
          <w:rFonts w:ascii="Times New Roman" w:hAnsi="Times New Roman" w:cs="Times New Roman" w:eastAsia="Times New Roman" w:hint="default"/>
        </w:rPr>
        <w:t>28.16%</w:t>
      </w:r>
      <w:r>
        <w:rPr/>
        <w:t>，上 年同期占比为</w:t>
      </w:r>
      <w:r>
        <w:rPr>
          <w:rFonts w:ascii="Times New Roman" w:hAnsi="Times New Roman" w:cs="Times New Roman" w:eastAsia="Times New Roman" w:hint="default"/>
        </w:rPr>
        <w:t>22.86%</w:t>
      </w:r>
      <w:r>
        <w:rPr/>
        <w:t>。</w:t>
      </w:r>
    </w:p>
    <w:p>
      <w:pPr>
        <w:pStyle w:val="Heading3"/>
        <w:spacing w:line="240" w:lineRule="auto" w:before="162"/>
        <w:ind w:right="0"/>
        <w:jc w:val="left"/>
        <w:rPr>
          <w:b w:val="0"/>
          <w:bCs w:val="0"/>
        </w:rPr>
      </w:pPr>
      <w:bookmarkStart w:name="3、培训计划" w:id="154"/>
      <w:bookmarkEnd w:id="154"/>
      <w:r>
        <w:rPr>
          <w:b w:val="0"/>
          <w:bCs w:val="0"/>
        </w:rPr>
      </w:r>
      <w:r>
        <w:rPr>
          <w:rFonts w:ascii="Times New Roman" w:hAnsi="Times New Roman" w:cs="Times New Roman" w:eastAsia="Times New Roman" w:hint="default"/>
        </w:rPr>
        <w:t>3</w:t>
      </w:r>
      <w:r>
        <w:rPr/>
        <w:t>、培训计划</w:t>
      </w:r>
      <w:r>
        <w:rPr>
          <w:b w:val="0"/>
          <w:bCs w:val="0"/>
        </w:rPr>
      </w:r>
    </w:p>
    <w:p>
      <w:pPr>
        <w:pStyle w:val="BodyText"/>
        <w:spacing w:line="240" w:lineRule="auto" w:before="157"/>
        <w:ind w:right="0"/>
        <w:jc w:val="left"/>
      </w:pPr>
      <w:r>
        <w:rPr/>
        <w:t>为提高公司员工整体素质和工作效率，公司管理部根据各部门提交的年度培训计划统筹组织安排培训，培训内容主要包</w:t>
      </w:r>
    </w:p>
    <w:p>
      <w:pPr>
        <w:spacing w:after="0" w:line="240"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240" w:lineRule="auto"/>
        <w:ind w:left="174" w:right="0"/>
        <w:jc w:val="left"/>
      </w:pPr>
      <w:r>
        <w:rPr/>
        <w:t>含但不限于员工素质、职业技能、生产安全、质量环境管理体系、内部控制制度、企业文化等各个方面。</w:t>
      </w:r>
    </w:p>
    <w:p>
      <w:pPr>
        <w:spacing w:line="240" w:lineRule="auto" w:before="6"/>
        <w:rPr>
          <w:rFonts w:ascii="宋体" w:hAnsi="宋体" w:cs="宋体" w:eastAsia="宋体" w:hint="default"/>
          <w:sz w:val="17"/>
          <w:szCs w:val="17"/>
        </w:rPr>
      </w:pPr>
    </w:p>
    <w:p>
      <w:pPr>
        <w:pStyle w:val="Heading3"/>
        <w:spacing w:line="240" w:lineRule="auto" w:before="0"/>
        <w:ind w:right="0"/>
        <w:jc w:val="left"/>
        <w:rPr>
          <w:b w:val="0"/>
          <w:bCs w:val="0"/>
        </w:rPr>
      </w:pPr>
      <w:bookmarkStart w:name="4、劳务外包情况" w:id="155"/>
      <w:bookmarkEnd w:id="155"/>
      <w:r>
        <w:rPr>
          <w:b w:val="0"/>
          <w:bCs w:val="0"/>
        </w:rPr>
      </w:r>
      <w:r>
        <w:rPr>
          <w:rFonts w:ascii="Times New Roman" w:hAnsi="Times New Roman" w:cs="Times New Roman" w:eastAsia="Times New Roman" w:hint="default"/>
        </w:rPr>
        <w:t>4</w:t>
      </w:r>
      <w:r>
        <w:rPr/>
        <w:t>、劳务外包情况</w:t>
      </w:r>
      <w:r>
        <w:rPr>
          <w:b w:val="0"/>
          <w:bCs w:val="0"/>
        </w:rPr>
      </w:r>
    </w:p>
    <w:p>
      <w:pPr>
        <w:pStyle w:val="BodyText"/>
        <w:spacing w:line="240" w:lineRule="auto" w:before="15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4785"/>
        <w:gridCol w:w="4784"/>
      </w:tblGrid>
      <w:tr>
        <w:trPr>
          <w:trHeight w:val="33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55,249</w:t>
            </w:r>
          </w:p>
        </w:tc>
      </w:tr>
      <w:tr>
        <w:trPr>
          <w:trHeight w:val="33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8,216,006.35</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right="958"/>
        <w:jc w:val="center"/>
        <w:rPr>
          <w:b w:val="0"/>
          <w:bCs w:val="0"/>
        </w:rPr>
      </w:pPr>
      <w:bookmarkStart w:name="第九节 公司治理" w:id="156"/>
      <w:bookmarkEnd w:id="156"/>
      <w:r>
        <w:rPr>
          <w:b w:val="0"/>
          <w:bCs w:val="0"/>
        </w:rPr>
      </w:r>
      <w:bookmarkStart w:name="_bookmark8" w:id="157"/>
      <w:bookmarkEnd w:id="15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2"/>
        <w:spacing w:line="240" w:lineRule="auto" w:before="26"/>
        <w:ind w:right="0"/>
        <w:jc w:val="left"/>
        <w:rPr>
          <w:b w:val="0"/>
          <w:bCs w:val="0"/>
        </w:rPr>
      </w:pPr>
      <w:bookmarkStart w:name="一、公司治理的基本状况" w:id="158"/>
      <w:bookmarkEnd w:id="158"/>
      <w:r>
        <w:rPr>
          <w:b w:val="0"/>
          <w:bCs w:val="0"/>
        </w:rPr>
      </w:r>
      <w:r>
        <w:rPr/>
        <w:t>一、公司治理的基本状况</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left="174" w:right="1133" w:firstLine="360"/>
        <w:jc w:val="both"/>
      </w:pPr>
      <w:r>
        <w:rPr>
          <w:spacing w:val="-12"/>
        </w:rPr>
        <w:t>报告期内，公司及公司董事、监事、高级管理人员严格按照《公司法》、《证券法》、《上市公司治理准则》、《深圳证券交</w:t>
      </w:r>
      <w:r>
        <w:rPr/>
        <w:t> </w:t>
      </w:r>
      <w:r>
        <w:rPr>
          <w:spacing w:val="-5"/>
        </w:rPr>
        <w:t>易所股票上市规则》、《深圳证券交易所中小企业板上市公司规范运作指引》等法律法规、规范性文件和《公司章程》的有关</w:t>
      </w:r>
      <w:r>
        <w:rPr>
          <w:spacing w:val="-79"/>
        </w:rPr>
        <w:t> </w:t>
      </w:r>
      <w:r>
        <w:rPr>
          <w:spacing w:val="-79"/>
        </w:rPr>
      </w:r>
      <w:r>
        <w:rPr/>
        <w:t>规定，不断完善公司的法人治理结构，健全内部管理制度，促进公司规范运作，提高公司治理水平。</w:t>
      </w:r>
    </w:p>
    <w:p>
      <w:pPr>
        <w:pStyle w:val="BodyText"/>
        <w:spacing w:line="316" w:lineRule="auto" w:before="139"/>
        <w:ind w:left="174" w:right="1032" w:firstLine="360"/>
        <w:jc w:val="left"/>
      </w:pPr>
      <w:r>
        <w:rPr>
          <w:spacing w:val="-2"/>
        </w:rPr>
        <w:t>截至报告期末，公司治理的实际情况基本符合中国证监会发布的有关上市公司治理的规范性文件的要求。公司将坚持以</w:t>
      </w:r>
      <w:r>
        <w:rPr/>
        <w:t> 相关法律法规为准绳，不断完善公司治理制度，自觉履行信息披露义务，做好投资者关系管理工作，切实维护投资者利益， 不断提升公司规范运作水平。</w:t>
      </w:r>
    </w:p>
    <w:p>
      <w:pPr>
        <w:pStyle w:val="BodyText"/>
        <w:spacing w:line="240" w:lineRule="auto" w:before="139"/>
        <w:ind w:right="0"/>
        <w:jc w:val="left"/>
      </w:pPr>
      <w:r>
        <w:rPr/>
        <w:t>截至本报告期末公司已建立的各项制度名称及公开信息披露情况如下表：</w:t>
      </w:r>
    </w:p>
    <w:p>
      <w:pPr>
        <w:spacing w:line="240" w:lineRule="auto" w:before="3"/>
        <w:rPr>
          <w:rFonts w:ascii="宋体" w:hAnsi="宋体" w:cs="宋体" w:eastAsia="宋体" w:hint="default"/>
          <w:sz w:val="14"/>
          <w:szCs w:val="14"/>
        </w:rPr>
      </w:pPr>
    </w:p>
    <w:tbl>
      <w:tblPr>
        <w:tblW w:w="0" w:type="auto"/>
        <w:jc w:val="left"/>
        <w:tblInd w:w="166" w:type="dxa"/>
        <w:tblLayout w:type="fixed"/>
        <w:tblCellMar>
          <w:top w:w="0" w:type="dxa"/>
          <w:left w:w="0" w:type="dxa"/>
          <w:bottom w:w="0" w:type="dxa"/>
          <w:right w:w="0" w:type="dxa"/>
        </w:tblCellMar>
        <w:tblLook w:val="01E0"/>
      </w:tblPr>
      <w:tblGrid>
        <w:gridCol w:w="710"/>
        <w:gridCol w:w="5717"/>
        <w:gridCol w:w="2978"/>
      </w:tblGrid>
      <w:tr>
        <w:trPr>
          <w:trHeight w:val="355"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7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最新披露时间</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5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董事会薪酬委员会议事规则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董事会秘书工作制度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关联交易决策制度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财务管理办法</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15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子公司综合管理制度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对外担保制度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控股股东、实际控制人行为规范</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独立董事年报工作流程</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董事、监事和高级管理人员持有和买卖本公司股票管理制度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5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高级管理人员薪酬管理制度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6" w:type="dxa"/>
        <w:tblLayout w:type="fixed"/>
        <w:tblCellMar>
          <w:top w:w="0" w:type="dxa"/>
          <w:left w:w="0" w:type="dxa"/>
          <w:bottom w:w="0" w:type="dxa"/>
          <w:right w:w="0" w:type="dxa"/>
        </w:tblCellMar>
        <w:tblLook w:val="01E0"/>
      </w:tblPr>
      <w:tblGrid>
        <w:gridCol w:w="710"/>
        <w:gridCol w:w="5717"/>
        <w:gridCol w:w="2978"/>
      </w:tblGrid>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风险投资管理制度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54"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内部问责制度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利润分配管理制度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募集资金使用管理办法</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投资管理制度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55"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对外捐赠管理制度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bl>
    <w:p>
      <w:pPr>
        <w:spacing w:line="240" w:lineRule="auto" w:before="9"/>
        <w:rPr>
          <w:rFonts w:ascii="宋体" w:hAnsi="宋体" w:cs="宋体" w:eastAsia="宋体" w:hint="default"/>
          <w:sz w:val="6"/>
          <w:szCs w:val="6"/>
        </w:rPr>
      </w:pPr>
    </w:p>
    <w:p>
      <w:pPr>
        <w:pStyle w:val="BodyText"/>
        <w:spacing w:line="240" w:lineRule="auto"/>
        <w:ind w:left="624" w:right="0"/>
        <w:jc w:val="left"/>
      </w:pPr>
      <w:r>
        <w:rPr/>
        <w:t>报告期末，公司未收到被监管部门采取行政监管措施的有关文件。</w:t>
      </w:r>
    </w:p>
    <w:p>
      <w:pPr>
        <w:pStyle w:val="BodyText"/>
        <w:spacing w:line="338" w:lineRule="auto" w:before="116"/>
        <w:ind w:right="0" w:firstLine="1"/>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9"/>
        </w:rPr>
        <w:t>公司能够根据《公司法》、《证券法》、《上市公司股东大会规则》及公司《股东大会议事规则》等规定和要求，规范股东</w:t>
      </w:r>
    </w:p>
    <w:p>
      <w:pPr>
        <w:pStyle w:val="BodyText"/>
        <w:spacing w:line="319" w:lineRule="auto" w:before="2"/>
        <w:ind w:left="174" w:right="1132"/>
        <w:jc w:val="both"/>
      </w:pPr>
      <w:r>
        <w:rPr>
          <w:spacing w:val="-2"/>
        </w:rPr>
        <w:t>大会的召集、召开、表决程序，确保各股东享有平等地位，充分行使自己的权利。在选举董事、监事时采取累积投票制，让</w:t>
      </w:r>
      <w:r>
        <w:rPr>
          <w:spacing w:val="-71"/>
        </w:rPr>
        <w:t> </w:t>
      </w:r>
      <w:r>
        <w:rPr>
          <w:spacing w:val="-71"/>
        </w:rPr>
      </w:r>
      <w:r>
        <w:rPr/>
        <w:t>各股东充分行使自己的权利。</w:t>
      </w:r>
    </w:p>
    <w:p>
      <w:pPr>
        <w:pStyle w:val="BodyText"/>
        <w:spacing w:line="338" w:lineRule="auto" w:before="56"/>
        <w:ind w:right="0" w:firstLine="1"/>
        <w:jc w:val="left"/>
      </w:pPr>
      <w:r>
        <w:rPr>
          <w:rFonts w:ascii="Times New Roman" w:hAnsi="Times New Roman" w:cs="Times New Roman" w:eastAsia="Times New Roman" w:hint="default"/>
          <w:b/>
          <w:bCs/>
        </w:rPr>
        <w:t>2</w:t>
      </w:r>
      <w:r>
        <w:rPr>
          <w:rFonts w:ascii="宋体" w:hAnsi="宋体" w:cs="宋体" w:eastAsia="宋体" w:hint="default"/>
          <w:b/>
          <w:bCs/>
        </w:rPr>
        <w:t>、关于控股股东与公司</w:t>
      </w:r>
      <w:r>
        <w:rPr>
          <w:rFonts w:ascii="宋体" w:hAnsi="宋体" w:cs="宋体" w:eastAsia="宋体" w:hint="default"/>
          <w:b/>
          <w:bCs/>
          <w:w w:val="99"/>
        </w:rPr>
        <w:t> </w:t>
      </w:r>
      <w:r>
        <w:rPr>
          <w:spacing w:val="-2"/>
        </w:rPr>
        <w:t>公司控股股东行为规范，能依法行使其权利，并承担相应义务，没有直接或间接干预公司的决策和经营活动。公司具有</w:t>
      </w:r>
    </w:p>
    <w:p>
      <w:pPr>
        <w:pStyle w:val="BodyText"/>
        <w:spacing w:line="319" w:lineRule="auto" w:before="2"/>
        <w:ind w:left="174" w:right="1132"/>
        <w:jc w:val="both"/>
      </w:pPr>
      <w:r>
        <w:rPr>
          <w:spacing w:val="-2"/>
        </w:rPr>
        <w:t>独立的业务、经营能力和完备的运营体系，公司业务、人员、资产、机构、财务独立，公司董事会、监事会和内部机构能够</w:t>
      </w:r>
      <w:r>
        <w:rPr>
          <w:spacing w:val="-67"/>
        </w:rPr>
        <w:t> </w:t>
      </w:r>
      <w:r>
        <w:rPr>
          <w:spacing w:val="-67"/>
        </w:rPr>
      </w:r>
      <w:r>
        <w:rPr/>
        <w:t>独立运作。</w:t>
      </w:r>
    </w:p>
    <w:p>
      <w:pPr>
        <w:pStyle w:val="Heading4"/>
        <w:spacing w:line="240" w:lineRule="auto" w:before="58"/>
        <w:ind w:right="0"/>
        <w:jc w:val="left"/>
        <w:rPr>
          <w:b w:val="0"/>
          <w:bCs w:val="0"/>
        </w:rPr>
      </w:pPr>
      <w:r>
        <w:rPr>
          <w:rFonts w:ascii="Times New Roman" w:hAnsi="Times New Roman" w:cs="Times New Roman" w:eastAsia="Times New Roman" w:hint="default"/>
        </w:rPr>
        <w:t>3</w:t>
      </w:r>
      <w:r>
        <w:rPr/>
        <w:t>、关于董事与董事会</w:t>
      </w:r>
      <w:r>
        <w:rPr>
          <w:b w:val="0"/>
          <w:bCs w:val="0"/>
        </w:rPr>
      </w:r>
    </w:p>
    <w:p>
      <w:pPr>
        <w:pStyle w:val="BodyText"/>
        <w:spacing w:line="309" w:lineRule="auto" w:before="101"/>
        <w:ind w:left="174" w:right="1129" w:firstLine="360"/>
        <w:jc w:val="both"/>
      </w:pPr>
      <w:r>
        <w:rPr/>
        <w:t>公司目前董事会成员</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21"/>
        </w:rPr>
        <w:t> </w:t>
      </w:r>
      <w:r>
        <w:rPr/>
        <w:t>人，其中独立董事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人，公司董事会人数和人员构成符合法律、法规的要求。董事会按照《董事 </w:t>
      </w:r>
      <w:r>
        <w:rPr>
          <w:spacing w:val="-2"/>
        </w:rPr>
        <w:t>会议事规则》召开会议，执行股东大会决议并依法行使职权；公司全体董事能够按照《董事会议事规则》等的要求认真履行</w:t>
      </w:r>
      <w:r>
        <w:rPr>
          <w:spacing w:val="-66"/>
        </w:rPr>
        <w:t> </w:t>
      </w:r>
      <w:r>
        <w:rPr>
          <w:spacing w:val="-66"/>
        </w:rPr>
      </w:r>
      <w:r>
        <w:rPr>
          <w:spacing w:val="-2"/>
        </w:rPr>
        <w:t>勤勉尽责的义务，行使《公司章程》赋予的职权，按时出席董事会和股东大会，熟悉有关法律法规；公司的</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位独立董事在 </w:t>
      </w:r>
      <w:r>
        <w:rPr>
          <w:spacing w:val="-2"/>
        </w:rPr>
        <w:t>工作中保持充分的独立性，积极参加董事会会议，认真审议各项议案，对相关事项发表了独立意见，切实维护公司和中小股</w:t>
      </w:r>
      <w:r>
        <w:rPr>
          <w:spacing w:val="-66"/>
        </w:rPr>
        <w:t> </w:t>
      </w:r>
      <w:r>
        <w:rPr>
          <w:spacing w:val="-66"/>
        </w:rPr>
      </w:r>
      <w:r>
        <w:rPr/>
        <w:t>东的利益。</w:t>
      </w:r>
    </w:p>
    <w:p>
      <w:pPr>
        <w:pStyle w:val="Heading4"/>
        <w:spacing w:line="240" w:lineRule="auto" w:before="64"/>
        <w:ind w:right="0"/>
        <w:jc w:val="left"/>
        <w:rPr>
          <w:b w:val="0"/>
          <w:bCs w:val="0"/>
        </w:rPr>
      </w:pPr>
      <w:r>
        <w:rPr>
          <w:rFonts w:ascii="Times New Roman" w:hAnsi="Times New Roman" w:cs="Times New Roman" w:eastAsia="Times New Roman" w:hint="default"/>
        </w:rPr>
        <w:t>4</w:t>
      </w:r>
      <w:r>
        <w:rPr/>
        <w:t>、关于监事与监事会</w:t>
      </w:r>
      <w:r>
        <w:rPr>
          <w:b w:val="0"/>
          <w:bCs w:val="0"/>
        </w:rPr>
      </w:r>
    </w:p>
    <w:p>
      <w:pPr>
        <w:pStyle w:val="BodyText"/>
        <w:spacing w:line="312" w:lineRule="auto" w:before="102"/>
        <w:ind w:left="174" w:right="1038" w:firstLine="360"/>
        <w:jc w:val="left"/>
      </w:pPr>
      <w:r>
        <w:rPr/>
        <w:t>公司监事会由</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名监事组成，非职工代表监事</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人、职工代表监事</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人，监事人数和人员构成符合法律、法规的要求。 </w:t>
      </w:r>
      <w:r>
        <w:rPr>
          <w:spacing w:val="-2"/>
        </w:rPr>
        <w:t>公司监事会严格按照《公司章程》及《监事会议事规则》等相关规定召集召开监事会。各监事按时出席监事会，认真履行职</w:t>
      </w:r>
      <w:r>
        <w:rPr>
          <w:spacing w:val="-68"/>
        </w:rPr>
        <w:t> </w:t>
      </w:r>
      <w:r>
        <w:rPr>
          <w:spacing w:val="-68"/>
        </w:rPr>
      </w:r>
      <w:r>
        <w:rPr>
          <w:spacing w:val="-2"/>
        </w:rPr>
        <w:t>责，能够本着对股东负责的精神，对公司重大事项、关联交易、财务状况等进行监督并发表意见，维护了公司及股东的合法</w:t>
      </w:r>
      <w:r>
        <w:rPr>
          <w:spacing w:val="-66"/>
        </w:rPr>
        <w:t> </w:t>
      </w:r>
      <w:r>
        <w:rPr>
          <w:spacing w:val="-66"/>
        </w:rPr>
      </w:r>
      <w:r>
        <w:rPr/>
        <w:t>权益。</w:t>
      </w:r>
    </w:p>
    <w:p>
      <w:pPr>
        <w:pStyle w:val="BodyText"/>
        <w:spacing w:line="338" w:lineRule="auto" w:before="62"/>
        <w:ind w:right="1117" w:firstLine="1"/>
        <w:jc w:val="left"/>
      </w:pPr>
      <w:r>
        <w:rPr>
          <w:rFonts w:ascii="Times New Roman" w:hAnsi="Times New Roman" w:cs="Times New Roman" w:eastAsia="Times New Roman" w:hint="default"/>
          <w:b/>
          <w:bCs/>
        </w:rPr>
        <w:t>5</w:t>
      </w:r>
      <w:r>
        <w:rPr>
          <w:rFonts w:ascii="宋体" w:hAnsi="宋体" w:cs="宋体" w:eastAsia="宋体" w:hint="default"/>
          <w:b/>
          <w:bCs/>
        </w:rPr>
        <w:t>、关于信息披露与透明度</w:t>
      </w:r>
      <w:r>
        <w:rPr>
          <w:rFonts w:ascii="宋体" w:hAnsi="宋体" w:cs="宋体" w:eastAsia="宋体" w:hint="default"/>
          <w:b/>
          <w:bCs/>
          <w:w w:val="99"/>
        </w:rPr>
        <w:t> </w:t>
      </w:r>
      <w:r>
        <w:rPr>
          <w:spacing w:val="-5"/>
        </w:rPr>
        <w:t>公司严格按照有关法律法规及公司《信息披露管理制度》、《投资者关系管理制度》的要求，加强信息披露事务管理，履</w:t>
      </w:r>
    </w:p>
    <w:p>
      <w:pPr>
        <w:pStyle w:val="BodyText"/>
        <w:spacing w:line="319" w:lineRule="auto" w:before="2"/>
        <w:ind w:left="174" w:right="1042"/>
        <w:jc w:val="both"/>
      </w:pPr>
      <w:r>
        <w:rPr>
          <w:spacing w:val="-2"/>
        </w:rPr>
        <w:t>行信息披露义务。公司指定董事会秘书为公司信息披露工作、投资者关系管理负责人，负责公司的信息披露与投资者关系的</w:t>
      </w:r>
      <w:r>
        <w:rPr>
          <w:spacing w:val="-66"/>
        </w:rPr>
        <w:t> </w:t>
      </w:r>
      <w:r>
        <w:rPr>
          <w:spacing w:val="-66"/>
        </w:rPr>
      </w:r>
      <w:r>
        <w:rPr>
          <w:spacing w:val="-2"/>
        </w:rPr>
        <w:t>管理工作；公司证券部为公司信息披露事务的日常工作部门。公司注重与投资者沟通交流，开通了投资者电话专线、专用电</w:t>
      </w:r>
      <w:r>
        <w:rPr>
          <w:spacing w:val="-66"/>
        </w:rPr>
        <w:t> </w:t>
      </w:r>
      <w:r>
        <w:rPr>
          <w:spacing w:val="-66"/>
        </w:rPr>
      </w:r>
      <w:r>
        <w:rPr>
          <w:spacing w:val="-2"/>
        </w:rPr>
        <w:t>子信箱，接待投资者和调研机构的来访和咨询，认真、及时回复深交所互动平台投资者的提问，确保公司所有股东能够以平</w:t>
      </w:r>
      <w:r>
        <w:rPr>
          <w:spacing w:val="-66"/>
        </w:rPr>
        <w:t> </w:t>
      </w:r>
      <w:r>
        <w:rPr>
          <w:spacing w:val="-66"/>
        </w:rPr>
      </w:r>
      <w:r>
        <w:rPr>
          <w:spacing w:val="-2"/>
        </w:rPr>
        <w:t>等的机会获得信息。公司指定《证券时报》等报刊和巨潮资讯网（</w:t>
      </w:r>
      <w:r>
        <w:rPr>
          <w:rFonts w:ascii="Times New Roman" w:hAnsi="Times New Roman" w:cs="Times New Roman" w:eastAsia="Times New Roman" w:hint="default"/>
          <w:spacing w:val="-2"/>
        </w:rPr>
        <w:t>http://</w:t>
      </w:r>
      <w:hyperlink r:id="rId13">
        <w:r>
          <w:rPr>
            <w:rFonts w:ascii="Times New Roman" w:hAnsi="Times New Roman" w:cs="Times New Roman" w:eastAsia="Times New Roman" w:hint="default"/>
            <w:spacing w:val="-2"/>
          </w:rPr>
          <w:t>www.cninfo.com.cn</w:t>
        </w:r>
      </w:hyperlink>
      <w:r>
        <w:rPr>
          <w:spacing w:val="-2"/>
        </w:rPr>
        <w:t>）为公司信息披露的报纸和网站。</w:t>
      </w:r>
    </w:p>
    <w:p>
      <w:pPr>
        <w:pStyle w:val="BodyText"/>
        <w:spacing w:line="338" w:lineRule="auto" w:before="38"/>
        <w:ind w:right="0" w:firstLine="1"/>
        <w:jc w:val="left"/>
      </w:pPr>
      <w:r>
        <w:rPr>
          <w:rFonts w:ascii="Times New Roman" w:hAnsi="Times New Roman" w:cs="Times New Roman" w:eastAsia="Times New Roman" w:hint="default"/>
          <w:b/>
          <w:bCs/>
        </w:rPr>
        <w:t>6</w:t>
      </w:r>
      <w:r>
        <w:rPr>
          <w:rFonts w:ascii="宋体" w:hAnsi="宋体" w:cs="宋体" w:eastAsia="宋体" w:hint="default"/>
          <w:b/>
          <w:bCs/>
        </w:rPr>
        <w:t>、关于相关利益者</w:t>
      </w:r>
      <w:r>
        <w:rPr>
          <w:rFonts w:ascii="宋体" w:hAnsi="宋体" w:cs="宋体" w:eastAsia="宋体" w:hint="default"/>
          <w:b/>
          <w:bCs/>
          <w:w w:val="99"/>
        </w:rPr>
        <w:t> </w:t>
      </w:r>
      <w:r>
        <w:rPr>
          <w:spacing w:val="-4"/>
        </w:rPr>
        <w:t>公司能够充分尊重和维护相关利益者的合法权益，积极与相关利益者合作，加强与各方的沟通和交流，实现公司、股东、</w:t>
      </w:r>
    </w:p>
    <w:p>
      <w:pPr>
        <w:pStyle w:val="BodyText"/>
        <w:spacing w:line="357" w:lineRule="auto" w:before="4"/>
        <w:ind w:right="1032" w:hanging="360"/>
        <w:jc w:val="left"/>
      </w:pPr>
      <w:r>
        <w:rPr/>
        <w:t>员工、社会等各方利益的和谐发展，以推动公司持续、稳健发展。 公司治理的实际情况与中国证监会有关上市公司治理的规范性文件要求基本符合。公司治理是一项系统而长期的工程，</w:t>
      </w:r>
    </w:p>
    <w:p>
      <w:pPr>
        <w:pStyle w:val="BodyText"/>
        <w:spacing w:line="224" w:lineRule="exact" w:before="0"/>
        <w:ind w:left="174" w:right="0"/>
        <w:jc w:val="both"/>
      </w:pPr>
      <w:r>
        <w:rPr/>
        <w:t>需要不断持续改进，公司愿意接受各方监督，不断完善公司治理制度体系，加强内控制度的执行，促进公司健康稳健发展，</w:t>
      </w:r>
    </w:p>
    <w:p>
      <w:pPr>
        <w:pStyle w:val="BodyText"/>
        <w:spacing w:line="240" w:lineRule="auto" w:before="77"/>
        <w:ind w:left="174" w:right="0"/>
        <w:jc w:val="both"/>
      </w:pPr>
      <w:r>
        <w:rPr/>
        <w:t>提高公司整体竞争力。</w:t>
      </w:r>
    </w:p>
    <w:p>
      <w:pPr>
        <w:spacing w:after="0" w:line="240" w:lineRule="auto"/>
        <w:jc w:val="both"/>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spacing w:line="338" w:lineRule="auto" w:before="44"/>
        <w:ind w:left="53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公司建立了公正、透明、有效的董事、监事和高级管理人员的绩效评价标准和激励约束机制，公司高级管理人员的聘任</w:t>
      </w:r>
    </w:p>
    <w:p>
      <w:pPr>
        <w:pStyle w:val="BodyText"/>
        <w:spacing w:line="319" w:lineRule="auto" w:before="2"/>
        <w:ind w:left="174" w:right="0"/>
        <w:jc w:val="left"/>
      </w:pPr>
      <w:r>
        <w:rPr>
          <w:spacing w:val="-2"/>
        </w:rPr>
        <w:t>公开、透明，严格按照有关法律法规的规定进行。公司未来还将探索更多形式的激励方式，形成多层次的综合激励机制，完</w:t>
      </w:r>
      <w:r>
        <w:rPr>
          <w:spacing w:val="-66"/>
        </w:rPr>
        <w:t> </w:t>
      </w:r>
      <w:r>
        <w:rPr>
          <w:spacing w:val="-66"/>
        </w:rPr>
      </w:r>
      <w:r>
        <w:rPr/>
        <w:t>善绩效评价标准，更好地调动管理人员的工作积极性，吸引和稳定优秀管理人才和技术、业务骨干。</w:t>
      </w:r>
    </w:p>
    <w:p>
      <w:pPr>
        <w:pStyle w:val="BodyText"/>
        <w:spacing w:line="240" w:lineRule="auto" w:before="137"/>
        <w:ind w:right="0"/>
        <w:jc w:val="left"/>
      </w:pPr>
      <w:r>
        <w:rPr/>
        <w:t>公司治理的实际状况与中国证监会发布的有关上市公司治理的规范性文件是否存在重大差异</w:t>
      </w:r>
    </w:p>
    <w:p>
      <w:pPr>
        <w:pStyle w:val="BodyText"/>
        <w:spacing w:line="338" w:lineRule="auto" w:before="117"/>
        <w:ind w:right="31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二、公司相对于控股股东在业务、人员、资产、机构、财务等方面的独立情况" w:id="159"/>
      <w:bookmarkEnd w:id="159"/>
      <w:r>
        <w:rPr>
          <w:b w:val="0"/>
          <w:bCs w:val="0"/>
        </w:rPr>
      </w: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26"/>
          <w:szCs w:val="26"/>
        </w:rPr>
      </w:pPr>
    </w:p>
    <w:p>
      <w:pPr>
        <w:pStyle w:val="BodyText"/>
        <w:spacing w:line="319" w:lineRule="auto" w:before="0"/>
        <w:ind w:left="174" w:right="1032" w:firstLine="360"/>
        <w:jc w:val="left"/>
      </w:pPr>
      <w:r>
        <w:rPr>
          <w:spacing w:val="-5"/>
        </w:rPr>
        <w:t>公司自设立以来，严格按照《公司法》、《公司章程》及其他法律法规的要求规范运作，公司与控股股东江苏东润金财投</w:t>
      </w:r>
      <w:r>
        <w:rPr/>
        <w:t> </w:t>
      </w:r>
      <w:r>
        <w:rPr>
          <w:spacing w:val="-4"/>
        </w:rPr>
        <w:t>资管理有限公司在业务、人员、资产、机构、财务上完全分开，拥有独立完整的业务系统，具有面向市场自主生产经营能力。</w:t>
      </w:r>
      <w:r>
        <w:rPr>
          <w:spacing w:val="-44"/>
        </w:rPr>
        <w:t> </w:t>
      </w:r>
      <w:r>
        <w:rPr>
          <w:spacing w:val="-44"/>
        </w:rPr>
      </w:r>
      <w:r>
        <w:rPr>
          <w:spacing w:val="-2"/>
        </w:rPr>
        <w:t>同时公司控股股东江苏东润金财投资管理有限公司未以任何形式占用公司的货币资金或其他资产，不存在为其提供担保的情</w:t>
      </w:r>
      <w:r>
        <w:rPr>
          <w:spacing w:val="-64"/>
        </w:rPr>
        <w:t> </w:t>
      </w:r>
      <w:r>
        <w:rPr>
          <w:spacing w:val="-64"/>
        </w:rPr>
      </w:r>
      <w:r>
        <w:rPr/>
        <w:t>况。</w:t>
      </w:r>
    </w:p>
    <w:p>
      <w:pPr>
        <w:pStyle w:val="BodyText"/>
        <w:spacing w:line="338" w:lineRule="auto" w:before="56"/>
        <w:ind w:right="0" w:firstLine="1"/>
        <w:jc w:val="left"/>
      </w:pPr>
      <w:r>
        <w:rPr>
          <w:rFonts w:ascii="Times New Roman" w:hAnsi="Times New Roman" w:cs="Times New Roman" w:eastAsia="Times New Roman" w:hint="default"/>
          <w:b/>
          <w:bCs/>
        </w:rPr>
        <w:t>1</w:t>
      </w:r>
      <w:r>
        <w:rPr>
          <w:rFonts w:ascii="宋体" w:hAnsi="宋体" w:cs="宋体" w:eastAsia="宋体" w:hint="default"/>
          <w:b/>
          <w:bCs/>
        </w:rPr>
        <w:t>、业务独立情况</w:t>
      </w:r>
      <w:r>
        <w:rPr>
          <w:rFonts w:ascii="宋体" w:hAnsi="宋体" w:cs="宋体" w:eastAsia="宋体" w:hint="default"/>
          <w:b/>
          <w:bCs/>
          <w:w w:val="99"/>
        </w:rPr>
        <w:t> </w:t>
      </w:r>
      <w:r>
        <w:rPr>
          <w:spacing w:val="-2"/>
        </w:rPr>
        <w:t>公司主要从事的业务为实业投资；股权投资；投资咨询；资产管理；税务服务；财务、税务咨询服务；互联网软、硬件</w:t>
      </w:r>
    </w:p>
    <w:p>
      <w:pPr>
        <w:pStyle w:val="BodyText"/>
        <w:spacing w:line="319" w:lineRule="auto" w:before="2"/>
        <w:ind w:left="174" w:right="1131"/>
        <w:jc w:val="both"/>
      </w:pPr>
      <w:r>
        <w:rPr>
          <w:spacing w:val="-2"/>
        </w:rPr>
        <w:t>产品研发、销售、技术服务、系统集成服务；数据服务；金属材料热处理及表面改性设备的技术开发、技术咨询、制造、销</w:t>
      </w:r>
      <w:r>
        <w:rPr>
          <w:spacing w:val="-68"/>
        </w:rPr>
        <w:t> </w:t>
      </w:r>
      <w:r>
        <w:rPr>
          <w:spacing w:val="-68"/>
        </w:rPr>
      </w:r>
      <w:r>
        <w:rPr>
          <w:spacing w:val="-2"/>
        </w:rPr>
        <w:t>售及维修服务等。本公司及公司控股的下属公司拥有独立的生产、销售及研发等系统。公司自主经营，业务不依赖于控股股</w:t>
      </w:r>
      <w:r>
        <w:rPr>
          <w:spacing w:val="-66"/>
        </w:rPr>
        <w:t> </w:t>
      </w:r>
      <w:r>
        <w:rPr>
          <w:spacing w:val="-66"/>
        </w:rPr>
      </w:r>
      <w:r>
        <w:rPr/>
        <w:t>东，也不存在与控股股东之间的同业竞争与关联交易。</w:t>
      </w:r>
    </w:p>
    <w:p>
      <w:pPr>
        <w:pStyle w:val="BodyText"/>
        <w:spacing w:line="338" w:lineRule="auto" w:before="56"/>
        <w:ind w:right="0" w:firstLine="1"/>
        <w:jc w:val="left"/>
      </w:pPr>
      <w:r>
        <w:rPr>
          <w:rFonts w:ascii="Times New Roman" w:hAnsi="Times New Roman" w:cs="Times New Roman" w:eastAsia="Times New Roman" w:hint="default"/>
          <w:b/>
          <w:bCs/>
        </w:rPr>
        <w:t>2</w:t>
      </w:r>
      <w:r>
        <w:rPr>
          <w:rFonts w:ascii="宋体" w:hAnsi="宋体" w:cs="宋体" w:eastAsia="宋体" w:hint="default"/>
          <w:b/>
          <w:bCs/>
        </w:rPr>
        <w:t>、人员独立情况</w:t>
      </w:r>
      <w:r>
        <w:rPr>
          <w:rFonts w:ascii="宋体" w:hAnsi="宋体" w:cs="宋体" w:eastAsia="宋体" w:hint="default"/>
          <w:b/>
          <w:bCs/>
          <w:w w:val="99"/>
        </w:rPr>
        <w:t> </w:t>
      </w:r>
      <w:r>
        <w:rPr>
          <w:spacing w:val="-2"/>
        </w:rPr>
        <w:t>公司在劳动、人事及工资管理等方面完全独立。公司高级管理人员均专职在公司工作并领取薪酬，未在控股股东单位担</w:t>
      </w:r>
    </w:p>
    <w:p>
      <w:pPr>
        <w:pStyle w:val="BodyText"/>
        <w:spacing w:line="319" w:lineRule="auto" w:before="3"/>
        <w:ind w:left="174" w:right="0"/>
        <w:jc w:val="left"/>
      </w:pPr>
      <w:r>
        <w:rPr>
          <w:spacing w:val="-2"/>
        </w:rPr>
        <w:t>任除董事、监事以外的其他职务，未在控股股东单位领取薪酬。公司董事、监事及高级管理人员的任职，均严格按照《公司</w:t>
      </w:r>
      <w:r>
        <w:rPr>
          <w:spacing w:val="-68"/>
        </w:rPr>
        <w:t> </w:t>
      </w:r>
      <w:r>
        <w:rPr>
          <w:spacing w:val="-68"/>
        </w:rPr>
      </w:r>
      <w:r>
        <w:rPr>
          <w:spacing w:val="-4"/>
        </w:rPr>
        <w:t>法》、《公司章程》等规定的程序推选和任免，不存在控股股东超越公司股东大会、董事会和《公司章程》的规定，对董事、</w:t>
      </w:r>
      <w:r>
        <w:rPr>
          <w:spacing w:val="-50"/>
        </w:rPr>
        <w:t> </w:t>
      </w:r>
      <w:r>
        <w:rPr>
          <w:spacing w:val="-50"/>
        </w:rPr>
      </w:r>
      <w:r>
        <w:rPr/>
        <w:t>监事及高级管理人员作出人事任免决定的情形。</w:t>
      </w:r>
    </w:p>
    <w:p>
      <w:pPr>
        <w:pStyle w:val="BodyText"/>
        <w:spacing w:line="338" w:lineRule="auto" w:before="58"/>
        <w:ind w:right="0" w:firstLine="1"/>
        <w:jc w:val="left"/>
      </w:pPr>
      <w:r>
        <w:rPr>
          <w:rFonts w:ascii="Times New Roman" w:hAnsi="Times New Roman" w:cs="Times New Roman" w:eastAsia="Times New Roman" w:hint="default"/>
          <w:b/>
          <w:bCs/>
        </w:rPr>
        <w:t>3</w:t>
      </w:r>
      <w:r>
        <w:rPr>
          <w:rFonts w:ascii="宋体" w:hAnsi="宋体" w:cs="宋体" w:eastAsia="宋体" w:hint="default"/>
          <w:b/>
          <w:bCs/>
        </w:rPr>
        <w:t>、资产独立情况</w:t>
      </w:r>
      <w:r>
        <w:rPr>
          <w:rFonts w:ascii="宋体" w:hAnsi="宋体" w:cs="宋体" w:eastAsia="宋体" w:hint="default"/>
          <w:b/>
          <w:bCs/>
          <w:w w:val="99"/>
        </w:rPr>
        <w:t> </w:t>
      </w:r>
      <w:r>
        <w:rPr>
          <w:spacing w:val="-2"/>
        </w:rPr>
        <w:t>公司拥有独立完整的资产，公司的资产全部处于公司的控制之下，并为公司独立拥有和运营。公司不存在资金、资产被</w:t>
      </w:r>
    </w:p>
    <w:p>
      <w:pPr>
        <w:pStyle w:val="BodyText"/>
        <w:spacing w:line="240" w:lineRule="auto" w:before="4"/>
        <w:ind w:left="174" w:right="0"/>
        <w:jc w:val="both"/>
      </w:pPr>
      <w:r>
        <w:rPr/>
        <w:t>控股股东占用的情形。</w:t>
      </w:r>
    </w:p>
    <w:p>
      <w:pPr>
        <w:pStyle w:val="BodyText"/>
        <w:spacing w:line="338" w:lineRule="auto" w:before="116"/>
        <w:ind w:right="1117" w:firstLine="1"/>
        <w:jc w:val="left"/>
      </w:pPr>
      <w:r>
        <w:rPr>
          <w:rFonts w:ascii="Times New Roman" w:hAnsi="Times New Roman" w:cs="Times New Roman" w:eastAsia="Times New Roman" w:hint="default"/>
          <w:b/>
          <w:bCs/>
        </w:rPr>
        <w:t>4</w:t>
      </w:r>
      <w:r>
        <w:rPr>
          <w:rFonts w:ascii="宋体" w:hAnsi="宋体" w:cs="宋体" w:eastAsia="宋体" w:hint="default"/>
          <w:b/>
          <w:bCs/>
        </w:rPr>
        <w:t>、机构独立情况</w:t>
      </w:r>
      <w:r>
        <w:rPr>
          <w:rFonts w:ascii="宋体" w:hAnsi="宋体" w:cs="宋体" w:eastAsia="宋体" w:hint="default"/>
          <w:b/>
          <w:bCs/>
          <w:w w:val="99"/>
        </w:rPr>
        <w:t> </w:t>
      </w:r>
      <w:r>
        <w:rPr>
          <w:spacing w:val="-5"/>
        </w:rPr>
        <w:t>公司建立健全了包括股东大会、董事会、监事会、总经理办公会相互制衡的法人治理结构，并严格按照《公司法》、《公</w:t>
      </w:r>
    </w:p>
    <w:p>
      <w:pPr>
        <w:pStyle w:val="BodyText"/>
        <w:spacing w:line="319" w:lineRule="auto" w:before="2"/>
        <w:ind w:left="174" w:right="1133"/>
        <w:jc w:val="both"/>
      </w:pPr>
      <w:r>
        <w:rPr>
          <w:spacing w:val="-2"/>
        </w:rPr>
        <w:t>司章程》等规定履行各自的职责；公司根据经营管理需要设置了完全独立于控股股东的内部组织机构。公司独立行使经营管</w:t>
      </w:r>
      <w:r>
        <w:rPr>
          <w:spacing w:val="-66"/>
        </w:rPr>
        <w:t> </w:t>
      </w:r>
      <w:r>
        <w:rPr>
          <w:spacing w:val="-66"/>
        </w:rPr>
      </w:r>
      <w:r>
        <w:rPr/>
        <w:t>理职权，与控股股东之间不存在机构混同的情形。</w:t>
      </w:r>
    </w:p>
    <w:p>
      <w:pPr>
        <w:pStyle w:val="BodyText"/>
        <w:spacing w:line="338" w:lineRule="auto" w:before="56"/>
        <w:ind w:right="0" w:firstLine="1"/>
        <w:jc w:val="left"/>
      </w:pPr>
      <w:r>
        <w:rPr>
          <w:rFonts w:ascii="Times New Roman" w:hAnsi="Times New Roman" w:cs="Times New Roman" w:eastAsia="Times New Roman" w:hint="default"/>
          <w:b/>
          <w:bCs/>
        </w:rPr>
        <w:t>5</w:t>
      </w:r>
      <w:r>
        <w:rPr>
          <w:rFonts w:ascii="宋体" w:hAnsi="宋体" w:cs="宋体" w:eastAsia="宋体" w:hint="default"/>
          <w:b/>
          <w:bCs/>
        </w:rPr>
        <w:t>、财务独立情况</w:t>
      </w:r>
      <w:r>
        <w:rPr>
          <w:rFonts w:ascii="宋体" w:hAnsi="宋体" w:cs="宋体" w:eastAsia="宋体" w:hint="default"/>
          <w:b/>
          <w:bCs/>
          <w:w w:val="99"/>
        </w:rPr>
        <w:t> </w:t>
      </w:r>
      <w:r>
        <w:rPr>
          <w:spacing w:val="-2"/>
        </w:rPr>
        <w:t>公司设立了独立于控股股东及其他发起人股东的财务部门，建立了独立的会计核算体系和财务管理制度。公司以独立法</w:t>
      </w:r>
    </w:p>
    <w:p>
      <w:pPr>
        <w:pStyle w:val="BodyText"/>
        <w:spacing w:line="319" w:lineRule="auto" w:before="2"/>
        <w:ind w:left="174" w:right="1131"/>
        <w:jc w:val="both"/>
      </w:pPr>
      <w:r>
        <w:rPr>
          <w:spacing w:val="-2"/>
        </w:rPr>
        <w:t>人的地位对外编制会计报表，公司独立作出财务决策，独立在银行开户，依法独立进行纳税申报和履行纳税义务。公司独立</w:t>
      </w:r>
      <w:r>
        <w:rPr>
          <w:spacing w:val="-66"/>
        </w:rPr>
        <w:t> </w:t>
      </w:r>
      <w:r>
        <w:rPr>
          <w:spacing w:val="-66"/>
        </w:rPr>
      </w:r>
      <w:r>
        <w:rPr>
          <w:spacing w:val="-2"/>
        </w:rPr>
        <w:t>对外签订合同，不受股东和关联方的影响。公司不存在为控股股东提供担保，也不存在将本公司的借款转借给控股股东及其</w:t>
      </w:r>
      <w:r>
        <w:rPr>
          <w:spacing w:val="-66"/>
        </w:rPr>
        <w:t> </w:t>
      </w:r>
      <w:r>
        <w:rPr>
          <w:spacing w:val="-66"/>
        </w:rPr>
      </w:r>
      <w:r>
        <w:rPr/>
        <w:t>他发起人股东使用的情形。</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同业竞争情况" w:id="160"/>
      <w:bookmarkEnd w:id="160"/>
      <w:r>
        <w:rPr>
          <w:b w:val="0"/>
          <w:bCs w:val="0"/>
        </w:rPr>
      </w:r>
      <w:r>
        <w:rPr/>
        <w:t>三、同业竞争情况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7"/>
        <w:rPr>
          <w:rFonts w:ascii="宋体" w:hAnsi="宋体" w:cs="宋体" w:eastAsia="宋体" w:hint="default"/>
          <w:sz w:val="22"/>
          <w:szCs w:val="22"/>
        </w:rPr>
      </w:pPr>
    </w:p>
    <w:p>
      <w:pPr>
        <w:pStyle w:val="Heading2"/>
        <w:spacing w:line="240" w:lineRule="auto" w:before="26"/>
        <w:ind w:right="0"/>
        <w:jc w:val="left"/>
        <w:rPr>
          <w:b w:val="0"/>
          <w:bCs w:val="0"/>
        </w:rPr>
      </w:pPr>
      <w:bookmarkStart w:name="四、报告期内召开的年度股东大会和临时股东大会的有关情况" w:id="161"/>
      <w:bookmarkEnd w:id="161"/>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本报告期股东大会情况" w:id="162"/>
      <w:bookmarkEnd w:id="16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1078"/>
        <w:gridCol w:w="1076"/>
        <w:gridCol w:w="1078"/>
        <w:gridCol w:w="1077"/>
        <w:gridCol w:w="1078"/>
        <w:gridCol w:w="4113"/>
      </w:tblGrid>
      <w:tr>
        <w:trPr>
          <w:trHeight w:val="570"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52" w:right="83"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7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7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81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2"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 大会</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43"/>
              <w:jc w:val="left"/>
              <w:rPr>
                <w:rFonts w:ascii="宋体" w:hAnsi="宋体" w:cs="宋体" w:eastAsia="宋体" w:hint="default"/>
                <w:sz w:val="18"/>
                <w:szCs w:val="18"/>
              </w:rPr>
            </w:pPr>
            <w:r>
              <w:rPr>
                <w:rFonts w:ascii="宋体" w:hAnsi="宋体" w:cs="宋体" w:eastAsia="宋体" w:hint="default"/>
                <w:sz w:val="18"/>
                <w:szCs w:val="18"/>
              </w:rPr>
              <w:t>临时股东大 会</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64.6092%</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2" w:right="76"/>
              <w:jc w:val="both"/>
              <w:rPr>
                <w:rFonts w:ascii="Times New Roman" w:hAnsi="Times New Roman" w:cs="Times New Roman" w:eastAsia="Times New Roman" w:hint="default"/>
                <w:sz w:val="18"/>
                <w:szCs w:val="18"/>
              </w:rPr>
            </w:pPr>
            <w:hyperlink r:id="rId17">
              <w:r>
                <w:rPr>
                  <w:rFonts w:ascii="Times New Roman"/>
                  <w:spacing w:val="-1"/>
                  <w:sz w:val="18"/>
                </w:rPr>
                <w:t>http://www.cninfo.com.cn/new/disclosure/detail?plate=</w:t>
              </w:r>
            </w:hyperlink>
            <w:r>
              <w:rPr>
                <w:rFonts w:ascii="Times New Roman"/>
                <w:spacing w:val="-16"/>
                <w:sz w:val="18"/>
              </w:rPr>
              <w:t> </w:t>
            </w:r>
            <w:r>
              <w:rPr>
                <w:rFonts w:ascii="Times New Roman"/>
                <w:spacing w:val="-16"/>
                <w:sz w:val="18"/>
              </w:rPr>
            </w:r>
            <w:r>
              <w:rPr>
                <w:rFonts w:ascii="Times New Roman"/>
                <w:sz w:val="18"/>
              </w:rPr>
              <w:t>szse&amp;stockCode=002530&amp;announcementId=12048236</w:t>
            </w:r>
            <w:r>
              <w:rPr>
                <w:rFonts w:ascii="Times New Roman"/>
                <w:sz w:val="18"/>
              </w:rPr>
              <w:t> 98&amp;announcementTime=2018-04-28</w:t>
            </w:r>
          </w:p>
        </w:tc>
      </w:tr>
      <w:tr>
        <w:trPr>
          <w:trHeight w:val="81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58"/>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43"/>
              <w:jc w:val="left"/>
              <w:rPr>
                <w:rFonts w:ascii="宋体" w:hAnsi="宋体" w:cs="宋体" w:eastAsia="宋体" w:hint="default"/>
                <w:sz w:val="18"/>
                <w:szCs w:val="18"/>
              </w:rPr>
            </w:pPr>
            <w:r>
              <w:rPr>
                <w:rFonts w:ascii="宋体" w:hAnsi="宋体" w:cs="宋体" w:eastAsia="宋体" w:hint="default"/>
                <w:sz w:val="18"/>
                <w:szCs w:val="18"/>
              </w:rPr>
              <w:t>年度股东大 会</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55.6221%</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1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2" w:right="76"/>
              <w:jc w:val="both"/>
              <w:rPr>
                <w:rFonts w:ascii="Times New Roman" w:hAnsi="Times New Roman" w:cs="Times New Roman" w:eastAsia="Times New Roman" w:hint="default"/>
                <w:sz w:val="18"/>
                <w:szCs w:val="18"/>
              </w:rPr>
            </w:pPr>
            <w:hyperlink r:id="rId17">
              <w:r>
                <w:rPr>
                  <w:rFonts w:ascii="Times New Roman"/>
                  <w:spacing w:val="-1"/>
                  <w:sz w:val="18"/>
                </w:rPr>
                <w:t>http://www.cninfo.com.cn/new/disclosure/detail?plate=</w:t>
              </w:r>
            </w:hyperlink>
            <w:r>
              <w:rPr>
                <w:rFonts w:ascii="Times New Roman"/>
                <w:spacing w:val="-16"/>
                <w:sz w:val="18"/>
              </w:rPr>
              <w:t> </w:t>
            </w:r>
            <w:r>
              <w:rPr>
                <w:rFonts w:ascii="Times New Roman"/>
                <w:spacing w:val="-16"/>
                <w:sz w:val="18"/>
              </w:rPr>
            </w:r>
            <w:r>
              <w:rPr>
                <w:rFonts w:ascii="Times New Roman"/>
                <w:sz w:val="18"/>
              </w:rPr>
              <w:t>szse&amp;stockCode=002530&amp;announcementId=12049449</w:t>
            </w:r>
            <w:r>
              <w:rPr>
                <w:rFonts w:ascii="Times New Roman"/>
                <w:sz w:val="18"/>
              </w:rPr>
              <w:t> 67&amp;announcementTime=2018-05-16</w:t>
            </w:r>
          </w:p>
        </w:tc>
      </w:tr>
    </w:tbl>
    <w:p>
      <w:pPr>
        <w:spacing w:line="240" w:lineRule="auto" w:before="10"/>
        <w:rPr>
          <w:rFonts w:ascii="宋体" w:hAnsi="宋体" w:cs="宋体" w:eastAsia="宋体" w:hint="default"/>
          <w:b/>
          <w:bCs/>
          <w:sz w:val="9"/>
          <w:szCs w:val="9"/>
        </w:rPr>
      </w:pPr>
    </w:p>
    <w:p>
      <w:pPr>
        <w:pStyle w:val="Heading3"/>
        <w:spacing w:line="240" w:lineRule="auto"/>
        <w:ind w:right="0"/>
        <w:jc w:val="left"/>
        <w:rPr>
          <w:b w:val="0"/>
          <w:bCs w:val="0"/>
        </w:rPr>
      </w:pPr>
      <w:bookmarkStart w:name="2、表决权恢复的优先股股东请求召开临时股东大会" w:id="163"/>
      <w:bookmarkEnd w:id="16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Heading2"/>
        <w:spacing w:line="240" w:lineRule="auto" w:before="123"/>
        <w:ind w:right="0"/>
        <w:jc w:val="left"/>
        <w:rPr>
          <w:b w:val="0"/>
          <w:bCs w:val="0"/>
        </w:rPr>
      </w:pPr>
      <w:bookmarkStart w:name="五、报告期内独立董事履行职责的情况" w:id="164"/>
      <w:bookmarkEnd w:id="164"/>
      <w:r>
        <w:rPr>
          <w:b w:val="0"/>
          <w:bCs w:val="0"/>
        </w:rPr>
      </w:r>
      <w:r>
        <w:rPr/>
        <w:t>五、报告期内独立董事履行职责的情况</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独立董事出席董事会及股东大会的情况" w:id="165"/>
      <w:bookmarkEnd w:id="16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809"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1"/>
              <w:ind w:left="125" w:right="126" w:firstLine="90"/>
              <w:jc w:val="left"/>
              <w:rPr>
                <w:rFonts w:ascii="宋体" w:hAnsi="宋体" w:cs="宋体" w:eastAsia="宋体" w:hint="default"/>
                <w:sz w:val="18"/>
                <w:szCs w:val="18"/>
              </w:rPr>
            </w:pPr>
            <w:r>
              <w:rPr>
                <w:rFonts w:ascii="宋体" w:hAnsi="宋体" w:cs="宋体" w:eastAsia="宋体" w:hint="default"/>
                <w:sz w:val="18"/>
                <w:szCs w:val="18"/>
              </w:rPr>
              <w:t>现场出席 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1"/>
              <w:ind w:left="127" w:right="125" w:firstLine="90"/>
              <w:jc w:val="left"/>
              <w:rPr>
                <w:rFonts w:ascii="宋体" w:hAnsi="宋体" w:cs="宋体" w:eastAsia="宋体" w:hint="default"/>
                <w:sz w:val="18"/>
                <w:szCs w:val="18"/>
              </w:rPr>
            </w:pPr>
            <w:r>
              <w:rPr>
                <w:rFonts w:ascii="宋体" w:hAnsi="宋体" w:cs="宋体" w:eastAsia="宋体" w:hint="default"/>
                <w:sz w:val="18"/>
                <w:szCs w:val="18"/>
              </w:rPr>
              <w:t>委托出席 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1"/>
              <w:ind w:left="395" w:right="125"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10"/>
        <w:rPr>
          <w:rFonts w:ascii="宋体" w:hAnsi="宋体" w:cs="宋体" w:eastAsia="宋体" w:hint="default"/>
          <w:b/>
          <w:bCs/>
          <w:sz w:val="9"/>
          <w:szCs w:val="9"/>
        </w:rPr>
      </w:pPr>
    </w:p>
    <w:p>
      <w:pPr>
        <w:pStyle w:val="Heading3"/>
        <w:spacing w:line="240" w:lineRule="auto"/>
        <w:ind w:right="0"/>
        <w:jc w:val="left"/>
        <w:rPr>
          <w:b w:val="0"/>
          <w:bCs w:val="0"/>
        </w:rPr>
      </w:pPr>
      <w:bookmarkStart w:name="2、独立董事对公司有关事项提出异议的情况" w:id="166"/>
      <w:bookmarkEnd w:id="16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pStyle w:val="BodyText"/>
        <w:spacing w:line="240" w:lineRule="auto" w:before="158"/>
        <w:ind w:right="0"/>
        <w:jc w:val="left"/>
      </w:pPr>
      <w:r>
        <w:rPr/>
        <w:t>独立董事对公司有关事项是否提出异议</w:t>
      </w:r>
    </w:p>
    <w:p>
      <w:pPr>
        <w:pStyle w:val="BodyText"/>
        <w:spacing w:line="338" w:lineRule="auto" w:before="116"/>
        <w:ind w:right="6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pStyle w:val="Heading3"/>
        <w:spacing w:line="240" w:lineRule="auto" w:before="153"/>
        <w:ind w:right="0"/>
        <w:jc w:val="left"/>
        <w:rPr>
          <w:b w:val="0"/>
          <w:bCs w:val="0"/>
        </w:rPr>
      </w:pPr>
      <w:bookmarkStart w:name="3、独立董事履行职责的其他说明" w:id="167"/>
      <w:bookmarkEnd w:id="167"/>
      <w:r>
        <w:rPr>
          <w:b w:val="0"/>
          <w:bCs w:val="0"/>
        </w:rPr>
      </w:r>
      <w:r>
        <w:rPr>
          <w:rFonts w:ascii="Times New Roman" w:hAnsi="Times New Roman" w:cs="Times New Roman" w:eastAsia="Times New Roman" w:hint="default"/>
        </w:rPr>
        <w:t>3</w:t>
      </w:r>
      <w:r>
        <w:rPr/>
        <w:t>、独立董事履行职责的其他说明</w:t>
      </w:r>
      <w:r>
        <w:rPr>
          <w:b w:val="0"/>
          <w:bCs w:val="0"/>
        </w:rPr>
      </w:r>
    </w:p>
    <w:p>
      <w:pPr>
        <w:pStyle w:val="BodyText"/>
        <w:spacing w:line="240" w:lineRule="auto" w:before="158"/>
        <w:ind w:right="0"/>
        <w:jc w:val="left"/>
      </w:pPr>
      <w:r>
        <w:rPr/>
        <w:t>独立董事对公司有关建议是否被采纳</w:t>
      </w:r>
    </w:p>
    <w:p>
      <w:pPr>
        <w:pStyle w:val="BodyText"/>
        <w:spacing w:line="338" w:lineRule="auto" w:before="117"/>
        <w:ind w:right="64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2" w:lineRule="auto" w:before="41"/>
        <w:ind w:left="174"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年度，独立董事通过多种渠道及时获悉公司各重大事项及其进展情况，定期审阅公司提供的信息报告，及时了解 </w:t>
      </w:r>
      <w:r>
        <w:rPr>
          <w:spacing w:val="-2"/>
        </w:rPr>
        <w:t>掌握公司经营与发展情况，深入探讨公司经营发展中的机遇与挑战，及时提示风险。报告期内，独立董事重点关注公司关联</w:t>
      </w:r>
      <w:r>
        <w:rPr>
          <w:spacing w:val="-65"/>
        </w:rPr>
        <w:t> </w:t>
      </w:r>
      <w:r>
        <w:rPr>
          <w:spacing w:val="-65"/>
        </w:rPr>
      </w:r>
      <w:r>
        <w:rPr>
          <w:spacing w:val="-2"/>
        </w:rPr>
        <w:t>交易、是否存在大股东资金占用、募投项目的实施进展情况等。针对收购益东金财投资份额的关联交易等事项提出合理化建</w:t>
      </w:r>
      <w:r>
        <w:rPr>
          <w:spacing w:val="-66"/>
        </w:rPr>
        <w:t> </w:t>
      </w:r>
      <w:r>
        <w:rPr>
          <w:spacing w:val="-66"/>
        </w:rPr>
      </w:r>
      <w:r>
        <w:rPr/>
        <w:t>议，公司积极采纳独立董事的建议，保证了董事会决策的科学性。</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六、董事会下设专门委员会在报告期内履行职责情况" w:id="168"/>
      <w:bookmarkEnd w:id="168"/>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公司董事会下设四个专门委员会，分别为审计委员会、战略委员会、提名委员会、薪酬委员会。</w:t>
      </w:r>
      <w:r>
        <w:rPr>
          <w:rFonts w:ascii="Times New Roman" w:hAnsi="Times New Roman" w:cs="Times New Roman" w:eastAsia="Times New Roman" w:hint="default"/>
        </w:rPr>
        <w:t>2018 </w:t>
      </w:r>
      <w:r>
        <w:rPr/>
        <w:t>年各专门委员会</w:t>
      </w:r>
    </w:p>
    <w:p>
      <w:pPr>
        <w:spacing w:after="0" w:line="240"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1032"/>
        <w:jc w:val="left"/>
      </w:pPr>
      <w:r>
        <w:rPr/>
        <w:t>本着勤勉尽责的原则，按照有关法律法规、规范性文件及公司各专门委员会工作细则的有关规定开展相关工作，报告期内， 各专门委员会履职情况如下：</w:t>
      </w:r>
    </w:p>
    <w:p>
      <w:pPr>
        <w:pStyle w:val="BodyText"/>
        <w:spacing w:line="338" w:lineRule="auto" w:before="56"/>
        <w:ind w:right="1116" w:firstLine="1"/>
        <w:jc w:val="left"/>
      </w:pPr>
      <w:r>
        <w:rPr>
          <w:rFonts w:ascii="Times New Roman" w:hAnsi="Times New Roman" w:cs="Times New Roman" w:eastAsia="Times New Roman" w:hint="default"/>
          <w:b/>
          <w:bCs/>
        </w:rPr>
        <w:t>1</w:t>
      </w:r>
      <w:r>
        <w:rPr>
          <w:rFonts w:ascii="宋体" w:hAnsi="宋体" w:cs="宋体" w:eastAsia="宋体" w:hint="default"/>
          <w:b/>
          <w:bCs/>
        </w:rPr>
        <w:t>、审计委员会履职情况</w:t>
      </w:r>
      <w:r>
        <w:rPr>
          <w:rFonts w:ascii="宋体" w:hAnsi="宋体" w:cs="宋体" w:eastAsia="宋体" w:hint="default"/>
          <w:b/>
          <w:bCs/>
          <w:w w:val="99"/>
        </w:rPr>
        <w:t> </w:t>
      </w:r>
      <w:r>
        <w:rPr>
          <w:spacing w:val="-2"/>
        </w:rPr>
        <w:t>报告期内，审计委员会根据有关规定积极开展相关工作，认真履行职责。报告期内，审计委员会共召开了</w:t>
      </w:r>
      <w:r>
        <w:rPr/>
        <w:t> </w:t>
      </w:r>
      <w:r>
        <w:rPr>
          <w:rFonts w:ascii="Times New Roman" w:hAnsi="Times New Roman" w:cs="Times New Roman" w:eastAsia="Times New Roman" w:hint="default"/>
        </w:rPr>
        <w:t>6</w:t>
      </w:r>
      <w:r>
        <w:rPr>
          <w:rFonts w:ascii="Times New Roman" w:hAnsi="Times New Roman" w:cs="Times New Roman" w:eastAsia="Times New Roman" w:hint="default"/>
          <w:spacing w:val="-17"/>
        </w:rPr>
        <w:t> </w:t>
      </w:r>
      <w:r>
        <w:rPr>
          <w:spacing w:val="-4"/>
        </w:rPr>
        <w:t>次会议，审</w:t>
      </w:r>
    </w:p>
    <w:p>
      <w:pPr>
        <w:pStyle w:val="BodyText"/>
        <w:spacing w:line="217" w:lineRule="exact" w:before="0"/>
        <w:ind w:left="174" w:right="0"/>
        <w:jc w:val="left"/>
      </w:pPr>
      <w:r>
        <w:rPr/>
        <w:t>议了公司内部审计部提交的各项内部审计报告，听取了内部审计部年度工作总结和工作计划安排；对公司年度审计、外部审</w:t>
      </w:r>
    </w:p>
    <w:p>
      <w:pPr>
        <w:pStyle w:val="BodyText"/>
        <w:spacing w:line="240" w:lineRule="auto" w:before="77"/>
        <w:ind w:left="174" w:right="0"/>
        <w:jc w:val="left"/>
      </w:pPr>
      <w:r>
        <w:rPr/>
        <w:t>计机构的聘用等事项给予合理化的建议；对财务报告、募集资金使用、内部控制建设等情况进行审核。</w:t>
      </w:r>
    </w:p>
    <w:p>
      <w:pPr>
        <w:pStyle w:val="Heading4"/>
        <w:spacing w:line="240" w:lineRule="auto" w:before="116"/>
        <w:ind w:right="0"/>
        <w:jc w:val="left"/>
        <w:rPr>
          <w:b w:val="0"/>
          <w:bCs w:val="0"/>
        </w:rPr>
      </w:pPr>
      <w:r>
        <w:rPr>
          <w:rFonts w:ascii="Times New Roman" w:hAnsi="Times New Roman" w:cs="Times New Roman" w:eastAsia="Times New Roman" w:hint="default"/>
        </w:rPr>
        <w:t>2</w:t>
      </w:r>
      <w:r>
        <w:rPr/>
        <w:t>、战略委员会履职情况</w:t>
      </w:r>
      <w:r>
        <w:rPr>
          <w:b w:val="0"/>
          <w:bCs w:val="0"/>
        </w:rPr>
      </w:r>
    </w:p>
    <w:p>
      <w:pPr>
        <w:pStyle w:val="BodyText"/>
        <w:spacing w:line="302" w:lineRule="auto" w:before="101"/>
        <w:ind w:left="174" w:right="1126" w:firstLine="360"/>
        <w:jc w:val="left"/>
      </w:pPr>
      <w:r>
        <w:rPr/>
        <w:t>报告期内，战略委员会召开了</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次会议，讨论了公司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年度发展战略和投资计划，为公司全年发展指明方向；审议 了关于公司参与设立并购基金的进展情况、调整青岛高新金财股权收购价格、收购益东金财投资份额暨关联交易等事项。</w:t>
      </w:r>
    </w:p>
    <w:p>
      <w:pPr>
        <w:pStyle w:val="Heading4"/>
        <w:spacing w:line="240" w:lineRule="auto" w:before="70"/>
        <w:ind w:right="0"/>
        <w:jc w:val="left"/>
        <w:rPr>
          <w:b w:val="0"/>
          <w:bCs w:val="0"/>
        </w:rPr>
      </w:pPr>
      <w:r>
        <w:rPr>
          <w:rFonts w:ascii="Times New Roman" w:hAnsi="Times New Roman" w:cs="Times New Roman" w:eastAsia="Times New Roman" w:hint="default"/>
        </w:rPr>
        <w:t>3</w:t>
      </w:r>
      <w:r>
        <w:rPr/>
        <w:t>、提名委员会履职情况</w:t>
      </w:r>
      <w:r>
        <w:rPr>
          <w:b w:val="0"/>
          <w:bCs w:val="0"/>
        </w:rPr>
      </w:r>
    </w:p>
    <w:p>
      <w:pPr>
        <w:pStyle w:val="BodyText"/>
        <w:spacing w:line="302" w:lineRule="auto" w:before="101"/>
        <w:ind w:left="174" w:right="1113" w:firstLine="360"/>
        <w:jc w:val="left"/>
      </w:pPr>
      <w:r>
        <w:rPr>
          <w:spacing w:val="-3"/>
        </w:rPr>
        <w:t>报告期内，提名委员会召开了</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次会议，对审计委员会提名的内部审计负责人任职资格进行了审核，并提交公司第四届 董事会第十五次会议审议；对公司现任董事、监事、高级管理人员的任职合理情况进行审核。</w:t>
      </w:r>
    </w:p>
    <w:p>
      <w:pPr>
        <w:pStyle w:val="Heading4"/>
        <w:spacing w:line="240" w:lineRule="auto" w:before="69"/>
        <w:ind w:right="0"/>
        <w:jc w:val="left"/>
        <w:rPr>
          <w:b w:val="0"/>
          <w:bCs w:val="0"/>
        </w:rPr>
      </w:pPr>
      <w:r>
        <w:rPr>
          <w:rFonts w:ascii="Times New Roman" w:hAnsi="Times New Roman" w:cs="Times New Roman" w:eastAsia="Times New Roman" w:hint="default"/>
        </w:rPr>
        <w:t>4</w:t>
      </w:r>
      <w:r>
        <w:rPr/>
        <w:t>、薪酬委员会履职情况</w:t>
      </w:r>
      <w:r>
        <w:rPr>
          <w:b w:val="0"/>
          <w:bCs w:val="0"/>
        </w:rPr>
      </w:r>
    </w:p>
    <w:p>
      <w:pPr>
        <w:pStyle w:val="BodyText"/>
        <w:spacing w:line="302" w:lineRule="auto" w:before="102"/>
        <w:ind w:left="174" w:right="1126" w:firstLine="360"/>
        <w:jc w:val="left"/>
      </w:pPr>
      <w:r>
        <w:rPr/>
        <w:t>报告期内，薪酬委员会召开了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次会议，对现任的董事、高级管理人员的</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年度薪酬考核情况进行了审核，认为公 司现任董事、高级管理人员的薪酬相对合理，符合公司发展现状。</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七、监事会工作情况" w:id="169"/>
      <w:bookmarkEnd w:id="169"/>
      <w:r>
        <w:rPr>
          <w:b w:val="0"/>
          <w:bCs w:val="0"/>
        </w:rPr>
      </w:r>
      <w:r>
        <w:rPr/>
        <w:t>七、监事会工作情况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38"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bookmarkStart w:name="八、高级管理人员的考评及激励情况" w:id="170"/>
      <w:bookmarkEnd w:id="170"/>
      <w:r>
        <w:rPr>
          <w:b w:val="0"/>
          <w:bCs w:val="0"/>
        </w:rPr>
      </w:r>
      <w:r>
        <w:rPr/>
        <w:t>八、高级管理人员的考评及激励情况</w:t>
      </w:r>
      <w:r>
        <w:rPr>
          <w:b w:val="0"/>
          <w:bCs w:val="0"/>
        </w:rPr>
      </w:r>
    </w:p>
    <w:p>
      <w:pPr>
        <w:spacing w:line="240" w:lineRule="auto" w:before="9"/>
        <w:rPr>
          <w:rFonts w:ascii="宋体" w:hAnsi="宋体" w:cs="宋体" w:eastAsia="宋体" w:hint="default"/>
          <w:b/>
          <w:bCs/>
          <w:sz w:val="26"/>
          <w:szCs w:val="26"/>
        </w:rPr>
      </w:pPr>
    </w:p>
    <w:p>
      <w:pPr>
        <w:pStyle w:val="BodyText"/>
        <w:spacing w:line="309" w:lineRule="auto" w:before="0"/>
        <w:ind w:left="174" w:right="1131" w:firstLine="360"/>
        <w:jc w:val="both"/>
      </w:pPr>
      <w:r>
        <w:rPr>
          <w:spacing w:val="-2"/>
        </w:rPr>
        <w:t>高级管理人员实行年薪制，依据行业及地区薪酬水平、个人岗位职责、公司经营效益等因素确定。结合公司实际经营业</w:t>
      </w:r>
      <w:r>
        <w:rPr/>
        <w:t> 绩和高级管理人员的履职情况进行绩效考核，并根据考核情况核发年度绩效薪酬。</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年度高级管理人员的考核均为良好 以上。</w:t>
      </w:r>
    </w:p>
    <w:p>
      <w:pPr>
        <w:pStyle w:val="BodyText"/>
        <w:spacing w:line="240" w:lineRule="auto" w:before="65"/>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年度公司未实行股权激励计划。</w:t>
      </w:r>
    </w:p>
    <w:p>
      <w:pPr>
        <w:spacing w:line="240" w:lineRule="auto" w:before="0"/>
        <w:rPr>
          <w:rFonts w:ascii="宋体" w:hAnsi="宋体" w:cs="宋体" w:eastAsia="宋体" w:hint="default"/>
          <w:sz w:val="18"/>
          <w:szCs w:val="18"/>
        </w:rPr>
      </w:pPr>
    </w:p>
    <w:p>
      <w:pPr>
        <w:pStyle w:val="Heading2"/>
        <w:spacing w:line="240" w:lineRule="auto" w:before="122"/>
        <w:ind w:right="0"/>
        <w:jc w:val="left"/>
        <w:rPr>
          <w:b w:val="0"/>
          <w:bCs w:val="0"/>
        </w:rPr>
      </w:pPr>
      <w:bookmarkStart w:name="九、内部控制评价报告" w:id="171"/>
      <w:bookmarkEnd w:id="171"/>
      <w:r>
        <w:rPr>
          <w:b w:val="0"/>
          <w:bCs w:val="0"/>
        </w:rPr>
      </w:r>
      <w:r>
        <w:rPr/>
        <w:t>九、内部控制评价报告</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报告期内发现的内部控制重大缺陷的具体情况" w:id="172"/>
      <w:bookmarkEnd w:id="17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内控自我评价报告" w:id="173"/>
      <w:bookmarkEnd w:id="17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4"/>
        <w:rPr>
          <w:rFonts w:ascii="宋体" w:hAnsi="宋体" w:cs="宋体" w:eastAsia="宋体" w:hint="default"/>
          <w:b/>
          <w:bCs/>
          <w:sz w:val="11"/>
          <w:szCs w:val="11"/>
        </w:rPr>
      </w:pPr>
    </w:p>
    <w:tbl>
      <w:tblPr>
        <w:tblW w:w="0" w:type="auto"/>
        <w:jc w:val="left"/>
        <w:tblInd w:w="180" w:type="dxa"/>
        <w:tblLayout w:type="fixed"/>
        <w:tblCellMar>
          <w:top w:w="0" w:type="dxa"/>
          <w:left w:w="0" w:type="dxa"/>
          <w:bottom w:w="0" w:type="dxa"/>
          <w:right w:w="0" w:type="dxa"/>
        </w:tblCellMar>
        <w:tblLook w:val="01E0"/>
      </w:tblPr>
      <w:tblGrid>
        <w:gridCol w:w="1265"/>
        <w:gridCol w:w="4530"/>
        <w:gridCol w:w="3762"/>
      </w:tblGrid>
      <w:tr>
        <w:trPr>
          <w:trHeight w:val="370" w:hRule="exact"/>
        </w:trPr>
        <w:tc>
          <w:tcPr>
            <w:tcW w:w="57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3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70" w:hRule="exact"/>
        </w:trPr>
        <w:tc>
          <w:tcPr>
            <w:tcW w:w="57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3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17"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71" w:hRule="exact"/>
        </w:trPr>
        <w:tc>
          <w:tcPr>
            <w:tcW w:w="57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3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70" w:hRule="exact"/>
        </w:trPr>
        <w:tc>
          <w:tcPr>
            <w:tcW w:w="57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37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70"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70"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551" w:footer="979" w:top="1120" w:bottom="1160" w:left="9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40" w:lineRule="auto"/>
        <w:ind w:left="0" w:right="1149"/>
        <w:jc w:val="right"/>
      </w:pPr>
      <w:r>
        <w:rPr/>
        <w:pict>
          <v:shape style="position:absolute;margin-left:56.459999pt;margin-top:-49.328278pt;width:479.2pt;height:567.550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4536"/>
                    <w:gridCol w:w="3756"/>
                  </w:tblGrid>
                  <w:tr>
                    <w:trPr>
                      <w:trHeight w:val="44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3" w:right="2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、重大缺陷：单独缺陷或连同其他缺陷导致不能及 </w:t>
                        </w:r>
                        <w:r>
                          <w:rPr>
                            <w:rFonts w:ascii="宋体" w:hAnsi="宋体" w:cs="宋体" w:eastAsia="宋体" w:hint="default"/>
                            <w:spacing w:val="-1"/>
                            <w:sz w:val="18"/>
                            <w:szCs w:val="18"/>
                          </w:rPr>
                          <w:t>时防止或发现并纠正财务报告中的重大错报。出现下列情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形的，认定为重大缺陷：</w:t>
                        </w:r>
                      </w:p>
                      <w:p>
                        <w:pPr>
                          <w:pStyle w:val="TableParagraph"/>
                          <w:spacing w:line="240" w:lineRule="auto" w:before="44"/>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）控制环境无效；</w:t>
                        </w:r>
                      </w:p>
                      <w:p>
                        <w:pPr>
                          <w:pStyle w:val="TableParagraph"/>
                          <w:spacing w:line="240" w:lineRule="auto" w:before="3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）董事、监事和高级管理人员舞弊行为；</w:t>
                        </w:r>
                      </w:p>
                      <w:p>
                        <w:pPr>
                          <w:pStyle w:val="TableParagraph"/>
                          <w:spacing w:line="240" w:lineRule="exact" w:before="49"/>
                          <w:ind w:left="23"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）外部审计发现当期财务报告存在重大错报，公 司在运行过程中未能发现该错报；</w:t>
                        </w:r>
                      </w:p>
                      <w:p>
                        <w:pPr>
                          <w:pStyle w:val="TableParagraph"/>
                          <w:spacing w:line="240" w:lineRule="exact" w:before="39"/>
                          <w:ind w:left="23" w:right="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）已经发现并报告给管理层的重大缺陷在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天内 未加以改正；</w:t>
                        </w:r>
                      </w:p>
                      <w:p>
                        <w:pPr>
                          <w:pStyle w:val="TableParagraph"/>
                          <w:spacing w:line="238" w:lineRule="exact" w:before="42"/>
                          <w:ind w:left="23"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）公司审计委员会和内部审计部对内部控制的监 督无效；</w:t>
                        </w:r>
                      </w:p>
                      <w:p>
                        <w:pPr>
                          <w:pStyle w:val="TableParagraph"/>
                          <w:spacing w:line="240" w:lineRule="auto" w:before="2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）其他可能影响报表使用者正确判断的缺陷。</w:t>
                        </w:r>
                      </w:p>
                      <w:p>
                        <w:pPr>
                          <w:pStyle w:val="TableParagraph"/>
                          <w:spacing w:line="237" w:lineRule="auto" w:before="32"/>
                          <w:ind w:left="23"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、重要缺陷：单独缺陷或连同其他缺陷导致不能及 时防止或发现并纠正财务报告中虽然未达到和超过重要 性水平，仍应引起管理层重视的错报。</w:t>
                        </w:r>
                      </w:p>
                      <w:p>
                        <w:pPr>
                          <w:pStyle w:val="TableParagraph"/>
                          <w:spacing w:line="238" w:lineRule="exact" w:before="65"/>
                          <w:ind w:left="23"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、一般缺陷：不构成重大缺陷或重要缺陷的其他内 部控制缺陷。</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2" w:lineRule="auto"/>
                          <w:ind w:left="23" w:right="21" w:firstLine="360"/>
                          <w:jc w:val="left"/>
                          <w:rPr>
                            <w:rFonts w:ascii="宋体" w:hAnsi="宋体" w:cs="宋体" w:eastAsia="宋体" w:hint="default"/>
                            <w:sz w:val="18"/>
                            <w:szCs w:val="18"/>
                          </w:rPr>
                        </w:pPr>
                        <w:r>
                          <w:rPr>
                            <w:rFonts w:ascii="宋体" w:hAnsi="宋体" w:cs="宋体" w:eastAsia="宋体" w:hint="default"/>
                            <w:spacing w:val="-5"/>
                            <w:sz w:val="18"/>
                            <w:szCs w:val="18"/>
                          </w:rPr>
                          <w:t>出现以下情形的，认定为重大缺陷，其他情</w:t>
                        </w:r>
                        <w:r>
                          <w:rPr>
                            <w:rFonts w:ascii="宋体" w:hAnsi="宋体" w:cs="宋体" w:eastAsia="宋体" w:hint="default"/>
                            <w:sz w:val="18"/>
                            <w:szCs w:val="18"/>
                          </w:rPr>
                          <w:t> 形按影响程度分别确定为重要缺陷或一般缺陷</w:t>
                        </w:r>
                      </w:p>
                      <w:p>
                        <w:pPr>
                          <w:pStyle w:val="TableParagraph"/>
                          <w:spacing w:line="238" w:lineRule="exact" w:before="63"/>
                          <w:ind w:left="23" w:right="3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）违犯国家法律、法规或规范性文件， 被相关部门处罚，造成较大社会影响；</w:t>
                        </w:r>
                      </w:p>
                      <w:p>
                        <w:pPr>
                          <w:pStyle w:val="TableParagraph"/>
                          <w:spacing w:line="240" w:lineRule="exact" w:before="41"/>
                          <w:ind w:left="23" w:right="3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）涉及公司生产经营的重要业务制度控 制缺失或失效，影响重大决策；</w:t>
                        </w:r>
                      </w:p>
                      <w:p>
                        <w:pPr>
                          <w:pStyle w:val="TableParagraph"/>
                          <w:spacing w:line="240" w:lineRule="auto" w:before="2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）媒体负面报道频现；</w:t>
                        </w:r>
                      </w:p>
                      <w:p>
                        <w:pPr>
                          <w:pStyle w:val="TableParagraph"/>
                          <w:spacing w:line="238" w:lineRule="exact" w:before="51"/>
                          <w:ind w:left="23" w:right="3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）信息披露内部控制失效，导致公司被 监管部门公开谴责；</w:t>
                        </w:r>
                      </w:p>
                      <w:p>
                        <w:pPr>
                          <w:pStyle w:val="TableParagraph"/>
                          <w:spacing w:line="240" w:lineRule="auto" w:before="2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）重大或重要缺陷不能得到整改；</w:t>
                        </w:r>
                      </w:p>
                      <w:p>
                        <w:pPr>
                          <w:pStyle w:val="TableParagraph"/>
                          <w:spacing w:line="240" w:lineRule="auto" w:before="30"/>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）其他对公司影响重大的情形。</w:t>
                        </w:r>
                      </w:p>
                    </w:tc>
                  </w:tr>
                  <w:tr>
                    <w:trPr>
                      <w:trHeight w:val="41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、营业收入潜在错报</w:t>
                        </w:r>
                      </w:p>
                      <w:p>
                        <w:pPr>
                          <w:pStyle w:val="TableParagraph"/>
                          <w:spacing w:line="240" w:lineRule="auto" w:before="30"/>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错报；</w:t>
                        </w:r>
                      </w:p>
                      <w:p>
                        <w:pPr>
                          <w:pStyle w:val="TableParagraph"/>
                          <w:spacing w:line="238" w:lineRule="exact" w:before="51"/>
                          <w:ind w:left="23" w:right="20" w:firstLine="36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错报＜营业收 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p>
                        <w:pPr>
                          <w:pStyle w:val="TableParagraph"/>
                          <w:spacing w:line="268" w:lineRule="auto" w:before="23"/>
                          <w:ind w:left="383" w:right="3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、利润总额潜在错报</w:t>
                        </w:r>
                      </w:p>
                      <w:p>
                        <w:pPr>
                          <w:pStyle w:val="TableParagraph"/>
                          <w:spacing w:line="240" w:lineRule="auto" w:before="7"/>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p>
                      <w:p>
                        <w:pPr>
                          <w:pStyle w:val="TableParagraph"/>
                          <w:spacing w:line="240" w:lineRule="exact" w:before="48"/>
                          <w:ind w:left="23" w:right="6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71" w:lineRule="auto" w:before="21"/>
                          <w:ind w:left="383" w:right="88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、总资产潜在错报</w:t>
                        </w:r>
                      </w:p>
                      <w:p>
                        <w:pPr>
                          <w:pStyle w:val="TableParagraph"/>
                          <w:spacing w:line="240" w:lineRule="auto" w:before="4"/>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240" w:lineRule="exact" w:before="48"/>
                          <w:ind w:left="23" w:right="20" w:firstLine="36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2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37" w:lineRule="auto"/>
                          <w:ind w:left="23" w:right="2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4"/>
                            <w:sz w:val="18"/>
                            <w:szCs w:val="18"/>
                          </w:rPr>
                          <w:t>元以上，对公司造成较大负面影响并以公告形式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对外披露；</w:t>
                        </w:r>
                      </w:p>
                      <w:p>
                        <w:pPr>
                          <w:pStyle w:val="TableParagraph"/>
                          <w:spacing w:line="230" w:lineRule="auto" w:before="52"/>
                          <w:ind w:left="23"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、重要缺陷：直接财产损失金额在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万元），受国家政府部门处</w:t>
                        </w:r>
                        <w:r>
                          <w:rPr>
                            <w:rFonts w:ascii="宋体" w:hAnsi="宋体" w:cs="宋体" w:eastAsia="宋体" w:hint="default"/>
                            <w:sz w:val="18"/>
                            <w:szCs w:val="18"/>
                          </w:rPr>
                          <w:t> 罚，但未对公司造成负面影响；</w:t>
                        </w:r>
                      </w:p>
                      <w:p>
                        <w:pPr>
                          <w:pStyle w:val="TableParagraph"/>
                          <w:spacing w:line="245" w:lineRule="exact" w:before="46"/>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、一般缺陷：直接财产损失金额在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8" w:lineRule="exact" w:before="15"/>
                          <w:ind w:left="23" w:right="31"/>
                          <w:jc w:val="left"/>
                          <w:rPr>
                            <w:rFonts w:ascii="宋体" w:hAnsi="宋体" w:cs="宋体" w:eastAsia="宋体" w:hint="default"/>
                            <w:sz w:val="18"/>
                            <w:szCs w:val="18"/>
                          </w:rPr>
                        </w:pPr>
                        <w:r>
                          <w:rPr>
                            <w:rFonts w:ascii="宋体" w:hAnsi="宋体" w:cs="宋体" w:eastAsia="宋体" w:hint="default"/>
                            <w:sz w:val="18"/>
                            <w:szCs w:val="18"/>
                          </w:rPr>
                          <w:t>元以下（含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万元），受省级（含省级）以下</w:t>
                        </w:r>
                        <w:r>
                          <w:rPr>
                            <w:rFonts w:ascii="宋体" w:hAnsi="宋体" w:cs="宋体" w:eastAsia="宋体" w:hint="default"/>
                            <w:sz w:val="18"/>
                            <w:szCs w:val="18"/>
                          </w:rPr>
                          <w:t> 政府部门处罚，未对公司造成负面影响。</w:t>
                        </w:r>
                      </w:p>
                    </w:tc>
                  </w:tr>
                  <w:tr>
                    <w:trPr>
                      <w:trHeight w:val="570" w:hRule="exact"/>
                    </w:trPr>
                    <w:tc>
                      <w:tcPr>
                        <w:tcW w:w="127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4" w:lineRule="auto" w:before="21"/>
                          <w:ind w:left="22" w:right="-29"/>
                          <w:jc w:val="left"/>
                          <w:rPr>
                            <w:rFonts w:ascii="宋体" w:hAnsi="宋体" w:cs="宋体" w:eastAsia="宋体" w:hint="default"/>
                            <w:sz w:val="18"/>
                            <w:szCs w:val="18"/>
                          </w:rPr>
                        </w:pPr>
                        <w:r>
                          <w:rPr>
                            <w:rFonts w:ascii="宋体" w:hAnsi="宋体" w:cs="宋体" w:eastAsia="宋体" w:hint="default"/>
                            <w:sz w:val="18"/>
                            <w:szCs w:val="18"/>
                          </w:rPr>
                          <w:t>财务报告重大 缺陷数量（个）</w:t>
                        </w:r>
                      </w:p>
                    </w:tc>
                    <w:tc>
                      <w:tcPr>
                        <w:tcW w:w="8293"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1"/>
                          <w:jc w:val="left"/>
                          <w:rPr>
                            <w:rFonts w:ascii="宋体" w:hAnsi="宋体" w:cs="宋体" w:eastAsia="宋体" w:hint="default"/>
                            <w:sz w:val="18"/>
                            <w:szCs w:val="18"/>
                          </w:rPr>
                        </w:pPr>
                        <w:r>
                          <w:rPr>
                            <w:rFonts w:ascii="宋体" w:hAnsi="宋体" w:cs="宋体" w:eastAsia="宋体" w:hint="default"/>
                            <w:sz w:val="18"/>
                            <w:szCs w:val="18"/>
                          </w:rPr>
                          <w:t>非财务报告重 大缺陷数量</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8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127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4" w:lineRule="auto" w:before="21"/>
                          <w:ind w:left="22" w:right="-29"/>
                          <w:jc w:val="left"/>
                          <w:rPr>
                            <w:rFonts w:ascii="宋体" w:hAnsi="宋体" w:cs="宋体" w:eastAsia="宋体" w:hint="default"/>
                            <w:sz w:val="18"/>
                            <w:szCs w:val="18"/>
                          </w:rPr>
                        </w:pPr>
                        <w:r>
                          <w:rPr>
                            <w:rFonts w:ascii="宋体" w:hAnsi="宋体" w:cs="宋体" w:eastAsia="宋体" w:hint="default"/>
                            <w:sz w:val="18"/>
                            <w:szCs w:val="18"/>
                          </w:rPr>
                          <w:t>财务报告重要 缺陷数量（个）</w:t>
                        </w:r>
                      </w:p>
                    </w:tc>
                    <w:tc>
                      <w:tcPr>
                        <w:tcW w:w="8293"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1"/>
                          <w:jc w:val="left"/>
                          <w:rPr>
                            <w:rFonts w:ascii="宋体" w:hAnsi="宋体" w:cs="宋体" w:eastAsia="宋体" w:hint="default"/>
                            <w:sz w:val="18"/>
                            <w:szCs w:val="18"/>
                          </w:rPr>
                        </w:pPr>
                        <w:r>
                          <w:rPr>
                            <w:rFonts w:ascii="宋体" w:hAnsi="宋体" w:cs="宋体" w:eastAsia="宋体" w:hint="default"/>
                            <w:sz w:val="18"/>
                            <w:szCs w:val="18"/>
                          </w:rPr>
                          <w:t>非财务报告重 要缺陷数量</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8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5"/>
        <w:ind w:right="0"/>
        <w:jc w:val="left"/>
        <w:rPr>
          <w:b w:val="0"/>
          <w:bCs w:val="0"/>
        </w:rPr>
      </w:pPr>
      <w:bookmarkStart w:name="十、内部控制审计报告或鉴证报告" w:id="174"/>
      <w:bookmarkEnd w:id="174"/>
      <w:r>
        <w:rPr>
          <w:b w:val="0"/>
          <w:bCs w:val="0"/>
        </w:rPr>
      </w:r>
      <w:r>
        <w:rPr/>
        <w:t>十、内部控制审计报告或鉴证报告</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146" w:right="0"/>
        <w:jc w:val="left"/>
        <w:rPr>
          <w:b w:val="0"/>
          <w:bCs w:val="0"/>
        </w:rPr>
      </w:pPr>
      <w:bookmarkStart w:name="第十节 公司债券相关情况" w:id="175"/>
      <w:bookmarkEnd w:id="175"/>
      <w:r>
        <w:rPr>
          <w:b w:val="0"/>
          <w:bCs w:val="0"/>
        </w:rPr>
      </w:r>
      <w:bookmarkStart w:name="_bookmark9" w:id="176"/>
      <w:bookmarkEnd w:id="176"/>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175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628" w:right="0"/>
        <w:jc w:val="left"/>
        <w:rPr>
          <w:b w:val="0"/>
          <w:bCs w:val="0"/>
        </w:rPr>
      </w:pPr>
      <w:bookmarkStart w:name="第十一节 财务报告" w:id="177"/>
      <w:bookmarkEnd w:id="177"/>
      <w:r>
        <w:rPr>
          <w:b w:val="0"/>
          <w:bCs w:val="0"/>
        </w:rPr>
      </w:r>
      <w:bookmarkStart w:name="_bookmark10" w:id="178"/>
      <w:bookmarkEnd w:id="17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2"/>
        <w:spacing w:line="240" w:lineRule="auto" w:before="26"/>
        <w:ind w:right="0"/>
        <w:jc w:val="left"/>
        <w:rPr>
          <w:b w:val="0"/>
          <w:bCs w:val="0"/>
        </w:rPr>
      </w:pPr>
      <w:bookmarkStart w:name="一、审计报告" w:id="179"/>
      <w:bookmarkEnd w:id="179"/>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69" w:type="dxa"/>
        <w:tblLayout w:type="fixed"/>
        <w:tblCellMar>
          <w:top w:w="0" w:type="dxa"/>
          <w:left w:w="0" w:type="dxa"/>
          <w:bottom w:w="0" w:type="dxa"/>
          <w:right w:w="0" w:type="dxa"/>
        </w:tblCellMar>
        <w:tblLook w:val="01E0"/>
      </w:tblPr>
      <w:tblGrid>
        <w:gridCol w:w="4784"/>
        <w:gridCol w:w="4785"/>
      </w:tblGrid>
      <w:tr>
        <w:trPr>
          <w:trHeight w:val="33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3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33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3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冯家俊、赵海蓉</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5"/>
          <w:szCs w:val="15"/>
        </w:rPr>
      </w:pPr>
    </w:p>
    <w:p>
      <w:pPr>
        <w:pStyle w:val="Heading4"/>
        <w:spacing w:line="240" w:lineRule="auto"/>
        <w:ind w:left="174" w:right="0"/>
        <w:jc w:val="left"/>
        <w:rPr>
          <w:b w:val="0"/>
          <w:bCs w:val="0"/>
        </w:rPr>
      </w:pPr>
      <w:r>
        <w:rPr>
          <w:w w:val="95"/>
        </w:rPr>
        <w:t>金财互联控股股份有限公司全体股东：</w:t>
      </w:r>
      <w:r>
        <w:rPr>
          <w:b w:val="0"/>
          <w:bCs w:val="0"/>
        </w:rPr>
      </w:r>
    </w:p>
    <w:p>
      <w:pPr>
        <w:pStyle w:val="Heading4"/>
        <w:spacing w:line="240" w:lineRule="auto" w:before="51"/>
        <w:ind w:left="173" w:right="-20"/>
        <w:jc w:val="left"/>
        <w:rPr>
          <w:b w:val="0"/>
          <w:bCs w:val="0"/>
        </w:rPr>
      </w:pPr>
      <w:r>
        <w:rPr>
          <w:b w:val="0"/>
          <w:bCs w:val="0"/>
        </w:rPr>
        <w:br w:type="column"/>
      </w:r>
      <w:r>
        <w:rPr/>
        <w:t>审计报告正文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26"/>
        <w:ind w:left="173" w:right="0"/>
        <w:jc w:val="left"/>
      </w:pPr>
      <w:r>
        <w:rPr/>
        <w:t>众会字</w:t>
      </w:r>
      <w:r>
        <w:rPr>
          <w:rFonts w:ascii="Times New Roman" w:hAnsi="Times New Roman" w:cs="Times New Roman" w:eastAsia="Times New Roman" w:hint="default"/>
        </w:rPr>
        <w:t>(2019)</w:t>
      </w:r>
      <w:r>
        <w:rPr/>
        <w:t>第</w:t>
      </w:r>
      <w:r>
        <w:rPr>
          <w:spacing w:val="-47"/>
        </w:rPr>
        <w:t> </w:t>
      </w:r>
      <w:r>
        <w:rPr>
          <w:rFonts w:ascii="Times New Roman" w:hAnsi="Times New Roman" w:cs="Times New Roman" w:eastAsia="Times New Roman" w:hint="default"/>
        </w:rPr>
        <w:t>1250</w:t>
      </w:r>
      <w:r>
        <w:rPr>
          <w:rFonts w:ascii="Times New Roman" w:hAnsi="Times New Roman" w:cs="Times New Roman" w:eastAsia="Times New Roman" w:hint="default"/>
          <w:spacing w:val="-2"/>
        </w:rPr>
        <w:t> </w:t>
      </w:r>
      <w:r>
        <w:rPr/>
        <w:t>号</w:t>
      </w:r>
    </w:p>
    <w:p>
      <w:pPr>
        <w:spacing w:after="0" w:line="240" w:lineRule="auto"/>
        <w:jc w:val="left"/>
        <w:sectPr>
          <w:type w:val="continuous"/>
          <w:pgSz w:w="11910" w:h="16840"/>
          <w:pgMar w:top="1060" w:bottom="1160" w:left="960" w:right="0"/>
          <w:cols w:num="3" w:equalWidth="0">
            <w:col w:w="3244" w:space="1033"/>
            <w:col w:w="1258" w:space="2274"/>
            <w:col w:w="3141"/>
          </w:cols>
        </w:sectPr>
      </w:pPr>
    </w:p>
    <w:p>
      <w:pPr>
        <w:spacing w:line="240" w:lineRule="auto" w:before="7"/>
        <w:rPr>
          <w:rFonts w:ascii="宋体" w:hAnsi="宋体" w:cs="宋体" w:eastAsia="宋体" w:hint="default"/>
          <w:sz w:val="11"/>
          <w:szCs w:val="11"/>
        </w:rPr>
      </w:pPr>
    </w:p>
    <w:p>
      <w:pPr>
        <w:pStyle w:val="Heading4"/>
        <w:spacing w:line="240" w:lineRule="auto" w:before="44"/>
        <w:ind w:right="0"/>
        <w:jc w:val="left"/>
        <w:rPr>
          <w:b w:val="0"/>
          <w:bCs w:val="0"/>
        </w:rPr>
      </w:pPr>
      <w:r>
        <w:rPr>
          <w:rFonts w:ascii="Times New Roman" w:hAnsi="Times New Roman" w:cs="Times New Roman" w:eastAsia="Times New Roman" w:hint="default"/>
        </w:rPr>
        <w:t>1</w:t>
      </w:r>
      <w:r>
        <w:rPr/>
        <w:t>、审计意见</w:t>
      </w:r>
      <w:r>
        <w:rPr>
          <w:b w:val="0"/>
          <w:bCs w:val="0"/>
        </w:rPr>
      </w:r>
    </w:p>
    <w:p>
      <w:pPr>
        <w:pStyle w:val="BodyText"/>
        <w:spacing w:line="302" w:lineRule="auto" w:before="102"/>
        <w:ind w:left="174" w:right="1119" w:firstLine="360"/>
        <w:jc w:val="left"/>
      </w:pPr>
      <w:r>
        <w:rPr/>
        <w:t>我们审计了金财互联控股股份有限公司财务报表，包括</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日的合并及公司资产负债表，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年度的合并 及公司利润表、合并及公司现金流量表、合并及公司所有者权益变动表以及相关财务报表附注。</w:t>
      </w:r>
    </w:p>
    <w:p>
      <w:pPr>
        <w:pStyle w:val="BodyText"/>
        <w:spacing w:line="240" w:lineRule="auto" w:before="69"/>
        <w:ind w:right="0"/>
        <w:jc w:val="left"/>
      </w:pPr>
      <w:r>
        <w:rPr/>
        <w:t>我们认为，后附的财务报表在所有重大方面按照企业会计准则的规定编制，公允反映了金财互联</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w:t>
      </w:r>
    </w:p>
    <w:p>
      <w:pPr>
        <w:pStyle w:val="BodyText"/>
        <w:spacing w:line="240" w:lineRule="auto" w:before="64"/>
        <w:ind w:left="174" w:right="0"/>
        <w:jc w:val="left"/>
      </w:pPr>
      <w:r>
        <w:rPr/>
        <w:t>合并及公司财务状况以及</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年度的合并及公司经营成果和现金流量。</w:t>
      </w:r>
    </w:p>
    <w:p>
      <w:pPr>
        <w:spacing w:line="240" w:lineRule="auto" w:before="12"/>
        <w:rPr>
          <w:rFonts w:ascii="宋体" w:hAnsi="宋体" w:cs="宋体" w:eastAsia="宋体" w:hint="default"/>
          <w:sz w:val="13"/>
          <w:szCs w:val="13"/>
        </w:rPr>
      </w:pPr>
    </w:p>
    <w:p>
      <w:pPr>
        <w:pStyle w:val="BodyText"/>
        <w:spacing w:line="338" w:lineRule="auto" w:before="0"/>
        <w:ind w:right="0" w:firstLine="1"/>
        <w:jc w:val="left"/>
      </w:pPr>
      <w:r>
        <w:rPr>
          <w:rFonts w:ascii="Times New Roman" w:hAnsi="Times New Roman" w:cs="Times New Roman" w:eastAsia="Times New Roman" w:hint="default"/>
          <w:b/>
          <w:bCs/>
        </w:rPr>
        <w:t>2</w:t>
      </w:r>
      <w:r>
        <w:rPr>
          <w:rFonts w:ascii="宋体" w:hAnsi="宋体" w:cs="宋体" w:eastAsia="宋体" w:hint="default"/>
          <w:b/>
          <w:bCs/>
        </w:rPr>
        <w:t>、形成审计意见的基础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217" w:lineRule="exact" w:before="0"/>
        <w:ind w:left="174" w:right="0"/>
        <w:jc w:val="left"/>
      </w:pPr>
      <w:r>
        <w:rPr/>
        <w:t>阐述了我们在这些准则下的责任。按照中国注册会计师职业道德守则，我们独立于金财互联，并履行了职业道德方面的其他</w:t>
      </w:r>
    </w:p>
    <w:p>
      <w:pPr>
        <w:pStyle w:val="BodyText"/>
        <w:spacing w:line="240" w:lineRule="auto" w:before="77"/>
        <w:ind w:left="174" w:right="0"/>
        <w:jc w:val="left"/>
      </w:pPr>
      <w:r>
        <w:rPr/>
        <w:t>责任。我们相信，我们获取的审计证据是充分、适当的，为发表审计意见提供了基础。</w:t>
      </w:r>
    </w:p>
    <w:p>
      <w:pPr>
        <w:spacing w:line="240" w:lineRule="auto" w:before="12"/>
        <w:rPr>
          <w:rFonts w:ascii="宋体" w:hAnsi="宋体" w:cs="宋体" w:eastAsia="宋体" w:hint="default"/>
          <w:sz w:val="14"/>
          <w:szCs w:val="14"/>
        </w:rPr>
      </w:pPr>
    </w:p>
    <w:p>
      <w:pPr>
        <w:pStyle w:val="BodyText"/>
        <w:spacing w:line="338" w:lineRule="auto" w:before="0"/>
        <w:ind w:right="0" w:firstLine="1"/>
        <w:jc w:val="left"/>
      </w:pPr>
      <w:r>
        <w:rPr>
          <w:rFonts w:ascii="Times New Roman" w:hAnsi="Times New Roman" w:cs="Times New Roman" w:eastAsia="Times New Roman" w:hint="default"/>
          <w:b/>
          <w:bCs/>
        </w:rPr>
        <w:t>3</w:t>
      </w:r>
      <w:r>
        <w:rPr>
          <w:rFonts w:ascii="宋体" w:hAnsi="宋体" w:cs="宋体" w:eastAsia="宋体" w:hint="default"/>
          <w:b/>
          <w:bCs/>
        </w:rPr>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4"/>
        <w:ind w:left="174" w:right="0"/>
        <w:jc w:val="left"/>
      </w:pPr>
      <w:r>
        <w:rPr/>
        <w:t>审计并形成审计意见为背景，我们不对这些事项单独发表意见。</w:t>
      </w: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商誉的减值</w:t>
      </w:r>
      <w:r>
        <w:rPr>
          <w:b w:val="0"/>
          <w:bCs w:val="0"/>
        </w:rPr>
      </w:r>
    </w:p>
    <w:p>
      <w:pPr>
        <w:pStyle w:val="BodyText"/>
        <w:spacing w:line="240" w:lineRule="auto" w:before="103"/>
        <w:ind w:right="0"/>
        <w:jc w:val="left"/>
      </w:pPr>
      <w:r>
        <w:rPr>
          <w:rFonts w:ascii="Times New Roman" w:hAnsi="Times New Roman" w:cs="Times New Roman" w:eastAsia="Times New Roman" w:hint="default"/>
        </w:rPr>
        <w:t>3.1.1</w:t>
      </w:r>
      <w:r>
        <w:rPr>
          <w:rFonts w:ascii="Times New Roman" w:hAnsi="Times New Roman" w:cs="Times New Roman" w:eastAsia="Times New Roman" w:hint="default"/>
          <w:spacing w:val="-2"/>
        </w:rPr>
        <w:t> </w:t>
      </w:r>
      <w:r>
        <w:rPr/>
        <w:t>事项描述：</w:t>
      </w:r>
    </w:p>
    <w:p>
      <w:pPr>
        <w:pStyle w:val="BodyText"/>
        <w:spacing w:line="240" w:lineRule="auto" w:before="101"/>
        <w:ind w:right="0"/>
        <w:jc w:val="left"/>
        <w:rPr>
          <w:rFonts w:ascii="Times New Roman" w:hAnsi="Times New Roman" w:cs="Times New Roman" w:eastAsia="Times New Roman" w:hint="default"/>
        </w:rPr>
      </w:pPr>
      <w:r>
        <w:rPr/>
        <w:t>截至</w:t>
      </w:r>
      <w:r>
        <w:rPr>
          <w:spacing w:val="-6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w:t>
      </w:r>
      <w:r>
        <w:rPr>
          <w:spacing w:val="-6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w:t>
      </w:r>
      <w:r>
        <w:rPr>
          <w:spacing w:val="-90"/>
        </w:rPr>
        <w:t>，</w:t>
      </w:r>
      <w:r>
        <w:rPr/>
        <w:t>金财</w:t>
      </w:r>
      <w:r>
        <w:rPr>
          <w:spacing w:val="-2"/>
        </w:rPr>
        <w:t>互</w:t>
      </w:r>
      <w:r>
        <w:rPr/>
        <w:t>联合并资产负债表中商誉账面原值</w:t>
      </w:r>
      <w:r>
        <w:rPr>
          <w:spacing w:val="-64"/>
        </w:rPr>
        <w:t> </w:t>
      </w:r>
      <w:r>
        <w:rPr>
          <w:rFonts w:ascii="Times New Roman" w:hAnsi="Times New Roman" w:cs="Times New Roman" w:eastAsia="Times New Roman" w:hint="default"/>
        </w:rPr>
        <w:t>1,825,1</w:t>
      </w:r>
      <w:r>
        <w:rPr>
          <w:rFonts w:ascii="Times New Roman" w:hAnsi="Times New Roman" w:cs="Times New Roman" w:eastAsia="Times New Roman" w:hint="default"/>
          <w:spacing w:val="-2"/>
        </w:rPr>
        <w:t>4</w:t>
      </w:r>
      <w:r>
        <w:rPr>
          <w:rFonts w:ascii="Times New Roman" w:hAnsi="Times New Roman" w:cs="Times New Roman" w:eastAsia="Times New Roman" w:hint="default"/>
        </w:rPr>
        <w:t>5,622.38</w:t>
      </w:r>
      <w:r>
        <w:rPr>
          <w:rFonts w:ascii="Times New Roman" w:hAnsi="Times New Roman" w:cs="Times New Roman" w:eastAsia="Times New Roman" w:hint="default"/>
          <w:spacing w:val="-18"/>
        </w:rPr>
        <w:t> </w:t>
      </w:r>
      <w:r>
        <w:rPr/>
        <w:t>元</w:t>
      </w:r>
      <w:r>
        <w:rPr>
          <w:spacing w:val="-90"/>
        </w:rPr>
        <w:t>，</w:t>
      </w:r>
      <w:r>
        <w:rPr>
          <w:spacing w:val="-2"/>
        </w:rPr>
        <w:t>已</w:t>
      </w:r>
      <w:r>
        <w:rPr/>
        <w:t>计提商誉减值准备</w:t>
      </w:r>
      <w:r>
        <w:rPr>
          <w:spacing w:val="-64"/>
        </w:rPr>
        <w:t> </w:t>
      </w:r>
      <w:r>
        <w:rPr>
          <w:rFonts w:ascii="Times New Roman" w:hAnsi="Times New Roman" w:cs="Times New Roman" w:eastAsia="Times New Roman" w:hint="default"/>
        </w:rPr>
        <w:t>8,420,00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pStyle w:val="BodyText"/>
        <w:spacing w:line="314" w:lineRule="auto" w:before="63"/>
        <w:ind w:left="174" w:right="1027"/>
        <w:jc w:val="left"/>
      </w:pPr>
      <w:r>
        <w:rPr>
          <w:spacing w:val="-7"/>
        </w:rPr>
        <w:t>元，商誉账面价值为</w:t>
      </w:r>
      <w:r>
        <w:rPr>
          <w:spacing w:val="-58"/>
        </w:rPr>
        <w:t> </w:t>
      </w:r>
      <w:r>
        <w:rPr>
          <w:rFonts w:ascii="Times New Roman" w:hAnsi="Times New Roman" w:cs="Times New Roman" w:eastAsia="Times New Roman" w:hint="default"/>
        </w:rPr>
        <w:t>1,816,725,622.38</w:t>
      </w:r>
      <w:r>
        <w:rPr>
          <w:rFonts w:ascii="Times New Roman" w:hAnsi="Times New Roman" w:cs="Times New Roman" w:eastAsia="Times New Roman" w:hint="default"/>
          <w:spacing w:val="-13"/>
        </w:rPr>
        <w:t> </w:t>
      </w:r>
      <w:r>
        <w:rPr>
          <w:spacing w:val="-12"/>
        </w:rPr>
        <w:t>元，主要为</w:t>
      </w:r>
      <w:r>
        <w:rPr>
          <w:spacing w:val="-5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年收购方欣科技形成的商誉。管理层将方欣科技判断为独立的资产组， </w:t>
      </w:r>
      <w:r>
        <w:rPr>
          <w:spacing w:val="-2"/>
        </w:rPr>
        <w:t>聘请独立评估师对方欣科技资产组的公允价值进行评估，以协助管理层对方欣科技商誉及其他长期资产进行减值测试。减值</w:t>
      </w:r>
      <w:r>
        <w:rPr>
          <w:spacing w:val="-64"/>
        </w:rPr>
        <w:t> </w:t>
      </w:r>
      <w:r>
        <w:rPr>
          <w:spacing w:val="-64"/>
        </w:rPr>
      </w:r>
      <w:r>
        <w:rPr>
          <w:spacing w:val="-2"/>
        </w:rPr>
        <w:t>评估涉及确定折现率等评估参数及对未来若干年的经营和财务情况的假设，包括未来若干年的销售增长率和毛利率等。由于</w:t>
      </w:r>
      <w:r>
        <w:rPr>
          <w:spacing w:val="-64"/>
        </w:rPr>
        <w:t> </w:t>
      </w:r>
      <w:r>
        <w:rPr>
          <w:spacing w:val="-64"/>
        </w:rPr>
      </w:r>
      <w:r>
        <w:rPr>
          <w:spacing w:val="-2"/>
        </w:rPr>
        <w:t>方欣科技商誉及其他长期资产的账面价值对财务报表影响重大，且上述判断和假设的合理性对商誉及其他长期资产减值测试</w:t>
      </w:r>
      <w:r>
        <w:rPr>
          <w:spacing w:val="-64"/>
        </w:rPr>
        <w:t> </w:t>
      </w:r>
      <w:r>
        <w:rPr>
          <w:spacing w:val="-64"/>
        </w:rPr>
      </w:r>
      <w:r>
        <w:rPr/>
        <w:t>的结果具有重大影响，因此我们将方欣科技的商誉减值测试作为关键审计事项。</w:t>
      </w:r>
    </w:p>
    <w:p>
      <w:pPr>
        <w:pStyle w:val="BodyText"/>
        <w:spacing w:line="340" w:lineRule="auto" w:before="60"/>
        <w:ind w:right="6612"/>
        <w:jc w:val="left"/>
      </w:pPr>
      <w:r>
        <w:rPr>
          <w:rFonts w:ascii="Times New Roman" w:hAnsi="Times New Roman" w:cs="Times New Roman" w:eastAsia="Times New Roman" w:hint="default"/>
        </w:rPr>
        <w:t>3.1.2</w:t>
      </w:r>
      <w:r>
        <w:rPr>
          <w:rFonts w:ascii="Times New Roman" w:hAnsi="Times New Roman" w:cs="Times New Roman" w:eastAsia="Times New Roman" w:hint="default"/>
          <w:spacing w:val="44"/>
        </w:rPr>
        <w:t> </w:t>
      </w:r>
      <w:r>
        <w:rPr/>
        <w:t>审计应对： 我们针对商誉的减值执行的主要审计程序包括：</w:t>
      </w:r>
    </w:p>
    <w:p>
      <w:pPr>
        <w:pStyle w:val="BodyText"/>
        <w:spacing w:line="240" w:lineRule="auto" w:before="41"/>
        <w:ind w:right="0"/>
        <w:jc w:val="left"/>
      </w:pPr>
      <w:r>
        <w:rPr/>
        <w:t>（</w:t>
      </w:r>
      <w:r>
        <w:rPr>
          <w:rFonts w:ascii="Times New Roman" w:hAnsi="Times New Roman" w:cs="Times New Roman" w:eastAsia="Times New Roman" w:hint="default"/>
        </w:rPr>
        <w:t>1</w:t>
      </w:r>
      <w:r>
        <w:rPr/>
        <w:t>）了解并测试了公司对商誉及其他长期资产减值评估的内部控制；</w:t>
      </w:r>
    </w:p>
    <w:p>
      <w:pPr>
        <w:pStyle w:val="BodyText"/>
        <w:spacing w:line="240" w:lineRule="auto" w:before="102"/>
        <w:ind w:right="0"/>
        <w:jc w:val="left"/>
      </w:pPr>
      <w:r>
        <w:rPr/>
        <w:t>（</w:t>
      </w:r>
      <w:r>
        <w:rPr>
          <w:rFonts w:ascii="Times New Roman" w:hAnsi="Times New Roman" w:cs="Times New Roman" w:eastAsia="Times New Roman" w:hint="default"/>
        </w:rPr>
        <w:t>2</w:t>
      </w:r>
      <w:r>
        <w:rPr/>
        <w:t>）评价独立评估师的胜任能力、专业素质和客观性；</w:t>
      </w:r>
    </w:p>
    <w:p>
      <w:pPr>
        <w:pStyle w:val="BodyText"/>
        <w:spacing w:line="300" w:lineRule="auto" w:before="102"/>
        <w:ind w:left="174" w:right="1122" w:firstLine="360"/>
        <w:jc w:val="left"/>
      </w:pPr>
      <w:r>
        <w:rPr/>
        <w:t>（</w:t>
      </w:r>
      <w:r>
        <w:rPr>
          <w:rFonts w:ascii="Times New Roman" w:hAnsi="Times New Roman" w:cs="Times New Roman" w:eastAsia="Times New Roman" w:hint="default"/>
        </w:rPr>
        <w:t>3</w:t>
      </w:r>
      <w:r>
        <w:rPr/>
        <w:t>）我们利用内部评估专家的工作，以协助判断评估价值类型、评估方法的合理性；我们的内部评估专家参考了若干 </w:t>
      </w:r>
      <w:r>
        <w:rPr>
          <w:spacing w:val="-2"/>
        </w:rPr>
        <w:t>家可比公司的公开财务信息以评价公司采用的折现率是否在行业内其他公司所采用的折现率范围内；我们对比了公司历史财</w:t>
      </w:r>
    </w:p>
    <w:p>
      <w:pPr>
        <w:spacing w:after="0" w:line="300" w:lineRule="auto"/>
        <w:jc w:val="left"/>
        <w:sectPr>
          <w:type w:val="continuous"/>
          <w:pgSz w:w="11910" w:h="16840"/>
          <w:pgMar w:top="1060" w:bottom="1160" w:left="960" w:right="0"/>
        </w:sectPr>
      </w:pPr>
    </w:p>
    <w:p>
      <w:pPr>
        <w:spacing w:line="240" w:lineRule="auto" w:before="7"/>
        <w:rPr>
          <w:rFonts w:ascii="宋体" w:hAnsi="宋体" w:cs="宋体" w:eastAsia="宋体" w:hint="default"/>
          <w:sz w:val="21"/>
          <w:szCs w:val="21"/>
        </w:rPr>
      </w:pPr>
    </w:p>
    <w:p>
      <w:pPr>
        <w:pStyle w:val="BodyText"/>
        <w:spacing w:line="240" w:lineRule="auto"/>
        <w:ind w:left="174" w:right="0"/>
        <w:jc w:val="left"/>
      </w:pPr>
      <w:r>
        <w:rPr/>
        <w:t>务数据及行业发展趋势，以判断公司对未来若干年的销售增长率和毛利率等经营和财务假设是否合理。</w:t>
      </w:r>
    </w:p>
    <w:p>
      <w:pPr>
        <w:pStyle w:val="BodyText"/>
        <w:spacing w:line="302" w:lineRule="auto" w:before="115"/>
        <w:ind w:left="174" w:right="1122" w:firstLine="360"/>
        <w:jc w:val="left"/>
      </w:pPr>
      <w:r>
        <w:rPr/>
        <w:t>（</w:t>
      </w:r>
      <w:r>
        <w:rPr>
          <w:rFonts w:ascii="Times New Roman" w:hAnsi="Times New Roman" w:cs="Times New Roman" w:eastAsia="Times New Roman" w:hint="default"/>
        </w:rPr>
        <w:t>4</w:t>
      </w:r>
      <w:r>
        <w:rPr/>
        <w:t>）获取管理层对折现的现金流量预测中采用的折现率和销售增长率的敏感性分析，考虑这些参数和假设在合理变动 时对减值测试结果的潜在影响。</w:t>
      </w:r>
    </w:p>
    <w:p>
      <w:pPr>
        <w:pStyle w:val="Heading4"/>
        <w:spacing w:line="240" w:lineRule="auto" w:before="149"/>
        <w:ind w:right="0"/>
        <w:jc w:val="left"/>
        <w:rPr>
          <w:b w:val="0"/>
          <w:bCs w:val="0"/>
        </w:rPr>
      </w:pPr>
      <w:r>
        <w:rPr>
          <w:rFonts w:ascii="Times New Roman" w:hAnsi="Times New Roman" w:cs="Times New Roman" w:eastAsia="Times New Roman" w:hint="default"/>
        </w:rPr>
        <w:t>3.2</w:t>
      </w:r>
      <w:r>
        <w:rPr>
          <w:rFonts w:ascii="Times New Roman" w:hAnsi="Times New Roman" w:cs="Times New Roman" w:eastAsia="Times New Roman" w:hint="default"/>
          <w:spacing w:val="44"/>
        </w:rPr>
        <w:t> </w:t>
      </w:r>
      <w:r>
        <w:rPr/>
        <w:t>收入的确认</w:t>
      </w:r>
      <w:r>
        <w:rPr>
          <w:b w:val="0"/>
          <w:bCs w:val="0"/>
        </w:rPr>
      </w:r>
    </w:p>
    <w:p>
      <w:pPr>
        <w:pStyle w:val="BodyText"/>
        <w:spacing w:line="240" w:lineRule="auto" w:before="104"/>
        <w:ind w:right="0"/>
        <w:jc w:val="left"/>
      </w:pPr>
      <w:r>
        <w:rPr>
          <w:rFonts w:ascii="Times New Roman" w:hAnsi="Times New Roman" w:cs="Times New Roman" w:eastAsia="Times New Roman" w:hint="default"/>
        </w:rPr>
        <w:t>3.2.1</w:t>
      </w:r>
      <w:r>
        <w:rPr>
          <w:rFonts w:ascii="Times New Roman" w:hAnsi="Times New Roman" w:cs="Times New Roman" w:eastAsia="Times New Roman" w:hint="default"/>
          <w:spacing w:val="43"/>
        </w:rPr>
        <w:t> </w:t>
      </w:r>
      <w:r>
        <w:rPr/>
        <w:t>事项描述：</w:t>
      </w:r>
    </w:p>
    <w:p>
      <w:pPr>
        <w:pStyle w:val="BodyText"/>
        <w:spacing w:line="300" w:lineRule="auto" w:before="101"/>
        <w:ind w:left="174" w:right="1118"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年度，金财互联合并营业收入为</w:t>
      </w:r>
      <w:r>
        <w:rPr>
          <w:spacing w:val="-47"/>
        </w:rPr>
        <w:t> </w:t>
      </w:r>
      <w:r>
        <w:rPr>
          <w:rFonts w:ascii="Times New Roman" w:hAnsi="Times New Roman" w:cs="Times New Roman" w:eastAsia="Times New Roman" w:hint="default"/>
        </w:rPr>
        <w:t>1,264,089,833.20</w:t>
      </w:r>
      <w:r>
        <w:rPr>
          <w:rFonts w:ascii="Times New Roman" w:hAnsi="Times New Roman" w:cs="Times New Roman" w:eastAsia="Times New Roman" w:hint="default"/>
          <w:spacing w:val="-1"/>
        </w:rPr>
        <w:t> </w:t>
      </w:r>
      <w:r>
        <w:rPr/>
        <w:t>元，归属于母公司所有者的净利润为</w:t>
      </w:r>
      <w:r>
        <w:rPr>
          <w:spacing w:val="-47"/>
        </w:rPr>
        <w:t> </w:t>
      </w:r>
      <w:r>
        <w:rPr>
          <w:rFonts w:ascii="Times New Roman" w:hAnsi="Times New Roman" w:cs="Times New Roman" w:eastAsia="Times New Roman" w:hint="default"/>
        </w:rPr>
        <w:t>291,043,046.39</w:t>
      </w:r>
      <w:r>
        <w:rPr>
          <w:rFonts w:ascii="Times New Roman" w:hAnsi="Times New Roman" w:cs="Times New Roman" w:eastAsia="Times New Roman" w:hint="default"/>
          <w:spacing w:val="-1"/>
        </w:rPr>
        <w:t> </w:t>
      </w:r>
      <w:r>
        <w:rPr/>
        <w:t>元。其中来 源于互联网业务的营业收入为</w:t>
      </w:r>
      <w:r>
        <w:rPr>
          <w:spacing w:val="-47"/>
        </w:rPr>
        <w:t> </w:t>
      </w:r>
      <w:r>
        <w:rPr>
          <w:rFonts w:ascii="Times New Roman" w:hAnsi="Times New Roman" w:cs="Times New Roman" w:eastAsia="Times New Roman" w:hint="default"/>
        </w:rPr>
        <w:t>693,846,734.98</w:t>
      </w:r>
      <w:r>
        <w:rPr>
          <w:rFonts w:ascii="Times New Roman" w:hAnsi="Times New Roman" w:cs="Times New Roman" w:eastAsia="Times New Roman" w:hint="default"/>
          <w:spacing w:val="-2"/>
        </w:rPr>
        <w:t> </w:t>
      </w:r>
      <w:r>
        <w:rPr/>
        <w:t>元，占全部营业收入的比例为</w:t>
      </w:r>
      <w:r>
        <w:rPr>
          <w:spacing w:val="-47"/>
        </w:rPr>
        <w:t> </w:t>
      </w:r>
      <w:r>
        <w:rPr>
          <w:rFonts w:ascii="Times New Roman" w:hAnsi="Times New Roman" w:cs="Times New Roman" w:eastAsia="Times New Roman" w:hint="default"/>
        </w:rPr>
        <w:t>54.89%</w:t>
      </w:r>
      <w:r>
        <w:rPr/>
        <w:t>，归属于母公司所有者的净利润为 </w:t>
      </w:r>
      <w:r>
        <w:rPr>
          <w:rFonts w:ascii="Times New Roman" w:hAnsi="Times New Roman" w:cs="Times New Roman" w:eastAsia="Times New Roman" w:hint="default"/>
        </w:rPr>
        <w:t>238,481,638.34</w:t>
      </w:r>
      <w:r>
        <w:rPr>
          <w:rFonts w:ascii="Times New Roman" w:hAnsi="Times New Roman" w:cs="Times New Roman" w:eastAsia="Times New Roman" w:hint="default"/>
          <w:spacing w:val="-4"/>
        </w:rPr>
        <w:t> </w:t>
      </w:r>
      <w:r>
        <w:rPr/>
        <w:t>元，占全部净利润的比例为</w:t>
      </w:r>
      <w:r>
        <w:rPr>
          <w:spacing w:val="-50"/>
        </w:rPr>
        <w:t> </w:t>
      </w:r>
      <w:r>
        <w:rPr>
          <w:rFonts w:ascii="Times New Roman" w:hAnsi="Times New Roman" w:cs="Times New Roman" w:eastAsia="Times New Roman" w:hint="default"/>
        </w:rPr>
        <w:t>81.94%</w:t>
      </w:r>
      <w:r>
        <w:rPr/>
        <w:t>；来源于热处理业务的营业收入为</w:t>
      </w:r>
      <w:r>
        <w:rPr>
          <w:spacing w:val="-50"/>
        </w:rPr>
        <w:t> </w:t>
      </w:r>
      <w:r>
        <w:rPr>
          <w:rFonts w:ascii="Times New Roman" w:hAnsi="Times New Roman" w:cs="Times New Roman" w:eastAsia="Times New Roman" w:hint="default"/>
        </w:rPr>
        <w:t>570,243,098.22</w:t>
      </w:r>
      <w:r>
        <w:rPr>
          <w:rFonts w:ascii="Times New Roman" w:hAnsi="Times New Roman" w:cs="Times New Roman" w:eastAsia="Times New Roman" w:hint="default"/>
          <w:spacing w:val="-4"/>
        </w:rPr>
        <w:t> </w:t>
      </w:r>
      <w:r>
        <w:rPr/>
        <w:t>元，占全部营业收入的 比例为</w:t>
      </w:r>
      <w:r>
        <w:rPr>
          <w:spacing w:val="-63"/>
        </w:rPr>
        <w:t> </w:t>
      </w:r>
      <w:r>
        <w:rPr>
          <w:rFonts w:ascii="Times New Roman" w:hAnsi="Times New Roman" w:cs="Times New Roman" w:eastAsia="Times New Roman" w:hint="default"/>
        </w:rPr>
        <w:t>45.11%</w:t>
      </w:r>
      <w:r>
        <w:rPr/>
        <w:t>，归属于母公司所有者的净利润为</w:t>
      </w:r>
      <w:r>
        <w:rPr>
          <w:spacing w:val="-63"/>
        </w:rPr>
        <w:t> </w:t>
      </w:r>
      <w:r>
        <w:rPr>
          <w:rFonts w:ascii="Times New Roman" w:hAnsi="Times New Roman" w:cs="Times New Roman" w:eastAsia="Times New Roman" w:hint="default"/>
        </w:rPr>
        <w:t>65,360,194.85</w:t>
      </w:r>
      <w:r>
        <w:rPr>
          <w:rFonts w:ascii="Times New Roman" w:hAnsi="Times New Roman" w:cs="Times New Roman" w:eastAsia="Times New Roman" w:hint="default"/>
          <w:spacing w:val="-17"/>
        </w:rPr>
        <w:t> </w:t>
      </w:r>
      <w:r>
        <w:rPr/>
        <w:t>元，占全部净利润的比例为</w:t>
      </w:r>
      <w:r>
        <w:rPr>
          <w:spacing w:val="-63"/>
        </w:rPr>
        <w:t> </w:t>
      </w:r>
      <w:r>
        <w:rPr>
          <w:rFonts w:ascii="Times New Roman" w:hAnsi="Times New Roman" w:cs="Times New Roman" w:eastAsia="Times New Roman" w:hint="default"/>
        </w:rPr>
        <w:t>22.46%</w:t>
      </w:r>
      <w:r>
        <w:rPr/>
        <w:t>。公司收入确认政策如财 务报表附注</w:t>
      </w:r>
      <w:r>
        <w:rPr>
          <w:spacing w:val="-46"/>
        </w:rPr>
        <w:t> </w:t>
      </w:r>
      <w:r>
        <w:rPr>
          <w:rFonts w:ascii="Times New Roman" w:hAnsi="Times New Roman" w:cs="Times New Roman" w:eastAsia="Times New Roman" w:hint="default"/>
        </w:rPr>
        <w:t>3.23.4</w:t>
      </w:r>
      <w:r>
        <w:rPr>
          <w:rFonts w:ascii="Times New Roman" w:hAnsi="Times New Roman" w:cs="Times New Roman" w:eastAsia="Times New Roman" w:hint="default"/>
          <w:spacing w:val="-1"/>
        </w:rPr>
        <w:t> </w:t>
      </w:r>
      <w:r>
        <w:rPr/>
        <w:t>所描述，可能存在收入确认的相关风险，因此我们将收入确认作为关键审计事项。</w:t>
      </w:r>
    </w:p>
    <w:p>
      <w:pPr>
        <w:pStyle w:val="BodyText"/>
        <w:spacing w:line="340" w:lineRule="auto" w:before="52"/>
        <w:ind w:right="5892"/>
        <w:jc w:val="left"/>
      </w:pPr>
      <w:r>
        <w:rPr>
          <w:rFonts w:ascii="Times New Roman" w:hAnsi="Times New Roman" w:cs="Times New Roman" w:eastAsia="Times New Roman" w:hint="default"/>
        </w:rPr>
        <w:t>3.2.2</w:t>
      </w:r>
      <w:r>
        <w:rPr>
          <w:rFonts w:ascii="Times New Roman" w:hAnsi="Times New Roman" w:cs="Times New Roman" w:eastAsia="Times New Roman" w:hint="default"/>
          <w:spacing w:val="44"/>
        </w:rPr>
        <w:t> </w:t>
      </w:r>
      <w:r>
        <w:rPr/>
        <w:t>审计应对： 我们针对收入确认和计量执行的审计程序包括但不限于：</w:t>
      </w:r>
    </w:p>
    <w:p>
      <w:pPr>
        <w:pStyle w:val="BodyText"/>
        <w:spacing w:line="240" w:lineRule="auto" w:before="40"/>
        <w:ind w:right="0"/>
        <w:jc w:val="left"/>
      </w:pPr>
      <w:r>
        <w:rPr/>
        <w:t>（</w:t>
      </w:r>
      <w:r>
        <w:rPr>
          <w:rFonts w:ascii="Times New Roman" w:hAnsi="Times New Roman" w:cs="Times New Roman" w:eastAsia="Times New Roman" w:hint="default"/>
        </w:rPr>
        <w:t>1</w:t>
      </w:r>
      <w:r>
        <w:rPr/>
        <w:t>）通过审阅销售合同与管理层的访谈，了解和评估公司的收入确认政策。</w:t>
      </w:r>
    </w:p>
    <w:p>
      <w:pPr>
        <w:pStyle w:val="BodyText"/>
        <w:spacing w:line="240" w:lineRule="auto" w:before="102"/>
        <w:ind w:right="0"/>
        <w:jc w:val="left"/>
      </w:pPr>
      <w:r>
        <w:rPr/>
        <w:t>（</w:t>
      </w:r>
      <w:r>
        <w:rPr>
          <w:rFonts w:ascii="Times New Roman" w:hAnsi="Times New Roman" w:cs="Times New Roman" w:eastAsia="Times New Roman" w:hint="default"/>
        </w:rPr>
        <w:t>2</w:t>
      </w:r>
      <w:r>
        <w:rPr/>
        <w:t>）向管理层、治理层进行询问，评价管理层诚信及舞弊风险。</w:t>
      </w:r>
    </w:p>
    <w:p>
      <w:pPr>
        <w:pStyle w:val="BodyText"/>
        <w:spacing w:line="240" w:lineRule="auto" w:before="103"/>
        <w:ind w:right="0"/>
        <w:jc w:val="left"/>
      </w:pPr>
      <w:r>
        <w:rPr/>
        <w:t>（</w:t>
      </w:r>
      <w:r>
        <w:rPr>
          <w:rFonts w:ascii="Times New Roman" w:hAnsi="Times New Roman" w:cs="Times New Roman" w:eastAsia="Times New Roman" w:hint="default"/>
        </w:rPr>
        <w:t>3</w:t>
      </w:r>
      <w:r>
        <w:rPr/>
        <w:t>）了解并测试了与收入相关的内部控制，确定其可依赖。</w:t>
      </w:r>
    </w:p>
    <w:p>
      <w:pPr>
        <w:pStyle w:val="BodyText"/>
        <w:spacing w:line="338" w:lineRule="auto" w:before="102"/>
        <w:ind w:right="0"/>
        <w:jc w:val="left"/>
      </w:pPr>
      <w:r>
        <w:rPr/>
        <w:t>（</w:t>
      </w:r>
      <w:r>
        <w:rPr>
          <w:rFonts w:ascii="Times New Roman" w:hAnsi="Times New Roman" w:cs="Times New Roman" w:eastAsia="Times New Roman" w:hint="default"/>
        </w:rPr>
        <w:t>4</w:t>
      </w:r>
      <w:r>
        <w:rPr/>
        <w:t>）对收入按类别执行包含但不限于以下审计程序： </w:t>
      </w:r>
      <w:r>
        <w:rPr>
          <w:spacing w:val="-2"/>
        </w:rPr>
        <w:t>财税云服务：抽取主要服务客户，检查财税云产品及服务运营合作协议；关注方欣科技系统平台生成销售数据与客户确</w:t>
      </w:r>
    </w:p>
    <w:p>
      <w:pPr>
        <w:pStyle w:val="BodyText"/>
        <w:spacing w:line="357" w:lineRule="auto" w:before="4"/>
        <w:ind w:right="0" w:hanging="360"/>
        <w:jc w:val="left"/>
      </w:pPr>
      <w:r>
        <w:rPr/>
        <w:t>认结算单数据是否一致；关注销售金额与客户支付能力是否匹配；核查结算单、发票金额与销售记录是否一致。 </w:t>
      </w:r>
      <w:r>
        <w:rPr>
          <w:spacing w:val="-4"/>
        </w:rPr>
        <w:t>技术服务及产品开发服务：抽查服务合同，查阅技术服务期限和软件开发验收进度报告，核查与收入确认金额是否匹配。</w:t>
      </w:r>
      <w:r>
        <w:rPr/>
        <w:t> </w:t>
      </w:r>
      <w:r>
        <w:rPr>
          <w:spacing w:val="-2"/>
        </w:rPr>
        <w:t>系统集成服务：抽取主要服务客户，检查销售合同；关注销售货物与客户经营范围是否一致；销售金额与客户支付能力</w:t>
      </w:r>
    </w:p>
    <w:p>
      <w:pPr>
        <w:pStyle w:val="BodyText"/>
        <w:spacing w:line="357" w:lineRule="auto" w:before="0"/>
        <w:ind w:right="0" w:hanging="360"/>
        <w:jc w:val="left"/>
      </w:pPr>
      <w:r>
        <w:rPr/>
        <w:t>是否匹配；是否取得客户盖章确认的验收单；核查出库单、验收单、发运时间与销售记录是否一致。 </w:t>
      </w:r>
      <w:r>
        <w:rPr>
          <w:spacing w:val="-2"/>
        </w:rPr>
        <w:t>热处理设备及加工：抽取主要客户，检查销售合同；是否取得客户盖章确认的终验收单；核查出库单、验收单、发运时</w:t>
      </w:r>
    </w:p>
    <w:p>
      <w:pPr>
        <w:pStyle w:val="BodyText"/>
        <w:spacing w:line="225" w:lineRule="exact" w:before="0"/>
        <w:ind w:left="174" w:right="0"/>
        <w:jc w:val="left"/>
      </w:pPr>
      <w:r>
        <w:rPr/>
        <w:t>间与销售记录是否一致。</w:t>
      </w:r>
    </w:p>
    <w:p>
      <w:pPr>
        <w:pStyle w:val="BodyText"/>
        <w:spacing w:line="240" w:lineRule="auto" w:before="117"/>
        <w:ind w:right="0"/>
        <w:jc w:val="left"/>
      </w:pPr>
      <w:r>
        <w:rPr/>
        <w:t>（</w:t>
      </w:r>
      <w:r>
        <w:rPr>
          <w:rFonts w:ascii="Times New Roman" w:hAnsi="Times New Roman" w:cs="Times New Roman" w:eastAsia="Times New Roman" w:hint="default"/>
        </w:rPr>
        <w:t>5</w:t>
      </w:r>
      <w:r>
        <w:rPr/>
        <w:t>）针对资产负债表日前后确认的销售收入执行截止性测试。</w:t>
      </w:r>
    </w:p>
    <w:p>
      <w:pPr>
        <w:pStyle w:val="BodyText"/>
        <w:spacing w:line="302" w:lineRule="auto" w:before="101"/>
        <w:ind w:left="174" w:right="1122" w:firstLine="360"/>
        <w:jc w:val="left"/>
      </w:pPr>
      <w:r>
        <w:rPr/>
        <w:t>（</w:t>
      </w:r>
      <w:r>
        <w:rPr>
          <w:rFonts w:ascii="Times New Roman" w:hAnsi="Times New Roman" w:cs="Times New Roman" w:eastAsia="Times New Roman" w:hint="default"/>
        </w:rPr>
        <w:t>6</w:t>
      </w:r>
      <w:r>
        <w:rPr/>
        <w:t>）实地走访及函证主要客户，甄别报告期内主要客户是否真实存在、销售业务是否真实发生，关注销售收入是否与 客户规模匹配、是否存在销售异常，核实期末应收款项的真实性。</w:t>
      </w:r>
    </w:p>
    <w:p>
      <w:pPr>
        <w:pStyle w:val="BodyText"/>
        <w:spacing w:line="302" w:lineRule="auto" w:before="68"/>
        <w:ind w:left="174" w:right="1122" w:firstLine="360"/>
        <w:jc w:val="left"/>
      </w:pPr>
      <w:r>
        <w:rPr/>
        <w:t>（</w:t>
      </w:r>
      <w:r>
        <w:rPr>
          <w:rFonts w:ascii="Times New Roman" w:hAnsi="Times New Roman" w:cs="Times New Roman" w:eastAsia="Times New Roman" w:hint="default"/>
        </w:rPr>
        <w:t>7</w:t>
      </w:r>
      <w:r>
        <w:rPr/>
        <w:t>）结合应收账款函证程序，对主要客户的款项收取情况及期后回款情况进行检查，核对收款单据上填写的付款人是 否与确认销售收入的客户相匹配，核查公司是否存在通过第三方账户周转从而达到货款回收的情况。</w:t>
      </w:r>
    </w:p>
    <w:p>
      <w:pPr>
        <w:pStyle w:val="BodyText"/>
        <w:spacing w:line="302" w:lineRule="auto" w:before="69"/>
        <w:ind w:left="174" w:right="1112" w:firstLine="360"/>
        <w:jc w:val="left"/>
      </w:pPr>
      <w:r>
        <w:rPr>
          <w:spacing w:val="-3"/>
        </w:rPr>
        <w:t>（</w:t>
      </w:r>
      <w:r>
        <w:rPr>
          <w:rFonts w:ascii="Times New Roman" w:hAnsi="Times New Roman" w:cs="Times New Roman" w:eastAsia="Times New Roman" w:hint="default"/>
          <w:spacing w:val="-3"/>
        </w:rPr>
        <w:t>8</w:t>
      </w:r>
      <w:r>
        <w:rPr>
          <w:spacing w:val="-3"/>
        </w:rPr>
        <w:t>）进行</w:t>
      </w:r>
      <w:r>
        <w:rPr>
          <w:spacing w:val="-73"/>
        </w:rPr>
        <w:t> </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审计，通过与公司研发人员、维护人员、操作人员的访谈，对财税云平台系统的安全性、使用权限、数据 的真实完整性等方面进行了测试，检查财税云平台系统数据的真实性。</w:t>
      </w:r>
    </w:p>
    <w:p>
      <w:pPr>
        <w:pStyle w:val="Heading4"/>
        <w:spacing w:line="240" w:lineRule="auto" w:before="148"/>
        <w:ind w:right="0"/>
        <w:jc w:val="left"/>
        <w:rPr>
          <w:b w:val="0"/>
          <w:bCs w:val="0"/>
        </w:rPr>
      </w:pPr>
      <w:r>
        <w:rPr>
          <w:rFonts w:ascii="Times New Roman" w:hAnsi="Times New Roman" w:cs="Times New Roman" w:eastAsia="Times New Roman" w:hint="default"/>
        </w:rPr>
        <w:t>4</w:t>
      </w:r>
      <w:r>
        <w:rPr/>
        <w:t>、其他信息</w:t>
      </w:r>
      <w:r>
        <w:rPr>
          <w:b w:val="0"/>
          <w:bCs w:val="0"/>
        </w:rPr>
      </w:r>
    </w:p>
    <w:p>
      <w:pPr>
        <w:pStyle w:val="BodyText"/>
        <w:spacing w:line="302" w:lineRule="auto" w:before="102"/>
        <w:ind w:left="174" w:right="1123" w:firstLine="360"/>
        <w:jc w:val="left"/>
      </w:pPr>
      <w:r>
        <w:rPr/>
        <w:t>金财互联管理层对其他信息负责。其他信息包括金财互联</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年年度报告中涵盖的信息，但不包括财务报表和我们的 审计报告。</w:t>
      </w:r>
    </w:p>
    <w:p>
      <w:pPr>
        <w:pStyle w:val="BodyText"/>
        <w:spacing w:line="357" w:lineRule="auto" w:before="69"/>
        <w:ind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before="0"/>
        <w:ind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before="0"/>
        <w:ind w:left="174" w:right="0"/>
        <w:jc w:val="left"/>
      </w:pPr>
      <w:r>
        <w:rPr/>
        <w:t>报告。</w:t>
      </w:r>
    </w:p>
    <w:p>
      <w:pPr>
        <w:spacing w:line="240" w:lineRule="auto" w:before="12"/>
        <w:rPr>
          <w:rFonts w:ascii="宋体" w:hAnsi="宋体" w:cs="宋体" w:eastAsia="宋体" w:hint="default"/>
          <w:sz w:val="14"/>
          <w:szCs w:val="14"/>
        </w:rPr>
      </w:pPr>
    </w:p>
    <w:p>
      <w:pPr>
        <w:spacing w:line="338" w:lineRule="auto" w:before="0"/>
        <w:ind w:left="534" w:right="1136"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金财互联管理层（以下简称“管理层”）负责按照企业会计准则的规定编制财务报表，使其实现公允反映，并设计、执</w:t>
      </w:r>
    </w:p>
    <w:p>
      <w:pPr>
        <w:spacing w:after="0" w:line="338"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357" w:lineRule="auto"/>
        <w:ind w:right="0" w:hanging="360"/>
        <w:jc w:val="left"/>
      </w:pPr>
      <w:r>
        <w:rPr/>
        <w:t>行和维护必要的内部控制，以使财务报表不存在由于舞弊或错误导致的重大错报。 </w:t>
      </w:r>
      <w:r>
        <w:rPr>
          <w:spacing w:val="-2"/>
        </w:rPr>
        <w:t>在编制财务报表时，管理层负责评估金财互联的持续经营能力，披露与持续经营相关的事项，并运用持续经营假设，除</w:t>
      </w:r>
    </w:p>
    <w:p>
      <w:pPr>
        <w:pStyle w:val="BodyText"/>
        <w:spacing w:line="360" w:lineRule="auto" w:before="0"/>
        <w:ind w:right="5712" w:hanging="360"/>
        <w:jc w:val="left"/>
      </w:pPr>
      <w:r>
        <w:rPr/>
        <w:t>非管理层计划清算金财互联、终止运营或别无其他现实的选择。 治理层负责监督金财互联的财务报告过程。</w:t>
      </w:r>
    </w:p>
    <w:p>
      <w:pPr>
        <w:spacing w:line="338" w:lineRule="auto" w:before="105"/>
        <w:ind w:left="53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9" w:lineRule="auto" w:before="2"/>
        <w:ind w:left="174" w:right="1130"/>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3"/>
        </w:rPr>
        <w:t> </w:t>
      </w:r>
      <w:r>
        <w:rPr>
          <w:spacing w:val="-63"/>
        </w:rPr>
      </w:r>
      <w:r>
        <w:rPr/>
        <w:t>重大的。</w:t>
      </w:r>
    </w:p>
    <w:p>
      <w:pPr>
        <w:pStyle w:val="BodyText"/>
        <w:spacing w:line="240" w:lineRule="auto" w:before="56"/>
        <w:ind w:right="0"/>
        <w:jc w:val="left"/>
      </w:pPr>
      <w:r>
        <w:rPr/>
        <w:t>在按照审计准则执行审计工作的过程中，我们运用职业判断，并保持职业怀疑。同时，我们也执行以下工作：</w:t>
      </w:r>
    </w:p>
    <w:p>
      <w:pPr>
        <w:pStyle w:val="BodyText"/>
        <w:spacing w:line="309" w:lineRule="auto" w:before="116"/>
        <w:ind w:left="174" w:right="1032"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64"/>
        <w:ind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102"/>
        <w:ind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2"/>
        <w:ind w:left="174"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）对管理层使用持续经营假设的恰当性得出结论。同时，根据获取的审计证据，就可能导致对金财互联持续经营能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于截至审计报告日可获得的信息。然而，未来的事项或情况可能导致金财互联不能持续经营。</w:t>
      </w:r>
    </w:p>
    <w:p>
      <w:pPr>
        <w:pStyle w:val="BodyText"/>
        <w:spacing w:line="240" w:lineRule="auto" w:before="62"/>
        <w:ind w:right="0"/>
        <w:jc w:val="left"/>
      </w:pPr>
      <w:r>
        <w:rPr/>
        <w:t>（</w:t>
      </w:r>
      <w:r>
        <w:rPr>
          <w:rFonts w:ascii="Times New Roman" w:hAnsi="Times New Roman" w:cs="Times New Roman" w:eastAsia="Times New Roman" w:hint="default"/>
        </w:rPr>
        <w:t>5</w:t>
      </w:r>
      <w:r>
        <w:rPr/>
        <w:t>）评价财务报表的总体列报、结构和内容（包括披露</w:t>
      </w:r>
      <w:r>
        <w:rPr>
          <w:spacing w:val="-90"/>
        </w:rPr>
        <w:t>）</w:t>
      </w:r>
      <w:r>
        <w:rPr/>
        <w:t>，并评价财务报表是否公允反映相关交易和事项。</w:t>
      </w:r>
    </w:p>
    <w:p>
      <w:pPr>
        <w:pStyle w:val="BodyText"/>
        <w:spacing w:line="302" w:lineRule="auto" w:before="101"/>
        <w:ind w:left="174" w:right="1122" w:firstLine="360"/>
        <w:jc w:val="left"/>
      </w:pPr>
      <w:r>
        <w:rPr/>
        <w:t>（</w:t>
      </w:r>
      <w:r>
        <w:rPr>
          <w:rFonts w:ascii="Times New Roman" w:hAnsi="Times New Roman" w:cs="Times New Roman" w:eastAsia="Times New Roman" w:hint="default"/>
        </w:rPr>
        <w:t>6</w:t>
      </w:r>
      <w:r>
        <w:rPr/>
        <w:t>）就金财互联中实体或业务活动的财务信息获取充分、适当的审计证据，以对财务报表发表审计意见。我们负责指 导、监督和执行集团审计，并对审计意见承担全部责任。</w:t>
      </w:r>
    </w:p>
    <w:p>
      <w:pPr>
        <w:pStyle w:val="BodyText"/>
        <w:spacing w:line="319" w:lineRule="auto" w:before="69"/>
        <w:ind w:left="174"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5"/>
        <w:ind w:left="174" w:right="0"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9" w:lineRule="auto" w:before="55"/>
        <w:ind w:left="174"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tabs>
          <w:tab w:pos="6654" w:val="left" w:leader="none"/>
          <w:tab w:pos="8365" w:val="left" w:leader="none"/>
        </w:tabs>
        <w:spacing w:line="240" w:lineRule="auto" w:before="0"/>
        <w:ind w:right="0"/>
        <w:jc w:val="left"/>
      </w:pPr>
      <w:r>
        <w:rPr/>
        <w:t>众华会计师事务所（特殊普通合伙）</w:t>
        <w:tab/>
        <w:t>中国注册会计师</w:t>
        <w:tab/>
        <w:t>冯家俊</w:t>
      </w:r>
    </w:p>
    <w:p>
      <w:pPr>
        <w:pStyle w:val="BodyText"/>
        <w:tabs>
          <w:tab w:pos="8402" w:val="left" w:leader="none"/>
        </w:tabs>
        <w:spacing w:line="360" w:lineRule="auto" w:before="116"/>
        <w:ind w:left="6692" w:right="2002" w:firstLine="180"/>
        <w:jc w:val="left"/>
      </w:pPr>
      <w:r>
        <w:rPr/>
        <w:t>（项目合伙人） 中国注册会计师</w:t>
        <w:tab/>
        <w:t>赵海蓉</w:t>
      </w:r>
    </w:p>
    <w:p>
      <w:pPr>
        <w:pStyle w:val="BodyText"/>
        <w:tabs>
          <w:tab w:pos="5580" w:val="left" w:leader="none"/>
        </w:tabs>
        <w:spacing w:line="240" w:lineRule="auto" w:before="26"/>
        <w:ind w:left="0" w:right="1235"/>
        <w:jc w:val="center"/>
      </w:pPr>
      <w:r>
        <w:rPr/>
        <w:t>中国 上海</w:t>
        <w:tab/>
        <w:t>二○一九年四月二十日</w:t>
      </w:r>
    </w:p>
    <w:p>
      <w:pPr>
        <w:spacing w:after="0" w:line="240" w:lineRule="auto"/>
        <w:jc w:val="center"/>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before="26"/>
        <w:ind w:right="0"/>
        <w:jc w:val="left"/>
        <w:rPr>
          <w:b w:val="0"/>
          <w:bCs w:val="0"/>
        </w:rPr>
      </w:pPr>
      <w:bookmarkStart w:name="二、财务报表" w:id="180"/>
      <w:bookmarkEnd w:id="180"/>
      <w:r>
        <w:rPr>
          <w:b w:val="0"/>
          <w:bCs w:val="0"/>
        </w:rPr>
      </w:r>
      <w:r>
        <w:rPr/>
        <w:t>二、财务报表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4"/>
        <w:rPr>
          <w:rFonts w:ascii="宋体" w:hAnsi="宋体" w:cs="宋体" w:eastAsia="宋体" w:hint="default"/>
          <w:sz w:val="17"/>
          <w:szCs w:val="17"/>
        </w:rPr>
      </w:pPr>
    </w:p>
    <w:p>
      <w:pPr>
        <w:pStyle w:val="Heading3"/>
        <w:spacing w:line="240" w:lineRule="auto" w:before="0"/>
        <w:ind w:left="174" w:right="0"/>
        <w:jc w:val="left"/>
        <w:rPr>
          <w:b w:val="0"/>
          <w:bCs w:val="0"/>
        </w:rPr>
      </w:pPr>
      <w:bookmarkStart w:name="1、合并资产负债表" w:id="181"/>
      <w:bookmarkEnd w:id="18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551" w:footer="979" w:top="1120" w:bottom="1160" w:left="960" w:right="0"/>
        </w:sectPr>
      </w:pPr>
    </w:p>
    <w:p>
      <w:pPr>
        <w:pStyle w:val="BodyText"/>
        <w:spacing w:line="240" w:lineRule="auto"/>
        <w:ind w:left="174" w:right="-20"/>
        <w:jc w:val="left"/>
      </w:pPr>
      <w:r>
        <w:rPr/>
        <w:t>编制单位：金财互联控股股份有限公司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7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73" w:right="0"/>
        <w:jc w:val="left"/>
      </w:pPr>
      <w:r>
        <w:rPr/>
        <w:t>单位：元</w:t>
      </w:r>
    </w:p>
    <w:p>
      <w:pPr>
        <w:spacing w:after="0" w:line="240" w:lineRule="auto"/>
        <w:jc w:val="left"/>
        <w:sectPr>
          <w:type w:val="continuous"/>
          <w:pgSz w:w="11910" w:h="16840"/>
          <w:pgMar w:top="1060" w:bottom="1160" w:left="960" w:right="0"/>
          <w:cols w:num="3" w:equalWidth="0">
            <w:col w:w="3235" w:space="843"/>
            <w:col w:w="1659" w:space="3183"/>
            <w:col w:w="2030"/>
          </w:cols>
        </w:sectPr>
      </w:pP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840,893,542.27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726,978,860.81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544,972,825.06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423,195,355.30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36,062,369.74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52,204,084.17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508,910,455.32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370,991,271.13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175,386,884.37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156,250,416.67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39,089,199.67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22,496,152.89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284,576,610.00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199,436,303.37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343,610,194.89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947,844,180.98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2,228,529,256.26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2,476,201,270.02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90,319,374.50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88,044,374.50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5,621,116.24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6,129,316.24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104,178,293.09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100,042,003.17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33,117,977.97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499,545,258.14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479,103,566.17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37,570,308.24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22,248,087.03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255,830,601.47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120,410,505.72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29,753,718.74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27,277,139.71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1,816,725,622.38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1,687,085,722.27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70,181,082.25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6,806,870.91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16,610,116.11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13,860,163.90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2,959,453,469.13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2,551,007,749.62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5,187,982,725.39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5,027,209,019.64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223,100,000.00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263,173,345.17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181,685,033.83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232,227,847.37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181,185,328.83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22,005,353.62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14,596,403.96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27,789,070.24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31,527,418.29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97,574,099.86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119,934,532.36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240,132.66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225,958.33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9,100,713.88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8,616,068.67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733,870,430.14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760,644,785.94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88,981,008.61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97,973,471.49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22,733,313.35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22,242,934.97</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8,043,693.60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7,656,644.17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119,758,015.56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127,873,050.63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853,628,445.70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888,517,836.57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785,186,964.00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490,741,853.00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2,644,966,675.16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3,053,847,327.45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33,579,171.66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30,259,050.34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717,528,679.41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454,342,846.99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4,181,261,490.23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4,029,191,077.78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153,092,789.46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109,500,105.29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4,334,354,279.69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4,138,691,183.07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5,187,982,725.39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5,027,209,019.64</w:t>
            </w:r>
          </w:p>
        </w:tc>
      </w:tr>
    </w:tbl>
    <w:p>
      <w:pPr>
        <w:spacing w:line="240" w:lineRule="auto" w:before="3"/>
        <w:rPr>
          <w:rFonts w:ascii="Times New Roman" w:hAnsi="Times New Roman" w:cs="Times New Roman" w:eastAsia="Times New Roman" w:hint="default"/>
          <w:sz w:val="23"/>
          <w:szCs w:val="23"/>
        </w:rPr>
      </w:pPr>
    </w:p>
    <w:p>
      <w:pPr>
        <w:pStyle w:val="BodyText"/>
        <w:tabs>
          <w:tab w:pos="3594" w:val="left" w:leader="none"/>
          <w:tab w:pos="7735" w:val="left" w:leader="none"/>
        </w:tabs>
        <w:spacing w:line="240" w:lineRule="auto"/>
        <w:ind w:left="174" w:right="0"/>
        <w:jc w:val="left"/>
      </w:pPr>
      <w:r>
        <w:rPr/>
        <w:t>法定代表人：朱文明</w:t>
        <w:tab/>
        <w:t>主管会计工作负责人：褚文兰</w:t>
        <w:tab/>
        <w:t>会计机构负责人：褚文兰</w:t>
      </w:r>
    </w:p>
    <w:p>
      <w:pPr>
        <w:spacing w:line="240" w:lineRule="auto" w:before="5"/>
        <w:rPr>
          <w:rFonts w:ascii="宋体" w:hAnsi="宋体" w:cs="宋体" w:eastAsia="宋体" w:hint="default"/>
          <w:sz w:val="17"/>
          <w:szCs w:val="17"/>
        </w:rPr>
      </w:pPr>
    </w:p>
    <w:p>
      <w:pPr>
        <w:pStyle w:val="Heading3"/>
        <w:spacing w:line="240" w:lineRule="auto" w:before="0"/>
        <w:ind w:left="174" w:right="0"/>
        <w:jc w:val="left"/>
        <w:rPr>
          <w:b w:val="0"/>
          <w:bCs w:val="0"/>
        </w:rPr>
      </w:pPr>
      <w:bookmarkStart w:name="2、母公司资产负债表" w:id="182"/>
      <w:bookmarkEnd w:id="182"/>
      <w:r>
        <w:rPr>
          <w:b w:val="0"/>
          <w:bCs w:val="0"/>
        </w:rPr>
      </w:r>
      <w:r>
        <w:rPr>
          <w:rFonts w:ascii="Times New Roman" w:hAnsi="Times New Roman" w:cs="Times New Roman" w:eastAsia="Times New Roman" w:hint="default"/>
        </w:rPr>
        <w:t>2</w:t>
      </w:r>
      <w:r>
        <w:rPr/>
        <w:t>、母公司资产负债表</w:t>
      </w:r>
      <w:r>
        <w:rPr>
          <w:b w:val="0"/>
          <w:bCs w:val="0"/>
        </w:rPr>
      </w:r>
    </w:p>
    <w:p>
      <w:pPr>
        <w:pStyle w:val="BodyText"/>
        <w:spacing w:line="240" w:lineRule="auto" w:before="158"/>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43,274,196.37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116,769,382.18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143,661.87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184,520.73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143,661.87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184,520.73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68,725.02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3,929,234.77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50,582.07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1,323,000.00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256,877,195.29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274,152,385.97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301,749,778.55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395,086,105.72</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80" w:type="dxa"/>
        <w:tblLayout w:type="fixed"/>
        <w:tblCellMar>
          <w:top w:w="0" w:type="dxa"/>
          <w:left w:w="0" w:type="dxa"/>
          <w:bottom w:w="0" w:type="dxa"/>
          <w:right w:w="0" w:type="dxa"/>
        </w:tblCellMar>
        <w:tblLook w:val="01E0"/>
      </w:tblPr>
      <w:tblGrid>
        <w:gridCol w:w="5643"/>
        <w:gridCol w:w="2001"/>
        <w:gridCol w:w="1913"/>
      </w:tblGrid>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17,060,243.50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19,060,243.50</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3,507,207,899.42</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2,634,662.33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1,892,065.25</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3,121,966.42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9,067.68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4,726.96</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3,530,033,839.35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3,528,164,935.13</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3,831,783,617.90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3,923,251,040.85</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119,560.18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161,824.80</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5,227,432.22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3,907,237.76</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986,760.74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868,344.47</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69,526.44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1,539,146.70</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103,618,549.15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103,676,818.50</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93,469.44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225,958.33</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180,021,828.73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280,153,372.23</w:t>
            </w: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01"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180,021,828.73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280,153,372.23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785,186,964.00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490,741,853.00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2,660,406,826.93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2,954,851,937.93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33,579,171.66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30,259,050.34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172,588,826.58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167,244,827.35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3,651,761,789.17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3,643,097,668.62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3,831,783,617.90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3,923,251,040.85</w:t>
            </w:r>
          </w:p>
        </w:tc>
      </w:tr>
    </w:tbl>
    <w:p>
      <w:pPr>
        <w:spacing w:line="240" w:lineRule="auto" w:before="1"/>
        <w:rPr>
          <w:rFonts w:ascii="Times New Roman" w:hAnsi="Times New Roman" w:cs="Times New Roman" w:eastAsia="Times New Roman" w:hint="default"/>
          <w:sz w:val="11"/>
          <w:szCs w:val="11"/>
        </w:rPr>
      </w:pPr>
    </w:p>
    <w:p>
      <w:pPr>
        <w:pStyle w:val="Heading3"/>
        <w:spacing w:line="240" w:lineRule="auto"/>
        <w:ind w:left="174" w:right="0"/>
        <w:jc w:val="left"/>
        <w:rPr>
          <w:b w:val="0"/>
          <w:bCs w:val="0"/>
        </w:rPr>
      </w:pPr>
      <w:bookmarkStart w:name="3、合并利润表" w:id="183"/>
      <w:bookmarkEnd w:id="18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1,264,089,833.20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997,742,267.47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1,264,089,833.20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997,742,267.47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963,402,609.73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760,086,586.55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655,499,188.56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542,497,560.48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10,869,499.53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10,069,779.58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57,621,661.09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39,487,154.23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143,466,992.14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98,006,775.52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64,060,229.80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60,700,880.22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6,127,247.31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-6,974,973.98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14,417,049.74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2,192,866.80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7,149,330.34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9,401,120.57</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25,757,791.30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16,299,410.50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9,815,095.94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10,317,209.41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35,831,560.17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18,711,703.15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9,142,666.20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9,181,119.27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-2,048,655.81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-1,959,650.01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344,285,223.77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264,724,943.47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9,806,050.01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5,856,256.89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7,056,673.25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801,568.09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347,034,600.53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269,779,632.27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32,201,461.56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31,613,729.46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314,833,138.97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238,165,902.81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314,833,138.97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238,165,902.81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291,043,046.39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227,912,897.73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23,790,092.58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10,253,005.08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314,833,138.97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238,165,902.81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291,043,046.39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227,912,897.73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23,790,092.58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10,253,005.08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0.29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0.29</w:t>
            </w:r>
          </w:p>
        </w:tc>
      </w:tr>
    </w:tbl>
    <w:p>
      <w:pPr>
        <w:pStyle w:val="BodyText"/>
        <w:spacing w:line="240" w:lineRule="auto" w:before="51"/>
        <w:ind w:left="174" w:right="0"/>
        <w:jc w:val="left"/>
      </w:pPr>
      <w:r>
        <w:rPr/>
        <w:t>本期发生同一控制下企业合并的，被合并方在合并前实现的净利润为：</w:t>
      </w:r>
      <w:r>
        <w:rPr>
          <w:rFonts w:ascii="Times New Roman" w:hAnsi="Times New Roman" w:cs="Times New Roman" w:eastAsia="Times New Roman" w:hint="default"/>
        </w:rPr>
        <w:t>-3,814,589.33</w:t>
      </w:r>
      <w:r>
        <w:rPr>
          <w:rFonts w:ascii="Times New Roman" w:hAnsi="Times New Roman" w:cs="Times New Roman" w:eastAsia="Times New Roman" w:hint="default"/>
          <w:spacing w:val="-4"/>
        </w:rPr>
        <w:t> </w:t>
      </w:r>
      <w:r>
        <w:rPr/>
        <w:t>元，上期被合并方实现的净利润为：</w:t>
      </w:r>
    </w:p>
    <w:p>
      <w:pPr>
        <w:pStyle w:val="BodyText"/>
        <w:spacing w:line="240" w:lineRule="auto" w:before="64"/>
        <w:ind w:left="174" w:right="0"/>
        <w:jc w:val="left"/>
      </w:pPr>
      <w:r>
        <w:rPr>
          <w:rFonts w:ascii="Times New Roman" w:hAnsi="Times New Roman" w:cs="Times New Roman" w:eastAsia="Times New Roman" w:hint="default"/>
        </w:rPr>
        <w:t>-2,561,260.98</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18"/>
          <w:szCs w:val="18"/>
        </w:rPr>
      </w:pPr>
    </w:p>
    <w:p>
      <w:pPr>
        <w:pStyle w:val="BodyText"/>
        <w:tabs>
          <w:tab w:pos="3594" w:val="left" w:leader="none"/>
          <w:tab w:pos="7735" w:val="left" w:leader="none"/>
        </w:tabs>
        <w:spacing w:line="240" w:lineRule="auto" w:before="126"/>
        <w:ind w:left="174" w:right="0"/>
        <w:jc w:val="left"/>
      </w:pPr>
      <w:r>
        <w:rPr/>
        <w:t>法定代表人：朱文明</w:t>
        <w:tab/>
        <w:t>主管会计工作负责人：褚文兰</w:t>
        <w:tab/>
        <w:t>会计机构负责人：褚文兰</w:t>
      </w:r>
    </w:p>
    <w:p>
      <w:pPr>
        <w:spacing w:after="0" w:line="240" w:lineRule="auto"/>
        <w:jc w:val="left"/>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Heading3"/>
        <w:spacing w:line="240" w:lineRule="auto"/>
        <w:ind w:left="174" w:right="0"/>
        <w:jc w:val="left"/>
        <w:rPr>
          <w:b w:val="0"/>
          <w:bCs w:val="0"/>
        </w:rPr>
      </w:pPr>
      <w:bookmarkStart w:name="4、母公司利润表" w:id="184"/>
      <w:bookmarkEnd w:id="18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1"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60,271,785.57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40,724,976.78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136,145.12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979,091.13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456,827.09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6,740,675.19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12,179,807.25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11,430,336.68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3,706,324.92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3,584,389.60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-1,124,754.81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4,393,488.90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2,844,433.55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656,158.89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4,074,195.94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17,362.88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18,907.84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4,223.96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1,823,793.06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48,778,233.25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17,069,162.99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449,525.05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32,407,925.27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16,689,183.89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651,043.60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1,537,596.59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78,866.32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89,274.80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32,980,102.55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18,137,505.68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-221,110.65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834,322.78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33,201,213.20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17,303,182.90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33,201,213.20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17,303,182.90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33,201,213.20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17,303,182.90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left="174" w:right="0"/>
        <w:jc w:val="left"/>
        <w:rPr>
          <w:b w:val="0"/>
          <w:bCs w:val="0"/>
        </w:rPr>
      </w:pPr>
      <w:bookmarkStart w:name="5、合并现金流量表" w:id="185"/>
      <w:bookmarkEnd w:id="18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1"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1,398,681,368.24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1,003,972,605.07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7,291,196.20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4,374,188.23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16,940,160.34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26,375,160.85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1,422,912,724.78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1,034,721,954.15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707,859,502.87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449,645,028.51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395,177,329.82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242,226,146.38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106,510,562.76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77,682,827.86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93,917,255.82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72,318,621.80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1,303,464,651.27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841,872,624.55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119,448,073.51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192,849,329.60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13,880,000.00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34,493,789.79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9,676,747.53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283,714.87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493,372.55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w w:val="95"/>
                <w:sz w:val="18"/>
              </w:rPr>
              <w:t>-33,099.87</w:t>
            </w:r>
            <w:r>
              <w:rPr>
                <w:rFonts w:ascii="Times New Roman"/>
                <w:sz w:val="18"/>
              </w:rPr>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2,508,871,000.00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1,115,500,000.00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2,545,648,504.66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1,139,517,020.21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248,467,338.50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353,582,113.26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5,308,890.30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138,220,000.00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39,686,245.71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99,031,157.64</w:t>
            </w:r>
          </w:p>
        </w:tc>
      </w:tr>
      <w:tr>
        <w:trPr>
          <w:trHeight w:val="331"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1,917,601,000.00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2,048,500,000.00</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2,211,063,474.51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2,639,333,270.90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334,585,030.15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-1,499,816,250.69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19,047,700.00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84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19,047,700.00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317,794,756.83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334,674,002.00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4,924,150.00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33,526,741.04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341,766,606.83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468,200,743.04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467,510,825.50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194,134,412.28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40,177,130.78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8,013,491.80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846"/>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1,237,162.72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1,242,000.00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221,384,922.41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729,072,878.69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202,147,904.08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-387,306,271.86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266,052,838.96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1,149,668.29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-266,130.24</w:t>
            </w:r>
            <w:r>
              <w:rPr>
                <w:rFonts w:ascii="Times New Roman"/>
                <w:sz w:val="18"/>
              </w:rPr>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67,876,500.09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-1,041,180,212.37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724,342,678.45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1,765,522,890.82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792,219,178.54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724,342,678.45</w:t>
            </w:r>
          </w:p>
        </w:tc>
      </w:tr>
    </w:tbl>
    <w:p>
      <w:pPr>
        <w:spacing w:line="240" w:lineRule="auto" w:before="10"/>
        <w:rPr>
          <w:rFonts w:ascii="宋体" w:hAnsi="宋体" w:cs="宋体" w:eastAsia="宋体" w:hint="default"/>
          <w:sz w:val="9"/>
          <w:szCs w:val="9"/>
        </w:rPr>
      </w:pPr>
    </w:p>
    <w:p>
      <w:pPr>
        <w:pStyle w:val="Heading3"/>
        <w:spacing w:line="240" w:lineRule="auto"/>
        <w:ind w:left="174" w:right="0"/>
        <w:jc w:val="left"/>
        <w:rPr>
          <w:b w:val="0"/>
          <w:bCs w:val="0"/>
        </w:rPr>
      </w:pPr>
      <w:bookmarkStart w:name="6、母公司现金流量表" w:id="186"/>
      <w:bookmarkEnd w:id="18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1,476,635.67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66,099,023.39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1,385,645.99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305,744,781.00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2,862,281.66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371,843,804.39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35,081,531.64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4,316,125.89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14,202,617.27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2,378,832.80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3,873,435.30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5,803,636.64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8,585,667.62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12,498,595.33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61,743,251.83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-9,636,313.67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310,100,552.56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49,901,891.30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16,478,923.31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709,000,000.00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903,000,000.00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760,901,891.30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927,478,923.31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4,866,298.80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1,424,815.55</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8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462,000,000.00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136,540,561.45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691,000,000.00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1,177,000,000.00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695,866,298.80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1,776,965,377.00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65,035,592.50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-849,486,453.69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170,400,000.00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29,063,070.44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2,703,058.55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279,063,070.44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182,703,058.55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-129,063,070.44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-12,303,058.55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168,605.80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-227,206.29</w:t>
            </w:r>
            <w:r>
              <w:rPr>
                <w:rFonts w:ascii="Times New Roman"/>
                <w:sz w:val="18"/>
              </w:rPr>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-73,495,185.81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-551,916,165.97</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116,769,382.18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668,685,548.15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43,274,196.37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116,769,382.18</w:t>
            </w:r>
          </w:p>
        </w:tc>
      </w:tr>
    </w:tbl>
    <w:p>
      <w:pPr>
        <w:spacing w:line="240" w:lineRule="auto" w:before="10"/>
        <w:rPr>
          <w:rFonts w:ascii="宋体" w:hAnsi="宋体" w:cs="宋体" w:eastAsia="宋体" w:hint="default"/>
          <w:sz w:val="9"/>
          <w:szCs w:val="9"/>
        </w:rPr>
      </w:pPr>
    </w:p>
    <w:p>
      <w:pPr>
        <w:pStyle w:val="Heading3"/>
        <w:spacing w:line="240" w:lineRule="auto"/>
        <w:ind w:left="174" w:right="0"/>
        <w:jc w:val="left"/>
        <w:rPr>
          <w:b w:val="0"/>
          <w:bCs w:val="0"/>
        </w:rPr>
      </w:pPr>
      <w:bookmarkStart w:name="7、合并所有者权益变动表" w:id="187"/>
      <w:bookmarkEnd w:id="18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174" w:right="0"/>
        <w:jc w:val="left"/>
      </w:pPr>
      <w:r>
        <w:rPr/>
        <w:t>本期金额</w:t>
      </w:r>
    </w:p>
    <w:p>
      <w:pPr>
        <w:pStyle w:val="BodyText"/>
        <w:spacing w:line="240" w:lineRule="auto" w:before="117"/>
        <w:ind w:left="0" w:right="1130"/>
        <w:jc w:val="right"/>
      </w:pPr>
      <w:r>
        <w:rPr/>
        <w:pict>
          <v:group style="position:absolute;margin-left:56.220009pt;margin-top:22.601692pt;width:479.3pt;height:295pt;mso-position-horizontal-relative:page;mso-position-vertical-relative:paragraph;z-index:-1027528" coordorigin="1124,452" coordsize="9586,5900">
            <v:group style="position:absolute;left:1139;top:466;width:1429;height:536" coordorigin="1139,466" coordsize="1429,536">
              <v:shape style="position:absolute;left:1139;top:466;width:1429;height:536" coordorigin="1139,466" coordsize="1429,536" path="m1139,1002l2567,1002,2567,466,1139,466,1139,1002xe" filled="true" fillcolor="#d2d2d2" stroked="false">
                <v:path arrowok="t"/>
                <v:fill type="solid"/>
              </v:shape>
            </v:group>
            <v:group style="position:absolute;left:1150;top:1002;width:2;height:240" coordorigin="1150,1002" coordsize="2,240">
              <v:shape style="position:absolute;left:1150;top:1002;width:2;height:240" coordorigin="1150,1002" coordsize="0,240" path="m1150,1002l1150,1242e" filled="false" stroked="true" strokeweight="1.140pt" strokecolor="#d2d2d2">
                <v:path arrowok="t"/>
              </v:shape>
            </v:group>
            <v:group style="position:absolute;left:2556;top:1002;width:2;height:240" coordorigin="2556,1002" coordsize="2,240">
              <v:shape style="position:absolute;left:2556;top:1002;width:2;height:240" coordorigin="2556,1002" coordsize="0,240" path="m2556,1002l2556,1242e" filled="false" stroked="true" strokeweight="1.140pt" strokecolor="#d2d2d2">
                <v:path arrowok="t"/>
              </v:shape>
            </v:group>
            <v:group style="position:absolute;left:1139;top:1242;width:1429;height:536" coordorigin="1139,1242" coordsize="1429,536">
              <v:shape style="position:absolute;left:1139;top:1242;width:1429;height:536" coordorigin="1139,1242" coordsize="1429,536" path="m1139,1777l2567,1777,2567,1242,1139,1242,1139,1777xe" filled="true" fillcolor="#d2d2d2" stroked="false">
                <v:path arrowok="t"/>
                <v:fill type="solid"/>
              </v:shape>
            </v:group>
            <v:group style="position:absolute;left:1162;top:1002;width:1383;height:240" coordorigin="1162,1002" coordsize="1383,240">
              <v:shape style="position:absolute;left:1162;top:1002;width:1383;height:240" coordorigin="1162,1002" coordsize="1383,240" path="m1162,1242l2544,1242,2544,1002,1162,1002,1162,1242xe" filled="true" fillcolor="#d2d2d2" stroked="false">
                <v:path arrowok="t"/>
                <v:fill type="solid"/>
              </v:shape>
            </v:group>
            <v:group style="position:absolute;left:2589;top:466;width:2;height:240" coordorigin="2589,466" coordsize="2,240">
              <v:shape style="position:absolute;left:2589;top:466;width:2;height:240" coordorigin="2589,466" coordsize="0,240" path="m2589,466l2589,706e" filled="false" stroked="true" strokeweight="1.2pt" strokecolor="#d2d2d2">
                <v:path arrowok="t"/>
              </v:shape>
            </v:group>
            <v:group style="position:absolute;left:10689;top:466;width:2;height:240" coordorigin="10689,466" coordsize="2,240">
              <v:shape style="position:absolute;left:10689;top:466;width:2;height:240" coordorigin="10689,466" coordsize="0,240" path="m10689,466l10689,706e" filled="false" stroked="true" strokeweight="1.140pt" strokecolor="#d2d2d2">
                <v:path arrowok="t"/>
              </v:shape>
            </v:group>
            <v:group style="position:absolute;left:2601;top:466;width:8077;height:240" coordorigin="2601,466" coordsize="8077,240">
              <v:shape style="position:absolute;left:2601;top:466;width:8077;height:240" coordorigin="2601,466" coordsize="8077,240" path="m2601,706l10678,706,10678,466,2601,466,2601,706xe" filled="true" fillcolor="#d2d2d2" stroked="false">
                <v:path arrowok="t"/>
                <v:fill type="solid"/>
              </v:shape>
            </v:group>
            <v:group style="position:absolute;left:1139;top:462;width:1429;height:2" coordorigin="1139,462" coordsize="1429,2">
              <v:shape style="position:absolute;left:1139;top:462;width:1429;height:2" coordorigin="1139,462" coordsize="1429,0" path="m1139,462l2567,462e" filled="false" stroked="true" strokeweight=".48001pt" strokecolor="#000000">
                <v:path arrowok="t"/>
              </v:shape>
            </v:group>
            <v:group style="position:absolute;left:2577;top:462;width:8124;height:2" coordorigin="2577,462" coordsize="8124,2">
              <v:shape style="position:absolute;left:2577;top:462;width:8124;height:2" coordorigin="2577,462" coordsize="8124,0" path="m2577,462l10700,462e" filled="false" stroked="true" strokeweight=".48001pt" strokecolor="#000000">
                <v:path arrowok="t"/>
              </v:shape>
            </v:group>
            <v:group style="position:absolute;left:1134;top:457;width:2;height:250" coordorigin="1134,457" coordsize="2,250">
              <v:shape style="position:absolute;left:1134;top:457;width:2;height:250" coordorigin="1134,457" coordsize="0,250" path="m1134,457l1134,706e" filled="false" stroked="true" strokeweight=".48pt" strokecolor="#000000">
                <v:path arrowok="t"/>
              </v:shape>
            </v:group>
            <v:group style="position:absolute;left:2589;top:717;width:2;height:240" coordorigin="2589,717" coordsize="2,240">
              <v:shape style="position:absolute;left:2589;top:717;width:2;height:240" coordorigin="2589,717" coordsize="0,240" path="m2589,717l2589,957e" filled="false" stroked="true" strokeweight="1.2pt" strokecolor="#d2d2d2">
                <v:path arrowok="t"/>
              </v:shape>
            </v:group>
            <v:group style="position:absolute;left:9199;top:717;width:2;height:240" coordorigin="9199,717" coordsize="2,240">
              <v:shape style="position:absolute;left:9199;top:717;width:2;height:240" coordorigin="9199,717" coordsize="0,240" path="m9199,717l9199,957e" filled="false" stroked="true" strokeweight="1.140pt" strokecolor="#d2d2d2">
                <v:path arrowok="t"/>
              </v:shape>
            </v:group>
            <v:group style="position:absolute;left:2601;top:717;width:6587;height:240" coordorigin="2601,717" coordsize="6587,240">
              <v:shape style="position:absolute;left:2601;top:717;width:6587;height:240" coordorigin="2601,717" coordsize="6587,240" path="m2601,957l9187,957,9187,717,2601,717,2601,957xe" filled="true" fillcolor="#d2d2d2" stroked="false">
                <v:path arrowok="t"/>
                <v:fill type="solid"/>
              </v:shape>
            </v:group>
            <v:group style="position:absolute;left:9220;top:717;width:700;height:250" coordorigin="9220,717" coordsize="700,250">
              <v:shape style="position:absolute;left:9220;top:717;width:700;height:250" coordorigin="9220,717" coordsize="700,250" path="m9220,967l9919,967,9919,717,9220,717,9220,967xe" filled="true" fillcolor="#d2d2d2" stroked="false">
                <v:path arrowok="t"/>
                <v:fill type="solid"/>
              </v:shape>
            </v:group>
            <v:group style="position:absolute;left:9232;top:967;width:2;height:561" coordorigin="9232,967" coordsize="2,561">
              <v:shape style="position:absolute;left:9232;top:967;width:2;height:561" coordorigin="9232,967" coordsize="0,561" path="m9232,967l9232,1527e" filled="false" stroked="true" strokeweight="1.2pt" strokecolor="#d2d2d2">
                <v:path arrowok="t"/>
              </v:shape>
            </v:group>
            <v:group style="position:absolute;left:9908;top:967;width:2;height:561" coordorigin="9908,967" coordsize="2,561">
              <v:shape style="position:absolute;left:9908;top:967;width:2;height:561" coordorigin="9908,967" coordsize="0,561" path="m9908,967l9908,1527e" filled="false" stroked="true" strokeweight="1.140pt" strokecolor="#d2d2d2">
                <v:path arrowok="t"/>
              </v:shape>
            </v:group>
            <v:group style="position:absolute;left:9220;top:1527;width:700;height:250" coordorigin="9220,1527" coordsize="700,250">
              <v:shape style="position:absolute;left:9220;top:1527;width:700;height:250" coordorigin="9220,1527" coordsize="700,250" path="m9220,1777l9919,1777,9919,1527,9220,1527,9220,1777xe" filled="true" fillcolor="#d2d2d2" stroked="false">
                <v:path arrowok="t"/>
                <v:fill type="solid"/>
              </v:shape>
            </v:group>
            <v:group style="position:absolute;left:9244;top:967;width:653;height:280" coordorigin="9244,967" coordsize="653,280">
              <v:shape style="position:absolute;left:9244;top:967;width:653;height:280" coordorigin="9244,967" coordsize="653,280" path="m9244,1246l9896,1246,9896,967,9244,967,9244,1246xe" filled="true" fillcolor="#d2d2d2" stroked="false">
                <v:path arrowok="t"/>
                <v:fill type="solid"/>
              </v:shape>
            </v:group>
            <v:group style="position:absolute;left:9244;top:1246;width:653;height:281" coordorigin="9244,1246" coordsize="653,281">
              <v:shape style="position:absolute;left:9244;top:1246;width:653;height:281" coordorigin="9244,1246" coordsize="653,281" path="m9244,1527l9896,1527,9896,1246,9244,1246,9244,1527xe" filled="true" fillcolor="#d2d2d2" stroked="false">
                <v:path arrowok="t"/>
                <v:fill type="solid"/>
              </v:shape>
            </v:group>
            <v:group style="position:absolute;left:9929;top:717;width:772;height:250" coordorigin="9929,717" coordsize="772,250">
              <v:shape style="position:absolute;left:9929;top:717;width:772;height:250" coordorigin="9929,717" coordsize="772,250" path="m9929,967l10700,967,10700,717,9929,717,9929,967xe" filled="true" fillcolor="#d2d2d2" stroked="false">
                <v:path arrowok="t"/>
                <v:fill type="solid"/>
              </v:shape>
            </v:group>
            <v:group style="position:absolute;left:9940;top:967;width:2;height:561" coordorigin="9940,967" coordsize="2,561">
              <v:shape style="position:absolute;left:9940;top:967;width:2;height:561" coordorigin="9940,967" coordsize="0,561" path="m9940,967l9940,1527e" filled="false" stroked="true" strokeweight="1.140pt" strokecolor="#d2d2d2">
                <v:path arrowok="t"/>
              </v:shape>
            </v:group>
            <v:group style="position:absolute;left:10689;top:967;width:2;height:561" coordorigin="10689,967" coordsize="2,561">
              <v:shape style="position:absolute;left:10689;top:967;width:2;height:561" coordorigin="10689,967" coordsize="0,561" path="m10689,967l10689,1527e" filled="false" stroked="true" strokeweight="1.140pt" strokecolor="#d2d2d2">
                <v:path arrowok="t"/>
              </v:shape>
            </v:group>
            <v:group style="position:absolute;left:9929;top:1527;width:772;height:250" coordorigin="9929,1527" coordsize="772,250">
              <v:shape style="position:absolute;left:9929;top:1527;width:772;height:250" coordorigin="9929,1527" coordsize="772,250" path="m9929,1777l10700,1777,10700,1527,9929,1527,9929,1777xe" filled="true" fillcolor="#d2d2d2" stroked="false">
                <v:path arrowok="t"/>
                <v:fill type="solid"/>
              </v:shape>
            </v:group>
            <v:group style="position:absolute;left:9952;top:967;width:726;height:280" coordorigin="9952,967" coordsize="726,280">
              <v:shape style="position:absolute;left:9952;top:967;width:726;height:280" coordorigin="9952,967" coordsize="726,280" path="m9952,1246l10678,1246,10678,967,9952,967,9952,1246xe" filled="true" fillcolor="#d2d2d2" stroked="false">
                <v:path arrowok="t"/>
                <v:fill type="solid"/>
              </v:shape>
            </v:group>
            <v:group style="position:absolute;left:9952;top:1246;width:726;height:281" coordorigin="9952,1246" coordsize="726,281">
              <v:shape style="position:absolute;left:9952;top:1246;width:726;height:281" coordorigin="9952,1246" coordsize="726,281" path="m9952,1527l10678,1527,10678,1246,9952,1246,9952,1527xe" filled="true" fillcolor="#d2d2d2" stroked="false">
                <v:path arrowok="t"/>
                <v:fill type="solid"/>
              </v:shape>
            </v:group>
            <v:group style="position:absolute;left:2577;top:711;width:6634;height:2" coordorigin="2577,711" coordsize="6634,2">
              <v:shape style="position:absolute;left:2577;top:711;width:6634;height:2" coordorigin="2577,711" coordsize="6634,0" path="m2577,711l9210,711e" filled="false" stroked="true" strokeweight=".47998pt" strokecolor="#000000">
                <v:path arrowok="t"/>
              </v:shape>
            </v:group>
            <v:group style="position:absolute;left:9220;top:711;width:700;height:2" coordorigin="9220,711" coordsize="700,2">
              <v:shape style="position:absolute;left:9220;top:711;width:700;height:2" coordorigin="9220,711" coordsize="700,0" path="m9220,711l9919,711e" filled="false" stroked="true" strokeweight=".47998pt" strokecolor="#000000">
                <v:path arrowok="t"/>
              </v:shape>
            </v:group>
            <v:group style="position:absolute;left:9929;top:711;width:772;height:2" coordorigin="9929,711" coordsize="772,2">
              <v:shape style="position:absolute;left:9929;top:711;width:772;height:2" coordorigin="9929,711" coordsize="772,0" path="m9929,711l10700,711e" filled="false" stroked="true" strokeweight=".47998pt" strokecolor="#000000">
                <v:path arrowok="t"/>
              </v:shape>
            </v:group>
            <v:group style="position:absolute;left:2577;top:967;width:680;height:285" coordorigin="2577,967" coordsize="680,285">
              <v:shape style="position:absolute;left:2577;top:967;width:680;height:285" coordorigin="2577,967" coordsize="680,285" path="m2577,1251l3256,1251,3256,967,2577,967,2577,1251xe" filled="true" fillcolor="#d2d2d2" stroked="false">
                <v:path arrowok="t"/>
                <v:fill type="solid"/>
              </v:shape>
            </v:group>
            <v:group style="position:absolute;left:2589;top:1251;width:2;height:240" coordorigin="2589,1251" coordsize="2,240">
              <v:shape style="position:absolute;left:2589;top:1251;width:2;height:240" coordorigin="2589,1251" coordsize="0,240" path="m2589,1251l2589,1491e" filled="false" stroked="true" strokeweight="1.2pt" strokecolor="#d2d2d2">
                <v:path arrowok="t"/>
              </v:shape>
            </v:group>
            <v:group style="position:absolute;left:3245;top:1251;width:2;height:240" coordorigin="3245,1251" coordsize="2,240">
              <v:shape style="position:absolute;left:3245;top:1251;width:2;height:240" coordorigin="3245,1251" coordsize="0,240" path="m3245,1251l3245,1491e" filled="false" stroked="true" strokeweight="1.140pt" strokecolor="#d2d2d2">
                <v:path arrowok="t"/>
              </v:shape>
            </v:group>
            <v:group style="position:absolute;left:2577;top:1491;width:680;height:286" coordorigin="2577,1491" coordsize="680,286">
              <v:shape style="position:absolute;left:2577;top:1491;width:680;height:286" coordorigin="2577,1491" coordsize="680,286" path="m2577,1777l3256,1777,3256,1491,2577,1491,2577,1777xe" filled="true" fillcolor="#d2d2d2" stroked="false">
                <v:path arrowok="t"/>
                <v:fill type="solid"/>
              </v:shape>
            </v:group>
            <v:group style="position:absolute;left:2601;top:1251;width:633;height:240" coordorigin="2601,1251" coordsize="633,240">
              <v:shape style="position:absolute;left:2601;top:1251;width:633;height:240" coordorigin="2601,1251" coordsize="633,240" path="m2601,1491l3233,1491,3233,1251,2601,1251,2601,1491xe" filled="true" fillcolor="#d2d2d2" stroked="false">
                <v:path arrowok="t"/>
                <v:fill type="solid"/>
              </v:shape>
            </v:group>
            <v:group style="position:absolute;left:3278;top:967;width:2;height:240" coordorigin="3278,967" coordsize="2,240">
              <v:shape style="position:absolute;left:3278;top:967;width:2;height:240" coordorigin="3278,967" coordsize="0,240" path="m3278,967l3278,1207e" filled="false" stroked="true" strokeweight="1.140pt" strokecolor="#d2d2d2">
                <v:path arrowok="t"/>
              </v:shape>
            </v:group>
            <v:group style="position:absolute;left:4711;top:967;width:2;height:240" coordorigin="4711,967" coordsize="2,240">
              <v:shape style="position:absolute;left:4711;top:967;width:2;height:240" coordorigin="4711,967" coordsize="0,240" path="m4711,967l4711,1207e" filled="false" stroked="true" strokeweight="1.140pt" strokecolor="#d2d2d2">
                <v:path arrowok="t"/>
              </v:shape>
            </v:group>
            <v:group style="position:absolute;left:3290;top:967;width:1410;height:240" coordorigin="3290,967" coordsize="1410,240">
              <v:shape style="position:absolute;left:3290;top:967;width:1410;height:240" coordorigin="3290,967" coordsize="1410,240" path="m3290,1207l4700,1207,4700,967,3290,967,3290,1207xe" filled="true" fillcolor="#d2d2d2" stroked="false">
                <v:path arrowok="t"/>
                <v:fill type="solid"/>
              </v:shape>
            </v:group>
            <v:group style="position:absolute;left:4732;top:967;width:793;height:285" coordorigin="4732,967" coordsize="793,285">
              <v:shape style="position:absolute;left:4732;top:967;width:793;height:285" coordorigin="4732,967" coordsize="793,285" path="m4732,1251l5524,1251,5524,967,4732,967,4732,1251xe" filled="true" fillcolor="#d2d2d2" stroked="false">
                <v:path arrowok="t"/>
                <v:fill type="solid"/>
              </v:shape>
            </v:group>
            <v:group style="position:absolute;left:4743;top:1251;width:2;height:240" coordorigin="4743,1251" coordsize="2,240">
              <v:shape style="position:absolute;left:4743;top:1251;width:2;height:240" coordorigin="4743,1251" coordsize="0,240" path="m4743,1251l4743,1491e" filled="false" stroked="true" strokeweight="1.140pt" strokecolor="#d2d2d2">
                <v:path arrowok="t"/>
              </v:shape>
            </v:group>
            <v:group style="position:absolute;left:5513;top:1251;width:2;height:240" coordorigin="5513,1251" coordsize="2,240">
              <v:shape style="position:absolute;left:5513;top:1251;width:2;height:240" coordorigin="5513,1251" coordsize="0,240" path="m5513,1251l5513,1491e" filled="false" stroked="true" strokeweight="1.140pt" strokecolor="#d2d2d2">
                <v:path arrowok="t"/>
              </v:shape>
            </v:group>
            <v:group style="position:absolute;left:4732;top:1491;width:793;height:286" coordorigin="4732,1491" coordsize="793,286">
              <v:shape style="position:absolute;left:4732;top:1491;width:793;height:286" coordorigin="4732,1491" coordsize="793,286" path="m4732,1777l5524,1777,5524,1491,4732,1491,4732,1777xe" filled="true" fillcolor="#d2d2d2" stroked="false">
                <v:path arrowok="t"/>
                <v:fill type="solid"/>
              </v:shape>
            </v:group>
            <v:group style="position:absolute;left:5535;top:989;width:414;height:2" coordorigin="5535,989" coordsize="414,2">
              <v:shape style="position:absolute;left:5535;top:989;width:414;height:2" coordorigin="5535,989" coordsize="414,0" path="m5535,989l5949,989e" filled="false" stroked="true" strokeweight="2.220pt" strokecolor="#d2d2d2">
                <v:path arrowok="t"/>
              </v:shape>
            </v:group>
            <v:group style="position:absolute;left:5547;top:1011;width:2;height:720" coordorigin="5547,1011" coordsize="2,720">
              <v:shape style="position:absolute;left:5547;top:1011;width:2;height:720" coordorigin="5547,1011" coordsize="0,720" path="m5547,1011l5547,1731e" filled="false" stroked="true" strokeweight="1.140pt" strokecolor="#d2d2d2">
                <v:path arrowok="t"/>
              </v:shape>
            </v:group>
            <v:group style="position:absolute;left:5938;top:1011;width:2;height:720" coordorigin="5938,1011" coordsize="2,720">
              <v:shape style="position:absolute;left:5938;top:1011;width:2;height:720" coordorigin="5938,1011" coordsize="0,720" path="m5938,1011l5938,1731e" filled="false" stroked="true" strokeweight="1.140pt" strokecolor="#d2d2d2">
                <v:path arrowok="t"/>
              </v:shape>
            </v:group>
            <v:group style="position:absolute;left:5535;top:1754;width:414;height:2" coordorigin="5535,1754" coordsize="414,2">
              <v:shape style="position:absolute;left:5535;top:1754;width:414;height:2" coordorigin="5535,1754" coordsize="414,0" path="m5535,1754l5949,1754e" filled="false" stroked="true" strokeweight="2.280pt" strokecolor="#d2d2d2">
                <v:path arrowok="t"/>
              </v:shape>
            </v:group>
            <v:group style="position:absolute;left:5558;top:1011;width:369;height:240" coordorigin="5558,1011" coordsize="369,240">
              <v:shape style="position:absolute;left:5558;top:1011;width:369;height:240" coordorigin="5558,1011" coordsize="369,240" path="m5558,1251l5926,1251,5926,1011,5558,1011,5558,1251xe" filled="true" fillcolor="#d2d2d2" stroked="false">
                <v:path arrowok="t"/>
                <v:fill type="solid"/>
              </v:shape>
            </v:group>
            <v:group style="position:absolute;left:5558;top:1251;width:369;height:240" coordorigin="5558,1251" coordsize="369,240">
              <v:shape style="position:absolute;left:5558;top:1251;width:369;height:240" coordorigin="5558,1251" coordsize="369,240" path="m5558,1491l5926,1491,5926,1251,5558,1251,5558,1491xe" filled="true" fillcolor="#d2d2d2" stroked="false">
                <v:path arrowok="t"/>
                <v:fill type="solid"/>
              </v:shape>
            </v:group>
            <v:group style="position:absolute;left:5558;top:1491;width:369;height:240" coordorigin="5558,1491" coordsize="369,240">
              <v:shape style="position:absolute;left:5558;top:1491;width:369;height:240" coordorigin="5558,1491" coordsize="369,240" path="m5558,1731l5926,1731,5926,1491,5558,1491,5558,1731xe" filled="true" fillcolor="#d2d2d2" stroked="false">
                <v:path arrowok="t"/>
                <v:fill type="solid"/>
              </v:shape>
            </v:group>
            <v:group style="position:absolute;left:5960;top:989;width:557;height:2" coordorigin="5960,989" coordsize="557,2">
              <v:shape style="position:absolute;left:5960;top:989;width:557;height:2" coordorigin="5960,989" coordsize="557,0" path="m5960,989l6517,989e" filled="false" stroked="true" strokeweight="2.220pt" strokecolor="#d2d2d2">
                <v:path arrowok="t"/>
              </v:shape>
            </v:group>
            <v:group style="position:absolute;left:5971;top:1011;width:2;height:720" coordorigin="5971,1011" coordsize="2,720">
              <v:shape style="position:absolute;left:5971;top:1011;width:2;height:720" coordorigin="5971,1011" coordsize="0,720" path="m5971,1011l5971,1731e" filled="false" stroked="true" strokeweight="1.140pt" strokecolor="#d2d2d2">
                <v:path arrowok="t"/>
              </v:shape>
            </v:group>
            <v:group style="position:absolute;left:6505;top:1011;width:2;height:720" coordorigin="6505,1011" coordsize="2,720">
              <v:shape style="position:absolute;left:6505;top:1011;width:2;height:720" coordorigin="6505,1011" coordsize="0,720" path="m6505,1011l6505,1731e" filled="false" stroked="true" strokeweight="1.140pt" strokecolor="#d2d2d2">
                <v:path arrowok="t"/>
              </v:shape>
            </v:group>
            <v:group style="position:absolute;left:5960;top:1754;width:557;height:2" coordorigin="5960,1754" coordsize="557,2">
              <v:shape style="position:absolute;left:5960;top:1754;width:557;height:2" coordorigin="5960,1754" coordsize="557,0" path="m5960,1754l6517,1754e" filled="false" stroked="true" strokeweight="2.280pt" strokecolor="#d2d2d2">
                <v:path arrowok="t"/>
              </v:shape>
            </v:group>
            <v:group style="position:absolute;left:5983;top:1011;width:512;height:240" coordorigin="5983,1011" coordsize="512,240">
              <v:shape style="position:absolute;left:5983;top:1011;width:512;height:240" coordorigin="5983,1011" coordsize="512,240" path="m5983,1251l6494,1251,6494,1011,5983,1011,5983,1251xe" filled="true" fillcolor="#d2d2d2" stroked="false">
                <v:path arrowok="t"/>
                <v:fill type="solid"/>
              </v:shape>
            </v:group>
            <v:group style="position:absolute;left:5983;top:1251;width:512;height:240" coordorigin="5983,1251" coordsize="512,240">
              <v:shape style="position:absolute;left:5983;top:1251;width:512;height:240" coordorigin="5983,1251" coordsize="512,240" path="m5983,1491l6494,1491,6494,1251,5983,1251,5983,1491xe" filled="true" fillcolor="#d2d2d2" stroked="false">
                <v:path arrowok="t"/>
                <v:fill type="solid"/>
              </v:shape>
            </v:group>
            <v:group style="position:absolute;left:5983;top:1491;width:512;height:240" coordorigin="5983,1491" coordsize="512,240">
              <v:shape style="position:absolute;left:5983;top:1491;width:512;height:240" coordorigin="5983,1491" coordsize="512,240" path="m5983,1731l6494,1731,6494,1491,5983,1491,5983,1731xe" filled="true" fillcolor="#d2d2d2" stroked="false">
                <v:path arrowok="t"/>
                <v:fill type="solid"/>
              </v:shape>
            </v:group>
            <v:group style="position:absolute;left:6526;top:967;width:558;height:165" coordorigin="6526,967" coordsize="558,165">
              <v:shape style="position:absolute;left:6526;top:967;width:558;height:165" coordorigin="6526,967" coordsize="558,165" path="m6526,1131l7084,1131,7084,967,6526,967,6526,1131xe" filled="true" fillcolor="#d2d2d2" stroked="false">
                <v:path arrowok="t"/>
                <v:fill type="solid"/>
              </v:shape>
            </v:group>
            <v:group style="position:absolute;left:6538;top:1131;width:2;height:480" coordorigin="6538,1131" coordsize="2,480">
              <v:shape style="position:absolute;left:6538;top:1131;width:2;height:480" coordorigin="6538,1131" coordsize="0,480" path="m6538,1131l6538,1611e" filled="false" stroked="true" strokeweight="1.140pt" strokecolor="#d2d2d2">
                <v:path arrowok="t"/>
              </v:shape>
            </v:group>
            <v:group style="position:absolute;left:7072;top:1131;width:2;height:480" coordorigin="7072,1131" coordsize="2,480">
              <v:shape style="position:absolute;left:7072;top:1131;width:2;height:480" coordorigin="7072,1131" coordsize="0,480" path="m7072,1131l7072,1611e" filled="false" stroked="true" strokeweight="1.2pt" strokecolor="#d2d2d2">
                <v:path arrowok="t"/>
              </v:shape>
            </v:group>
            <v:group style="position:absolute;left:6526;top:1611;width:558;height:166" coordorigin="6526,1611" coordsize="558,166">
              <v:shape style="position:absolute;left:6526;top:1611;width:558;height:166" coordorigin="6526,1611" coordsize="558,166" path="m6526,1777l7084,1777,7084,1611,6526,1611,6526,1777xe" filled="true" fillcolor="#d2d2d2" stroked="false">
                <v:path arrowok="t"/>
                <v:fill type="solid"/>
              </v:shape>
            </v:group>
            <v:group style="position:absolute;left:6549;top:1131;width:512;height:240" coordorigin="6549,1131" coordsize="512,240">
              <v:shape style="position:absolute;left:6549;top:1131;width:512;height:240" coordorigin="6549,1131" coordsize="512,240" path="m6549,1371l7060,1371,7060,1131,6549,1131,6549,1371xe" filled="true" fillcolor="#d2d2d2" stroked="false">
                <v:path arrowok="t"/>
                <v:fill type="solid"/>
              </v:shape>
            </v:group>
            <v:group style="position:absolute;left:6549;top:1371;width:512;height:240" coordorigin="6549,1371" coordsize="512,240">
              <v:shape style="position:absolute;left:6549;top:1371;width:512;height:240" coordorigin="6549,1371" coordsize="512,240" path="m6549,1611l7060,1611,7060,1371,6549,1371,6549,1611xe" filled="true" fillcolor="#d2d2d2" stroked="false">
                <v:path arrowok="t"/>
                <v:fill type="solid"/>
              </v:shape>
            </v:group>
            <v:group style="position:absolute;left:7094;top:967;width:840;height:285" coordorigin="7094,967" coordsize="840,285">
              <v:shape style="position:absolute;left:7094;top:967;width:840;height:285" coordorigin="7094,967" coordsize="840,285" path="m7094,1251l7934,1251,7934,967,7094,967,7094,1251xe" filled="true" fillcolor="#d2d2d2" stroked="false">
                <v:path arrowok="t"/>
                <v:fill type="solid"/>
              </v:shape>
            </v:group>
            <v:group style="position:absolute;left:7105;top:1251;width:2;height:240" coordorigin="7105,1251" coordsize="2,240">
              <v:shape style="position:absolute;left:7105;top:1251;width:2;height:240" coordorigin="7105,1251" coordsize="0,240" path="m7105,1251l7105,1491e" filled="false" stroked="true" strokeweight="1.140pt" strokecolor="#d2d2d2">
                <v:path arrowok="t"/>
              </v:shape>
            </v:group>
            <v:group style="position:absolute;left:7923;top:1251;width:2;height:240" coordorigin="7923,1251" coordsize="2,240">
              <v:shape style="position:absolute;left:7923;top:1251;width:2;height:240" coordorigin="7923,1251" coordsize="0,240" path="m7923,1251l7923,1491e" filled="false" stroked="true" strokeweight="1.140pt" strokecolor="#d2d2d2">
                <v:path arrowok="t"/>
              </v:shape>
            </v:group>
            <v:group style="position:absolute;left:7094;top:1491;width:840;height:286" coordorigin="7094,1491" coordsize="840,286">
              <v:shape style="position:absolute;left:7094;top:1491;width:840;height:286" coordorigin="7094,1491" coordsize="840,286" path="m7094,1777l7934,1777,7934,1491,7094,1491,7094,1777xe" filled="true" fillcolor="#d2d2d2" stroked="false">
                <v:path arrowok="t"/>
                <v:fill type="solid"/>
              </v:shape>
            </v:group>
            <v:group style="position:absolute;left:7944;top:989;width:558;height:2" coordorigin="7944,989" coordsize="558,2">
              <v:shape style="position:absolute;left:7944;top:989;width:558;height:2" coordorigin="7944,989" coordsize="558,0" path="m7944,989l8501,989e" filled="false" stroked="true" strokeweight="2.220pt" strokecolor="#d2d2d2">
                <v:path arrowok="t"/>
              </v:shape>
            </v:group>
            <v:group style="position:absolute;left:7955;top:1011;width:2;height:720" coordorigin="7955,1011" coordsize="2,720">
              <v:shape style="position:absolute;left:7955;top:1011;width:2;height:720" coordorigin="7955,1011" coordsize="0,720" path="m7955,1011l7955,1731e" filled="false" stroked="true" strokeweight="1.140pt" strokecolor="#d2d2d2">
                <v:path arrowok="t"/>
              </v:shape>
            </v:group>
            <v:group style="position:absolute;left:8489;top:1011;width:2;height:720" coordorigin="8489,1011" coordsize="2,720">
              <v:shape style="position:absolute;left:8489;top:1011;width:2;height:720" coordorigin="8489,1011" coordsize="0,720" path="m8489,1011l8489,1731e" filled="false" stroked="true" strokeweight="1.140pt" strokecolor="#d2d2d2">
                <v:path arrowok="t"/>
              </v:shape>
            </v:group>
            <v:group style="position:absolute;left:7944;top:1754;width:558;height:2" coordorigin="7944,1754" coordsize="558,2">
              <v:shape style="position:absolute;left:7944;top:1754;width:558;height:2" coordorigin="7944,1754" coordsize="558,0" path="m7944,1754l8501,1754e" filled="false" stroked="true" strokeweight="2.280pt" strokecolor="#d2d2d2">
                <v:path arrowok="t"/>
              </v:shape>
            </v:group>
            <v:group style="position:absolute;left:7966;top:1011;width:512;height:240" coordorigin="7966,1011" coordsize="512,240">
              <v:shape style="position:absolute;left:7966;top:1011;width:512;height:240" coordorigin="7966,1011" coordsize="512,240" path="m7966,1251l8478,1251,8478,1011,7966,1011,7966,1251xe" filled="true" fillcolor="#d2d2d2" stroked="false">
                <v:path arrowok="t"/>
                <v:fill type="solid"/>
              </v:shape>
            </v:group>
            <v:group style="position:absolute;left:7966;top:1251;width:512;height:240" coordorigin="7966,1251" coordsize="512,240">
              <v:shape style="position:absolute;left:7966;top:1251;width:512;height:240" coordorigin="7966,1251" coordsize="512,240" path="m7966,1491l8478,1491,8478,1251,7966,1251,7966,1491xe" filled="true" fillcolor="#d2d2d2" stroked="false">
                <v:path arrowok="t"/>
                <v:fill type="solid"/>
              </v:shape>
            </v:group>
            <v:group style="position:absolute;left:7966;top:1491;width:512;height:240" coordorigin="7966,1491" coordsize="512,240">
              <v:shape style="position:absolute;left:7966;top:1491;width:512;height:240" coordorigin="7966,1491" coordsize="512,240" path="m7966,1731l8478,1731,8478,1491,7966,1491,7966,1731xe" filled="true" fillcolor="#d2d2d2" stroked="false">
                <v:path arrowok="t"/>
                <v:fill type="solid"/>
              </v:shape>
            </v:group>
            <v:group style="position:absolute;left:8512;top:967;width:699;height:125" coordorigin="8512,967" coordsize="699,125">
              <v:shape style="position:absolute;left:8512;top:967;width:699;height:125" coordorigin="8512,967" coordsize="699,125" path="m8512,1092l9210,1092,9210,967,8512,967,8512,1092xe" filled="true" fillcolor="#d2d2d2" stroked="false">
                <v:path arrowok="t"/>
                <v:fill type="solid"/>
              </v:shape>
            </v:group>
            <v:group style="position:absolute;left:8523;top:1092;width:2;height:561" coordorigin="8523,1092" coordsize="2,561">
              <v:shape style="position:absolute;left:8523;top:1092;width:2;height:561" coordorigin="8523,1092" coordsize="0,561" path="m8523,1092l8523,1652e" filled="false" stroked="true" strokeweight="1.140pt" strokecolor="#d2d2d2">
                <v:path arrowok="t"/>
              </v:shape>
            </v:group>
            <v:group style="position:absolute;left:9199;top:1092;width:2;height:561" coordorigin="9199,1092" coordsize="2,561">
              <v:shape style="position:absolute;left:9199;top:1092;width:2;height:561" coordorigin="9199,1092" coordsize="0,561" path="m9199,1092l9199,1652e" filled="false" stroked="true" strokeweight="1.140pt" strokecolor="#d2d2d2">
                <v:path arrowok="t"/>
              </v:shape>
            </v:group>
            <v:group style="position:absolute;left:8512;top:1652;width:699;height:125" coordorigin="8512,1652" coordsize="699,125">
              <v:shape style="position:absolute;left:8512;top:1652;width:699;height:125" coordorigin="8512,1652" coordsize="699,125" path="m8512,1777l9210,1777,9210,1652,8512,1652,8512,1777xe" filled="true" fillcolor="#d2d2d2" stroked="false">
                <v:path arrowok="t"/>
                <v:fill type="solid"/>
              </v:shape>
            </v:group>
            <v:group style="position:absolute;left:8534;top:1092;width:653;height:280" coordorigin="8534,1092" coordsize="653,280">
              <v:shape style="position:absolute;left:8534;top:1092;width:653;height:280" coordorigin="8534,1092" coordsize="653,280" path="m8534,1371l9187,1371,9187,1092,8534,1092,8534,1371xe" filled="true" fillcolor="#d2d2d2" stroked="false">
                <v:path arrowok="t"/>
                <v:fill type="solid"/>
              </v:shape>
            </v:group>
            <v:group style="position:absolute;left:8534;top:1371;width:653;height:281" coordorigin="8534,1371" coordsize="653,281">
              <v:shape style="position:absolute;left:8534;top:1371;width:653;height:281" coordorigin="8534,1371" coordsize="653,281" path="m8534,1652l9187,1652,9187,1371,8534,1371,8534,1652xe" filled="true" fillcolor="#d2d2d2" stroked="false">
                <v:path arrowok="t"/>
                <v:fill type="solid"/>
              </v:shape>
            </v:group>
            <v:group style="position:absolute;left:2577;top:962;width:681;height:2" coordorigin="2577,962" coordsize="681,2">
              <v:shape style="position:absolute;left:2577;top:962;width:681;height:2" coordorigin="2577,962" coordsize="681,0" path="m2577,962l3257,962e" filled="false" stroked="true" strokeweight=".48001pt" strokecolor="#000000">
                <v:path arrowok="t"/>
              </v:shape>
            </v:group>
            <v:group style="position:absolute;left:3267;top:962;width:1456;height:2" coordorigin="3267,962" coordsize="1456,2">
              <v:shape style="position:absolute;left:3267;top:962;width:1456;height:2" coordorigin="3267,962" coordsize="1456,0" path="m3267,962l4722,962e" filled="false" stroked="true" strokeweight=".48001pt" strokecolor="#000000">
                <v:path arrowok="t"/>
              </v:shape>
            </v:group>
            <v:group style="position:absolute;left:4732;top:962;width:794;height:2" coordorigin="4732,962" coordsize="794,2">
              <v:shape style="position:absolute;left:4732;top:962;width:794;height:2" coordorigin="4732,962" coordsize="794,0" path="m4732,962l5526,962e" filled="false" stroked="true" strokeweight=".48001pt" strokecolor="#000000">
                <v:path arrowok="t"/>
              </v:shape>
            </v:group>
            <v:group style="position:absolute;left:5535;top:962;width:416;height:2" coordorigin="5535,962" coordsize="416,2">
              <v:shape style="position:absolute;left:5535;top:962;width:416;height:2" coordorigin="5535,962" coordsize="416,0" path="m5535,962l5950,962e" filled="false" stroked="true" strokeweight=".48001pt" strokecolor="#000000">
                <v:path arrowok="t"/>
              </v:shape>
            </v:group>
            <v:group style="position:absolute;left:5960;top:962;width:557;height:2" coordorigin="5960,962" coordsize="557,2">
              <v:shape style="position:absolute;left:5960;top:962;width:557;height:2" coordorigin="5960,962" coordsize="557,0" path="m5960,962l6517,962e" filled="false" stroked="true" strokeweight=".48001pt" strokecolor="#000000">
                <v:path arrowok="t"/>
              </v:shape>
            </v:group>
            <v:group style="position:absolute;left:6526;top:962;width:558;height:2" coordorigin="6526,962" coordsize="558,2">
              <v:shape style="position:absolute;left:6526;top:962;width:558;height:2" coordorigin="6526,962" coordsize="558,0" path="m6526,962l7084,962e" filled="false" stroked="true" strokeweight=".48001pt" strokecolor="#000000">
                <v:path arrowok="t"/>
              </v:shape>
            </v:group>
            <v:group style="position:absolute;left:7094;top:962;width:840;height:2" coordorigin="7094,962" coordsize="840,2">
              <v:shape style="position:absolute;left:7094;top:962;width:840;height:2" coordorigin="7094,962" coordsize="840,0" path="m7094,962l7934,962e" filled="false" stroked="true" strokeweight=".48001pt" strokecolor="#000000">
                <v:path arrowok="t"/>
              </v:shape>
            </v:group>
            <v:group style="position:absolute;left:7944;top:962;width:559;height:2" coordorigin="7944,962" coordsize="559,2">
              <v:shape style="position:absolute;left:7944;top:962;width:559;height:2" coordorigin="7944,962" coordsize="559,0" path="m7944,962l8502,962e" filled="false" stroked="true" strokeweight=".48001pt" strokecolor="#000000">
                <v:path arrowok="t"/>
              </v:shape>
            </v:group>
            <v:group style="position:absolute;left:8512;top:962;width:699;height:2" coordorigin="8512,962" coordsize="699,2">
              <v:shape style="position:absolute;left:8512;top:962;width:699;height:2" coordorigin="8512,962" coordsize="699,0" path="m8512,962l9210,962e" filled="false" stroked="true" strokeweight=".48001pt" strokecolor="#000000">
                <v:path arrowok="t"/>
              </v:shape>
            </v:group>
            <v:group style="position:absolute;left:3278;top:1216;width:2;height:561" coordorigin="3278,1216" coordsize="2,561">
              <v:shape style="position:absolute;left:3278;top:1216;width:2;height:561" coordorigin="3278,1216" coordsize="0,561" path="m3278,1216l3278,1777e" filled="false" stroked="true" strokeweight="1.140pt" strokecolor="#d2d2d2">
                <v:path arrowok="t"/>
              </v:shape>
            </v:group>
            <v:group style="position:absolute;left:3812;top:1216;width:2;height:561" coordorigin="3812,1216" coordsize="2,561">
              <v:shape style="position:absolute;left:3812;top:1216;width:2;height:561" coordorigin="3812,1216" coordsize="0,561" path="m3812,1216l3812,1777e" filled="false" stroked="true" strokeweight="1.140pt" strokecolor="#d2d2d2">
                <v:path arrowok="t"/>
              </v:shape>
            </v:group>
            <v:group style="position:absolute;left:3290;top:1216;width:512;height:281" coordorigin="3290,1216" coordsize="512,281">
              <v:shape style="position:absolute;left:3290;top:1216;width:512;height:281" coordorigin="3290,1216" coordsize="512,281" path="m3290,1497l3801,1497,3801,1216,3290,1216,3290,1497xe" filled="true" fillcolor="#d2d2d2" stroked="false">
                <v:path arrowok="t"/>
                <v:fill type="solid"/>
              </v:shape>
            </v:group>
            <v:group style="position:absolute;left:3290;top:1497;width:512;height:280" coordorigin="3290,1497" coordsize="512,280">
              <v:shape style="position:absolute;left:3290;top:1497;width:512;height:280" coordorigin="3290,1497" coordsize="512,280" path="m3290,1777l3801,1777,3801,1497,3290,1497,3290,1777xe" filled="true" fillcolor="#d2d2d2" stroked="false">
                <v:path arrowok="t"/>
                <v:fill type="solid"/>
              </v:shape>
            </v:group>
            <v:group style="position:absolute;left:3845;top:1216;width:2;height:561" coordorigin="3845,1216" coordsize="2,561">
              <v:shape style="position:absolute;left:3845;top:1216;width:2;height:561" coordorigin="3845,1216" coordsize="0,561" path="m3845,1216l3845,1777e" filled="false" stroked="true" strokeweight="1.140pt" strokecolor="#d2d2d2">
                <v:path arrowok="t"/>
              </v:shape>
            </v:group>
            <v:group style="position:absolute;left:4237;top:1216;width:2;height:561" coordorigin="4237,1216" coordsize="2,561">
              <v:shape style="position:absolute;left:4237;top:1216;width:2;height:561" coordorigin="4237,1216" coordsize="0,561" path="m4237,1216l4237,1777e" filled="false" stroked="true" strokeweight="1.140pt" strokecolor="#d2d2d2">
                <v:path arrowok="t"/>
              </v:shape>
            </v:group>
            <v:group style="position:absolute;left:3856;top:1216;width:370;height:281" coordorigin="3856,1216" coordsize="370,281">
              <v:shape style="position:absolute;left:3856;top:1216;width:370;height:281" coordorigin="3856,1216" coordsize="370,281" path="m3856,1497l4226,1497,4226,1216,3856,1216,3856,1497xe" filled="true" fillcolor="#d2d2d2" stroked="false">
                <v:path arrowok="t"/>
                <v:fill type="solid"/>
              </v:shape>
            </v:group>
            <v:group style="position:absolute;left:3856;top:1497;width:370;height:280" coordorigin="3856,1497" coordsize="370,280">
              <v:shape style="position:absolute;left:3856;top:1497;width:370;height:280" coordorigin="3856,1497" coordsize="370,280" path="m3856,1777l4226,1777,4226,1497,3856,1497,3856,1777xe" filled="true" fillcolor="#d2d2d2" stroked="false">
                <v:path arrowok="t"/>
                <v:fill type="solid"/>
              </v:shape>
            </v:group>
            <v:group style="position:absolute;left:4258;top:1216;width:465;height:120" coordorigin="4258,1216" coordsize="465,120">
              <v:shape style="position:absolute;left:4258;top:1216;width:465;height:120" coordorigin="4258,1216" coordsize="465,120" path="m4258,1336l4722,1336,4722,1216,4258,1216,4258,1336xe" filled="true" fillcolor="#d2d2d2" stroked="false">
                <v:path arrowok="t"/>
                <v:fill type="solid"/>
              </v:shape>
            </v:group>
            <v:group style="position:absolute;left:4269;top:1336;width:2;height:321" coordorigin="4269,1336" coordsize="2,321">
              <v:shape style="position:absolute;left:4269;top:1336;width:2;height:321" coordorigin="4269,1336" coordsize="0,321" path="m4269,1336l4269,1657e" filled="false" stroked="true" strokeweight="1.140pt" strokecolor="#d2d2d2">
                <v:path arrowok="t"/>
              </v:shape>
            </v:group>
            <v:group style="position:absolute;left:4711;top:1336;width:2;height:321" coordorigin="4711,1336" coordsize="2,321">
              <v:shape style="position:absolute;left:4711;top:1336;width:2;height:321" coordorigin="4711,1336" coordsize="0,321" path="m4711,1336l4711,1657e" filled="false" stroked="true" strokeweight="1.140pt" strokecolor="#d2d2d2">
                <v:path arrowok="t"/>
              </v:shape>
            </v:group>
            <v:group style="position:absolute;left:4258;top:1657;width:465;height:120" coordorigin="4258,1657" coordsize="465,120">
              <v:shape style="position:absolute;left:4258;top:1657;width:465;height:120" coordorigin="4258,1657" coordsize="465,120" path="m4258,1777l4722,1777,4722,1657,4258,1657,4258,1777xe" filled="true" fillcolor="#d2d2d2" stroked="false">
                <v:path arrowok="t"/>
                <v:fill type="solid"/>
              </v:shape>
            </v:group>
            <v:group style="position:absolute;left:4281;top:1336;width:419;height:321" coordorigin="4281,1336" coordsize="419,321">
              <v:shape style="position:absolute;left:4281;top:1336;width:419;height:321" coordorigin="4281,1336" coordsize="419,321" path="m4281,1657l4700,1657,4700,1336,4281,1336,4281,1657xe" filled="true" fillcolor="#d2d2d2" stroked="false">
                <v:path arrowok="t"/>
                <v:fill type="solid"/>
              </v:shape>
            </v:group>
            <v:group style="position:absolute;left:3267;top:1212;width:557;height:2" coordorigin="3267,1212" coordsize="557,2">
              <v:shape style="position:absolute;left:3267;top:1212;width:557;height:2" coordorigin="3267,1212" coordsize="557,0" path="m3267,1212l3824,1212e" filled="false" stroked="true" strokeweight=".48001pt" strokecolor="#000000">
                <v:path arrowok="t"/>
              </v:shape>
            </v:group>
            <v:group style="position:absolute;left:3833;top:1212;width:416;height:2" coordorigin="3833,1212" coordsize="416,2">
              <v:shape style="position:absolute;left:3833;top:1212;width:416;height:2" coordorigin="3833,1212" coordsize="416,0" path="m3833,1212l4248,1212e" filled="false" stroked="true" strokeweight=".48001pt" strokecolor="#000000">
                <v:path arrowok="t"/>
              </v:shape>
            </v:group>
            <v:group style="position:absolute;left:4258;top:1212;width:465;height:2" coordorigin="4258,1212" coordsize="465,2">
              <v:shape style="position:absolute;left:4258;top:1212;width:465;height:2" coordorigin="4258,1212" coordsize="465,0" path="m4258,1212l4722,1212e" filled="false" stroked="true" strokeweight=".48001pt" strokecolor="#000000">
                <v:path arrowok="t"/>
              </v:shape>
            </v:group>
            <v:group style="position:absolute;left:1134;top:706;width:2;height:1071" coordorigin="1134,706" coordsize="2,1071">
              <v:shape style="position:absolute;left:1134;top:706;width:2;height:1071" coordorigin="1134,706" coordsize="0,1071" path="m1134,706l1134,1777e" filled="false" stroked="true" strokeweight=".48pt" strokecolor="#000000">
                <v:path arrowok="t"/>
              </v:shape>
            </v:group>
            <v:group style="position:absolute;left:1139;top:1786;width:1429;height:120" coordorigin="1139,1786" coordsize="1429,120">
              <v:shape style="position:absolute;left:1139;top:1786;width:1429;height:120" coordorigin="1139,1786" coordsize="1429,120" path="m1139,1906l2567,1906,2567,1786,1139,1786,1139,1906xe" filled="true" fillcolor="#d2d2d2" stroked="false">
                <v:path arrowok="t"/>
                <v:fill type="solid"/>
              </v:shape>
            </v:group>
            <v:group style="position:absolute;left:1150;top:1906;width:2;height:321" coordorigin="1150,1906" coordsize="2,321">
              <v:shape style="position:absolute;left:1150;top:1906;width:2;height:321" coordorigin="1150,1906" coordsize="0,321" path="m1150,1906l1150,2227e" filled="false" stroked="true" strokeweight="1.140pt" strokecolor="#d2d2d2">
                <v:path arrowok="t"/>
              </v:shape>
            </v:group>
            <v:group style="position:absolute;left:2556;top:1906;width:2;height:321" coordorigin="2556,1906" coordsize="2,321">
              <v:shape style="position:absolute;left:2556;top:1906;width:2;height:321" coordorigin="2556,1906" coordsize="0,321" path="m2556,1906l2556,2227e" filled="false" stroked="true" strokeweight="1.140pt" strokecolor="#d2d2d2">
                <v:path arrowok="t"/>
              </v:shape>
            </v:group>
            <v:group style="position:absolute;left:1139;top:2227;width:1429;height:120" coordorigin="1139,2227" coordsize="1429,120">
              <v:shape style="position:absolute;left:1139;top:2227;width:1429;height:120" coordorigin="1139,2227" coordsize="1429,120" path="m1139,2347l2567,2347,2567,2227,1139,2227,1139,2347xe" filled="true" fillcolor="#d2d2d2" stroked="false">
                <v:path arrowok="t"/>
                <v:fill type="solid"/>
              </v:shape>
            </v:group>
            <v:group style="position:absolute;left:1139;top:1782;width:1429;height:2" coordorigin="1139,1782" coordsize="1429,2">
              <v:shape style="position:absolute;left:1139;top:1782;width:1429;height:2" coordorigin="1139,1782" coordsize="1429,0" path="m1139,1782l2567,1782e" filled="false" stroked="true" strokeweight=".47998pt" strokecolor="#000000">
                <v:path arrowok="t"/>
              </v:shape>
            </v:group>
            <v:group style="position:absolute;left:2577;top:1782;width:681;height:2" coordorigin="2577,1782" coordsize="681,2">
              <v:shape style="position:absolute;left:2577;top:1782;width:681;height:2" coordorigin="2577,1782" coordsize="681,0" path="m2577,1782l3257,1782e" filled="false" stroked="true" strokeweight=".47998pt" strokecolor="#000000">
                <v:path arrowok="t"/>
              </v:shape>
            </v:group>
            <v:group style="position:absolute;left:3267;top:1782;width:557;height:2" coordorigin="3267,1782" coordsize="557,2">
              <v:shape style="position:absolute;left:3267;top:1782;width:557;height:2" coordorigin="3267,1782" coordsize="557,0" path="m3267,1782l3824,1782e" filled="false" stroked="true" strokeweight=".47998pt" strokecolor="#000000">
                <v:path arrowok="t"/>
              </v:shape>
            </v:group>
            <v:group style="position:absolute;left:3833;top:1782;width:416;height:2" coordorigin="3833,1782" coordsize="416,2">
              <v:shape style="position:absolute;left:3833;top:1782;width:416;height:2" coordorigin="3833,1782" coordsize="416,0" path="m3833,1782l4248,1782e" filled="false" stroked="true" strokeweight=".47998pt" strokecolor="#000000">
                <v:path arrowok="t"/>
              </v:shape>
            </v:group>
            <v:group style="position:absolute;left:4258;top:1782;width:465;height:2" coordorigin="4258,1782" coordsize="465,2">
              <v:shape style="position:absolute;left:4258;top:1782;width:465;height:2" coordorigin="4258,1782" coordsize="465,0" path="m4258,1782l4722,1782e" filled="false" stroked="true" strokeweight=".47998pt" strokecolor="#000000">
                <v:path arrowok="t"/>
              </v:shape>
            </v:group>
            <v:group style="position:absolute;left:4732;top:1782;width:794;height:2" coordorigin="4732,1782" coordsize="794,2">
              <v:shape style="position:absolute;left:4732;top:1782;width:794;height:2" coordorigin="4732,1782" coordsize="794,0" path="m4732,1782l5526,1782e" filled="false" stroked="true" strokeweight=".47998pt" strokecolor="#000000">
                <v:path arrowok="t"/>
              </v:shape>
            </v:group>
            <v:group style="position:absolute;left:5535;top:1782;width:416;height:2" coordorigin="5535,1782" coordsize="416,2">
              <v:shape style="position:absolute;left:5535;top:1782;width:416;height:2" coordorigin="5535,1782" coordsize="416,0" path="m5535,1782l5950,1782e" filled="false" stroked="true" strokeweight=".47998pt" strokecolor="#000000">
                <v:path arrowok="t"/>
              </v:shape>
            </v:group>
            <v:group style="position:absolute;left:5960;top:1782;width:557;height:2" coordorigin="5960,1782" coordsize="557,2">
              <v:shape style="position:absolute;left:5960;top:1782;width:557;height:2" coordorigin="5960,1782" coordsize="557,0" path="m5960,1782l6517,1782e" filled="false" stroked="true" strokeweight=".47998pt" strokecolor="#000000">
                <v:path arrowok="t"/>
              </v:shape>
            </v:group>
            <v:group style="position:absolute;left:6526;top:1782;width:558;height:2" coordorigin="6526,1782" coordsize="558,2">
              <v:shape style="position:absolute;left:6526;top:1782;width:558;height:2" coordorigin="6526,1782" coordsize="558,0" path="m6526,1782l7084,1782e" filled="false" stroked="true" strokeweight=".47998pt" strokecolor="#000000">
                <v:path arrowok="t"/>
              </v:shape>
            </v:group>
            <v:group style="position:absolute;left:7094;top:1782;width:840;height:2" coordorigin="7094,1782" coordsize="840,2">
              <v:shape style="position:absolute;left:7094;top:1782;width:840;height:2" coordorigin="7094,1782" coordsize="840,0" path="m7094,1782l7934,1782e" filled="false" stroked="true" strokeweight=".47998pt" strokecolor="#000000">
                <v:path arrowok="t"/>
              </v:shape>
            </v:group>
            <v:group style="position:absolute;left:7944;top:1782;width:559;height:2" coordorigin="7944,1782" coordsize="559,2">
              <v:shape style="position:absolute;left:7944;top:1782;width:559;height:2" coordorigin="7944,1782" coordsize="559,0" path="m7944,1782l8502,1782e" filled="false" stroked="true" strokeweight=".47998pt" strokecolor="#000000">
                <v:path arrowok="t"/>
              </v:shape>
            </v:group>
            <v:group style="position:absolute;left:8512;top:1782;width:699;height:2" coordorigin="8512,1782" coordsize="699,2">
              <v:shape style="position:absolute;left:8512;top:1782;width:699;height:2" coordorigin="8512,1782" coordsize="699,0" path="m8512,1782l9210,1782e" filled="false" stroked="true" strokeweight=".47998pt" strokecolor="#000000">
                <v:path arrowok="t"/>
              </v:shape>
            </v:group>
            <v:group style="position:absolute;left:9220;top:1782;width:700;height:2" coordorigin="9220,1782" coordsize="700,2">
              <v:shape style="position:absolute;left:9220;top:1782;width:700;height:2" coordorigin="9220,1782" coordsize="700,0" path="m9220,1782l9919,1782e" filled="false" stroked="true" strokeweight=".47998pt" strokecolor="#000000">
                <v:path arrowok="t"/>
              </v:shape>
            </v:group>
            <v:group style="position:absolute;left:9929;top:1782;width:772;height:2" coordorigin="9929,1782" coordsize="772,2">
              <v:shape style="position:absolute;left:9929;top:1782;width:772;height:2" coordorigin="9929,1782" coordsize="772,0" path="m9929,1782l10700,1782e" filled="false" stroked="true" strokeweight=".47998pt" strokecolor="#000000">
                <v:path arrowok="t"/>
              </v:shape>
            </v:group>
            <v:group style="position:absolute;left:1134;top:1777;width:2;height:570" coordorigin="1134,1777" coordsize="2,570">
              <v:shape style="position:absolute;left:1134;top:1777;width:2;height:570" coordorigin="1134,1777" coordsize="0,570" path="m1134,1777l1134,2347e" filled="false" stroked="true" strokeweight=".48pt" strokecolor="#000000">
                <v:path arrowok="t"/>
              </v:shape>
            </v:group>
            <v:group style="position:absolute;left:1150;top:2356;width:2;height:561" coordorigin="1150,2356" coordsize="2,561">
              <v:shape style="position:absolute;left:1150;top:2356;width:2;height:561" coordorigin="1150,2356" coordsize="0,561" path="m1150,2356l1150,2917e" filled="false" stroked="true" strokeweight="1.140pt" strokecolor="#d2d2d2">
                <v:path arrowok="t"/>
              </v:shape>
            </v:group>
            <v:group style="position:absolute;left:2556;top:2356;width:2;height:561" coordorigin="2556,2356" coordsize="2,561">
              <v:shape style="position:absolute;left:2556;top:2356;width:2;height:561" coordorigin="2556,2356" coordsize="0,561" path="m2556,2356l2556,2917e" filled="false" stroked="true" strokeweight="1.140pt" strokecolor="#d2d2d2">
                <v:path arrowok="t"/>
              </v:shape>
            </v:group>
            <v:group style="position:absolute;left:1162;top:2356;width:1383;height:281" coordorigin="1162,2356" coordsize="1383,281">
              <v:shape style="position:absolute;left:1162;top:2356;width:1383;height:281" coordorigin="1162,2356" coordsize="1383,281" path="m1162,2637l2544,2637,2544,2356,1162,2356,1162,2637xe" filled="true" fillcolor="#d2d2d2" stroked="false">
                <v:path arrowok="t"/>
                <v:fill type="solid"/>
              </v:shape>
            </v:group>
            <v:group style="position:absolute;left:1162;top:2637;width:1383;height:280" coordorigin="1162,2637" coordsize="1383,280">
              <v:shape style="position:absolute;left:1162;top:2637;width:1383;height:280" coordorigin="1162,2637" coordsize="1383,280" path="m1162,2917l2544,2917,2544,2637,1162,2637,1162,2917xe" filled="true" fillcolor="#d2d2d2" stroked="false">
                <v:path arrowok="t"/>
                <v:fill type="solid"/>
              </v:shape>
            </v:group>
            <v:group style="position:absolute;left:1139;top:2352;width:1429;height:2" coordorigin="1139,2352" coordsize="1429,2">
              <v:shape style="position:absolute;left:1139;top:2352;width:1429;height:2" coordorigin="1139,2352" coordsize="1429,0" path="m1139,2352l2567,2352e" filled="false" stroked="true" strokeweight=".47998pt" strokecolor="#000000">
                <v:path arrowok="t"/>
              </v:shape>
            </v:group>
            <v:group style="position:absolute;left:2577;top:2352;width:681;height:2" coordorigin="2577,2352" coordsize="681,2">
              <v:shape style="position:absolute;left:2577;top:2352;width:681;height:2" coordorigin="2577,2352" coordsize="681,0" path="m2577,2352l3257,2352e" filled="false" stroked="true" strokeweight=".47998pt" strokecolor="#000000">
                <v:path arrowok="t"/>
              </v:shape>
            </v:group>
            <v:group style="position:absolute;left:3267;top:2352;width:557;height:2" coordorigin="3267,2352" coordsize="557,2">
              <v:shape style="position:absolute;left:3267;top:2352;width:557;height:2" coordorigin="3267,2352" coordsize="557,0" path="m3267,2352l3824,2352e" filled="false" stroked="true" strokeweight=".47998pt" strokecolor="#000000">
                <v:path arrowok="t"/>
              </v:shape>
            </v:group>
            <v:group style="position:absolute;left:3833;top:2352;width:416;height:2" coordorigin="3833,2352" coordsize="416,2">
              <v:shape style="position:absolute;left:3833;top:2352;width:416;height:2" coordorigin="3833,2352" coordsize="416,0" path="m3833,2352l4248,2352e" filled="false" stroked="true" strokeweight=".47998pt" strokecolor="#000000">
                <v:path arrowok="t"/>
              </v:shape>
            </v:group>
            <v:group style="position:absolute;left:4258;top:2352;width:465;height:2" coordorigin="4258,2352" coordsize="465,2">
              <v:shape style="position:absolute;left:4258;top:2352;width:465;height:2" coordorigin="4258,2352" coordsize="465,0" path="m4258,2352l4722,2352e" filled="false" stroked="true" strokeweight=".47998pt" strokecolor="#000000">
                <v:path arrowok="t"/>
              </v:shape>
            </v:group>
            <v:group style="position:absolute;left:4732;top:2352;width:794;height:2" coordorigin="4732,2352" coordsize="794,2">
              <v:shape style="position:absolute;left:4732;top:2352;width:794;height:2" coordorigin="4732,2352" coordsize="794,0" path="m4732,2352l5526,2352e" filled="false" stroked="true" strokeweight=".47998pt" strokecolor="#000000">
                <v:path arrowok="t"/>
              </v:shape>
            </v:group>
            <v:group style="position:absolute;left:5535;top:2352;width:416;height:2" coordorigin="5535,2352" coordsize="416,2">
              <v:shape style="position:absolute;left:5535;top:2352;width:416;height:2" coordorigin="5535,2352" coordsize="416,0" path="m5535,2352l5950,2352e" filled="false" stroked="true" strokeweight=".47998pt" strokecolor="#000000">
                <v:path arrowok="t"/>
              </v:shape>
            </v:group>
            <v:group style="position:absolute;left:5960;top:2352;width:557;height:2" coordorigin="5960,2352" coordsize="557,2">
              <v:shape style="position:absolute;left:5960;top:2352;width:557;height:2" coordorigin="5960,2352" coordsize="557,0" path="m5960,2352l6517,2352e" filled="false" stroked="true" strokeweight=".47998pt" strokecolor="#000000">
                <v:path arrowok="t"/>
              </v:shape>
            </v:group>
            <v:group style="position:absolute;left:6526;top:2352;width:558;height:2" coordorigin="6526,2352" coordsize="558,2">
              <v:shape style="position:absolute;left:6526;top:2352;width:558;height:2" coordorigin="6526,2352" coordsize="558,0" path="m6526,2352l7084,2352e" filled="false" stroked="true" strokeweight=".47998pt" strokecolor="#000000">
                <v:path arrowok="t"/>
              </v:shape>
            </v:group>
            <v:group style="position:absolute;left:7094;top:2352;width:840;height:2" coordorigin="7094,2352" coordsize="840,2">
              <v:shape style="position:absolute;left:7094;top:2352;width:840;height:2" coordorigin="7094,2352" coordsize="840,0" path="m7094,2352l7934,2352e" filled="false" stroked="true" strokeweight=".47998pt" strokecolor="#000000">
                <v:path arrowok="t"/>
              </v:shape>
            </v:group>
            <v:group style="position:absolute;left:7944;top:2352;width:559;height:2" coordorigin="7944,2352" coordsize="559,2">
              <v:shape style="position:absolute;left:7944;top:2352;width:559;height:2" coordorigin="7944,2352" coordsize="559,0" path="m7944,2352l8502,2352e" filled="false" stroked="true" strokeweight=".47998pt" strokecolor="#000000">
                <v:path arrowok="t"/>
              </v:shape>
            </v:group>
            <v:group style="position:absolute;left:8512;top:2352;width:699;height:2" coordorigin="8512,2352" coordsize="699,2">
              <v:shape style="position:absolute;left:8512;top:2352;width:699;height:2" coordorigin="8512,2352" coordsize="699,0" path="m8512,2352l9210,2352e" filled="false" stroked="true" strokeweight=".47998pt" strokecolor="#000000">
                <v:path arrowok="t"/>
              </v:shape>
            </v:group>
            <v:group style="position:absolute;left:9220;top:2352;width:700;height:2" coordorigin="9220,2352" coordsize="700,2">
              <v:shape style="position:absolute;left:9220;top:2352;width:700;height:2" coordorigin="9220,2352" coordsize="700,0" path="m9220,2352l9919,2352e" filled="false" stroked="true" strokeweight=".47998pt" strokecolor="#000000">
                <v:path arrowok="t"/>
              </v:shape>
            </v:group>
            <v:group style="position:absolute;left:9929;top:2352;width:772;height:2" coordorigin="9929,2352" coordsize="772,2">
              <v:shape style="position:absolute;left:9929;top:2352;width:772;height:2" coordorigin="9929,2352" coordsize="772,0" path="m9929,2352l10700,2352e" filled="false" stroked="true" strokeweight=".47998pt" strokecolor="#000000">
                <v:path arrowok="t"/>
              </v:shape>
            </v:group>
            <v:group style="position:absolute;left:1134;top:2347;width:2;height:570" coordorigin="1134,2347" coordsize="2,570">
              <v:shape style="position:absolute;left:1134;top:2347;width:2;height:570" coordorigin="1134,2347" coordsize="0,570" path="m1134,2347l1134,2917e" filled="false" stroked="true" strokeweight=".48pt" strokecolor="#000000">
                <v:path arrowok="t"/>
              </v:shape>
            </v:group>
            <v:group style="position:absolute;left:1150;top:2926;width:2;height:561" coordorigin="1150,2926" coordsize="2,561">
              <v:shape style="position:absolute;left:1150;top:2926;width:2;height:561" coordorigin="1150,2926" coordsize="0,561" path="m1150,2926l1150,3487e" filled="false" stroked="true" strokeweight="1.140pt" strokecolor="#d2d2d2">
                <v:path arrowok="t"/>
              </v:shape>
            </v:group>
            <v:group style="position:absolute;left:2556;top:2926;width:2;height:561" coordorigin="2556,2926" coordsize="2,561">
              <v:shape style="position:absolute;left:2556;top:2926;width:2;height:561" coordorigin="2556,2926" coordsize="0,561" path="m2556,2926l2556,3487e" filled="false" stroked="true" strokeweight="1.140pt" strokecolor="#d2d2d2">
                <v:path arrowok="t"/>
              </v:shape>
            </v:group>
            <v:group style="position:absolute;left:1162;top:2926;width:1383;height:281" coordorigin="1162,2926" coordsize="1383,281">
              <v:shape style="position:absolute;left:1162;top:2926;width:1383;height:281" coordorigin="1162,2926" coordsize="1383,281" path="m1162,3207l2544,3207,2544,2926,1162,2926,1162,3207xe" filled="true" fillcolor="#d2d2d2" stroked="false">
                <v:path arrowok="t"/>
                <v:fill type="solid"/>
              </v:shape>
            </v:group>
            <v:group style="position:absolute;left:1162;top:3207;width:1383;height:280" coordorigin="1162,3207" coordsize="1383,280">
              <v:shape style="position:absolute;left:1162;top:3207;width:1383;height:280" coordorigin="1162,3207" coordsize="1383,280" path="m1162,3487l2544,3487,2544,3207,1162,3207,1162,3487xe" filled="true" fillcolor="#d2d2d2" stroked="false">
                <v:path arrowok="t"/>
                <v:fill type="solid"/>
              </v:shape>
            </v:group>
            <v:group style="position:absolute;left:1139;top:2922;width:1429;height:2" coordorigin="1139,2922" coordsize="1429,2">
              <v:shape style="position:absolute;left:1139;top:2922;width:1429;height:2" coordorigin="1139,2922" coordsize="1429,0" path="m1139,2922l2567,2922e" filled="false" stroked="true" strokeweight=".47998pt" strokecolor="#000000">
                <v:path arrowok="t"/>
              </v:shape>
            </v:group>
            <v:group style="position:absolute;left:2577;top:2922;width:681;height:2" coordorigin="2577,2922" coordsize="681,2">
              <v:shape style="position:absolute;left:2577;top:2922;width:681;height:2" coordorigin="2577,2922" coordsize="681,0" path="m2577,2922l3257,2922e" filled="false" stroked="true" strokeweight=".47998pt" strokecolor="#000000">
                <v:path arrowok="t"/>
              </v:shape>
            </v:group>
            <v:group style="position:absolute;left:3267;top:2922;width:557;height:2" coordorigin="3267,2922" coordsize="557,2">
              <v:shape style="position:absolute;left:3267;top:2922;width:557;height:2" coordorigin="3267,2922" coordsize="557,0" path="m3267,2922l3824,2922e" filled="false" stroked="true" strokeweight=".47998pt" strokecolor="#000000">
                <v:path arrowok="t"/>
              </v:shape>
            </v:group>
            <v:group style="position:absolute;left:3833;top:2922;width:416;height:2" coordorigin="3833,2922" coordsize="416,2">
              <v:shape style="position:absolute;left:3833;top:2922;width:416;height:2" coordorigin="3833,2922" coordsize="416,0" path="m3833,2922l4248,2922e" filled="false" stroked="true" strokeweight=".47998pt" strokecolor="#000000">
                <v:path arrowok="t"/>
              </v:shape>
            </v:group>
            <v:group style="position:absolute;left:4258;top:2922;width:465;height:2" coordorigin="4258,2922" coordsize="465,2">
              <v:shape style="position:absolute;left:4258;top:2922;width:465;height:2" coordorigin="4258,2922" coordsize="465,0" path="m4258,2922l4722,2922e" filled="false" stroked="true" strokeweight=".47998pt" strokecolor="#000000">
                <v:path arrowok="t"/>
              </v:shape>
            </v:group>
            <v:group style="position:absolute;left:4732;top:2922;width:794;height:2" coordorigin="4732,2922" coordsize="794,2">
              <v:shape style="position:absolute;left:4732;top:2922;width:794;height:2" coordorigin="4732,2922" coordsize="794,0" path="m4732,2922l5526,2922e" filled="false" stroked="true" strokeweight=".47998pt" strokecolor="#000000">
                <v:path arrowok="t"/>
              </v:shape>
            </v:group>
            <v:group style="position:absolute;left:5535;top:2922;width:416;height:2" coordorigin="5535,2922" coordsize="416,2">
              <v:shape style="position:absolute;left:5535;top:2922;width:416;height:2" coordorigin="5535,2922" coordsize="416,0" path="m5535,2922l5950,2922e" filled="false" stroked="true" strokeweight=".47998pt" strokecolor="#000000">
                <v:path arrowok="t"/>
              </v:shape>
            </v:group>
            <v:group style="position:absolute;left:5960;top:2922;width:557;height:2" coordorigin="5960,2922" coordsize="557,2">
              <v:shape style="position:absolute;left:5960;top:2922;width:557;height:2" coordorigin="5960,2922" coordsize="557,0" path="m5960,2922l6517,2922e" filled="false" stroked="true" strokeweight=".47998pt" strokecolor="#000000">
                <v:path arrowok="t"/>
              </v:shape>
            </v:group>
            <v:group style="position:absolute;left:6526;top:2922;width:558;height:2" coordorigin="6526,2922" coordsize="558,2">
              <v:shape style="position:absolute;left:6526;top:2922;width:558;height:2" coordorigin="6526,2922" coordsize="558,0" path="m6526,2922l7084,2922e" filled="false" stroked="true" strokeweight=".47998pt" strokecolor="#000000">
                <v:path arrowok="t"/>
              </v:shape>
            </v:group>
            <v:group style="position:absolute;left:7094;top:2922;width:840;height:2" coordorigin="7094,2922" coordsize="840,2">
              <v:shape style="position:absolute;left:7094;top:2922;width:840;height:2" coordorigin="7094,2922" coordsize="840,0" path="m7094,2922l7934,2922e" filled="false" stroked="true" strokeweight=".47998pt" strokecolor="#000000">
                <v:path arrowok="t"/>
              </v:shape>
            </v:group>
            <v:group style="position:absolute;left:7944;top:2922;width:559;height:2" coordorigin="7944,2922" coordsize="559,2">
              <v:shape style="position:absolute;left:7944;top:2922;width:559;height:2" coordorigin="7944,2922" coordsize="559,0" path="m7944,2922l8502,2922e" filled="false" stroked="true" strokeweight=".47998pt" strokecolor="#000000">
                <v:path arrowok="t"/>
              </v:shape>
            </v:group>
            <v:group style="position:absolute;left:8512;top:2922;width:699;height:2" coordorigin="8512,2922" coordsize="699,2">
              <v:shape style="position:absolute;left:8512;top:2922;width:699;height:2" coordorigin="8512,2922" coordsize="699,0" path="m8512,2922l9210,2922e" filled="false" stroked="true" strokeweight=".47998pt" strokecolor="#000000">
                <v:path arrowok="t"/>
              </v:shape>
            </v:group>
            <v:group style="position:absolute;left:9220;top:2922;width:700;height:2" coordorigin="9220,2922" coordsize="700,2">
              <v:shape style="position:absolute;left:9220;top:2922;width:700;height:2" coordorigin="9220,2922" coordsize="700,0" path="m9220,2922l9919,2922e" filled="false" stroked="true" strokeweight=".47998pt" strokecolor="#000000">
                <v:path arrowok="t"/>
              </v:shape>
            </v:group>
            <v:group style="position:absolute;left:9929;top:2922;width:772;height:2" coordorigin="9929,2922" coordsize="772,2">
              <v:shape style="position:absolute;left:9929;top:2922;width:772;height:2" coordorigin="9929,2922" coordsize="772,0" path="m9929,2922l10700,2922e" filled="false" stroked="true" strokeweight=".47998pt" strokecolor="#000000">
                <v:path arrowok="t"/>
              </v:shape>
            </v:group>
            <v:group style="position:absolute;left:1134;top:2917;width:2;height:570" coordorigin="1134,2917" coordsize="2,570">
              <v:shape style="position:absolute;left:1134;top:2917;width:2;height:570" coordorigin="1134,2917" coordsize="0,570" path="m1134,2917l1134,3487e" filled="false" stroked="true" strokeweight=".48pt" strokecolor="#000000">
                <v:path arrowok="t"/>
              </v:shape>
            </v:group>
            <v:group style="position:absolute;left:1150;top:3496;width:2;height:561" coordorigin="1150,3496" coordsize="2,561">
              <v:shape style="position:absolute;left:1150;top:3496;width:2;height:561" coordorigin="1150,3496" coordsize="0,561" path="m1150,3496l1150,4057e" filled="false" stroked="true" strokeweight="1.140pt" strokecolor="#d2d2d2">
                <v:path arrowok="t"/>
              </v:shape>
            </v:group>
            <v:group style="position:absolute;left:2556;top:3496;width:2;height:561" coordorigin="2556,3496" coordsize="2,561">
              <v:shape style="position:absolute;left:2556;top:3496;width:2;height:561" coordorigin="2556,3496" coordsize="0,561" path="m2556,3496l2556,4057e" filled="false" stroked="true" strokeweight="1.140pt" strokecolor="#d2d2d2">
                <v:path arrowok="t"/>
              </v:shape>
            </v:group>
            <v:group style="position:absolute;left:1162;top:3496;width:1383;height:281" coordorigin="1162,3496" coordsize="1383,281">
              <v:shape style="position:absolute;left:1162;top:3496;width:1383;height:281" coordorigin="1162,3496" coordsize="1383,281" path="m1162,3777l2544,3777,2544,3496,1162,3496,1162,3777xe" filled="true" fillcolor="#d2d2d2" stroked="false">
                <v:path arrowok="t"/>
                <v:fill type="solid"/>
              </v:shape>
            </v:group>
            <v:group style="position:absolute;left:1162;top:3777;width:1383;height:280" coordorigin="1162,3777" coordsize="1383,280">
              <v:shape style="position:absolute;left:1162;top:3777;width:1383;height:280" coordorigin="1162,3777" coordsize="1383,280" path="m1162,4057l2544,4057,2544,3777,1162,3777,1162,4057xe" filled="true" fillcolor="#d2d2d2" stroked="false">
                <v:path arrowok="t"/>
                <v:fill type="solid"/>
              </v:shape>
            </v:group>
            <v:group style="position:absolute;left:1139;top:3492;width:1429;height:2" coordorigin="1139,3492" coordsize="1429,2">
              <v:shape style="position:absolute;left:1139;top:3492;width:1429;height:2" coordorigin="1139,3492" coordsize="1429,0" path="m1139,3492l2567,3492e" filled="false" stroked="true" strokeweight=".47998pt" strokecolor="#000000">
                <v:path arrowok="t"/>
              </v:shape>
            </v:group>
            <v:group style="position:absolute;left:2577;top:3492;width:681;height:2" coordorigin="2577,3492" coordsize="681,2">
              <v:shape style="position:absolute;left:2577;top:3492;width:681;height:2" coordorigin="2577,3492" coordsize="681,0" path="m2577,3492l3257,3492e" filled="false" stroked="true" strokeweight=".47998pt" strokecolor="#000000">
                <v:path arrowok="t"/>
              </v:shape>
            </v:group>
            <v:group style="position:absolute;left:3267;top:3492;width:557;height:2" coordorigin="3267,3492" coordsize="557,2">
              <v:shape style="position:absolute;left:3267;top:3492;width:557;height:2" coordorigin="3267,3492" coordsize="557,0" path="m3267,3492l3824,3492e" filled="false" stroked="true" strokeweight=".47998pt" strokecolor="#000000">
                <v:path arrowok="t"/>
              </v:shape>
            </v:group>
            <v:group style="position:absolute;left:3833;top:3492;width:416;height:2" coordorigin="3833,3492" coordsize="416,2">
              <v:shape style="position:absolute;left:3833;top:3492;width:416;height:2" coordorigin="3833,3492" coordsize="416,0" path="m3833,3492l4248,3492e" filled="false" stroked="true" strokeweight=".47998pt" strokecolor="#000000">
                <v:path arrowok="t"/>
              </v:shape>
            </v:group>
            <v:group style="position:absolute;left:4258;top:3492;width:465;height:2" coordorigin="4258,3492" coordsize="465,2">
              <v:shape style="position:absolute;left:4258;top:3492;width:465;height:2" coordorigin="4258,3492" coordsize="465,0" path="m4258,3492l4722,3492e" filled="false" stroked="true" strokeweight=".47998pt" strokecolor="#000000">
                <v:path arrowok="t"/>
              </v:shape>
            </v:group>
            <v:group style="position:absolute;left:4732;top:3492;width:794;height:2" coordorigin="4732,3492" coordsize="794,2">
              <v:shape style="position:absolute;left:4732;top:3492;width:794;height:2" coordorigin="4732,3492" coordsize="794,0" path="m4732,3492l5526,3492e" filled="false" stroked="true" strokeweight=".47998pt" strokecolor="#000000">
                <v:path arrowok="t"/>
              </v:shape>
            </v:group>
            <v:group style="position:absolute;left:5535;top:3492;width:416;height:2" coordorigin="5535,3492" coordsize="416,2">
              <v:shape style="position:absolute;left:5535;top:3492;width:416;height:2" coordorigin="5535,3492" coordsize="416,0" path="m5535,3492l5950,3492e" filled="false" stroked="true" strokeweight=".47998pt" strokecolor="#000000">
                <v:path arrowok="t"/>
              </v:shape>
            </v:group>
            <v:group style="position:absolute;left:5960;top:3492;width:557;height:2" coordorigin="5960,3492" coordsize="557,2">
              <v:shape style="position:absolute;left:5960;top:3492;width:557;height:2" coordorigin="5960,3492" coordsize="557,0" path="m5960,3492l6517,3492e" filled="false" stroked="true" strokeweight=".47998pt" strokecolor="#000000">
                <v:path arrowok="t"/>
              </v:shape>
            </v:group>
            <v:group style="position:absolute;left:6526;top:3492;width:558;height:2" coordorigin="6526,3492" coordsize="558,2">
              <v:shape style="position:absolute;left:6526;top:3492;width:558;height:2" coordorigin="6526,3492" coordsize="558,0" path="m6526,3492l7084,3492e" filled="false" stroked="true" strokeweight=".47998pt" strokecolor="#000000">
                <v:path arrowok="t"/>
              </v:shape>
            </v:group>
            <v:group style="position:absolute;left:7094;top:3492;width:840;height:2" coordorigin="7094,3492" coordsize="840,2">
              <v:shape style="position:absolute;left:7094;top:3492;width:840;height:2" coordorigin="7094,3492" coordsize="840,0" path="m7094,3492l7934,3492e" filled="false" stroked="true" strokeweight=".47998pt" strokecolor="#000000">
                <v:path arrowok="t"/>
              </v:shape>
            </v:group>
            <v:group style="position:absolute;left:7944;top:3492;width:559;height:2" coordorigin="7944,3492" coordsize="559,2">
              <v:shape style="position:absolute;left:7944;top:3492;width:559;height:2" coordorigin="7944,3492" coordsize="559,0" path="m7944,3492l8502,3492e" filled="false" stroked="true" strokeweight=".47998pt" strokecolor="#000000">
                <v:path arrowok="t"/>
              </v:shape>
            </v:group>
            <v:group style="position:absolute;left:8512;top:3492;width:699;height:2" coordorigin="8512,3492" coordsize="699,2">
              <v:shape style="position:absolute;left:8512;top:3492;width:699;height:2" coordorigin="8512,3492" coordsize="699,0" path="m8512,3492l9210,3492e" filled="false" stroked="true" strokeweight=".47998pt" strokecolor="#000000">
                <v:path arrowok="t"/>
              </v:shape>
            </v:group>
            <v:group style="position:absolute;left:9220;top:3492;width:700;height:2" coordorigin="9220,3492" coordsize="700,2">
              <v:shape style="position:absolute;left:9220;top:3492;width:700;height:2" coordorigin="9220,3492" coordsize="700,0" path="m9220,3492l9919,3492e" filled="false" stroked="true" strokeweight=".47998pt" strokecolor="#000000">
                <v:path arrowok="t"/>
              </v:shape>
            </v:group>
            <v:group style="position:absolute;left:9929;top:3492;width:772;height:2" coordorigin="9929,3492" coordsize="772,2">
              <v:shape style="position:absolute;left:9929;top:3492;width:772;height:2" coordorigin="9929,3492" coordsize="772,0" path="m9929,3492l10700,3492e" filled="false" stroked="true" strokeweight=".47998pt" strokecolor="#000000">
                <v:path arrowok="t"/>
              </v:shape>
            </v:group>
            <v:group style="position:absolute;left:1134;top:3487;width:2;height:570" coordorigin="1134,3487" coordsize="2,570">
              <v:shape style="position:absolute;left:1134;top:3487;width:2;height:570" coordorigin="1134,3487" coordsize="0,570" path="m1134,3487l1134,4057e" filled="false" stroked="true" strokeweight=".48pt" strokecolor="#000000">
                <v:path arrowok="t"/>
              </v:shape>
            </v:group>
            <v:group style="position:absolute;left:1150;top:4066;width:2;height:321" coordorigin="1150,4066" coordsize="2,321">
              <v:shape style="position:absolute;left:1150;top:4066;width:2;height:321" coordorigin="1150,4066" coordsize="0,321" path="m1150,4066l1150,4387e" filled="false" stroked="true" strokeweight="1.140pt" strokecolor="#d2d2d2">
                <v:path arrowok="t"/>
              </v:shape>
            </v:group>
            <v:group style="position:absolute;left:2556;top:4066;width:2;height:321" coordorigin="2556,4066" coordsize="2,321">
              <v:shape style="position:absolute;left:2556;top:4066;width:2;height:321" coordorigin="2556,4066" coordsize="0,321" path="m2556,4066l2556,4387e" filled="false" stroked="true" strokeweight="1.140pt" strokecolor="#d2d2d2">
                <v:path arrowok="t"/>
              </v:shape>
            </v:group>
            <v:group style="position:absolute;left:1162;top:4066;width:1383;height:321" coordorigin="1162,4066" coordsize="1383,321">
              <v:shape style="position:absolute;left:1162;top:4066;width:1383;height:321" coordorigin="1162,4066" coordsize="1383,321" path="m1162,4387l2544,4387,2544,4066,1162,4066,1162,4387xe" filled="true" fillcolor="#d2d2d2" stroked="false">
                <v:path arrowok="t"/>
                <v:fill type="solid"/>
              </v:shape>
            </v:group>
            <v:group style="position:absolute;left:1139;top:4062;width:1429;height:2" coordorigin="1139,4062" coordsize="1429,2">
              <v:shape style="position:absolute;left:1139;top:4062;width:1429;height:2" coordorigin="1139,4062" coordsize="1429,0" path="m1139,4062l2567,4062e" filled="false" stroked="true" strokeweight=".47998pt" strokecolor="#000000">
                <v:path arrowok="t"/>
              </v:shape>
            </v:group>
            <v:group style="position:absolute;left:2577;top:4062;width:681;height:2" coordorigin="2577,4062" coordsize="681,2">
              <v:shape style="position:absolute;left:2577;top:4062;width:681;height:2" coordorigin="2577,4062" coordsize="681,0" path="m2577,4062l3257,4062e" filled="false" stroked="true" strokeweight=".47998pt" strokecolor="#000000">
                <v:path arrowok="t"/>
              </v:shape>
            </v:group>
            <v:group style="position:absolute;left:3267;top:4062;width:557;height:2" coordorigin="3267,4062" coordsize="557,2">
              <v:shape style="position:absolute;left:3267;top:4062;width:557;height:2" coordorigin="3267,4062" coordsize="557,0" path="m3267,4062l3824,4062e" filled="false" stroked="true" strokeweight=".47998pt" strokecolor="#000000">
                <v:path arrowok="t"/>
              </v:shape>
            </v:group>
            <v:group style="position:absolute;left:3833;top:4062;width:416;height:2" coordorigin="3833,4062" coordsize="416,2">
              <v:shape style="position:absolute;left:3833;top:4062;width:416;height:2" coordorigin="3833,4062" coordsize="416,0" path="m3833,4062l4248,4062e" filled="false" stroked="true" strokeweight=".47998pt" strokecolor="#000000">
                <v:path arrowok="t"/>
              </v:shape>
            </v:group>
            <v:group style="position:absolute;left:4258;top:4062;width:465;height:2" coordorigin="4258,4062" coordsize="465,2">
              <v:shape style="position:absolute;left:4258;top:4062;width:465;height:2" coordorigin="4258,4062" coordsize="465,0" path="m4258,4062l4722,4062e" filled="false" stroked="true" strokeweight=".47998pt" strokecolor="#000000">
                <v:path arrowok="t"/>
              </v:shape>
            </v:group>
            <v:group style="position:absolute;left:4732;top:4062;width:794;height:2" coordorigin="4732,4062" coordsize="794,2">
              <v:shape style="position:absolute;left:4732;top:4062;width:794;height:2" coordorigin="4732,4062" coordsize="794,0" path="m4732,4062l5526,4062e" filled="false" stroked="true" strokeweight=".47998pt" strokecolor="#000000">
                <v:path arrowok="t"/>
              </v:shape>
            </v:group>
            <v:group style="position:absolute;left:5535;top:4062;width:416;height:2" coordorigin="5535,4062" coordsize="416,2">
              <v:shape style="position:absolute;left:5535;top:4062;width:416;height:2" coordorigin="5535,4062" coordsize="416,0" path="m5535,4062l5950,4062e" filled="false" stroked="true" strokeweight=".47998pt" strokecolor="#000000">
                <v:path arrowok="t"/>
              </v:shape>
            </v:group>
            <v:group style="position:absolute;left:5960;top:4062;width:557;height:2" coordorigin="5960,4062" coordsize="557,2">
              <v:shape style="position:absolute;left:5960;top:4062;width:557;height:2" coordorigin="5960,4062" coordsize="557,0" path="m5960,4062l6517,4062e" filled="false" stroked="true" strokeweight=".47998pt" strokecolor="#000000">
                <v:path arrowok="t"/>
              </v:shape>
            </v:group>
            <v:group style="position:absolute;left:6526;top:4062;width:558;height:2" coordorigin="6526,4062" coordsize="558,2">
              <v:shape style="position:absolute;left:6526;top:4062;width:558;height:2" coordorigin="6526,4062" coordsize="558,0" path="m6526,4062l7084,4062e" filled="false" stroked="true" strokeweight=".47998pt" strokecolor="#000000">
                <v:path arrowok="t"/>
              </v:shape>
            </v:group>
            <v:group style="position:absolute;left:7094;top:4062;width:840;height:2" coordorigin="7094,4062" coordsize="840,2">
              <v:shape style="position:absolute;left:7094;top:4062;width:840;height:2" coordorigin="7094,4062" coordsize="840,0" path="m7094,4062l7934,4062e" filled="false" stroked="true" strokeweight=".47998pt" strokecolor="#000000">
                <v:path arrowok="t"/>
              </v:shape>
            </v:group>
            <v:group style="position:absolute;left:7944;top:4062;width:559;height:2" coordorigin="7944,4062" coordsize="559,2">
              <v:shape style="position:absolute;left:7944;top:4062;width:559;height:2" coordorigin="7944,4062" coordsize="559,0" path="m7944,4062l8502,4062e" filled="false" stroked="true" strokeweight=".47998pt" strokecolor="#000000">
                <v:path arrowok="t"/>
              </v:shape>
            </v:group>
            <v:group style="position:absolute;left:8512;top:4062;width:699;height:2" coordorigin="8512,4062" coordsize="699,2">
              <v:shape style="position:absolute;left:8512;top:4062;width:699;height:2" coordorigin="8512,4062" coordsize="699,0" path="m8512,4062l9210,4062e" filled="false" stroked="true" strokeweight=".47998pt" strokecolor="#000000">
                <v:path arrowok="t"/>
              </v:shape>
            </v:group>
            <v:group style="position:absolute;left:9220;top:4062;width:700;height:2" coordorigin="9220,4062" coordsize="700,2">
              <v:shape style="position:absolute;left:9220;top:4062;width:700;height:2" coordorigin="9220,4062" coordsize="700,0" path="m9220,4062l9919,4062e" filled="false" stroked="true" strokeweight=".47998pt" strokecolor="#000000">
                <v:path arrowok="t"/>
              </v:shape>
            </v:group>
            <v:group style="position:absolute;left:9929;top:4062;width:772;height:2" coordorigin="9929,4062" coordsize="772,2">
              <v:shape style="position:absolute;left:9929;top:4062;width:772;height:2" coordorigin="9929,4062" coordsize="772,0" path="m9929,4062l10700,4062e" filled="false" stroked="true" strokeweight=".47998pt" strokecolor="#000000">
                <v:path arrowok="t"/>
              </v:shape>
            </v:group>
            <v:group style="position:absolute;left:1134;top:4057;width:2;height:330" coordorigin="1134,4057" coordsize="2,330">
              <v:shape style="position:absolute;left:1134;top:4057;width:2;height:330" coordorigin="1134,4057" coordsize="0,330" path="m1134,4057l1134,4387e" filled="false" stroked="true" strokeweight=".48pt" strokecolor="#000000">
                <v:path arrowok="t"/>
              </v:shape>
            </v:group>
            <v:group style="position:absolute;left:1139;top:4396;width:1429;height:120" coordorigin="1139,4396" coordsize="1429,120">
              <v:shape style="position:absolute;left:1139;top:4396;width:1429;height:120" coordorigin="1139,4396" coordsize="1429,120" path="m1139,4516l2567,4516,2567,4396,1139,4396,1139,4516xe" filled="true" fillcolor="#d2d2d2" stroked="false">
                <v:path arrowok="t"/>
                <v:fill type="solid"/>
              </v:shape>
            </v:group>
            <v:group style="position:absolute;left:1150;top:4516;width:2;height:321" coordorigin="1150,4516" coordsize="2,321">
              <v:shape style="position:absolute;left:1150;top:4516;width:2;height:321" coordorigin="1150,4516" coordsize="0,321" path="m1150,4516l1150,4837e" filled="false" stroked="true" strokeweight="1.140pt" strokecolor="#d2d2d2">
                <v:path arrowok="t"/>
              </v:shape>
            </v:group>
            <v:group style="position:absolute;left:2556;top:4516;width:2;height:321" coordorigin="2556,4516" coordsize="2,321">
              <v:shape style="position:absolute;left:2556;top:4516;width:2;height:321" coordorigin="2556,4516" coordsize="0,321" path="m2556,4516l2556,4837e" filled="false" stroked="true" strokeweight="1.140pt" strokecolor="#d2d2d2">
                <v:path arrowok="t"/>
              </v:shape>
            </v:group>
            <v:group style="position:absolute;left:1139;top:4837;width:1429;height:120" coordorigin="1139,4837" coordsize="1429,120">
              <v:shape style="position:absolute;left:1139;top:4837;width:1429;height:120" coordorigin="1139,4837" coordsize="1429,120" path="m1139,4957l2567,4957,2567,4837,1139,4837,1139,4957xe" filled="true" fillcolor="#d2d2d2" stroked="false">
                <v:path arrowok="t"/>
                <v:fill type="solid"/>
              </v:shape>
            </v:group>
            <v:group style="position:absolute;left:1139;top:4392;width:1429;height:2" coordorigin="1139,4392" coordsize="1429,2">
              <v:shape style="position:absolute;left:1139;top:4392;width:1429;height:2" coordorigin="1139,4392" coordsize="1429,0" path="m1139,4392l2567,4392e" filled="false" stroked="true" strokeweight=".47998pt" strokecolor="#000000">
                <v:path arrowok="t"/>
              </v:shape>
            </v:group>
            <v:group style="position:absolute;left:2577;top:4392;width:681;height:2" coordorigin="2577,4392" coordsize="681,2">
              <v:shape style="position:absolute;left:2577;top:4392;width:681;height:2" coordorigin="2577,4392" coordsize="681,0" path="m2577,4392l3257,4392e" filled="false" stroked="true" strokeweight=".47998pt" strokecolor="#000000">
                <v:path arrowok="t"/>
              </v:shape>
            </v:group>
            <v:group style="position:absolute;left:3267;top:4392;width:557;height:2" coordorigin="3267,4392" coordsize="557,2">
              <v:shape style="position:absolute;left:3267;top:4392;width:557;height:2" coordorigin="3267,4392" coordsize="557,0" path="m3267,4392l3824,4392e" filled="false" stroked="true" strokeweight=".47998pt" strokecolor="#000000">
                <v:path arrowok="t"/>
              </v:shape>
            </v:group>
            <v:group style="position:absolute;left:3833;top:4392;width:416;height:2" coordorigin="3833,4392" coordsize="416,2">
              <v:shape style="position:absolute;left:3833;top:4392;width:416;height:2" coordorigin="3833,4392" coordsize="416,0" path="m3833,4392l4248,4392e" filled="false" stroked="true" strokeweight=".47998pt" strokecolor="#000000">
                <v:path arrowok="t"/>
              </v:shape>
            </v:group>
            <v:group style="position:absolute;left:4258;top:4392;width:465;height:2" coordorigin="4258,4392" coordsize="465,2">
              <v:shape style="position:absolute;left:4258;top:4392;width:465;height:2" coordorigin="4258,4392" coordsize="465,0" path="m4258,4392l4722,4392e" filled="false" stroked="true" strokeweight=".47998pt" strokecolor="#000000">
                <v:path arrowok="t"/>
              </v:shape>
            </v:group>
            <v:group style="position:absolute;left:4732;top:4392;width:794;height:2" coordorigin="4732,4392" coordsize="794,2">
              <v:shape style="position:absolute;left:4732;top:4392;width:794;height:2" coordorigin="4732,4392" coordsize="794,0" path="m4732,4392l5526,4392e" filled="false" stroked="true" strokeweight=".47998pt" strokecolor="#000000">
                <v:path arrowok="t"/>
              </v:shape>
            </v:group>
            <v:group style="position:absolute;left:5535;top:4392;width:416;height:2" coordorigin="5535,4392" coordsize="416,2">
              <v:shape style="position:absolute;left:5535;top:4392;width:416;height:2" coordorigin="5535,4392" coordsize="416,0" path="m5535,4392l5950,4392e" filled="false" stroked="true" strokeweight=".47998pt" strokecolor="#000000">
                <v:path arrowok="t"/>
              </v:shape>
            </v:group>
            <v:group style="position:absolute;left:5960;top:4392;width:557;height:2" coordorigin="5960,4392" coordsize="557,2">
              <v:shape style="position:absolute;left:5960;top:4392;width:557;height:2" coordorigin="5960,4392" coordsize="557,0" path="m5960,4392l6517,4392e" filled="false" stroked="true" strokeweight=".47998pt" strokecolor="#000000">
                <v:path arrowok="t"/>
              </v:shape>
            </v:group>
            <v:group style="position:absolute;left:6526;top:4392;width:558;height:2" coordorigin="6526,4392" coordsize="558,2">
              <v:shape style="position:absolute;left:6526;top:4392;width:558;height:2" coordorigin="6526,4392" coordsize="558,0" path="m6526,4392l7084,4392e" filled="false" stroked="true" strokeweight=".47998pt" strokecolor="#000000">
                <v:path arrowok="t"/>
              </v:shape>
            </v:group>
            <v:group style="position:absolute;left:7094;top:4392;width:840;height:2" coordorigin="7094,4392" coordsize="840,2">
              <v:shape style="position:absolute;left:7094;top:4392;width:840;height:2" coordorigin="7094,4392" coordsize="840,0" path="m7094,4392l7934,4392e" filled="false" stroked="true" strokeweight=".47998pt" strokecolor="#000000">
                <v:path arrowok="t"/>
              </v:shape>
            </v:group>
            <v:group style="position:absolute;left:7944;top:4392;width:559;height:2" coordorigin="7944,4392" coordsize="559,2">
              <v:shape style="position:absolute;left:7944;top:4392;width:559;height:2" coordorigin="7944,4392" coordsize="559,0" path="m7944,4392l8502,4392e" filled="false" stroked="true" strokeweight=".47998pt" strokecolor="#000000">
                <v:path arrowok="t"/>
              </v:shape>
            </v:group>
            <v:group style="position:absolute;left:8512;top:4392;width:699;height:2" coordorigin="8512,4392" coordsize="699,2">
              <v:shape style="position:absolute;left:8512;top:4392;width:699;height:2" coordorigin="8512,4392" coordsize="699,0" path="m8512,4392l9210,4392e" filled="false" stroked="true" strokeweight=".47998pt" strokecolor="#000000">
                <v:path arrowok="t"/>
              </v:shape>
            </v:group>
            <v:group style="position:absolute;left:9220;top:4392;width:700;height:2" coordorigin="9220,4392" coordsize="700,2">
              <v:shape style="position:absolute;left:9220;top:4392;width:700;height:2" coordorigin="9220,4392" coordsize="700,0" path="m9220,4392l9919,4392e" filled="false" stroked="true" strokeweight=".47998pt" strokecolor="#000000">
                <v:path arrowok="t"/>
              </v:shape>
            </v:group>
            <v:group style="position:absolute;left:9929;top:4392;width:772;height:2" coordorigin="9929,4392" coordsize="772,2">
              <v:shape style="position:absolute;left:9929;top:4392;width:772;height:2" coordorigin="9929,4392" coordsize="772,0" path="m9929,4392l10700,4392e" filled="false" stroked="true" strokeweight=".47998pt" strokecolor="#000000">
                <v:path arrowok="t"/>
              </v:shape>
            </v:group>
            <v:group style="position:absolute;left:1134;top:4387;width:2;height:570" coordorigin="1134,4387" coordsize="2,570">
              <v:shape style="position:absolute;left:1134;top:4387;width:2;height:570" coordorigin="1134,4387" coordsize="0,570" path="m1134,4387l1134,4957e" filled="false" stroked="true" strokeweight=".48pt" strokecolor="#000000">
                <v:path arrowok="t"/>
              </v:shape>
            </v:group>
            <v:group style="position:absolute;left:1150;top:4966;width:2;height:801" coordorigin="1150,4966" coordsize="2,801">
              <v:shape style="position:absolute;left:1150;top:4966;width:2;height:801" coordorigin="1150,4966" coordsize="0,801" path="m1150,4966l1150,5767e" filled="false" stroked="true" strokeweight="1.140pt" strokecolor="#d2d2d2">
                <v:path arrowok="t"/>
              </v:shape>
            </v:group>
            <v:group style="position:absolute;left:2556;top:4966;width:2;height:801" coordorigin="2556,4966" coordsize="2,801">
              <v:shape style="position:absolute;left:2556;top:4966;width:2;height:801" coordorigin="2556,4966" coordsize="0,801" path="m2556,4966l2556,5767e" filled="false" stroked="true" strokeweight="1.140pt" strokecolor="#d2d2d2">
                <v:path arrowok="t"/>
              </v:shape>
            </v:group>
            <v:group style="position:absolute;left:1162;top:4966;width:1383;height:282" coordorigin="1162,4966" coordsize="1383,282">
              <v:shape style="position:absolute;left:1162;top:4966;width:1383;height:282" coordorigin="1162,4966" coordsize="1383,282" path="m1162,5248l2544,5248,2544,4966,1162,4966,1162,5248xe" filled="true" fillcolor="#d2d2d2" stroked="false">
                <v:path arrowok="t"/>
                <v:fill type="solid"/>
              </v:shape>
            </v:group>
            <v:group style="position:absolute;left:1162;top:5248;width:1383;height:240" coordorigin="1162,5248" coordsize="1383,240">
              <v:shape style="position:absolute;left:1162;top:5248;width:1383;height:240" coordorigin="1162,5248" coordsize="1383,240" path="m1162,5488l2544,5488,2544,5248,1162,5248,1162,5488xe" filled="true" fillcolor="#d2d2d2" stroked="false">
                <v:path arrowok="t"/>
                <v:fill type="solid"/>
              </v:shape>
            </v:group>
            <v:group style="position:absolute;left:1162;top:5488;width:1383;height:280" coordorigin="1162,5488" coordsize="1383,280">
              <v:shape style="position:absolute;left:1162;top:5488;width:1383;height:280" coordorigin="1162,5488" coordsize="1383,280" path="m1162,5767l2544,5767,2544,5488,1162,5488,1162,5767xe" filled="true" fillcolor="#d2d2d2" stroked="false">
                <v:path arrowok="t"/>
                <v:fill type="solid"/>
              </v:shape>
            </v:group>
            <v:group style="position:absolute;left:1139;top:4962;width:1429;height:2" coordorigin="1139,4962" coordsize="1429,2">
              <v:shape style="position:absolute;left:1139;top:4962;width:1429;height:2" coordorigin="1139,4962" coordsize="1429,0" path="m1139,4962l2567,4962e" filled="false" stroked="true" strokeweight=".47998pt" strokecolor="#000000">
                <v:path arrowok="t"/>
              </v:shape>
            </v:group>
            <v:group style="position:absolute;left:2577;top:4962;width:681;height:2" coordorigin="2577,4962" coordsize="681,2">
              <v:shape style="position:absolute;left:2577;top:4962;width:681;height:2" coordorigin="2577,4962" coordsize="681,0" path="m2577,4962l3257,4962e" filled="false" stroked="true" strokeweight=".47998pt" strokecolor="#000000">
                <v:path arrowok="t"/>
              </v:shape>
            </v:group>
            <v:group style="position:absolute;left:3267;top:4962;width:557;height:2" coordorigin="3267,4962" coordsize="557,2">
              <v:shape style="position:absolute;left:3267;top:4962;width:557;height:2" coordorigin="3267,4962" coordsize="557,0" path="m3267,4962l3824,4962e" filled="false" stroked="true" strokeweight=".47998pt" strokecolor="#000000">
                <v:path arrowok="t"/>
              </v:shape>
            </v:group>
            <v:group style="position:absolute;left:3833;top:4962;width:416;height:2" coordorigin="3833,4962" coordsize="416,2">
              <v:shape style="position:absolute;left:3833;top:4962;width:416;height:2" coordorigin="3833,4962" coordsize="416,0" path="m3833,4962l4248,4962e" filled="false" stroked="true" strokeweight=".47998pt" strokecolor="#000000">
                <v:path arrowok="t"/>
              </v:shape>
            </v:group>
            <v:group style="position:absolute;left:4258;top:4962;width:465;height:2" coordorigin="4258,4962" coordsize="465,2">
              <v:shape style="position:absolute;left:4258;top:4962;width:465;height:2" coordorigin="4258,4962" coordsize="465,0" path="m4258,4962l4722,4962e" filled="false" stroked="true" strokeweight=".47998pt" strokecolor="#000000">
                <v:path arrowok="t"/>
              </v:shape>
            </v:group>
            <v:group style="position:absolute;left:4732;top:4962;width:794;height:2" coordorigin="4732,4962" coordsize="794,2">
              <v:shape style="position:absolute;left:4732;top:4962;width:794;height:2" coordorigin="4732,4962" coordsize="794,0" path="m4732,4962l5526,4962e" filled="false" stroked="true" strokeweight=".47998pt" strokecolor="#000000">
                <v:path arrowok="t"/>
              </v:shape>
            </v:group>
            <v:group style="position:absolute;left:5535;top:4962;width:416;height:2" coordorigin="5535,4962" coordsize="416,2">
              <v:shape style="position:absolute;left:5535;top:4962;width:416;height:2" coordorigin="5535,4962" coordsize="416,0" path="m5535,4962l5950,4962e" filled="false" stroked="true" strokeweight=".47998pt" strokecolor="#000000">
                <v:path arrowok="t"/>
              </v:shape>
            </v:group>
            <v:group style="position:absolute;left:5960;top:4962;width:557;height:2" coordorigin="5960,4962" coordsize="557,2">
              <v:shape style="position:absolute;left:5960;top:4962;width:557;height:2" coordorigin="5960,4962" coordsize="557,0" path="m5960,4962l6517,4962e" filled="false" stroked="true" strokeweight=".47998pt" strokecolor="#000000">
                <v:path arrowok="t"/>
              </v:shape>
            </v:group>
            <v:group style="position:absolute;left:6526;top:4962;width:558;height:2" coordorigin="6526,4962" coordsize="558,2">
              <v:shape style="position:absolute;left:6526;top:4962;width:558;height:2" coordorigin="6526,4962" coordsize="558,0" path="m6526,4962l7084,4962e" filled="false" stroked="true" strokeweight=".47998pt" strokecolor="#000000">
                <v:path arrowok="t"/>
              </v:shape>
            </v:group>
            <v:group style="position:absolute;left:7094;top:4962;width:840;height:2" coordorigin="7094,4962" coordsize="840,2">
              <v:shape style="position:absolute;left:7094;top:4962;width:840;height:2" coordorigin="7094,4962" coordsize="840,0" path="m7094,4962l7934,4962e" filled="false" stroked="true" strokeweight=".47998pt" strokecolor="#000000">
                <v:path arrowok="t"/>
              </v:shape>
            </v:group>
            <v:group style="position:absolute;left:7944;top:4962;width:559;height:2" coordorigin="7944,4962" coordsize="559,2">
              <v:shape style="position:absolute;left:7944;top:4962;width:559;height:2" coordorigin="7944,4962" coordsize="559,0" path="m7944,4962l8502,4962e" filled="false" stroked="true" strokeweight=".47998pt" strokecolor="#000000">
                <v:path arrowok="t"/>
              </v:shape>
            </v:group>
            <v:group style="position:absolute;left:8512;top:4962;width:699;height:2" coordorigin="8512,4962" coordsize="699,2">
              <v:shape style="position:absolute;left:8512;top:4962;width:699;height:2" coordorigin="8512,4962" coordsize="699,0" path="m8512,4962l9210,4962e" filled="false" stroked="true" strokeweight=".47998pt" strokecolor="#000000">
                <v:path arrowok="t"/>
              </v:shape>
            </v:group>
            <v:group style="position:absolute;left:9220;top:4962;width:700;height:2" coordorigin="9220,4962" coordsize="700,2">
              <v:shape style="position:absolute;left:9220;top:4962;width:700;height:2" coordorigin="9220,4962" coordsize="700,0" path="m9220,4962l9919,4962e" filled="false" stroked="true" strokeweight=".47998pt" strokecolor="#000000">
                <v:path arrowok="t"/>
              </v:shape>
            </v:group>
            <v:group style="position:absolute;left:9929;top:4962;width:772;height:2" coordorigin="9929,4962" coordsize="772,2">
              <v:shape style="position:absolute;left:9929;top:4962;width:772;height:2" coordorigin="9929,4962" coordsize="772,0" path="m9929,4962l10700,4962e" filled="false" stroked="true" strokeweight=".47998pt" strokecolor="#000000">
                <v:path arrowok="t"/>
              </v:shape>
            </v:group>
            <v:group style="position:absolute;left:1134;top:4957;width:2;height:811" coordorigin="1134,4957" coordsize="2,811">
              <v:shape style="position:absolute;left:1134;top:4957;width:2;height:811" coordorigin="1134,4957" coordsize="0,811" path="m1134,4957l1134,5767e" filled="false" stroked="true" strokeweight=".48pt" strokecolor="#000000">
                <v:path arrowok="t"/>
              </v:shape>
            </v:group>
            <v:group style="position:absolute;left:1150;top:5777;width:2;height:561" coordorigin="1150,5777" coordsize="2,561">
              <v:shape style="position:absolute;left:1150;top:5777;width:2;height:561" coordorigin="1150,5777" coordsize="0,561" path="m1150,5777l1150,6337e" filled="false" stroked="true" strokeweight="1.140pt" strokecolor="#d2d2d2">
                <v:path arrowok="t"/>
              </v:shape>
            </v:group>
            <v:group style="position:absolute;left:2556;top:5777;width:2;height:561" coordorigin="2556,5777" coordsize="2,561">
              <v:shape style="position:absolute;left:2556;top:5777;width:2;height:561" coordorigin="2556,5777" coordsize="0,561" path="m2556,5777l2556,6337e" filled="false" stroked="true" strokeweight="1.140pt" strokecolor="#d2d2d2">
                <v:path arrowok="t"/>
              </v:shape>
            </v:group>
            <v:group style="position:absolute;left:1162;top:5777;width:1383;height:281" coordorigin="1162,5777" coordsize="1383,281">
              <v:shape style="position:absolute;left:1162;top:5777;width:1383;height:281" coordorigin="1162,5777" coordsize="1383,281" path="m1162,6058l2544,6058,2544,5777,1162,5777,1162,6058xe" filled="true" fillcolor="#d2d2d2" stroked="false">
                <v:path arrowok="t"/>
                <v:fill type="solid"/>
              </v:shape>
            </v:group>
            <v:group style="position:absolute;left:1162;top:6058;width:1383;height:280" coordorigin="1162,6058" coordsize="1383,280">
              <v:shape style="position:absolute;left:1162;top:6058;width:1383;height:280" coordorigin="1162,6058" coordsize="1383,280" path="m1162,6337l2544,6337,2544,6058,1162,6058,1162,6337xe" filled="true" fillcolor="#d2d2d2" stroked="false">
                <v:path arrowok="t"/>
                <v:fill type="solid"/>
              </v:shape>
            </v:group>
            <v:group style="position:absolute;left:1139;top:5772;width:1429;height:2" coordorigin="1139,5772" coordsize="1429,2">
              <v:shape style="position:absolute;left:1139;top:5772;width:1429;height:2" coordorigin="1139,5772" coordsize="1429,0" path="m1139,5772l2567,5772e" filled="false" stroked="true" strokeweight=".47998pt" strokecolor="#000000">
                <v:path arrowok="t"/>
              </v:shape>
            </v:group>
            <v:group style="position:absolute;left:2577;top:5772;width:681;height:2" coordorigin="2577,5772" coordsize="681,2">
              <v:shape style="position:absolute;left:2577;top:5772;width:681;height:2" coordorigin="2577,5772" coordsize="681,0" path="m2577,5772l3257,5772e" filled="false" stroked="true" strokeweight=".47998pt" strokecolor="#000000">
                <v:path arrowok="t"/>
              </v:shape>
            </v:group>
            <v:group style="position:absolute;left:3267;top:5772;width:557;height:2" coordorigin="3267,5772" coordsize="557,2">
              <v:shape style="position:absolute;left:3267;top:5772;width:557;height:2" coordorigin="3267,5772" coordsize="557,0" path="m3267,5772l3824,5772e" filled="false" stroked="true" strokeweight=".47998pt" strokecolor="#000000">
                <v:path arrowok="t"/>
              </v:shape>
            </v:group>
            <v:group style="position:absolute;left:3833;top:5772;width:416;height:2" coordorigin="3833,5772" coordsize="416,2">
              <v:shape style="position:absolute;left:3833;top:5772;width:416;height:2" coordorigin="3833,5772" coordsize="416,0" path="m3833,5772l4248,5772e" filled="false" stroked="true" strokeweight=".47998pt" strokecolor="#000000">
                <v:path arrowok="t"/>
              </v:shape>
            </v:group>
            <v:group style="position:absolute;left:4258;top:5772;width:465;height:2" coordorigin="4258,5772" coordsize="465,2">
              <v:shape style="position:absolute;left:4258;top:5772;width:465;height:2" coordorigin="4258,5772" coordsize="465,0" path="m4258,5772l4722,5772e" filled="false" stroked="true" strokeweight=".47998pt" strokecolor="#000000">
                <v:path arrowok="t"/>
              </v:shape>
            </v:group>
            <v:group style="position:absolute;left:4732;top:5772;width:794;height:2" coordorigin="4732,5772" coordsize="794,2">
              <v:shape style="position:absolute;left:4732;top:5772;width:794;height:2" coordorigin="4732,5772" coordsize="794,0" path="m4732,5772l5526,5772e" filled="false" stroked="true" strokeweight=".47998pt" strokecolor="#000000">
                <v:path arrowok="t"/>
              </v:shape>
            </v:group>
            <v:group style="position:absolute;left:5535;top:5772;width:416;height:2" coordorigin="5535,5772" coordsize="416,2">
              <v:shape style="position:absolute;left:5535;top:5772;width:416;height:2" coordorigin="5535,5772" coordsize="416,0" path="m5535,5772l5950,5772e" filled="false" stroked="true" strokeweight=".47998pt" strokecolor="#000000">
                <v:path arrowok="t"/>
              </v:shape>
            </v:group>
            <v:group style="position:absolute;left:5960;top:5772;width:557;height:2" coordorigin="5960,5772" coordsize="557,2">
              <v:shape style="position:absolute;left:5960;top:5772;width:557;height:2" coordorigin="5960,5772" coordsize="557,0" path="m5960,5772l6517,5772e" filled="false" stroked="true" strokeweight=".47998pt" strokecolor="#000000">
                <v:path arrowok="t"/>
              </v:shape>
            </v:group>
            <v:group style="position:absolute;left:6526;top:5772;width:558;height:2" coordorigin="6526,5772" coordsize="558,2">
              <v:shape style="position:absolute;left:6526;top:5772;width:558;height:2" coordorigin="6526,5772" coordsize="558,0" path="m6526,5772l7084,5772e" filled="false" stroked="true" strokeweight=".47998pt" strokecolor="#000000">
                <v:path arrowok="t"/>
              </v:shape>
            </v:group>
            <v:group style="position:absolute;left:7094;top:5772;width:840;height:2" coordorigin="7094,5772" coordsize="840,2">
              <v:shape style="position:absolute;left:7094;top:5772;width:840;height:2" coordorigin="7094,5772" coordsize="840,0" path="m7094,5772l7934,5772e" filled="false" stroked="true" strokeweight=".47998pt" strokecolor="#000000">
                <v:path arrowok="t"/>
              </v:shape>
            </v:group>
            <v:group style="position:absolute;left:7944;top:5772;width:559;height:2" coordorigin="7944,5772" coordsize="559,2">
              <v:shape style="position:absolute;left:7944;top:5772;width:559;height:2" coordorigin="7944,5772" coordsize="559,0" path="m7944,5772l8502,5772e" filled="false" stroked="true" strokeweight=".47998pt" strokecolor="#000000">
                <v:path arrowok="t"/>
              </v:shape>
            </v:group>
            <v:group style="position:absolute;left:8512;top:5772;width:699;height:2" coordorigin="8512,5772" coordsize="699,2">
              <v:shape style="position:absolute;left:8512;top:5772;width:699;height:2" coordorigin="8512,5772" coordsize="699,0" path="m8512,5772l9210,5772e" filled="false" stroked="true" strokeweight=".47998pt" strokecolor="#000000">
                <v:path arrowok="t"/>
              </v:shape>
            </v:group>
            <v:group style="position:absolute;left:9220;top:5772;width:700;height:2" coordorigin="9220,5772" coordsize="700,2">
              <v:shape style="position:absolute;left:9220;top:5772;width:700;height:2" coordorigin="9220,5772" coordsize="700,0" path="m9220,5772l9919,5772e" filled="false" stroked="true" strokeweight=".47998pt" strokecolor="#000000">
                <v:path arrowok="t"/>
              </v:shape>
            </v:group>
            <v:group style="position:absolute;left:9929;top:5772;width:772;height:2" coordorigin="9929,5772" coordsize="772,2">
              <v:shape style="position:absolute;left:9929;top:5772;width:772;height:2" coordorigin="9929,5772" coordsize="772,0" path="m9929,5772l10700,5772e" filled="false" stroked="true" strokeweight=".47998pt" strokecolor="#000000">
                <v:path arrowok="t"/>
              </v:shape>
            </v:group>
            <v:group style="position:absolute;left:1134;top:5767;width:2;height:570" coordorigin="1134,5767" coordsize="2,570">
              <v:shape style="position:absolute;left:1134;top:5767;width:2;height:570" coordorigin="1134,5767" coordsize="0,570" path="m1134,5767l1134,6337e" filled="false" stroked="true" strokeweight=".48pt" strokecolor="#000000">
                <v:path arrowok="t"/>
              </v:shape>
            </v:group>
            <v:group style="position:absolute;left:1129;top:6342;width:10;height:2" coordorigin="1129,6342" coordsize="10,2">
              <v:shape style="position:absolute;left:1129;top:6342;width:10;height:2" coordorigin="1129,6342" coordsize="10,0" path="m1129,6342l1139,6342e" filled="false" stroked="true" strokeweight=".47998pt" strokecolor="#000000">
                <v:path arrowok="t"/>
              </v:shape>
            </v:group>
            <v:group style="position:absolute;left:1139;top:6342;width:1429;height:2" coordorigin="1139,6342" coordsize="1429,2">
              <v:shape style="position:absolute;left:1139;top:6342;width:1429;height:2" coordorigin="1139,6342" coordsize="1429,0" path="m1139,6342l2567,6342e" filled="false" stroked="true" strokeweight=".47998pt" strokecolor="#000000">
                <v:path arrowok="t"/>
              </v:shape>
            </v:group>
            <v:group style="position:absolute;left:2572;top:457;width:2;height:5890" coordorigin="2572,457" coordsize="2,5890">
              <v:shape style="position:absolute;left:2572;top:457;width:2;height:5890" coordorigin="2572,457" coordsize="0,5890" path="m2572,457l2572,6347e" filled="false" stroked="true" strokeweight=".48pt" strokecolor="#000000">
                <v:path arrowok="t"/>
              </v:shape>
            </v:group>
            <v:group style="position:absolute;left:2577;top:6342;width:681;height:2" coordorigin="2577,6342" coordsize="681,2">
              <v:shape style="position:absolute;left:2577;top:6342;width:681;height:2" coordorigin="2577,6342" coordsize="681,0" path="m2577,6342l3257,6342e" filled="false" stroked="true" strokeweight=".47998pt" strokecolor="#000000">
                <v:path arrowok="t"/>
              </v:shape>
            </v:group>
            <v:group style="position:absolute;left:3262;top:957;width:2;height:5390" coordorigin="3262,957" coordsize="2,5390">
              <v:shape style="position:absolute;left:3262;top:957;width:2;height:5390" coordorigin="3262,957" coordsize="0,5390" path="m3262,957l3262,6347e" filled="false" stroked="true" strokeweight=".48pt" strokecolor="#000000">
                <v:path arrowok="t"/>
              </v:shape>
            </v:group>
            <v:group style="position:absolute;left:3267;top:6342;width:557;height:2" coordorigin="3267,6342" coordsize="557,2">
              <v:shape style="position:absolute;left:3267;top:6342;width:557;height:2" coordorigin="3267,6342" coordsize="557,0" path="m3267,6342l3824,6342e" filled="false" stroked="true" strokeweight=".47998pt" strokecolor="#000000">
                <v:path arrowok="t"/>
              </v:shape>
            </v:group>
            <v:group style="position:absolute;left:3828;top:1207;width:2;height:5140" coordorigin="3828,1207" coordsize="2,5140">
              <v:shape style="position:absolute;left:3828;top:1207;width:2;height:5140" coordorigin="3828,1207" coordsize="0,5140" path="m3828,1207l3828,6347e" filled="false" stroked="true" strokeweight=".48pt" strokecolor="#000000">
                <v:path arrowok="t"/>
              </v:shape>
            </v:group>
            <v:group style="position:absolute;left:3833;top:6342;width:416;height:2" coordorigin="3833,6342" coordsize="416,2">
              <v:shape style="position:absolute;left:3833;top:6342;width:416;height:2" coordorigin="3833,6342" coordsize="416,0" path="m3833,6342l4248,6342e" filled="false" stroked="true" strokeweight=".47998pt" strokecolor="#000000">
                <v:path arrowok="t"/>
              </v:shape>
            </v:group>
            <v:group style="position:absolute;left:4253;top:1207;width:2;height:5140" coordorigin="4253,1207" coordsize="2,5140">
              <v:shape style="position:absolute;left:4253;top:1207;width:2;height:5140" coordorigin="4253,1207" coordsize="0,5140" path="m4253,1207l4253,6347e" filled="false" stroked="true" strokeweight=".48pt" strokecolor="#000000">
                <v:path arrowok="t"/>
              </v:shape>
            </v:group>
            <v:group style="position:absolute;left:4258;top:6342;width:465;height:2" coordorigin="4258,6342" coordsize="465,2">
              <v:shape style="position:absolute;left:4258;top:6342;width:465;height:2" coordorigin="4258,6342" coordsize="465,0" path="m4258,6342l4722,6342e" filled="false" stroked="true" strokeweight=".47998pt" strokecolor="#000000">
                <v:path arrowok="t"/>
              </v:shape>
            </v:group>
            <v:group style="position:absolute;left:4727;top:957;width:2;height:5390" coordorigin="4727,957" coordsize="2,5390">
              <v:shape style="position:absolute;left:4727;top:957;width:2;height:5390" coordorigin="4727,957" coordsize="0,5390" path="m4727,957l4727,6347e" filled="false" stroked="true" strokeweight=".48pt" strokecolor="#000000">
                <v:path arrowok="t"/>
              </v:shape>
            </v:group>
            <v:group style="position:absolute;left:4732;top:6342;width:794;height:2" coordorigin="4732,6342" coordsize="794,2">
              <v:shape style="position:absolute;left:4732;top:6342;width:794;height:2" coordorigin="4732,6342" coordsize="794,0" path="m4732,6342l5526,6342e" filled="false" stroked="true" strokeweight=".47998pt" strokecolor="#000000">
                <v:path arrowok="t"/>
              </v:shape>
            </v:group>
            <v:group style="position:absolute;left:5530;top:957;width:2;height:5390" coordorigin="5530,957" coordsize="2,5390">
              <v:shape style="position:absolute;left:5530;top:957;width:2;height:5390" coordorigin="5530,957" coordsize="0,5390" path="m5530,957l5530,6347e" filled="false" stroked="true" strokeweight=".47998pt" strokecolor="#000000">
                <v:path arrowok="t"/>
              </v:shape>
            </v:group>
            <v:group style="position:absolute;left:5535;top:6342;width:416;height:2" coordorigin="5535,6342" coordsize="416,2">
              <v:shape style="position:absolute;left:5535;top:6342;width:416;height:2" coordorigin="5535,6342" coordsize="416,0" path="m5535,6342l5950,6342e" filled="false" stroked="true" strokeweight=".47998pt" strokecolor="#000000">
                <v:path arrowok="t"/>
              </v:shape>
            </v:group>
            <v:group style="position:absolute;left:5955;top:957;width:2;height:5390" coordorigin="5955,957" coordsize="2,5390">
              <v:shape style="position:absolute;left:5955;top:957;width:2;height:5390" coordorigin="5955,957" coordsize="0,5390" path="m5955,957l5955,6347e" filled="false" stroked="true" strokeweight=".48001pt" strokecolor="#000000">
                <v:path arrowok="t"/>
              </v:shape>
            </v:group>
            <v:group style="position:absolute;left:5960;top:6342;width:557;height:2" coordorigin="5960,6342" coordsize="557,2">
              <v:shape style="position:absolute;left:5960;top:6342;width:557;height:2" coordorigin="5960,6342" coordsize="557,0" path="m5960,6342l6517,6342e" filled="false" stroked="true" strokeweight=".47998pt" strokecolor="#000000">
                <v:path arrowok="t"/>
              </v:shape>
            </v:group>
            <v:group style="position:absolute;left:6522;top:957;width:2;height:5390" coordorigin="6522,957" coordsize="2,5390">
              <v:shape style="position:absolute;left:6522;top:957;width:2;height:5390" coordorigin="6522,957" coordsize="0,5390" path="m6522,957l6522,6347e" filled="false" stroked="true" strokeweight=".48001pt" strokecolor="#000000">
                <v:path arrowok="t"/>
              </v:shape>
            </v:group>
            <v:group style="position:absolute;left:6526;top:6342;width:558;height:2" coordorigin="6526,6342" coordsize="558,2">
              <v:shape style="position:absolute;left:6526;top:6342;width:558;height:2" coordorigin="6526,6342" coordsize="558,0" path="m6526,6342l7084,6342e" filled="false" stroked="true" strokeweight=".47998pt" strokecolor="#000000">
                <v:path arrowok="t"/>
              </v:shape>
            </v:group>
            <v:group style="position:absolute;left:7089;top:957;width:2;height:5390" coordorigin="7089,957" coordsize="2,5390">
              <v:shape style="position:absolute;left:7089;top:957;width:2;height:5390" coordorigin="7089,957" coordsize="0,5390" path="m7089,957l7089,6347e" filled="false" stroked="true" strokeweight=".47998pt" strokecolor="#000000">
                <v:path arrowok="t"/>
              </v:shape>
            </v:group>
            <v:group style="position:absolute;left:7094;top:6342;width:840;height:2" coordorigin="7094,6342" coordsize="840,2">
              <v:shape style="position:absolute;left:7094;top:6342;width:840;height:2" coordorigin="7094,6342" coordsize="840,0" path="m7094,6342l7934,6342e" filled="false" stroked="true" strokeweight=".47998pt" strokecolor="#000000">
                <v:path arrowok="t"/>
              </v:shape>
            </v:group>
            <v:group style="position:absolute;left:7939;top:957;width:2;height:5390" coordorigin="7939,957" coordsize="2,5390">
              <v:shape style="position:absolute;left:7939;top:957;width:2;height:5390" coordorigin="7939,957" coordsize="0,5390" path="m7939,957l7939,6347e" filled="false" stroked="true" strokeweight=".48001pt" strokecolor="#000000">
                <v:path arrowok="t"/>
              </v:shape>
            </v:group>
            <v:group style="position:absolute;left:7944;top:6342;width:559;height:2" coordorigin="7944,6342" coordsize="559,2">
              <v:shape style="position:absolute;left:7944;top:6342;width:559;height:2" coordorigin="7944,6342" coordsize="559,0" path="m7944,6342l8502,6342e" filled="false" stroked="true" strokeweight=".47998pt" strokecolor="#000000">
                <v:path arrowok="t"/>
              </v:shape>
            </v:group>
            <v:group style="position:absolute;left:8507;top:957;width:2;height:5390" coordorigin="8507,957" coordsize="2,5390">
              <v:shape style="position:absolute;left:8507;top:957;width:2;height:5390" coordorigin="8507,957" coordsize="0,5390" path="m8507,957l8507,6347e" filled="false" stroked="true" strokeweight=".48001pt" strokecolor="#000000">
                <v:path arrowok="t"/>
              </v:shape>
            </v:group>
            <v:group style="position:absolute;left:8512;top:6342;width:699;height:2" coordorigin="8512,6342" coordsize="699,2">
              <v:shape style="position:absolute;left:8512;top:6342;width:699;height:2" coordorigin="8512,6342" coordsize="699,0" path="m8512,6342l9210,6342e" filled="false" stroked="true" strokeweight=".47998pt" strokecolor="#000000">
                <v:path arrowok="t"/>
              </v:shape>
            </v:group>
            <v:group style="position:absolute;left:9215;top:706;width:2;height:5641" coordorigin="9215,706" coordsize="2,5641">
              <v:shape style="position:absolute;left:9215;top:706;width:2;height:5641" coordorigin="9215,706" coordsize="0,5641" path="m9215,706l9215,6347e" filled="false" stroked="true" strokeweight=".47998pt" strokecolor="#000000">
                <v:path arrowok="t"/>
              </v:shape>
            </v:group>
            <v:group style="position:absolute;left:9220;top:6342;width:700;height:2" coordorigin="9220,6342" coordsize="700,2">
              <v:shape style="position:absolute;left:9220;top:6342;width:700;height:2" coordorigin="9220,6342" coordsize="700,0" path="m9220,6342l9919,6342e" filled="false" stroked="true" strokeweight=".47998pt" strokecolor="#000000">
                <v:path arrowok="t"/>
              </v:shape>
            </v:group>
            <v:group style="position:absolute;left:9924;top:706;width:2;height:5641" coordorigin="9924,706" coordsize="2,5641">
              <v:shape style="position:absolute;left:9924;top:706;width:2;height:5641" coordorigin="9924,706" coordsize="0,5641" path="m9924,706l9924,6347e" filled="false" stroked="true" strokeweight=".48001pt" strokecolor="#000000">
                <v:path arrowok="t"/>
              </v:shape>
            </v:group>
            <v:group style="position:absolute;left:9929;top:6342;width:772;height:2" coordorigin="9929,6342" coordsize="772,2">
              <v:shape style="position:absolute;left:9929;top:6342;width:772;height:2" coordorigin="9929,6342" coordsize="772,0" path="m9929,6342l10700,6342e" filled="false" stroked="true" strokeweight=".47998pt" strokecolor="#000000">
                <v:path arrowok="t"/>
              </v:shape>
            </v:group>
            <v:group style="position:absolute;left:10705;top:457;width:2;height:5890" coordorigin="10705,457" coordsize="2,5890">
              <v:shape style="position:absolute;left:10705;top:457;width:2;height:5890" coordorigin="10705,457" coordsize="0,5890" path="m10705,457l10705,6347e" filled="false" stroked="true" strokeweight=".48004pt" strokecolor="#000000">
                <v:path arrowok="t"/>
              </v:shape>
              <v:shape style="position:absolute;left:10044;top:128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益合计</w:t>
                      </w:r>
                    </w:p>
                  </w:txbxContent>
                </v:textbox>
                <w10:wrap type="none"/>
              </v:shape>
            </v:group>
            <w10:wrap type="none"/>
          </v:group>
        </w:pict>
      </w:r>
      <w:r>
        <w:rPr/>
        <w:t>单位：元</w:t>
      </w:r>
    </w:p>
    <w:p>
      <w:pPr>
        <w:spacing w:line="240" w:lineRule="auto" w:before="4"/>
        <w:rPr>
          <w:rFonts w:ascii="宋体" w:hAnsi="宋体" w:cs="宋体" w:eastAsia="宋体" w:hint="default"/>
          <w:sz w:val="8"/>
          <w:szCs w:val="8"/>
        </w:rPr>
      </w:pPr>
    </w:p>
    <w:tbl>
      <w:tblPr>
        <w:tblW w:w="0" w:type="auto"/>
        <w:jc w:val="left"/>
        <w:tblInd w:w="185" w:type="dxa"/>
        <w:tblLayout w:type="fixed"/>
        <w:tblCellMar>
          <w:top w:w="0" w:type="dxa"/>
          <w:left w:w="0" w:type="dxa"/>
          <w:bottom w:w="0" w:type="dxa"/>
          <w:right w:w="0" w:type="dxa"/>
        </w:tblCellMar>
        <w:tblLook w:val="01E0"/>
      </w:tblPr>
      <w:tblGrid>
        <w:gridCol w:w="1427"/>
        <w:gridCol w:w="690"/>
        <w:gridCol w:w="566"/>
        <w:gridCol w:w="425"/>
        <w:gridCol w:w="474"/>
        <w:gridCol w:w="803"/>
        <w:gridCol w:w="425"/>
        <w:gridCol w:w="566"/>
        <w:gridCol w:w="568"/>
        <w:gridCol w:w="850"/>
        <w:gridCol w:w="568"/>
        <w:gridCol w:w="708"/>
        <w:gridCol w:w="709"/>
        <w:gridCol w:w="781"/>
      </w:tblGrid>
      <w:tr>
        <w:trPr>
          <w:trHeight w:val="3327"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 w:right="0" w:firstLine="511"/>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450" w:lineRule="atLeast"/>
              <w:ind w:left="376" w:right="27" w:hanging="3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4"/>
                <w:sz w:val="18"/>
                <w:szCs w:val="18"/>
                <w:shd w:fill="D2D2D2" w:color="auto" w:val="clear"/>
              </w:rPr>
              <w:t> </w:t>
            </w:r>
            <w:r>
              <w:rPr>
                <w:rFonts w:ascii="宋体" w:hAnsi="宋体" w:cs="宋体" w:eastAsia="宋体" w:hint="default"/>
                <w:spacing w:val="-84"/>
                <w:sz w:val="18"/>
                <w:szCs w:val="18"/>
              </w:rPr>
            </w:r>
            <w:r>
              <w:rPr>
                <w:rFonts w:ascii="宋体" w:hAnsi="宋体" w:cs="宋体" w:eastAsia="宋体" w:hint="default"/>
                <w:spacing w:val="-84"/>
                <w:sz w:val="18"/>
                <w:szCs w:val="18"/>
              </w:rPr>
            </w:r>
            <w:r>
              <w:rPr>
                <w:rFonts w:ascii="宋体" w:hAnsi="宋体" w:cs="宋体" w:eastAsia="宋体" w:hint="default"/>
                <w:spacing w:val="-10"/>
                <w:sz w:val="18"/>
                <w:szCs w:val="18"/>
              </w:rPr>
              <w:t>加：会计政策</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变更</w:t>
            </w:r>
          </w:p>
          <w:p>
            <w:pPr>
              <w:pStyle w:val="TableParagraph"/>
              <w:spacing w:line="240" w:lineRule="auto" w:before="93"/>
              <w:ind w:left="736"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错更正</w:t>
            </w:r>
          </w:p>
          <w:p>
            <w:pPr>
              <w:pStyle w:val="TableParagraph"/>
              <w:spacing w:line="240" w:lineRule="auto" w:before="93"/>
              <w:ind w:left="736"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38" w:right="0"/>
              <w:jc w:val="center"/>
              <w:rPr>
                <w:rFonts w:ascii="Times New Roman" w:hAnsi="Times New Roman" w:cs="Times New Roman" w:eastAsia="Times New Roman" w:hint="default"/>
                <w:sz w:val="18"/>
                <w:szCs w:val="18"/>
              </w:rPr>
            </w:pPr>
            <w:r>
              <w:rPr>
                <w:rFonts w:ascii="Times New Roman"/>
                <w:sz w:val="18"/>
              </w:rPr>
              <w:t>853.00</w:t>
            </w:r>
          </w:p>
        </w:tc>
        <w:tc>
          <w:tcPr>
            <w:tcW w:w="1465"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其他权益工具</w:t>
            </w:r>
          </w:p>
          <w:p>
            <w:pPr>
              <w:pStyle w:val="TableParagraph"/>
              <w:tabs>
                <w:tab w:pos="687" w:val="left" w:leader="none"/>
              </w:tabs>
              <w:spacing w:line="163" w:lineRule="auto" w:before="121"/>
              <w:ind w:left="193" w:right="55" w:hanging="90"/>
              <w:jc w:val="left"/>
              <w:rPr>
                <w:rFonts w:ascii="宋体" w:hAnsi="宋体" w:cs="宋体" w:eastAsia="宋体" w:hint="default"/>
                <w:sz w:val="18"/>
                <w:szCs w:val="18"/>
              </w:rPr>
            </w:pPr>
            <w:r>
              <w:rPr>
                <w:rFonts w:ascii="宋体" w:hAnsi="宋体" w:cs="宋体" w:eastAsia="宋体" w:hint="default"/>
                <w:sz w:val="18"/>
                <w:szCs w:val="18"/>
              </w:rPr>
              <w:t>优先 永续</w:t>
            </w:r>
            <w:r>
              <w:rPr>
                <w:rFonts w:ascii="宋体" w:hAnsi="宋体" w:cs="宋体" w:eastAsia="宋体" w:hint="default"/>
                <w:spacing w:val="44"/>
                <w:sz w:val="18"/>
                <w:szCs w:val="18"/>
              </w:rPr>
              <w:t> </w:t>
            </w:r>
            <w:r>
              <w:rPr>
                <w:rFonts w:ascii="宋体" w:hAnsi="宋体" w:cs="宋体" w:eastAsia="宋体" w:hint="default"/>
                <w:position w:val="-11"/>
                <w:sz w:val="18"/>
                <w:szCs w:val="18"/>
              </w:rPr>
              <w:t>其他</w:t>
            </w:r>
            <w:r>
              <w:rPr>
                <w:rFonts w:ascii="宋体" w:hAnsi="宋体" w:cs="宋体" w:eastAsia="宋体" w:hint="default"/>
                <w:position w:val="-11"/>
                <w:sz w:val="18"/>
                <w:szCs w:val="18"/>
              </w:rPr>
              <w:t> </w:t>
            </w:r>
            <w:r>
              <w:rPr>
                <w:rFonts w:ascii="宋体" w:hAnsi="宋体" w:cs="宋体" w:eastAsia="宋体" w:hint="default"/>
                <w:sz w:val="18"/>
                <w:szCs w:val="18"/>
              </w:rPr>
              <w:t>股</w:t>
              <w:tab/>
              <w:t>债</w:t>
            </w:r>
          </w:p>
        </w:tc>
        <w:tc>
          <w:tcPr>
            <w:tcW w:w="12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6" w:right="-29"/>
              <w:jc w:val="left"/>
              <w:rPr>
                <w:rFonts w:ascii="宋体" w:hAnsi="宋体" w:cs="宋体" w:eastAsia="宋体" w:hint="default"/>
                <w:sz w:val="18"/>
                <w:szCs w:val="18"/>
              </w:rPr>
            </w:pPr>
            <w:r>
              <w:rPr>
                <w:rFonts w:ascii="宋体" w:hAnsi="宋体" w:cs="宋体" w:eastAsia="宋体" w:hint="default"/>
                <w:sz w:val="18"/>
                <w:szCs w:val="18"/>
              </w:rPr>
              <w:t>归属于母公司</w:t>
            </w:r>
          </w:p>
          <w:p>
            <w:pPr>
              <w:pStyle w:val="TableParagraph"/>
              <w:spacing w:line="244" w:lineRule="auto" w:before="58"/>
              <w:ind w:left="40" w:right="31" w:firstLine="793"/>
              <w:jc w:val="left"/>
              <w:rPr>
                <w:rFonts w:ascii="宋体" w:hAnsi="宋体" w:cs="宋体" w:eastAsia="宋体" w:hint="default"/>
                <w:sz w:val="18"/>
                <w:szCs w:val="18"/>
              </w:rPr>
            </w:pPr>
            <w:r>
              <w:rPr>
                <w:rFonts w:ascii="宋体" w:hAnsi="宋体" w:cs="宋体" w:eastAsia="宋体" w:hint="default"/>
                <w:sz w:val="18"/>
                <w:szCs w:val="18"/>
              </w:rPr>
              <w:t>减： </w:t>
            </w:r>
            <w:r>
              <w:rPr>
                <w:rFonts w:ascii="宋体" w:hAnsi="宋体" w:cs="宋体" w:eastAsia="宋体" w:hint="default"/>
                <w:sz w:val="18"/>
                <w:szCs w:val="18"/>
                <w:shd w:fill="D2D2D2" w:color="auto" w:val="clear"/>
              </w:rPr>
              <w:t>资本公积</w:t>
            </w:r>
            <w:r>
              <w:rPr>
                <w:rFonts w:ascii="宋体" w:hAnsi="宋体" w:cs="宋体" w:eastAsia="宋体" w:hint="default"/>
                <w:spacing w:val="-17"/>
                <w:sz w:val="18"/>
                <w:szCs w:val="18"/>
                <w:shd w:fill="D2D2D2" w:color="auto" w:val="clear"/>
              </w:rPr>
              <w:t> </w:t>
            </w:r>
            <w:r>
              <w:rPr>
                <w:rFonts w:ascii="宋体" w:hAnsi="宋体" w:cs="宋体" w:eastAsia="宋体" w:hint="default"/>
                <w:spacing w:val="-17"/>
                <w:sz w:val="18"/>
                <w:szCs w:val="18"/>
              </w:rPr>
            </w:r>
            <w:r>
              <w:rPr>
                <w:rFonts w:ascii="宋体" w:hAnsi="宋体" w:cs="宋体" w:eastAsia="宋体" w:hint="default"/>
                <w:sz w:val="18"/>
                <w:szCs w:val="18"/>
              </w:rPr>
              <w:t>库存</w:t>
            </w:r>
          </w:p>
          <w:p>
            <w:pPr>
              <w:pStyle w:val="TableParagraph"/>
              <w:spacing w:line="240" w:lineRule="auto" w:before="1"/>
              <w:ind w:left="924"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141"/>
              <w:ind w:right="396"/>
              <w:jc w:val="center"/>
              <w:rPr>
                <w:rFonts w:ascii="Times New Roman" w:hAnsi="Times New Roman" w:cs="Times New Roman" w:eastAsia="Times New Roman" w:hint="default"/>
                <w:sz w:val="18"/>
                <w:szCs w:val="18"/>
              </w:rPr>
            </w:pPr>
            <w:r>
              <w:rPr>
                <w:rFonts w:ascii="Times New Roman"/>
                <w:sz w:val="18"/>
              </w:rPr>
              <w:t>2,953,847</w:t>
            </w:r>
          </w:p>
          <w:p>
            <w:pPr>
              <w:pStyle w:val="TableParagraph"/>
              <w:spacing w:line="240" w:lineRule="auto" w:before="34"/>
              <w:ind w:right="216"/>
              <w:jc w:val="center"/>
              <w:rPr>
                <w:rFonts w:ascii="Times New Roman" w:hAnsi="Times New Roman" w:cs="Times New Roman" w:eastAsia="Times New Roman" w:hint="default"/>
                <w:sz w:val="18"/>
                <w:szCs w:val="18"/>
              </w:rPr>
            </w:pPr>
            <w:r>
              <w:rPr>
                <w:rFonts w:ascii="Times New Roman"/>
                <w:sz w:val="18"/>
              </w:rPr>
              <w:t>,327.45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97"/>
              <w:jc w:val="center"/>
              <w:rPr>
                <w:rFonts w:ascii="Times New Roman" w:hAnsi="Times New Roman" w:cs="Times New Roman" w:eastAsia="Times New Roman" w:hint="default"/>
                <w:sz w:val="18"/>
                <w:szCs w:val="18"/>
              </w:rPr>
            </w:pPr>
            <w:r>
              <w:rPr>
                <w:rFonts w:ascii="Times New Roman"/>
                <w:sz w:val="18"/>
              </w:rPr>
              <w:t>100,000,0</w:t>
            </w:r>
          </w:p>
        </w:tc>
        <w:tc>
          <w:tcPr>
            <w:tcW w:w="1134"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left="503"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before="15"/>
              <w:ind w:left="103" w:right="0" w:hanging="75"/>
              <w:jc w:val="left"/>
              <w:rPr>
                <w:rFonts w:ascii="宋体" w:hAnsi="宋体" w:cs="宋体" w:eastAsia="宋体" w:hint="default"/>
                <w:sz w:val="18"/>
                <w:szCs w:val="18"/>
              </w:rPr>
            </w:pPr>
            <w:r>
              <w:rPr>
                <w:rFonts w:ascii="宋体" w:hAnsi="宋体" w:cs="宋体" w:eastAsia="宋体" w:hint="default"/>
                <w:sz w:val="18"/>
                <w:szCs w:val="18"/>
              </w:rPr>
              <w:t>所有者权益</w:t>
            </w:r>
          </w:p>
          <w:p>
            <w:pPr>
              <w:pStyle w:val="TableParagraph"/>
              <w:tabs>
                <w:tab w:pos="669" w:val="left" w:leader="none"/>
              </w:tabs>
              <w:spacing w:line="298" w:lineRule="exact" w:before="58"/>
              <w:ind w:left="103" w:right="0"/>
              <w:jc w:val="left"/>
              <w:rPr>
                <w:rFonts w:ascii="宋体" w:hAnsi="宋体" w:cs="宋体" w:eastAsia="宋体" w:hint="default"/>
                <w:sz w:val="18"/>
                <w:szCs w:val="18"/>
              </w:rPr>
            </w:pPr>
            <w:r>
              <w:rPr>
                <w:rFonts w:ascii="宋体" w:hAnsi="宋体" w:cs="宋体" w:eastAsia="宋体" w:hint="default"/>
                <w:sz w:val="18"/>
                <w:szCs w:val="18"/>
              </w:rPr>
              <w:t>其他</w:t>
              <w:tab/>
            </w:r>
            <w:r>
              <w:rPr>
                <w:rFonts w:ascii="宋体" w:hAnsi="宋体" w:cs="宋体" w:eastAsia="宋体" w:hint="default"/>
                <w:position w:val="-11"/>
                <w:sz w:val="18"/>
                <w:szCs w:val="18"/>
              </w:rPr>
              <w:t>专项</w:t>
            </w:r>
            <w:r>
              <w:rPr>
                <w:rFonts w:ascii="宋体" w:hAnsi="宋体" w:cs="宋体" w:eastAsia="宋体" w:hint="default"/>
                <w:sz w:val="18"/>
                <w:szCs w:val="18"/>
              </w:rPr>
            </w:r>
          </w:p>
          <w:p>
            <w:pPr>
              <w:pStyle w:val="TableParagraph"/>
              <w:tabs>
                <w:tab w:pos="669" w:val="left" w:leader="none"/>
              </w:tabs>
              <w:spacing w:line="163" w:lineRule="auto" w:before="9"/>
              <w:ind w:left="103" w:right="102"/>
              <w:jc w:val="left"/>
              <w:rPr>
                <w:rFonts w:ascii="宋体" w:hAnsi="宋体" w:cs="宋体" w:eastAsia="宋体" w:hint="default"/>
                <w:sz w:val="18"/>
                <w:szCs w:val="18"/>
              </w:rPr>
            </w:pPr>
            <w:r>
              <w:rPr>
                <w:rFonts w:ascii="宋体" w:hAnsi="宋体" w:cs="宋体" w:eastAsia="宋体" w:hint="default"/>
                <w:sz w:val="18"/>
                <w:szCs w:val="18"/>
              </w:rPr>
              <w:t>综合</w:t>
              <w:tab/>
            </w:r>
            <w:r>
              <w:rPr>
                <w:rFonts w:ascii="宋体" w:hAnsi="宋体" w:cs="宋体" w:eastAsia="宋体" w:hint="default"/>
                <w:position w:val="-11"/>
                <w:sz w:val="18"/>
                <w:szCs w:val="18"/>
              </w:rPr>
              <w:t>储备</w:t>
            </w:r>
            <w:r>
              <w:rPr>
                <w:rFonts w:ascii="宋体" w:hAnsi="宋体" w:cs="宋体" w:eastAsia="宋体" w:hint="default"/>
                <w:position w:val="-11"/>
                <w:sz w:val="18"/>
                <w:szCs w:val="18"/>
              </w:rPr>
              <w:t> </w:t>
            </w:r>
            <w:r>
              <w:rPr>
                <w:rFonts w:ascii="宋体" w:hAnsi="宋体" w:cs="宋体" w:eastAsia="宋体" w:hint="default"/>
                <w:sz w:val="18"/>
                <w:szCs w:val="18"/>
              </w:rPr>
              <w:t>收益</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02" w:right="0"/>
              <w:jc w:val="left"/>
              <w:rPr>
                <w:rFonts w:ascii="Times New Roman" w:hAnsi="Times New Roman" w:cs="Times New Roman" w:eastAsia="Times New Roman" w:hint="default"/>
                <w:sz w:val="18"/>
                <w:szCs w:val="18"/>
              </w:rPr>
            </w:pPr>
            <w:r>
              <w:rPr>
                <w:rFonts w:ascii="Times New Roman"/>
                <w:sz w:val="18"/>
              </w:rPr>
              <w:t>30,259,05</w:t>
            </w:r>
          </w:p>
          <w:p>
            <w:pPr>
              <w:pStyle w:val="TableParagraph"/>
              <w:spacing w:line="240" w:lineRule="auto" w:before="34"/>
              <w:ind w:left="507" w:right="0"/>
              <w:jc w:val="left"/>
              <w:rPr>
                <w:rFonts w:ascii="Times New Roman" w:hAnsi="Times New Roman" w:cs="Times New Roman" w:eastAsia="Times New Roman" w:hint="default"/>
                <w:sz w:val="18"/>
                <w:szCs w:val="18"/>
              </w:rPr>
            </w:pPr>
            <w:r>
              <w:rPr>
                <w:rFonts w:ascii="Times New Roman"/>
                <w:sz w:val="18"/>
              </w:rPr>
              <w:t>0.34</w:t>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4" w:lineRule="auto"/>
              <w:ind w:left="103" w:right="102"/>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4" w:lineRule="auto"/>
              <w:ind w:left="50" w:right="25" w:hanging="24"/>
              <w:jc w:val="center"/>
              <w:rPr>
                <w:rFonts w:ascii="宋体" w:hAnsi="宋体" w:cs="宋体" w:eastAsia="宋体" w:hint="default"/>
                <w:sz w:val="18"/>
                <w:szCs w:val="18"/>
              </w:rPr>
            </w:pPr>
            <w:r>
              <w:rPr>
                <w:rFonts w:ascii="宋体" w:hAnsi="宋体" w:cs="宋体" w:eastAsia="宋体" w:hint="default"/>
                <w:sz w:val="18"/>
                <w:szCs w:val="18"/>
              </w:rPr>
              <w:t>未分配 利润</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456,904,</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107.97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-2,561,2</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4" w:lineRule="auto"/>
              <w:ind w:left="51" w:right="25" w:hanging="24"/>
              <w:jc w:val="center"/>
              <w:rPr>
                <w:rFonts w:ascii="宋体" w:hAnsi="宋体" w:cs="宋体" w:eastAsia="宋体" w:hint="default"/>
                <w:sz w:val="18"/>
                <w:szCs w:val="18"/>
              </w:rPr>
            </w:pPr>
            <w:r>
              <w:rPr>
                <w:rFonts w:ascii="宋体" w:hAnsi="宋体" w:cs="宋体" w:eastAsia="宋体" w:hint="default"/>
                <w:sz w:val="18"/>
                <w:szCs w:val="18"/>
              </w:rPr>
              <w:t>少数股 东权益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4" w:right="0"/>
              <w:jc w:val="center"/>
              <w:rPr>
                <w:rFonts w:ascii="Times New Roman" w:hAnsi="Times New Roman" w:cs="Times New Roman" w:eastAsia="Times New Roman" w:hint="default"/>
                <w:sz w:val="18"/>
                <w:szCs w:val="18"/>
              </w:rPr>
            </w:pPr>
            <w:r>
              <w:rPr>
                <w:rFonts w:ascii="Times New Roman"/>
                <w:sz w:val="18"/>
              </w:rPr>
              <w:t>109,500,</w:t>
            </w:r>
          </w:p>
          <w:p>
            <w:pPr>
              <w:pStyle w:val="TableParagraph"/>
              <w:spacing w:line="240" w:lineRule="auto" w:before="34"/>
              <w:ind w:left="160" w:right="0"/>
              <w:jc w:val="center"/>
              <w:rPr>
                <w:rFonts w:ascii="Times New Roman" w:hAnsi="Times New Roman" w:cs="Times New Roman" w:eastAsia="Times New Roman" w:hint="default"/>
                <w:sz w:val="18"/>
                <w:szCs w:val="18"/>
              </w:rPr>
            </w:pPr>
            <w:r>
              <w:rPr>
                <w:rFonts w:ascii="Times New Roman"/>
                <w:sz w:val="18"/>
              </w:rPr>
              <w:t>105.29</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 w:right="0"/>
              <w:jc w:val="center"/>
              <w:rPr>
                <w:rFonts w:ascii="Times New Roman" w:hAnsi="Times New Roman" w:cs="Times New Roman" w:eastAsia="Times New Roman" w:hint="default"/>
                <w:sz w:val="18"/>
                <w:szCs w:val="18"/>
              </w:rPr>
            </w:pPr>
            <w:r>
              <w:rPr>
                <w:rFonts w:ascii="Times New Roman"/>
                <w:sz w:val="18"/>
              </w:rPr>
              <w:t>4,041,252</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,444.05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97,438,73</w:t>
            </w:r>
          </w:p>
        </w:tc>
      </w:tr>
      <w:tr>
        <w:trPr>
          <w:trHeight w:val="273"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6" w:lineRule="exact"/>
              <w:ind w:right="328"/>
              <w:jc w:val="right"/>
              <w:rPr>
                <w:rFonts w:ascii="宋体" w:hAnsi="宋体" w:cs="宋体" w:eastAsia="宋体" w:hint="default"/>
                <w:sz w:val="18"/>
                <w:szCs w:val="18"/>
              </w:rPr>
            </w:pPr>
            <w:r>
              <w:rPr>
                <w:rFonts w:ascii="宋体" w:hAnsi="宋体" w:cs="宋体" w:eastAsia="宋体" w:hint="default"/>
                <w:sz w:val="18"/>
                <w:szCs w:val="18"/>
              </w:rPr>
              <w:t>制下企业合并</w:t>
            </w:r>
          </w:p>
        </w:tc>
        <w:tc>
          <w:tcPr>
            <w:tcW w:w="69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474"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0"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5" w:right="0"/>
              <w:jc w:val="left"/>
              <w:rPr>
                <w:rFonts w:ascii="Times New Roman" w:hAnsi="Times New Roman" w:cs="Times New Roman" w:eastAsia="Times New Roman" w:hint="default"/>
                <w:sz w:val="18"/>
                <w:szCs w:val="18"/>
              </w:rPr>
            </w:pPr>
            <w:r>
              <w:rPr>
                <w:rFonts w:ascii="Times New Roman"/>
                <w:sz w:val="18"/>
              </w:rPr>
              <w:t>60.98</w:t>
            </w:r>
          </w:p>
        </w:tc>
        <w:tc>
          <w:tcPr>
            <w:tcW w:w="709"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7" w:right="0"/>
              <w:jc w:val="left"/>
              <w:rPr>
                <w:rFonts w:ascii="Times New Roman" w:hAnsi="Times New Roman" w:cs="Times New Roman" w:eastAsia="Times New Roman" w:hint="default"/>
                <w:sz w:val="18"/>
                <w:szCs w:val="18"/>
              </w:rPr>
            </w:pPr>
            <w:r>
              <w:rPr>
                <w:rFonts w:ascii="Times New Roman"/>
                <w:sz w:val="18"/>
              </w:rPr>
              <w:t>9.02</w:t>
            </w:r>
          </w:p>
        </w:tc>
      </w:tr>
      <w:tr>
        <w:trPr>
          <w:trHeight w:val="262" w:hRule="exact"/>
        </w:trPr>
        <w:tc>
          <w:tcPr>
            <w:tcW w:w="142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6"/>
              <w:ind w:right="329"/>
              <w:jc w:val="righ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474"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r>
      <w:tr>
        <w:trPr>
          <w:trHeight w:val="2019" w:hRule="exact"/>
        </w:trPr>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 w:right="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p>
            <w:pPr>
              <w:pStyle w:val="TableParagraph"/>
              <w:spacing w:line="240" w:lineRule="auto" w:before="8"/>
              <w:ind w:right="0"/>
              <w:jc w:val="left"/>
              <w:rPr>
                <w:rFonts w:ascii="宋体" w:hAnsi="宋体" w:cs="宋体" w:eastAsia="宋体" w:hint="default"/>
                <w:sz w:val="16"/>
                <w:szCs w:val="16"/>
              </w:rPr>
            </w:pPr>
          </w:p>
          <w:p>
            <w:pPr>
              <w:pStyle w:val="TableParagraph"/>
              <w:spacing w:line="237" w:lineRule="auto"/>
              <w:ind w:left="16" w:right="27"/>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p>
            <w:pPr>
              <w:pStyle w:val="TableParagraph"/>
              <w:spacing w:line="244" w:lineRule="auto" w:before="93"/>
              <w:ind w:left="16" w:right="27"/>
              <w:jc w:val="both"/>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38" w:right="0"/>
              <w:jc w:val="center"/>
              <w:rPr>
                <w:rFonts w:ascii="Times New Roman" w:hAnsi="Times New Roman" w:cs="Times New Roman" w:eastAsia="Times New Roman" w:hint="default"/>
                <w:sz w:val="18"/>
                <w:szCs w:val="18"/>
              </w:rPr>
            </w:pPr>
            <w:r>
              <w:rPr>
                <w:rFonts w:ascii="Times New Roman"/>
                <w:sz w:val="18"/>
              </w:rPr>
              <w:t>853.00</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150" w:right="0"/>
              <w:jc w:val="center"/>
              <w:rPr>
                <w:rFonts w:ascii="Times New Roman" w:hAnsi="Times New Roman" w:cs="Times New Roman" w:eastAsia="Times New Roman" w:hint="default"/>
                <w:sz w:val="18"/>
                <w:szCs w:val="18"/>
              </w:rPr>
            </w:pPr>
            <w:r>
              <w:rPr>
                <w:rFonts w:ascii="Times New Roman"/>
                <w:spacing w:val="-3"/>
                <w:sz w:val="18"/>
              </w:rPr>
              <w:t>111.00</w:t>
            </w:r>
          </w:p>
        </w:tc>
        <w:tc>
          <w:tcPr>
            <w:tcW w:w="566"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474"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6" w:right="0"/>
              <w:jc w:val="center"/>
              <w:rPr>
                <w:rFonts w:ascii="Times New Roman" w:hAnsi="Times New Roman" w:cs="Times New Roman" w:eastAsia="Times New Roman" w:hint="default"/>
                <w:sz w:val="18"/>
                <w:szCs w:val="18"/>
              </w:rPr>
            </w:pPr>
            <w:r>
              <w:rPr>
                <w:rFonts w:ascii="Times New Roman"/>
                <w:sz w:val="18"/>
              </w:rPr>
              <w:t>3,053,847</w:t>
            </w:r>
          </w:p>
          <w:p>
            <w:pPr>
              <w:pStyle w:val="TableParagraph"/>
              <w:spacing w:line="240" w:lineRule="auto" w:before="34"/>
              <w:ind w:left="206" w:right="0"/>
              <w:jc w:val="center"/>
              <w:rPr>
                <w:rFonts w:ascii="Times New Roman" w:hAnsi="Times New Roman" w:cs="Times New Roman" w:eastAsia="Times New Roman" w:hint="default"/>
                <w:sz w:val="18"/>
                <w:szCs w:val="18"/>
              </w:rPr>
            </w:pPr>
            <w:r>
              <w:rPr>
                <w:rFonts w:ascii="Times New Roman"/>
                <w:sz w:val="18"/>
              </w:rPr>
              <w:t>,327.45</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-408,880,</w:t>
            </w:r>
          </w:p>
          <w:p>
            <w:pPr>
              <w:pStyle w:val="TableParagraph"/>
              <w:spacing w:line="240" w:lineRule="auto" w:before="34"/>
              <w:ind w:left="252" w:right="0"/>
              <w:jc w:val="center"/>
              <w:rPr>
                <w:rFonts w:ascii="Times New Roman" w:hAnsi="Times New Roman" w:cs="Times New Roman" w:eastAsia="Times New Roman" w:hint="default"/>
                <w:sz w:val="18"/>
                <w:szCs w:val="18"/>
              </w:rPr>
            </w:pPr>
            <w:r>
              <w:rPr>
                <w:rFonts w:ascii="Times New Roman"/>
                <w:sz w:val="18"/>
              </w:rPr>
              <w:t>652.29</w:t>
            </w:r>
          </w:p>
        </w:tc>
        <w:tc>
          <w:tcPr>
            <w:tcW w:w="425"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z w:val="18"/>
              </w:rPr>
              <w:t>30,259,05</w:t>
            </w:r>
          </w:p>
          <w:p>
            <w:pPr>
              <w:pStyle w:val="TableParagraph"/>
              <w:spacing w:line="240" w:lineRule="auto" w:before="34"/>
              <w:ind w:right="24"/>
              <w:jc w:val="right"/>
              <w:rPr>
                <w:rFonts w:ascii="Times New Roman" w:hAnsi="Times New Roman" w:cs="Times New Roman" w:eastAsia="Times New Roman" w:hint="default"/>
                <w:sz w:val="18"/>
                <w:szCs w:val="18"/>
              </w:rPr>
            </w:pPr>
            <w:r>
              <w:rPr>
                <w:rFonts w:ascii="Times New Roman"/>
                <w:sz w:val="18"/>
              </w:rPr>
              <w:t>0.34</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3,320,121.</w:t>
            </w:r>
          </w:p>
          <w:p>
            <w:pPr>
              <w:pStyle w:val="TableParagraph"/>
              <w:spacing w:line="240" w:lineRule="auto" w:before="34"/>
              <w:ind w:right="25"/>
              <w:jc w:val="right"/>
              <w:rPr>
                <w:rFonts w:ascii="Times New Roman" w:hAnsi="Times New Roman" w:cs="Times New Roman" w:eastAsia="Times New Roman" w:hint="default"/>
                <w:sz w:val="18"/>
                <w:szCs w:val="18"/>
              </w:rPr>
            </w:pPr>
            <w:r>
              <w:rPr>
                <w:rFonts w:ascii="Times New Roman"/>
                <w:sz w:val="18"/>
              </w:rPr>
              <w:t>32</w:t>
            </w:r>
          </w:p>
        </w:tc>
        <w:tc>
          <w:tcPr>
            <w:tcW w:w="568"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3" w:right="0"/>
              <w:jc w:val="center"/>
              <w:rPr>
                <w:rFonts w:ascii="Times New Roman" w:hAnsi="Times New Roman" w:cs="Times New Roman" w:eastAsia="Times New Roman" w:hint="default"/>
                <w:sz w:val="18"/>
                <w:szCs w:val="18"/>
              </w:rPr>
            </w:pPr>
            <w:r>
              <w:rPr>
                <w:rFonts w:ascii="Times New Roman"/>
                <w:sz w:val="18"/>
              </w:rPr>
              <w:t>454,342,</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846.99</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263,185,</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832.42</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291,043,</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046.39</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4" w:right="0"/>
              <w:jc w:val="center"/>
              <w:rPr>
                <w:rFonts w:ascii="Times New Roman" w:hAnsi="Times New Roman" w:cs="Times New Roman" w:eastAsia="Times New Roman" w:hint="default"/>
                <w:sz w:val="18"/>
                <w:szCs w:val="18"/>
              </w:rPr>
            </w:pPr>
            <w:r>
              <w:rPr>
                <w:rFonts w:ascii="Times New Roman"/>
                <w:sz w:val="18"/>
              </w:rPr>
              <w:t>109,500,</w:t>
            </w:r>
          </w:p>
          <w:p>
            <w:pPr>
              <w:pStyle w:val="TableParagraph"/>
              <w:spacing w:line="240" w:lineRule="auto" w:before="34"/>
              <w:ind w:left="160" w:right="0"/>
              <w:jc w:val="center"/>
              <w:rPr>
                <w:rFonts w:ascii="Times New Roman" w:hAnsi="Times New Roman" w:cs="Times New Roman" w:eastAsia="Times New Roman" w:hint="default"/>
                <w:sz w:val="18"/>
                <w:szCs w:val="18"/>
              </w:rPr>
            </w:pPr>
            <w:r>
              <w:rPr>
                <w:rFonts w:ascii="Times New Roman"/>
                <w:sz w:val="18"/>
              </w:rPr>
              <w:t>105.29</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43,592,6</w:t>
            </w:r>
          </w:p>
          <w:p>
            <w:pPr>
              <w:pStyle w:val="TableParagraph"/>
              <w:spacing w:line="240" w:lineRule="auto" w:before="34"/>
              <w:ind w:left="277" w:right="0"/>
              <w:jc w:val="left"/>
              <w:rPr>
                <w:rFonts w:ascii="Times New Roman" w:hAnsi="Times New Roman" w:cs="Times New Roman" w:eastAsia="Times New Roman" w:hint="default"/>
                <w:sz w:val="18"/>
                <w:szCs w:val="18"/>
              </w:rPr>
            </w:pPr>
            <w:r>
              <w:rPr>
                <w:rFonts w:ascii="Times New Roman"/>
                <w:sz w:val="18"/>
              </w:rPr>
              <w:t>84.17</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23,790,0</w:t>
            </w:r>
          </w:p>
          <w:p>
            <w:pPr>
              <w:pStyle w:val="TableParagraph"/>
              <w:spacing w:line="240" w:lineRule="auto" w:before="34"/>
              <w:ind w:left="277" w:right="0"/>
              <w:jc w:val="left"/>
              <w:rPr>
                <w:rFonts w:ascii="Times New Roman" w:hAnsi="Times New Roman" w:cs="Times New Roman" w:eastAsia="Times New Roman" w:hint="default"/>
                <w:sz w:val="18"/>
                <w:szCs w:val="18"/>
              </w:rPr>
            </w:pPr>
            <w:r>
              <w:rPr>
                <w:rFonts w:ascii="Times New Roman"/>
                <w:sz w:val="18"/>
              </w:rPr>
              <w:t>92.58</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sz w:val="18"/>
              </w:rPr>
              <w:t>4,138,691</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,183.07</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195,663,0</w:t>
            </w:r>
          </w:p>
          <w:p>
            <w:pPr>
              <w:pStyle w:val="TableParagraph"/>
              <w:spacing w:line="240" w:lineRule="auto" w:before="34"/>
              <w:ind w:left="320" w:right="0"/>
              <w:jc w:val="center"/>
              <w:rPr>
                <w:rFonts w:ascii="Times New Roman" w:hAnsi="Times New Roman" w:cs="Times New Roman" w:eastAsia="Times New Roman" w:hint="default"/>
                <w:sz w:val="18"/>
                <w:szCs w:val="18"/>
              </w:rPr>
            </w:pPr>
            <w:r>
              <w:rPr>
                <w:rFonts w:ascii="Times New Roman"/>
                <w:sz w:val="18"/>
              </w:rPr>
              <w:t>96.62</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314,833,1</w:t>
            </w:r>
          </w:p>
          <w:p>
            <w:pPr>
              <w:pStyle w:val="TableParagraph"/>
              <w:spacing w:line="240" w:lineRule="auto" w:before="34"/>
              <w:ind w:left="320" w:right="0"/>
              <w:jc w:val="center"/>
              <w:rPr>
                <w:rFonts w:ascii="Times New Roman" w:hAnsi="Times New Roman" w:cs="Times New Roman" w:eastAsia="Times New Roman" w:hint="default"/>
                <w:sz w:val="18"/>
                <w:szCs w:val="18"/>
              </w:rPr>
            </w:pPr>
            <w:r>
              <w:rPr>
                <w:rFonts w:ascii="Times New Roman"/>
                <w:sz w:val="18"/>
              </w:rPr>
              <w:t>38.97</w:t>
            </w:r>
          </w:p>
        </w:tc>
      </w:tr>
    </w:tbl>
    <w:p>
      <w:pPr>
        <w:spacing w:after="0" w:line="240" w:lineRule="auto"/>
        <w:jc w:val="center"/>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438"/>
        <w:gridCol w:w="690"/>
        <w:gridCol w:w="566"/>
        <w:gridCol w:w="425"/>
        <w:gridCol w:w="474"/>
        <w:gridCol w:w="803"/>
        <w:gridCol w:w="425"/>
        <w:gridCol w:w="566"/>
        <w:gridCol w:w="568"/>
        <w:gridCol w:w="850"/>
        <w:gridCol w:w="568"/>
        <w:gridCol w:w="708"/>
        <w:gridCol w:w="709"/>
        <w:gridCol w:w="781"/>
      </w:tblGrid>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22,638,1</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03.32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22,638,10</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3.32</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19,047,7</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19,047,70</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3,590,40</w:t>
            </w:r>
          </w:p>
          <w:p>
            <w:pPr>
              <w:pStyle w:val="TableParagraph"/>
              <w:spacing w:line="240" w:lineRule="auto" w:before="34"/>
              <w:ind w:left="362" w:right="0"/>
              <w:jc w:val="left"/>
              <w:rPr>
                <w:rFonts w:ascii="Times New Roman" w:hAnsi="Times New Roman" w:cs="Times New Roman" w:eastAsia="Times New Roman" w:hint="default"/>
                <w:sz w:val="18"/>
                <w:szCs w:val="18"/>
              </w:rPr>
            </w:pPr>
            <w:r>
              <w:rPr>
                <w:rFonts w:ascii="Times New Roman"/>
                <w:sz w:val="18"/>
              </w:rPr>
              <w:t>3.32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3,590,403</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.32</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3,320,121.</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32</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-27,857,</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213.97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 w:right="0"/>
              <w:jc w:val="center"/>
              <w:rPr>
                <w:rFonts w:ascii="Times New Roman" w:hAnsi="Times New Roman" w:cs="Times New Roman" w:eastAsia="Times New Roman" w:hint="default"/>
                <w:sz w:val="18"/>
                <w:szCs w:val="18"/>
              </w:rPr>
            </w:pPr>
            <w:r>
              <w:rPr>
                <w:rFonts w:ascii="Times New Roman"/>
                <w:sz w:val="18"/>
              </w:rPr>
              <w:t>-1,237,1</w:t>
            </w:r>
          </w:p>
          <w:p>
            <w:pPr>
              <w:pStyle w:val="TableParagraph"/>
              <w:spacing w:line="240" w:lineRule="auto" w:before="34"/>
              <w:ind w:left="250" w:right="0"/>
              <w:jc w:val="center"/>
              <w:rPr>
                <w:rFonts w:ascii="Times New Roman" w:hAnsi="Times New Roman" w:cs="Times New Roman" w:eastAsia="Times New Roman" w:hint="default"/>
                <w:sz w:val="18"/>
                <w:szCs w:val="18"/>
              </w:rPr>
            </w:pPr>
            <w:r>
              <w:rPr>
                <w:rFonts w:ascii="Times New Roman"/>
                <w:sz w:val="18"/>
              </w:rPr>
              <w:t>62.72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-25,774,2</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55.37</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3,320,121.</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32</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-3,320,1</w:t>
            </w:r>
          </w:p>
          <w:p>
            <w:pPr>
              <w:pStyle w:val="TableParagraph"/>
              <w:spacing w:line="240" w:lineRule="auto" w:before="34"/>
              <w:ind w:left="249" w:right="0"/>
              <w:jc w:val="center"/>
              <w:rPr>
                <w:rFonts w:ascii="Times New Roman" w:hAnsi="Times New Roman" w:cs="Times New Roman" w:eastAsia="Times New Roman" w:hint="default"/>
                <w:sz w:val="18"/>
                <w:szCs w:val="18"/>
              </w:rPr>
            </w:pPr>
            <w:r>
              <w:rPr>
                <w:rFonts w:ascii="Times New Roman"/>
                <w:sz w:val="18"/>
              </w:rPr>
              <w:t>21.32</w:t>
            </w: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-24,537,</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092.65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 w:right="0"/>
              <w:jc w:val="center"/>
              <w:rPr>
                <w:rFonts w:ascii="Times New Roman" w:hAnsi="Times New Roman" w:cs="Times New Roman" w:eastAsia="Times New Roman" w:hint="default"/>
                <w:sz w:val="18"/>
                <w:szCs w:val="18"/>
              </w:rPr>
            </w:pPr>
            <w:r>
              <w:rPr>
                <w:rFonts w:ascii="Times New Roman"/>
                <w:sz w:val="18"/>
              </w:rPr>
              <w:t>-1,237,1</w:t>
            </w:r>
          </w:p>
          <w:p>
            <w:pPr>
              <w:pStyle w:val="TableParagraph"/>
              <w:spacing w:line="240" w:lineRule="auto" w:before="34"/>
              <w:ind w:left="250" w:right="0"/>
              <w:jc w:val="center"/>
              <w:rPr>
                <w:rFonts w:ascii="Times New Roman" w:hAnsi="Times New Roman" w:cs="Times New Roman" w:eastAsia="Times New Roman" w:hint="default"/>
                <w:sz w:val="18"/>
                <w:szCs w:val="18"/>
              </w:rPr>
            </w:pPr>
            <w:r>
              <w:rPr>
                <w:rFonts w:ascii="Times New Roman"/>
                <w:sz w:val="18"/>
              </w:rPr>
              <w:t>62.72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-25,774,2</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55.37</w:t>
            </w: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150" w:right="0"/>
              <w:jc w:val="center"/>
              <w:rPr>
                <w:rFonts w:ascii="Times New Roman" w:hAnsi="Times New Roman" w:cs="Times New Roman" w:eastAsia="Times New Roman" w:hint="default"/>
                <w:sz w:val="18"/>
                <w:szCs w:val="18"/>
              </w:rPr>
            </w:pPr>
            <w:r>
              <w:rPr>
                <w:rFonts w:ascii="Times New Roman"/>
                <w:spacing w:val="-3"/>
                <w:sz w:val="18"/>
              </w:rPr>
              <w:t>111.00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 w:right="0"/>
              <w:jc w:val="center"/>
              <w:rPr>
                <w:rFonts w:ascii="Times New Roman" w:hAnsi="Times New Roman" w:cs="Times New Roman" w:eastAsia="Times New Roman" w:hint="default"/>
                <w:sz w:val="18"/>
                <w:szCs w:val="18"/>
              </w:rPr>
            </w:pPr>
            <w:r>
              <w:rPr>
                <w:rFonts w:ascii="Times New Roman"/>
                <w:sz w:val="18"/>
              </w:rPr>
              <w:t>-408,880,</w:t>
            </w:r>
          </w:p>
          <w:p>
            <w:pPr>
              <w:pStyle w:val="TableParagraph"/>
              <w:spacing w:line="240" w:lineRule="auto" w:before="34"/>
              <w:ind w:left="252" w:right="0"/>
              <w:jc w:val="center"/>
              <w:rPr>
                <w:rFonts w:ascii="Times New Roman" w:hAnsi="Times New Roman" w:cs="Times New Roman" w:eastAsia="Times New Roman" w:hint="default"/>
                <w:sz w:val="18"/>
                <w:szCs w:val="18"/>
              </w:rPr>
            </w:pPr>
            <w:r>
              <w:rPr>
                <w:rFonts w:ascii="Times New Roman"/>
                <w:sz w:val="18"/>
              </w:rPr>
              <w:t>652.29</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 w:right="0"/>
              <w:jc w:val="center"/>
              <w:rPr>
                <w:rFonts w:ascii="Times New Roman" w:hAnsi="Times New Roman" w:cs="Times New Roman" w:eastAsia="Times New Roman" w:hint="default"/>
                <w:sz w:val="18"/>
                <w:szCs w:val="18"/>
              </w:rPr>
            </w:pPr>
            <w:r>
              <w:rPr>
                <w:rFonts w:ascii="Times New Roman"/>
                <w:sz w:val="18"/>
              </w:rPr>
              <w:t>-1,598,3</w:t>
            </w:r>
          </w:p>
          <w:p>
            <w:pPr>
              <w:pStyle w:val="TableParagraph"/>
              <w:spacing w:line="240" w:lineRule="auto" w:before="34"/>
              <w:ind w:left="250" w:right="0"/>
              <w:jc w:val="center"/>
              <w:rPr>
                <w:rFonts w:ascii="Times New Roman" w:hAnsi="Times New Roman" w:cs="Times New Roman" w:eastAsia="Times New Roman" w:hint="default"/>
                <w:sz w:val="18"/>
                <w:szCs w:val="18"/>
              </w:rPr>
            </w:pPr>
            <w:r>
              <w:rPr>
                <w:rFonts w:ascii="Times New Roman"/>
                <w:sz w:val="18"/>
              </w:rPr>
              <w:t>49.01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1" w:right="0"/>
              <w:jc w:val="center"/>
              <w:rPr>
                <w:rFonts w:ascii="Times New Roman" w:hAnsi="Times New Roman" w:cs="Times New Roman" w:eastAsia="Times New Roman" w:hint="default"/>
                <w:sz w:val="18"/>
                <w:szCs w:val="18"/>
              </w:rPr>
            </w:pPr>
            <w:r>
              <w:rPr>
                <w:rFonts w:ascii="Times New Roman"/>
                <w:sz w:val="18"/>
              </w:rPr>
              <w:t>-116,033,</w:t>
            </w:r>
          </w:p>
          <w:p>
            <w:pPr>
              <w:pStyle w:val="TableParagraph"/>
              <w:spacing w:line="240" w:lineRule="auto" w:before="34"/>
              <w:ind w:left="230" w:right="0"/>
              <w:jc w:val="center"/>
              <w:rPr>
                <w:rFonts w:ascii="Times New Roman" w:hAnsi="Times New Roman" w:cs="Times New Roman" w:eastAsia="Times New Roman" w:hint="default"/>
                <w:sz w:val="18"/>
                <w:szCs w:val="18"/>
              </w:rPr>
            </w:pPr>
            <w:r>
              <w:rPr>
                <w:rFonts w:ascii="Times New Roman"/>
                <w:sz w:val="18"/>
              </w:rPr>
              <w:t>890.30</w:t>
            </w: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150" w:right="0"/>
              <w:jc w:val="center"/>
              <w:rPr>
                <w:rFonts w:ascii="Times New Roman" w:hAnsi="Times New Roman" w:cs="Times New Roman" w:eastAsia="Times New Roman" w:hint="default"/>
                <w:sz w:val="18"/>
                <w:szCs w:val="18"/>
              </w:rPr>
            </w:pPr>
            <w:r>
              <w:rPr>
                <w:rFonts w:ascii="Times New Roman"/>
                <w:spacing w:val="-3"/>
                <w:sz w:val="18"/>
              </w:rPr>
              <w:t>111.00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9" w:right="0"/>
              <w:jc w:val="left"/>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288" w:right="0"/>
              <w:jc w:val="left"/>
              <w:rPr>
                <w:rFonts w:ascii="Times New Roman" w:hAnsi="Times New Roman" w:cs="Times New Roman" w:eastAsia="Times New Roman" w:hint="default"/>
                <w:sz w:val="18"/>
                <w:szCs w:val="18"/>
              </w:rPr>
            </w:pPr>
            <w:r>
              <w:rPr>
                <w:rFonts w:ascii="Times New Roman"/>
                <w:spacing w:val="-3"/>
                <w:sz w:val="18"/>
              </w:rPr>
              <w:t>111.00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 w:right="0"/>
              <w:jc w:val="center"/>
              <w:rPr>
                <w:rFonts w:ascii="Times New Roman" w:hAnsi="Times New Roman" w:cs="Times New Roman" w:eastAsia="Times New Roman" w:hint="default"/>
                <w:sz w:val="18"/>
                <w:szCs w:val="18"/>
              </w:rPr>
            </w:pPr>
            <w:r>
              <w:rPr>
                <w:rFonts w:ascii="Times New Roman"/>
                <w:sz w:val="18"/>
              </w:rPr>
              <w:t>-114,435,</w:t>
            </w:r>
          </w:p>
          <w:p>
            <w:pPr>
              <w:pStyle w:val="TableParagraph"/>
              <w:spacing w:line="240" w:lineRule="auto" w:before="34"/>
              <w:ind w:left="252" w:right="0"/>
              <w:jc w:val="center"/>
              <w:rPr>
                <w:rFonts w:ascii="Times New Roman" w:hAnsi="Times New Roman" w:cs="Times New Roman" w:eastAsia="Times New Roman" w:hint="default"/>
                <w:sz w:val="18"/>
                <w:szCs w:val="18"/>
              </w:rPr>
            </w:pPr>
            <w:r>
              <w:rPr>
                <w:rFonts w:ascii="Times New Roman"/>
                <w:sz w:val="18"/>
              </w:rPr>
              <w:t>541.29</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 w:right="0"/>
              <w:jc w:val="center"/>
              <w:rPr>
                <w:rFonts w:ascii="Times New Roman" w:hAnsi="Times New Roman" w:cs="Times New Roman" w:eastAsia="Times New Roman" w:hint="default"/>
                <w:sz w:val="18"/>
                <w:szCs w:val="18"/>
              </w:rPr>
            </w:pPr>
            <w:r>
              <w:rPr>
                <w:rFonts w:ascii="Times New Roman"/>
                <w:sz w:val="18"/>
              </w:rPr>
              <w:t>-1,598,3</w:t>
            </w:r>
          </w:p>
          <w:p>
            <w:pPr>
              <w:pStyle w:val="TableParagraph"/>
              <w:spacing w:line="240" w:lineRule="auto" w:before="34"/>
              <w:ind w:left="250" w:right="0"/>
              <w:jc w:val="center"/>
              <w:rPr>
                <w:rFonts w:ascii="Times New Roman" w:hAnsi="Times New Roman" w:cs="Times New Roman" w:eastAsia="Times New Roman" w:hint="default"/>
                <w:sz w:val="18"/>
                <w:szCs w:val="18"/>
              </w:rPr>
            </w:pPr>
            <w:r>
              <w:rPr>
                <w:rFonts w:ascii="Times New Roman"/>
                <w:sz w:val="18"/>
              </w:rPr>
              <w:t>49.01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1" w:right="0"/>
              <w:jc w:val="center"/>
              <w:rPr>
                <w:rFonts w:ascii="Times New Roman" w:hAnsi="Times New Roman" w:cs="Times New Roman" w:eastAsia="Times New Roman" w:hint="default"/>
                <w:sz w:val="18"/>
                <w:szCs w:val="18"/>
              </w:rPr>
            </w:pPr>
            <w:r>
              <w:rPr>
                <w:rFonts w:ascii="Times New Roman"/>
                <w:sz w:val="18"/>
              </w:rPr>
              <w:t>-116,033,</w:t>
            </w:r>
          </w:p>
          <w:p>
            <w:pPr>
              <w:pStyle w:val="TableParagraph"/>
              <w:spacing w:line="240" w:lineRule="auto" w:before="34"/>
              <w:ind w:left="230" w:right="0"/>
              <w:jc w:val="center"/>
              <w:rPr>
                <w:rFonts w:ascii="Times New Roman" w:hAnsi="Times New Roman" w:cs="Times New Roman" w:eastAsia="Times New Roman" w:hint="default"/>
                <w:sz w:val="18"/>
                <w:szCs w:val="18"/>
              </w:rPr>
            </w:pPr>
            <w:r>
              <w:rPr>
                <w:rFonts w:ascii="Times New Roman"/>
                <w:sz w:val="18"/>
              </w:rPr>
              <w:t>890.30</w:t>
            </w: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785,186,</w:t>
            </w:r>
          </w:p>
          <w:p>
            <w:pPr>
              <w:pStyle w:val="TableParagraph"/>
              <w:spacing w:line="240" w:lineRule="auto" w:before="34"/>
              <w:ind w:left="138" w:right="0"/>
              <w:jc w:val="center"/>
              <w:rPr>
                <w:rFonts w:ascii="Times New Roman" w:hAnsi="Times New Roman" w:cs="Times New Roman" w:eastAsia="Times New Roman" w:hint="default"/>
                <w:sz w:val="18"/>
                <w:szCs w:val="18"/>
              </w:rPr>
            </w:pPr>
            <w:r>
              <w:rPr>
                <w:rFonts w:ascii="Times New Roman"/>
                <w:sz w:val="18"/>
              </w:rPr>
              <w:t>964.00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center"/>
              <w:rPr>
                <w:rFonts w:ascii="Times New Roman" w:hAnsi="Times New Roman" w:cs="Times New Roman" w:eastAsia="Times New Roman" w:hint="default"/>
                <w:sz w:val="18"/>
                <w:szCs w:val="18"/>
              </w:rPr>
            </w:pPr>
            <w:r>
              <w:rPr>
                <w:rFonts w:ascii="Times New Roman"/>
                <w:sz w:val="18"/>
              </w:rPr>
              <w:t>2,644,966</w:t>
            </w:r>
          </w:p>
          <w:p>
            <w:pPr>
              <w:pStyle w:val="TableParagraph"/>
              <w:spacing w:line="240" w:lineRule="auto" w:before="34"/>
              <w:ind w:left="206" w:right="0"/>
              <w:jc w:val="center"/>
              <w:rPr>
                <w:rFonts w:ascii="Times New Roman" w:hAnsi="Times New Roman" w:cs="Times New Roman" w:eastAsia="Times New Roman" w:hint="default"/>
                <w:sz w:val="18"/>
                <w:szCs w:val="18"/>
              </w:rPr>
            </w:pPr>
            <w:r>
              <w:rPr>
                <w:rFonts w:ascii="Times New Roman"/>
                <w:sz w:val="18"/>
              </w:rPr>
              <w:t>,675.16</w:t>
            </w: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7" w:right="0"/>
              <w:jc w:val="left"/>
              <w:rPr>
                <w:rFonts w:ascii="Times New Roman" w:hAnsi="Times New Roman" w:cs="Times New Roman" w:eastAsia="Times New Roman" w:hint="default"/>
                <w:sz w:val="18"/>
                <w:szCs w:val="18"/>
              </w:rPr>
            </w:pPr>
            <w:r>
              <w:rPr>
                <w:rFonts w:ascii="Times New Roman"/>
                <w:sz w:val="18"/>
              </w:rPr>
              <w:t>33,579,17</w:t>
            </w:r>
          </w:p>
          <w:p>
            <w:pPr>
              <w:pStyle w:val="TableParagraph"/>
              <w:spacing w:line="240" w:lineRule="auto" w:before="34"/>
              <w:ind w:left="502" w:right="0"/>
              <w:jc w:val="left"/>
              <w:rPr>
                <w:rFonts w:ascii="Times New Roman" w:hAnsi="Times New Roman" w:cs="Times New Roman" w:eastAsia="Times New Roman" w:hint="default"/>
                <w:sz w:val="18"/>
                <w:szCs w:val="18"/>
              </w:rPr>
            </w:pPr>
            <w:r>
              <w:rPr>
                <w:rFonts w:ascii="Times New Roman"/>
                <w:sz w:val="18"/>
              </w:rPr>
              <w:t>1.66</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717,528,</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679.41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center"/>
              <w:rPr>
                <w:rFonts w:ascii="Times New Roman" w:hAnsi="Times New Roman" w:cs="Times New Roman" w:eastAsia="Times New Roman" w:hint="default"/>
                <w:sz w:val="18"/>
                <w:szCs w:val="18"/>
              </w:rPr>
            </w:pPr>
            <w:r>
              <w:rPr>
                <w:rFonts w:ascii="Times New Roman"/>
                <w:sz w:val="18"/>
              </w:rPr>
              <w:t>153,092,</w:t>
            </w:r>
          </w:p>
          <w:p>
            <w:pPr>
              <w:pStyle w:val="TableParagraph"/>
              <w:spacing w:line="240" w:lineRule="auto" w:before="34"/>
              <w:ind w:left="160" w:right="0"/>
              <w:jc w:val="center"/>
              <w:rPr>
                <w:rFonts w:ascii="Times New Roman" w:hAnsi="Times New Roman" w:cs="Times New Roman" w:eastAsia="Times New Roman" w:hint="default"/>
                <w:sz w:val="18"/>
                <w:szCs w:val="18"/>
              </w:rPr>
            </w:pPr>
            <w:r>
              <w:rPr>
                <w:rFonts w:ascii="Times New Roman"/>
                <w:sz w:val="18"/>
              </w:rPr>
              <w:t>789.46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4,334,354</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,279.69</w:t>
            </w:r>
          </w:p>
        </w:tc>
      </w:tr>
    </w:tbl>
    <w:p>
      <w:pPr>
        <w:pStyle w:val="BodyText"/>
        <w:spacing w:line="240" w:lineRule="auto" w:before="51"/>
        <w:ind w:left="17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57" w:type="dxa"/>
        <w:tblLayout w:type="fixed"/>
        <w:tblCellMar>
          <w:top w:w="0" w:type="dxa"/>
          <w:left w:w="0" w:type="dxa"/>
          <w:bottom w:w="0" w:type="dxa"/>
          <w:right w:w="0" w:type="dxa"/>
        </w:tblCellMar>
        <w:tblLook w:val="01E0"/>
      </w:tblPr>
      <w:tblGrid>
        <w:gridCol w:w="1449"/>
        <w:gridCol w:w="679"/>
        <w:gridCol w:w="566"/>
        <w:gridCol w:w="425"/>
        <w:gridCol w:w="425"/>
        <w:gridCol w:w="852"/>
        <w:gridCol w:w="526"/>
        <w:gridCol w:w="665"/>
        <w:gridCol w:w="510"/>
        <w:gridCol w:w="708"/>
        <w:gridCol w:w="568"/>
        <w:gridCol w:w="708"/>
        <w:gridCol w:w="709"/>
        <w:gridCol w:w="780"/>
      </w:tblGrid>
      <w:tr>
        <w:trPr>
          <w:trHeight w:val="290"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9"/>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9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6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17" w:lineRule="exact"/>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79"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6"/>
              <w:ind w:left="98" w:right="9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5"/>
              <w:ind w:left="80"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5"/>
              <w:ind w:left="113"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12" w:hRule="exact"/>
        </w:trPr>
        <w:tc>
          <w:tcPr>
            <w:tcW w:w="1449" w:type="dxa"/>
            <w:vMerge/>
            <w:tcBorders>
              <w:left w:val="single" w:sz="4" w:space="0" w:color="000000"/>
              <w:bottom w:val="single" w:sz="18" w:space="0" w:color="FFFFFF"/>
              <w:right w:val="single" w:sz="4" w:space="0" w:color="000000"/>
            </w:tcBorders>
            <w:shd w:val="clear" w:color="auto" w:fill="D2D2D2"/>
          </w:tcPr>
          <w:p>
            <w:pPr/>
          </w:p>
        </w:tc>
        <w:tc>
          <w:tcPr>
            <w:tcW w:w="679" w:type="dxa"/>
            <w:vMerge/>
            <w:tcBorders>
              <w:left w:val="single" w:sz="4" w:space="0" w:color="000000"/>
              <w:bottom w:val="single" w:sz="18" w:space="0" w:color="FFFFFF"/>
              <w:right w:val="single" w:sz="4" w:space="0" w:color="000000"/>
            </w:tcBorders>
            <w:shd w:val="clear" w:color="auto" w:fill="D2D2D2"/>
          </w:tcPr>
          <w:p>
            <w:pPr/>
          </w:p>
        </w:tc>
        <w:tc>
          <w:tcPr>
            <w:tcW w:w="1416" w:type="dxa"/>
            <w:gridSpan w:val="3"/>
            <w:vMerge/>
            <w:tcBorders>
              <w:left w:val="single" w:sz="4" w:space="0" w:color="000000"/>
              <w:bottom w:val="single" w:sz="18" w:space="0" w:color="FFFFFF"/>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526"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auto" w:before="1"/>
              <w:ind w:left="78" w:right="20"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auto" w:before="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10"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auto" w:before="1"/>
              <w:ind w:left="69" w:right="6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ind w:left="167" w:right="16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68"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auto" w:before="1"/>
              <w:ind w:left="169" w:right="7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9"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93" w:hRule="exact"/>
        </w:trPr>
        <w:tc>
          <w:tcPr>
            <w:tcW w:w="1449" w:type="dxa"/>
            <w:vMerge w:val="restart"/>
            <w:tcBorders>
              <w:top w:val="single" w:sz="18" w:space="0" w:color="FFFFFF"/>
              <w:left w:val="single" w:sz="4" w:space="0" w:color="000000"/>
              <w:right w:val="single" w:sz="4" w:space="0" w:color="000000"/>
            </w:tcBorders>
            <w:shd w:val="clear" w:color="auto" w:fill="D2D2D2"/>
          </w:tcPr>
          <w:p>
            <w:pPr/>
          </w:p>
        </w:tc>
        <w:tc>
          <w:tcPr>
            <w:tcW w:w="679" w:type="dxa"/>
            <w:vMerge w:val="restart"/>
            <w:tcBorders>
              <w:top w:val="single" w:sz="18" w:space="0" w:color="FFFFFF"/>
              <w:left w:val="single" w:sz="4" w:space="0" w:color="000000"/>
              <w:right w:val="single" w:sz="4" w:space="0" w:color="000000"/>
            </w:tcBorders>
            <w:shd w:val="clear" w:color="auto" w:fill="D2D2D2"/>
          </w:tcPr>
          <w:p>
            <w:pPr>
              <w:pStyle w:val="TableParagraph"/>
              <w:spacing w:line="222" w:lineRule="exact"/>
              <w:ind w:left="14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18" w:space="0" w:color="FFFFFF"/>
              <w:left w:val="single" w:sz="4" w:space="0" w:color="000000"/>
              <w:right w:val="single" w:sz="4" w:space="0" w:color="000000"/>
            </w:tcBorders>
            <w:shd w:val="clear" w:color="auto" w:fill="D2D2D2"/>
          </w:tcPr>
          <w:p>
            <w:pPr>
              <w:pStyle w:val="TableParagraph"/>
              <w:spacing w:line="242" w:lineRule="auto" w:before="11"/>
              <w:ind w:left="188"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18" w:space="0" w:color="FFFFFF"/>
              <w:left w:val="single" w:sz="4" w:space="0" w:color="000000"/>
              <w:right w:val="single" w:sz="4" w:space="0" w:color="000000"/>
            </w:tcBorders>
            <w:shd w:val="clear" w:color="auto" w:fill="D2D2D2"/>
          </w:tcPr>
          <w:p>
            <w:pPr>
              <w:pStyle w:val="TableParagraph"/>
              <w:spacing w:line="242" w:lineRule="auto" w:before="11"/>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18" w:space="0" w:color="FFFFFF"/>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23" w:space="0" w:color="D2D2D2"/>
              <w:right w:val="single" w:sz="9" w:space="0" w:color="D2D2D2"/>
            </w:tcBorders>
          </w:tcPr>
          <w:p>
            <w:pPr>
              <w:pStyle w:val="TableParagraph"/>
              <w:spacing w:line="222" w:lineRule="exact"/>
              <w:ind w:left="3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52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5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4" w:hRule="exact"/>
        </w:trPr>
        <w:tc>
          <w:tcPr>
            <w:tcW w:w="1449" w:type="dxa"/>
            <w:vMerge/>
            <w:tcBorders>
              <w:left w:val="single" w:sz="4" w:space="0" w:color="000000"/>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tcBorders>
              <w:left w:val="single" w:sz="23" w:space="0" w:color="D2D2D2"/>
              <w:bottom w:val="nil" w:sz="6" w:space="0" w:color="auto"/>
              <w:right w:val="single" w:sz="9" w:space="0" w:color="D2D2D2"/>
            </w:tcBorders>
          </w:tcPr>
          <w:p>
            <w:pPr/>
          </w:p>
        </w:tc>
        <w:tc>
          <w:tcPr>
            <w:tcW w:w="52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5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449" w:type="dxa"/>
            <w:vMerge/>
            <w:tcBorders>
              <w:left w:val="single" w:sz="4" w:space="0" w:color="000000"/>
              <w:right w:val="single" w:sz="4" w:space="0" w:color="000000"/>
            </w:tcBorders>
            <w:shd w:val="clear" w:color="auto" w:fill="D2D2D2"/>
          </w:tcPr>
          <w:p>
            <w:pPr/>
          </w:p>
        </w:tc>
        <w:tc>
          <w:tcPr>
            <w:tcW w:w="67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52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51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
        </w:tc>
        <w:tc>
          <w:tcPr>
            <w:tcW w:w="780" w:type="dxa"/>
            <w:vMerge w:val="restart"/>
            <w:tcBorders>
              <w:top w:val="nil" w:sz="6" w:space="0" w:color="auto"/>
              <w:left w:val="single" w:sz="4" w:space="0" w:color="000000"/>
              <w:right w:val="single" w:sz="4" w:space="0" w:color="000000"/>
            </w:tcBorders>
            <w:shd w:val="clear" w:color="auto" w:fill="D2D2D2"/>
          </w:tcPr>
          <w:p>
            <w:pPr/>
          </w:p>
        </w:tc>
      </w:tr>
      <w:tr>
        <w:trPr>
          <w:trHeight w:val="144"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45" w:hRule="exact"/>
        </w:trPr>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vMerge w:val="restart"/>
            <w:tcBorders>
              <w:top w:val="single" w:sz="4" w:space="0" w:color="000000"/>
              <w:left w:val="single" w:sz="13" w:space="0" w:color="D2D2D2"/>
              <w:right w:val="single" w:sz="4" w:space="0" w:color="000000"/>
            </w:tcBorders>
          </w:tcPr>
          <w:p>
            <w:pPr>
              <w:pStyle w:val="TableParagraph"/>
              <w:spacing w:line="240" w:lineRule="auto" w:before="43"/>
              <w:ind w:right="18"/>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3"/>
              <w:ind w:left="115" w:right="0"/>
              <w:jc w:val="center"/>
              <w:rPr>
                <w:rFonts w:ascii="Times New Roman" w:hAnsi="Times New Roman" w:cs="Times New Roman" w:eastAsia="Times New Roman" w:hint="default"/>
                <w:sz w:val="18"/>
                <w:szCs w:val="18"/>
              </w:rPr>
            </w:pPr>
            <w:r>
              <w:rPr>
                <w:rFonts w:ascii="Times New Roman"/>
                <w:sz w:val="18"/>
              </w:rPr>
              <w:t>853.00</w:t>
            </w:r>
          </w:p>
        </w:tc>
        <w:tc>
          <w:tcPr>
            <w:tcW w:w="566"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52" w:space="0" w:color="D2D2D2"/>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3"/>
              <w:ind w:left="55" w:right="0"/>
              <w:jc w:val="left"/>
              <w:rPr>
                <w:rFonts w:ascii="Times New Roman" w:hAnsi="Times New Roman" w:cs="Times New Roman" w:eastAsia="Times New Roman" w:hint="default"/>
                <w:sz w:val="18"/>
                <w:szCs w:val="18"/>
              </w:rPr>
            </w:pPr>
            <w:r>
              <w:rPr>
                <w:rFonts w:ascii="Times New Roman"/>
                <w:sz w:val="18"/>
              </w:rPr>
              <w:t>2,954,442,</w:t>
            </w:r>
          </w:p>
          <w:p>
            <w:pPr>
              <w:pStyle w:val="TableParagraph"/>
              <w:spacing w:line="240" w:lineRule="auto" w:before="33"/>
              <w:ind w:left="325" w:right="0"/>
              <w:jc w:val="left"/>
              <w:rPr>
                <w:rFonts w:ascii="Times New Roman" w:hAnsi="Times New Roman" w:cs="Times New Roman" w:eastAsia="Times New Roman" w:hint="default"/>
                <w:sz w:val="18"/>
                <w:szCs w:val="18"/>
              </w:rPr>
            </w:pPr>
            <w:r>
              <w:rPr>
                <w:rFonts w:ascii="Times New Roman"/>
                <w:sz w:val="18"/>
              </w:rPr>
              <w:t>231.32</w:t>
            </w:r>
          </w:p>
        </w:tc>
        <w:tc>
          <w:tcPr>
            <w:tcW w:w="52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51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3"/>
              <w:ind w:left="44" w:right="0"/>
              <w:jc w:val="left"/>
              <w:rPr>
                <w:rFonts w:ascii="Times New Roman" w:hAnsi="Times New Roman" w:cs="Times New Roman" w:eastAsia="Times New Roman" w:hint="default"/>
                <w:sz w:val="18"/>
                <w:szCs w:val="18"/>
              </w:rPr>
            </w:pPr>
            <w:r>
              <w:rPr>
                <w:rFonts w:ascii="Times New Roman"/>
                <w:sz w:val="18"/>
              </w:rPr>
              <w:t>28,528,7</w:t>
            </w:r>
          </w:p>
          <w:p>
            <w:pPr>
              <w:pStyle w:val="TableParagraph"/>
              <w:spacing w:line="240" w:lineRule="auto" w:before="33"/>
              <w:ind w:left="269" w:right="0"/>
              <w:jc w:val="left"/>
              <w:rPr>
                <w:rFonts w:ascii="Times New Roman" w:hAnsi="Times New Roman" w:cs="Times New Roman" w:eastAsia="Times New Roman" w:hint="default"/>
                <w:sz w:val="18"/>
                <w:szCs w:val="18"/>
              </w:rPr>
            </w:pPr>
            <w:r>
              <w:rPr>
                <w:rFonts w:ascii="Times New Roman"/>
                <w:sz w:val="18"/>
              </w:rPr>
              <w:t>32.05</w:t>
            </w:r>
          </w:p>
        </w:tc>
        <w:tc>
          <w:tcPr>
            <w:tcW w:w="568" w:type="dxa"/>
            <w:vMerge w:val="restart"/>
            <w:tcBorders>
              <w:top w:val="single" w:sz="14" w:space="0" w:color="D2D2D2"/>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3"/>
              <w:ind w:left="23" w:right="0"/>
              <w:jc w:val="center"/>
              <w:rPr>
                <w:rFonts w:ascii="Times New Roman" w:hAnsi="Times New Roman" w:cs="Times New Roman" w:eastAsia="Times New Roman" w:hint="default"/>
                <w:sz w:val="18"/>
                <w:szCs w:val="18"/>
              </w:rPr>
            </w:pPr>
            <w:r>
              <w:rPr>
                <w:rFonts w:ascii="Times New Roman"/>
                <w:sz w:val="18"/>
              </w:rPr>
              <w:t>228,160,</w:t>
            </w:r>
          </w:p>
          <w:p>
            <w:pPr>
              <w:pStyle w:val="TableParagraph"/>
              <w:spacing w:line="240" w:lineRule="auto" w:before="33"/>
              <w:ind w:left="159" w:right="0"/>
              <w:jc w:val="center"/>
              <w:rPr>
                <w:rFonts w:ascii="Times New Roman" w:hAnsi="Times New Roman" w:cs="Times New Roman" w:eastAsia="Times New Roman" w:hint="default"/>
                <w:sz w:val="18"/>
                <w:szCs w:val="18"/>
              </w:rPr>
            </w:pPr>
            <w:r>
              <w:rPr>
                <w:rFonts w:ascii="Times New Roman"/>
                <w:sz w:val="18"/>
              </w:rPr>
              <w:t>267.55</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43"/>
              <w:ind w:left="46" w:right="0"/>
              <w:jc w:val="left"/>
              <w:rPr>
                <w:rFonts w:ascii="Times New Roman" w:hAnsi="Times New Roman" w:cs="Times New Roman" w:eastAsia="Times New Roman" w:hint="default"/>
                <w:sz w:val="18"/>
                <w:szCs w:val="18"/>
              </w:rPr>
            </w:pPr>
            <w:r>
              <w:rPr>
                <w:rFonts w:ascii="Times New Roman"/>
                <w:sz w:val="18"/>
              </w:rPr>
              <w:t>70,744,8</w:t>
            </w:r>
          </w:p>
          <w:p>
            <w:pPr>
              <w:pStyle w:val="TableParagraph"/>
              <w:spacing w:line="240" w:lineRule="auto" w:before="33"/>
              <w:ind w:left="272" w:right="0"/>
              <w:jc w:val="left"/>
              <w:rPr>
                <w:rFonts w:ascii="Times New Roman" w:hAnsi="Times New Roman" w:cs="Times New Roman" w:eastAsia="Times New Roman" w:hint="default"/>
                <w:sz w:val="18"/>
                <w:szCs w:val="18"/>
              </w:rPr>
            </w:pPr>
            <w:r>
              <w:rPr>
                <w:rFonts w:ascii="Times New Roman"/>
                <w:sz w:val="18"/>
              </w:rPr>
              <w:t>22.57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3"/>
              <w:ind w:left="3" w:right="0"/>
              <w:jc w:val="center"/>
              <w:rPr>
                <w:rFonts w:ascii="Times New Roman" w:hAnsi="Times New Roman" w:cs="Times New Roman" w:eastAsia="Times New Roman" w:hint="default"/>
                <w:sz w:val="18"/>
                <w:szCs w:val="18"/>
              </w:rPr>
            </w:pPr>
            <w:r>
              <w:rPr>
                <w:rFonts w:ascii="Times New Roman"/>
                <w:sz w:val="18"/>
              </w:rPr>
              <w:t>3,772,617</w:t>
            </w:r>
          </w:p>
          <w:p>
            <w:pPr>
              <w:pStyle w:val="TableParagraph"/>
              <w:spacing w:line="240" w:lineRule="auto" w:before="33"/>
              <w:ind w:left="183" w:right="0"/>
              <w:jc w:val="center"/>
              <w:rPr>
                <w:rFonts w:ascii="Times New Roman" w:hAnsi="Times New Roman" w:cs="Times New Roman" w:eastAsia="Times New Roman" w:hint="default"/>
                <w:sz w:val="18"/>
                <w:szCs w:val="18"/>
              </w:rPr>
            </w:pPr>
            <w:r>
              <w:rPr>
                <w:rFonts w:ascii="Times New Roman"/>
                <w:sz w:val="18"/>
              </w:rPr>
              <w:t>,906.49</w:t>
            </w:r>
          </w:p>
        </w:tc>
      </w:tr>
      <w:tr>
        <w:trPr>
          <w:trHeight w:val="240" w:hRule="exact"/>
        </w:trPr>
        <w:tc>
          <w:tcPr>
            <w:tcW w:w="1449" w:type="dxa"/>
            <w:tcBorders>
              <w:top w:val="nil" w:sz="6" w:space="0" w:color="auto"/>
              <w:left w:val="single" w:sz="13" w:space="0" w:color="D2D2D2"/>
              <w:bottom w:val="nil" w:sz="6" w:space="0" w:color="auto"/>
              <w:right w:val="single" w:sz="13" w:space="0" w:color="D2D2D2"/>
            </w:tcBorders>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679" w:type="dxa"/>
            <w:vMerge/>
            <w:tcBorders>
              <w:left w:val="single" w:sz="13" w:space="0" w:color="D2D2D2"/>
              <w:right w:val="single" w:sz="4" w:space="0" w:color="000000"/>
            </w:tcBorders>
          </w:tcPr>
          <w:p>
            <w:pPr/>
          </w:p>
        </w:tc>
        <w:tc>
          <w:tcPr>
            <w:tcW w:w="566"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51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45" w:hRule="exact"/>
        </w:trPr>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vMerge/>
            <w:tcBorders>
              <w:left w:val="single" w:sz="13" w:space="0" w:color="D2D2D2"/>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5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1437"/>
        <w:gridCol w:w="691"/>
        <w:gridCol w:w="566"/>
        <w:gridCol w:w="425"/>
        <w:gridCol w:w="425"/>
        <w:gridCol w:w="852"/>
        <w:gridCol w:w="526"/>
        <w:gridCol w:w="665"/>
        <w:gridCol w:w="510"/>
        <w:gridCol w:w="708"/>
        <w:gridCol w:w="568"/>
        <w:gridCol w:w="708"/>
        <w:gridCol w:w="709"/>
        <w:gridCol w:w="780"/>
      </w:tblGrid>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39" w:right="0"/>
              <w:jc w:val="center"/>
              <w:rPr>
                <w:rFonts w:ascii="Times New Roman" w:hAnsi="Times New Roman" w:cs="Times New Roman" w:eastAsia="Times New Roman" w:hint="default"/>
                <w:sz w:val="18"/>
                <w:szCs w:val="18"/>
              </w:rPr>
            </w:pPr>
            <w:r>
              <w:rPr>
                <w:rFonts w:ascii="Times New Roman"/>
                <w:sz w:val="18"/>
              </w:rPr>
              <w:t>853.00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 w:right="0"/>
              <w:jc w:val="left"/>
              <w:rPr>
                <w:rFonts w:ascii="Times New Roman" w:hAnsi="Times New Roman" w:cs="Times New Roman" w:eastAsia="Times New Roman" w:hint="default"/>
                <w:sz w:val="18"/>
                <w:szCs w:val="18"/>
              </w:rPr>
            </w:pPr>
            <w:r>
              <w:rPr>
                <w:rFonts w:ascii="Times New Roman"/>
                <w:sz w:val="18"/>
              </w:rPr>
              <w:t>2,954,442,</w:t>
            </w:r>
          </w:p>
          <w:p>
            <w:pPr>
              <w:pStyle w:val="TableParagraph"/>
              <w:spacing w:line="240" w:lineRule="auto" w:before="34"/>
              <w:ind w:left="325" w:right="0"/>
              <w:jc w:val="left"/>
              <w:rPr>
                <w:rFonts w:ascii="Times New Roman" w:hAnsi="Times New Roman" w:cs="Times New Roman" w:eastAsia="Times New Roman" w:hint="default"/>
                <w:sz w:val="18"/>
                <w:szCs w:val="18"/>
              </w:rPr>
            </w:pPr>
            <w:r>
              <w:rPr>
                <w:rFonts w:ascii="Times New Roman"/>
                <w:sz w:val="18"/>
              </w:rPr>
              <w:t>231.32</w:t>
            </w: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28,528,7</w:t>
            </w:r>
          </w:p>
          <w:p>
            <w:pPr>
              <w:pStyle w:val="TableParagraph"/>
              <w:spacing w:line="240" w:lineRule="auto" w:before="34"/>
              <w:ind w:left="269" w:right="0"/>
              <w:jc w:val="left"/>
              <w:rPr>
                <w:rFonts w:ascii="Times New Roman" w:hAnsi="Times New Roman" w:cs="Times New Roman" w:eastAsia="Times New Roman" w:hint="default"/>
                <w:sz w:val="18"/>
                <w:szCs w:val="18"/>
              </w:rPr>
            </w:pPr>
            <w:r>
              <w:rPr>
                <w:rFonts w:ascii="Times New Roman"/>
                <w:sz w:val="18"/>
              </w:rPr>
              <w:t>32.05</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228,160,</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267.55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70,744,8</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22.57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3,772,617</w:t>
            </w:r>
          </w:p>
          <w:p>
            <w:pPr>
              <w:pStyle w:val="TableParagraph"/>
              <w:spacing w:line="240" w:lineRule="auto" w:before="34"/>
              <w:ind w:left="183" w:right="0"/>
              <w:jc w:val="center"/>
              <w:rPr>
                <w:rFonts w:ascii="Times New Roman" w:hAnsi="Times New Roman" w:cs="Times New Roman" w:eastAsia="Times New Roman" w:hint="default"/>
                <w:sz w:val="18"/>
                <w:szCs w:val="18"/>
              </w:rPr>
            </w:pPr>
            <w:r>
              <w:rPr>
                <w:rFonts w:ascii="Times New Roman"/>
                <w:sz w:val="18"/>
              </w:rPr>
              <w:t>,906.49</w:t>
            </w:r>
          </w:p>
        </w:tc>
      </w:tr>
      <w:tr>
        <w:trPr>
          <w:trHeight w:val="81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99,405,09</w:t>
            </w:r>
          </w:p>
          <w:p>
            <w:pPr>
              <w:pStyle w:val="TableParagraph"/>
              <w:spacing w:line="240" w:lineRule="auto" w:before="34"/>
              <w:ind w:left="505" w:right="0"/>
              <w:jc w:val="left"/>
              <w:rPr>
                <w:rFonts w:ascii="Times New Roman" w:hAnsi="Times New Roman" w:cs="Times New Roman" w:eastAsia="Times New Roman" w:hint="default"/>
                <w:sz w:val="18"/>
                <w:szCs w:val="18"/>
              </w:rPr>
            </w:pPr>
            <w:r>
              <w:rPr>
                <w:rFonts w:ascii="Times New Roman"/>
                <w:sz w:val="18"/>
              </w:rPr>
              <w:t>6.13</w:t>
            </w: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1,730,31</w:t>
            </w:r>
          </w:p>
          <w:p>
            <w:pPr>
              <w:pStyle w:val="TableParagraph"/>
              <w:spacing w:line="240" w:lineRule="auto" w:before="34"/>
              <w:ind w:left="359" w:right="0"/>
              <w:jc w:val="left"/>
              <w:rPr>
                <w:rFonts w:ascii="Times New Roman" w:hAnsi="Times New Roman" w:cs="Times New Roman" w:eastAsia="Times New Roman" w:hint="default"/>
                <w:sz w:val="18"/>
                <w:szCs w:val="18"/>
              </w:rPr>
            </w:pPr>
            <w:r>
              <w:rPr>
                <w:rFonts w:ascii="Times New Roman"/>
                <w:sz w:val="18"/>
              </w:rPr>
              <w:t>8.29</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226,182,</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579.44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38,755,2</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82.72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366,073,2</w:t>
            </w:r>
          </w:p>
          <w:p>
            <w:pPr>
              <w:pStyle w:val="TableParagraph"/>
              <w:spacing w:line="240" w:lineRule="auto" w:before="34"/>
              <w:ind w:left="341" w:right="0"/>
              <w:jc w:val="left"/>
              <w:rPr>
                <w:rFonts w:ascii="Times New Roman" w:hAnsi="Times New Roman" w:cs="Times New Roman" w:eastAsia="Times New Roman" w:hint="default"/>
                <w:sz w:val="18"/>
                <w:szCs w:val="18"/>
              </w:rPr>
            </w:pPr>
            <w:r>
              <w:rPr>
                <w:rFonts w:ascii="Times New Roman"/>
                <w:sz w:val="18"/>
              </w:rPr>
              <w:t>76.58</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227,912,</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897.73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10,253,0</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05.08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238,165,9</w:t>
            </w:r>
          </w:p>
          <w:p>
            <w:pPr>
              <w:pStyle w:val="TableParagraph"/>
              <w:spacing w:line="240" w:lineRule="auto" w:before="34"/>
              <w:ind w:left="341" w:right="0"/>
              <w:jc w:val="left"/>
              <w:rPr>
                <w:rFonts w:ascii="Times New Roman" w:hAnsi="Times New Roman" w:cs="Times New Roman" w:eastAsia="Times New Roman" w:hint="default"/>
                <w:sz w:val="18"/>
                <w:szCs w:val="18"/>
              </w:rPr>
            </w:pPr>
            <w:r>
              <w:rPr>
                <w:rFonts w:ascii="Times New Roman"/>
                <w:sz w:val="18"/>
              </w:rPr>
              <w:t>02.81</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28,502,2</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77.64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28,502,27</w:t>
            </w:r>
          </w:p>
          <w:p>
            <w:pPr>
              <w:pStyle w:val="TableParagraph"/>
              <w:spacing w:line="240" w:lineRule="auto" w:before="34"/>
              <w:ind w:left="431" w:right="0"/>
              <w:jc w:val="left"/>
              <w:rPr>
                <w:rFonts w:ascii="Times New Roman" w:hAnsi="Times New Roman" w:cs="Times New Roman" w:eastAsia="Times New Roman" w:hint="default"/>
                <w:sz w:val="18"/>
                <w:szCs w:val="18"/>
              </w:rPr>
            </w:pPr>
            <w:r>
              <w:rPr>
                <w:rFonts w:ascii="Times New Roman"/>
                <w:sz w:val="18"/>
              </w:rPr>
              <w:t>7.64</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28,502,2</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77.64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28,502,27</w:t>
            </w:r>
          </w:p>
          <w:p>
            <w:pPr>
              <w:pStyle w:val="TableParagraph"/>
              <w:spacing w:line="240" w:lineRule="auto" w:before="34"/>
              <w:ind w:left="431" w:right="0"/>
              <w:jc w:val="left"/>
              <w:rPr>
                <w:rFonts w:ascii="Times New Roman" w:hAnsi="Times New Roman" w:cs="Times New Roman" w:eastAsia="Times New Roman" w:hint="default"/>
                <w:sz w:val="18"/>
                <w:szCs w:val="18"/>
              </w:rPr>
            </w:pPr>
            <w:r>
              <w:rPr>
                <w:rFonts w:ascii="Times New Roman"/>
                <w:sz w:val="18"/>
              </w:rPr>
              <w:t>7.64</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1,730,31</w:t>
            </w:r>
          </w:p>
          <w:p>
            <w:pPr>
              <w:pStyle w:val="TableParagraph"/>
              <w:spacing w:line="240" w:lineRule="auto" w:before="34"/>
              <w:ind w:left="359" w:right="0"/>
              <w:jc w:val="left"/>
              <w:rPr>
                <w:rFonts w:ascii="Times New Roman" w:hAnsi="Times New Roman" w:cs="Times New Roman" w:eastAsia="Times New Roman" w:hint="default"/>
                <w:sz w:val="18"/>
                <w:szCs w:val="18"/>
              </w:rPr>
            </w:pPr>
            <w:r>
              <w:rPr>
                <w:rFonts w:ascii="Times New Roman"/>
                <w:sz w:val="18"/>
              </w:rPr>
              <w:t>8.29</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4"/>
              <w:ind w:left="249" w:right="0"/>
              <w:jc w:val="center"/>
              <w:rPr>
                <w:rFonts w:ascii="Times New Roman" w:hAnsi="Times New Roman" w:cs="Times New Roman" w:eastAsia="Times New Roman" w:hint="default"/>
                <w:sz w:val="18"/>
                <w:szCs w:val="18"/>
              </w:rPr>
            </w:pPr>
            <w:r>
              <w:rPr>
                <w:rFonts w:ascii="Times New Roman"/>
                <w:sz w:val="18"/>
              </w:rPr>
              <w:t>18.29</w:t>
            </w: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1,730,31</w:t>
            </w:r>
          </w:p>
          <w:p>
            <w:pPr>
              <w:pStyle w:val="TableParagraph"/>
              <w:spacing w:line="240" w:lineRule="auto" w:before="34"/>
              <w:ind w:left="359" w:right="0"/>
              <w:jc w:val="left"/>
              <w:rPr>
                <w:rFonts w:ascii="Times New Roman" w:hAnsi="Times New Roman" w:cs="Times New Roman" w:eastAsia="Times New Roman" w:hint="default"/>
                <w:sz w:val="18"/>
                <w:szCs w:val="18"/>
              </w:rPr>
            </w:pPr>
            <w:r>
              <w:rPr>
                <w:rFonts w:ascii="Times New Roman"/>
                <w:sz w:val="18"/>
              </w:rPr>
              <w:t>8.29</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4"/>
              <w:ind w:left="249" w:right="0"/>
              <w:jc w:val="center"/>
              <w:rPr>
                <w:rFonts w:ascii="Times New Roman" w:hAnsi="Times New Roman" w:cs="Times New Roman" w:eastAsia="Times New Roman" w:hint="default"/>
                <w:sz w:val="18"/>
                <w:szCs w:val="18"/>
              </w:rPr>
            </w:pPr>
            <w:r>
              <w:rPr>
                <w:rFonts w:ascii="Times New Roman"/>
                <w:sz w:val="18"/>
              </w:rPr>
              <w:t>18.29</w:t>
            </w: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 w:right="0"/>
              <w:jc w:val="left"/>
              <w:rPr>
                <w:rFonts w:ascii="Times New Roman" w:hAnsi="Times New Roman" w:cs="Times New Roman" w:eastAsia="Times New Roman" w:hint="default"/>
                <w:sz w:val="18"/>
                <w:szCs w:val="18"/>
              </w:rPr>
            </w:pPr>
            <w:r>
              <w:rPr>
                <w:rFonts w:ascii="Times New Roman"/>
                <w:sz w:val="18"/>
              </w:rPr>
              <w:t>99,405,09</w:t>
            </w:r>
          </w:p>
          <w:p>
            <w:pPr>
              <w:pStyle w:val="TableParagraph"/>
              <w:spacing w:line="240" w:lineRule="auto" w:before="34"/>
              <w:ind w:left="505" w:right="0"/>
              <w:jc w:val="left"/>
              <w:rPr>
                <w:rFonts w:ascii="Times New Roman" w:hAnsi="Times New Roman" w:cs="Times New Roman" w:eastAsia="Times New Roman" w:hint="default"/>
                <w:sz w:val="18"/>
                <w:szCs w:val="18"/>
              </w:rPr>
            </w:pPr>
            <w:r>
              <w:rPr>
                <w:rFonts w:ascii="Times New Roman"/>
                <w:sz w:val="18"/>
              </w:rPr>
              <w:t>6.13</w:t>
            </w: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99,405,09</w:t>
            </w:r>
          </w:p>
          <w:p>
            <w:pPr>
              <w:pStyle w:val="TableParagraph"/>
              <w:spacing w:line="240" w:lineRule="auto" w:before="34"/>
              <w:ind w:left="431" w:right="0"/>
              <w:jc w:val="left"/>
              <w:rPr>
                <w:rFonts w:ascii="Times New Roman" w:hAnsi="Times New Roman" w:cs="Times New Roman" w:eastAsia="Times New Roman" w:hint="default"/>
                <w:sz w:val="18"/>
                <w:szCs w:val="18"/>
              </w:rPr>
            </w:pPr>
            <w:r>
              <w:rPr>
                <w:rFonts w:ascii="Times New Roman"/>
                <w:sz w:val="18"/>
              </w:rPr>
              <w:t>6.13</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 w:right="0"/>
              <w:jc w:val="left"/>
              <w:rPr>
                <w:rFonts w:ascii="Times New Roman" w:hAnsi="Times New Roman" w:cs="Times New Roman" w:eastAsia="Times New Roman" w:hint="default"/>
                <w:sz w:val="18"/>
                <w:szCs w:val="18"/>
              </w:rPr>
            </w:pPr>
            <w:r>
              <w:rPr>
                <w:rFonts w:ascii="Times New Roman"/>
                <w:sz w:val="18"/>
              </w:rPr>
              <w:t>99,405,09</w:t>
            </w:r>
          </w:p>
          <w:p>
            <w:pPr>
              <w:pStyle w:val="TableParagraph"/>
              <w:spacing w:line="240" w:lineRule="auto" w:before="34"/>
              <w:ind w:left="505" w:right="0"/>
              <w:jc w:val="left"/>
              <w:rPr>
                <w:rFonts w:ascii="Times New Roman" w:hAnsi="Times New Roman" w:cs="Times New Roman" w:eastAsia="Times New Roman" w:hint="default"/>
                <w:sz w:val="18"/>
                <w:szCs w:val="18"/>
              </w:rPr>
            </w:pPr>
            <w:r>
              <w:rPr>
                <w:rFonts w:ascii="Times New Roman"/>
                <w:sz w:val="18"/>
              </w:rPr>
              <w:t>6.13</w:t>
            </w: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99,405,09</w:t>
            </w:r>
          </w:p>
          <w:p>
            <w:pPr>
              <w:pStyle w:val="TableParagraph"/>
              <w:spacing w:line="240" w:lineRule="auto" w:before="34"/>
              <w:ind w:left="431" w:right="0"/>
              <w:jc w:val="left"/>
              <w:rPr>
                <w:rFonts w:ascii="Times New Roman" w:hAnsi="Times New Roman" w:cs="Times New Roman" w:eastAsia="Times New Roman" w:hint="default"/>
                <w:sz w:val="18"/>
                <w:szCs w:val="18"/>
              </w:rPr>
            </w:pPr>
            <w:r>
              <w:rPr>
                <w:rFonts w:ascii="Times New Roman"/>
                <w:sz w:val="18"/>
              </w:rPr>
              <w:t>6.13</w:t>
            </w: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1437"/>
        <w:gridCol w:w="691"/>
        <w:gridCol w:w="566"/>
        <w:gridCol w:w="425"/>
        <w:gridCol w:w="425"/>
        <w:gridCol w:w="852"/>
        <w:gridCol w:w="526"/>
        <w:gridCol w:w="665"/>
        <w:gridCol w:w="510"/>
        <w:gridCol w:w="708"/>
        <w:gridCol w:w="568"/>
        <w:gridCol w:w="708"/>
        <w:gridCol w:w="709"/>
        <w:gridCol w:w="780"/>
      </w:tblGrid>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39" w:right="0"/>
              <w:jc w:val="center"/>
              <w:rPr>
                <w:rFonts w:ascii="Times New Roman" w:hAnsi="Times New Roman" w:cs="Times New Roman" w:eastAsia="Times New Roman" w:hint="default"/>
                <w:sz w:val="18"/>
                <w:szCs w:val="18"/>
              </w:rPr>
            </w:pPr>
            <w:r>
              <w:rPr>
                <w:rFonts w:ascii="Times New Roman"/>
                <w:sz w:val="18"/>
              </w:rPr>
              <w:t>853.00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 w:right="0"/>
              <w:jc w:val="left"/>
              <w:rPr>
                <w:rFonts w:ascii="Times New Roman" w:hAnsi="Times New Roman" w:cs="Times New Roman" w:eastAsia="Times New Roman" w:hint="default"/>
                <w:sz w:val="18"/>
                <w:szCs w:val="18"/>
              </w:rPr>
            </w:pPr>
            <w:r>
              <w:rPr>
                <w:rFonts w:ascii="Times New Roman"/>
                <w:sz w:val="18"/>
              </w:rPr>
              <w:t>3,053,847,</w:t>
            </w:r>
          </w:p>
          <w:p>
            <w:pPr>
              <w:pStyle w:val="TableParagraph"/>
              <w:spacing w:line="240" w:lineRule="auto" w:before="34"/>
              <w:ind w:left="325" w:right="0"/>
              <w:jc w:val="left"/>
              <w:rPr>
                <w:rFonts w:ascii="Times New Roman" w:hAnsi="Times New Roman" w:cs="Times New Roman" w:eastAsia="Times New Roman" w:hint="default"/>
                <w:sz w:val="18"/>
                <w:szCs w:val="18"/>
              </w:rPr>
            </w:pPr>
            <w:r>
              <w:rPr>
                <w:rFonts w:ascii="Times New Roman"/>
                <w:sz w:val="18"/>
              </w:rPr>
              <w:t>327.45</w:t>
            </w:r>
          </w:p>
        </w:tc>
        <w:tc>
          <w:tcPr>
            <w:tcW w:w="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30,259,0</w:t>
            </w:r>
          </w:p>
          <w:p>
            <w:pPr>
              <w:pStyle w:val="TableParagraph"/>
              <w:spacing w:line="240" w:lineRule="auto" w:before="34"/>
              <w:ind w:left="269" w:right="0"/>
              <w:jc w:val="left"/>
              <w:rPr>
                <w:rFonts w:ascii="Times New Roman" w:hAnsi="Times New Roman" w:cs="Times New Roman" w:eastAsia="Times New Roman" w:hint="default"/>
                <w:sz w:val="18"/>
                <w:szCs w:val="18"/>
              </w:rPr>
            </w:pPr>
            <w:r>
              <w:rPr>
                <w:rFonts w:ascii="Times New Roman"/>
                <w:sz w:val="18"/>
              </w:rPr>
              <w:t>50.34</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454,342,</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846.99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center"/>
              <w:rPr>
                <w:rFonts w:ascii="Times New Roman" w:hAnsi="Times New Roman" w:cs="Times New Roman" w:eastAsia="Times New Roman" w:hint="default"/>
                <w:sz w:val="18"/>
                <w:szCs w:val="18"/>
              </w:rPr>
            </w:pPr>
            <w:r>
              <w:rPr>
                <w:rFonts w:ascii="Times New Roman"/>
                <w:sz w:val="18"/>
              </w:rPr>
              <w:t>109,500,</w:t>
            </w:r>
          </w:p>
          <w:p>
            <w:pPr>
              <w:pStyle w:val="TableParagraph"/>
              <w:spacing w:line="240" w:lineRule="auto" w:before="34"/>
              <w:ind w:left="160" w:right="0"/>
              <w:jc w:val="center"/>
              <w:rPr>
                <w:rFonts w:ascii="Times New Roman" w:hAnsi="Times New Roman" w:cs="Times New Roman" w:eastAsia="Times New Roman" w:hint="default"/>
                <w:sz w:val="18"/>
                <w:szCs w:val="18"/>
              </w:rPr>
            </w:pPr>
            <w:r>
              <w:rPr>
                <w:rFonts w:ascii="Times New Roman"/>
                <w:sz w:val="18"/>
              </w:rPr>
              <w:t>105.29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4,138,691</w:t>
            </w:r>
          </w:p>
          <w:p>
            <w:pPr>
              <w:pStyle w:val="TableParagraph"/>
              <w:spacing w:line="240" w:lineRule="auto" w:before="34"/>
              <w:ind w:left="183" w:right="0"/>
              <w:jc w:val="center"/>
              <w:rPr>
                <w:rFonts w:ascii="Times New Roman" w:hAnsi="Times New Roman" w:cs="Times New Roman" w:eastAsia="Times New Roman" w:hint="default"/>
                <w:sz w:val="18"/>
                <w:szCs w:val="18"/>
              </w:rPr>
            </w:pPr>
            <w:r>
              <w:rPr>
                <w:rFonts w:ascii="Times New Roman"/>
                <w:sz w:val="18"/>
              </w:rPr>
              <w:t>,183.07</w:t>
            </w:r>
          </w:p>
        </w:tc>
      </w:tr>
    </w:tbl>
    <w:p>
      <w:pPr>
        <w:spacing w:line="240" w:lineRule="auto" w:before="1"/>
        <w:rPr>
          <w:rFonts w:ascii="Times New Roman" w:hAnsi="Times New Roman" w:cs="Times New Roman" w:eastAsia="Times New Roman" w:hint="default"/>
          <w:sz w:val="11"/>
          <w:szCs w:val="11"/>
        </w:rPr>
      </w:pPr>
    </w:p>
    <w:p>
      <w:pPr>
        <w:pStyle w:val="Heading3"/>
        <w:spacing w:line="240" w:lineRule="auto"/>
        <w:ind w:left="174" w:right="0"/>
        <w:jc w:val="left"/>
        <w:rPr>
          <w:b w:val="0"/>
          <w:bCs w:val="0"/>
        </w:rPr>
      </w:pPr>
      <w:bookmarkStart w:name="8、母公司所有者权益变动表" w:id="188"/>
      <w:bookmarkEnd w:id="18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17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5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25"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5"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5"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22" w:space="0" w:color="D2D2D2"/>
              <w:right w:val="single" w:sz="23" w:space="0" w:color="D2D2D2"/>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23" w:space="0" w:color="D2D2D2"/>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23" w:space="0" w:color="D2D2D2"/>
              <w:right w:val="single" w:sz="23" w:space="0" w:color="D2D2D2"/>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4"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22"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23" w:space="0" w:color="D2D2D2"/>
            </w:tcBorders>
          </w:tcPr>
          <w:p>
            <w:pPr/>
          </w:p>
        </w:tc>
        <w:tc>
          <w:tcPr>
            <w:tcW w:w="797" w:type="dxa"/>
            <w:vMerge/>
            <w:tcBorders>
              <w:left w:val="single" w:sz="23" w:space="0" w:color="D2D2D2"/>
              <w:bottom w:val="nil" w:sz="6" w:space="0" w:color="auto"/>
              <w:right w:val="single" w:sz="23"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70"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42"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6"/>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28"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4"/>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30,259,05</w:t>
            </w:r>
          </w:p>
          <w:p>
            <w:pPr>
              <w:pStyle w:val="TableParagraph"/>
              <w:spacing w:line="240" w:lineRule="auto" w:before="34"/>
              <w:ind w:left="449" w:right="0"/>
              <w:jc w:val="left"/>
              <w:rPr>
                <w:rFonts w:ascii="Times New Roman" w:hAnsi="Times New Roman" w:cs="Times New Roman" w:eastAsia="Times New Roman" w:hint="default"/>
                <w:sz w:val="18"/>
                <w:szCs w:val="18"/>
              </w:rPr>
            </w:pPr>
            <w:r>
              <w:rPr>
                <w:rFonts w:ascii="Times New Roman"/>
                <w:sz w:val="18"/>
              </w:rPr>
              <w:t>0.34</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0"/>
              <w:ind w:left="58" w:right="0"/>
              <w:jc w:val="left"/>
              <w:rPr>
                <w:rFonts w:ascii="Times New Roman" w:hAnsi="Times New Roman" w:cs="Times New Roman" w:eastAsia="Times New Roman" w:hint="default"/>
                <w:sz w:val="18"/>
                <w:szCs w:val="18"/>
              </w:rPr>
            </w:pPr>
            <w:r>
              <w:rPr>
                <w:rFonts w:ascii="Times New Roman"/>
                <w:sz w:val="18"/>
              </w:rPr>
              <w:t>167,244</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,827.35</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0"/>
              <w:ind w:left="4" w:right="0"/>
              <w:jc w:val="center"/>
              <w:rPr>
                <w:rFonts w:ascii="Times New Roman" w:hAnsi="Times New Roman" w:cs="Times New Roman" w:eastAsia="Times New Roman" w:hint="default"/>
                <w:sz w:val="18"/>
                <w:szCs w:val="18"/>
              </w:rPr>
            </w:pPr>
            <w:r>
              <w:rPr>
                <w:rFonts w:ascii="Times New Roman"/>
                <w:sz w:val="18"/>
              </w:rPr>
              <w:t>3,643,097</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,668.62</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6"/>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28"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4"/>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30,259,05</w:t>
            </w:r>
          </w:p>
          <w:p>
            <w:pPr>
              <w:pStyle w:val="TableParagraph"/>
              <w:spacing w:line="240" w:lineRule="auto" w:before="34"/>
              <w:ind w:left="449" w:right="0"/>
              <w:jc w:val="left"/>
              <w:rPr>
                <w:rFonts w:ascii="Times New Roman" w:hAnsi="Times New Roman" w:cs="Times New Roman" w:eastAsia="Times New Roman" w:hint="default"/>
                <w:sz w:val="18"/>
                <w:szCs w:val="18"/>
              </w:rPr>
            </w:pPr>
            <w:r>
              <w:rPr>
                <w:rFonts w:ascii="Times New Roman"/>
                <w:sz w:val="18"/>
              </w:rPr>
              <w:t>0.34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167,244</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,827.35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3,643,097</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,668.62</w:t>
            </w: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pacing w:val="-3"/>
                <w:sz w:val="18"/>
              </w:rPr>
              <w:t>111.00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283" w:right="0"/>
              <w:jc w:val="left"/>
              <w:rPr>
                <w:rFonts w:ascii="Times New Roman" w:hAnsi="Times New Roman" w:cs="Times New Roman" w:eastAsia="Times New Roman" w:hint="default"/>
                <w:sz w:val="18"/>
                <w:szCs w:val="18"/>
              </w:rPr>
            </w:pPr>
            <w:r>
              <w:rPr>
                <w:rFonts w:ascii="Times New Roman"/>
                <w:spacing w:val="-3"/>
                <w:sz w:val="18"/>
              </w:rPr>
              <w:t>111.00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3,320,121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5,343,9</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99.23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8,664,120</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.55</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sz w:val="18"/>
              </w:rPr>
              <w:t>33,201,</w:t>
            </w:r>
          </w:p>
          <w:p>
            <w:pPr>
              <w:pStyle w:val="TableParagraph"/>
              <w:spacing w:line="240" w:lineRule="auto" w:before="34"/>
              <w:ind w:left="148" w:right="0"/>
              <w:jc w:val="left"/>
              <w:rPr>
                <w:rFonts w:ascii="Times New Roman" w:hAnsi="Times New Roman" w:cs="Times New Roman" w:eastAsia="Times New Roman" w:hint="default"/>
                <w:sz w:val="18"/>
                <w:szCs w:val="18"/>
              </w:rPr>
            </w:pPr>
            <w:r>
              <w:rPr>
                <w:rFonts w:ascii="Times New Roman"/>
                <w:sz w:val="18"/>
              </w:rPr>
              <w:t>213.20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33,201,21</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3.20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3"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3,320,121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.32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-27,857,</w:t>
            </w:r>
          </w:p>
          <w:p>
            <w:pPr>
              <w:pStyle w:val="TableParagraph"/>
              <w:spacing w:line="240" w:lineRule="auto" w:before="34"/>
              <w:ind w:left="126" w:right="0"/>
              <w:jc w:val="center"/>
              <w:rPr>
                <w:rFonts w:ascii="Times New Roman" w:hAnsi="Times New Roman" w:cs="Times New Roman" w:eastAsia="Times New Roman" w:hint="default"/>
                <w:sz w:val="18"/>
                <w:szCs w:val="18"/>
              </w:rPr>
            </w:pPr>
            <w:r>
              <w:rPr>
                <w:rFonts w:ascii="Times New Roman"/>
                <w:sz w:val="18"/>
              </w:rPr>
              <w:t>213.97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-24,537,0</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92.65</w:t>
            </w:r>
          </w:p>
        </w:tc>
      </w:tr>
      <w:tr>
        <w:trPr>
          <w:trHeight w:val="445"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3"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570" w:hRule="exact"/>
        </w:trPr>
        <w:tc>
          <w:tcPr>
            <w:tcW w:w="1442" w:type="dxa"/>
            <w:tcBorders>
              <w:top w:val="single" w:sz="48" w:space="0" w:color="D2D2D2"/>
              <w:left w:val="single" w:sz="13" w:space="0" w:color="D2D2D2"/>
              <w:bottom w:val="single" w:sz="52" w:space="0" w:color="D2D2D2"/>
              <w:right w:val="single" w:sz="13" w:space="0" w:color="D2D2D2"/>
            </w:tcBorders>
          </w:tcPr>
          <w:p>
            <w:pPr>
              <w:pStyle w:val="TableParagraph"/>
              <w:spacing w:line="240" w:lineRule="auto" w:before="8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3,320,121</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-3,320,1</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21.32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center"/>
              <w:rPr>
                <w:rFonts w:ascii="Times New Roman" w:hAnsi="Times New Roman" w:cs="Times New Roman" w:eastAsia="Times New Roman" w:hint="default"/>
                <w:sz w:val="18"/>
                <w:szCs w:val="18"/>
              </w:rPr>
            </w:pPr>
            <w:r>
              <w:rPr>
                <w:rFonts w:ascii="Times New Roman"/>
                <w:sz w:val="18"/>
              </w:rPr>
              <w:t>-24,537,</w:t>
            </w:r>
          </w:p>
          <w:p>
            <w:pPr>
              <w:pStyle w:val="TableParagraph"/>
              <w:spacing w:line="240" w:lineRule="auto" w:before="34"/>
              <w:ind w:left="126" w:right="0"/>
              <w:jc w:val="center"/>
              <w:rPr>
                <w:rFonts w:ascii="Times New Roman" w:hAnsi="Times New Roman" w:cs="Times New Roman" w:eastAsia="Times New Roman" w:hint="default"/>
                <w:sz w:val="18"/>
                <w:szCs w:val="18"/>
              </w:rPr>
            </w:pPr>
            <w:r>
              <w:rPr>
                <w:rFonts w:ascii="Times New Roman"/>
                <w:sz w:val="18"/>
              </w:rPr>
              <w:t>092.65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-24,537,0</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92.65</w:t>
            </w: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6"/>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pacing w:val="-3"/>
                <w:sz w:val="18"/>
              </w:rPr>
              <w:t>111.00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283" w:right="0"/>
              <w:jc w:val="left"/>
              <w:rPr>
                <w:rFonts w:ascii="Times New Roman" w:hAnsi="Times New Roman" w:cs="Times New Roman" w:eastAsia="Times New Roman" w:hint="default"/>
                <w:sz w:val="18"/>
                <w:szCs w:val="18"/>
              </w:rPr>
            </w:pPr>
            <w:r>
              <w:rPr>
                <w:rFonts w:ascii="Times New Roman"/>
                <w:spacing w:val="-3"/>
                <w:sz w:val="18"/>
              </w:rPr>
              <w:t>111.00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6"/>
              <w:jc w:val="center"/>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pacing w:val="-3"/>
                <w:sz w:val="18"/>
              </w:rPr>
              <w:t>111.00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-294,445,</w:t>
            </w:r>
          </w:p>
          <w:p>
            <w:pPr>
              <w:pStyle w:val="TableParagraph"/>
              <w:spacing w:line="240" w:lineRule="auto" w:before="34"/>
              <w:ind w:left="283" w:right="0"/>
              <w:jc w:val="left"/>
              <w:rPr>
                <w:rFonts w:ascii="Times New Roman" w:hAnsi="Times New Roman" w:cs="Times New Roman" w:eastAsia="Times New Roman" w:hint="default"/>
                <w:sz w:val="18"/>
                <w:szCs w:val="18"/>
              </w:rPr>
            </w:pPr>
            <w:r>
              <w:rPr>
                <w:rFonts w:ascii="Times New Roman"/>
                <w:spacing w:val="-3"/>
                <w:sz w:val="18"/>
              </w:rPr>
              <w:t>111.00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4"/>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785,186,</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z w:val="18"/>
              </w:rPr>
              <w:t>964.00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2,660,406</w:t>
            </w:r>
          </w:p>
          <w:p>
            <w:pPr>
              <w:pStyle w:val="TableParagraph"/>
              <w:spacing w:line="240" w:lineRule="auto" w:before="34"/>
              <w:ind w:left="202" w:right="0"/>
              <w:jc w:val="center"/>
              <w:rPr>
                <w:rFonts w:ascii="Times New Roman" w:hAnsi="Times New Roman" w:cs="Times New Roman" w:eastAsia="Times New Roman" w:hint="default"/>
                <w:sz w:val="18"/>
                <w:szCs w:val="18"/>
              </w:rPr>
            </w:pPr>
            <w:r>
              <w:rPr>
                <w:rFonts w:ascii="Times New Roman"/>
                <w:sz w:val="18"/>
              </w:rPr>
              <w:t>,826.93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33,579,17</w:t>
            </w:r>
          </w:p>
          <w:p>
            <w:pPr>
              <w:pStyle w:val="TableParagraph"/>
              <w:spacing w:line="240" w:lineRule="auto" w:before="34"/>
              <w:ind w:left="449" w:right="0"/>
              <w:jc w:val="left"/>
              <w:rPr>
                <w:rFonts w:ascii="Times New Roman" w:hAnsi="Times New Roman" w:cs="Times New Roman" w:eastAsia="Times New Roman" w:hint="default"/>
                <w:sz w:val="18"/>
                <w:szCs w:val="18"/>
              </w:rPr>
            </w:pPr>
            <w:r>
              <w:rPr>
                <w:rFonts w:ascii="Times New Roman"/>
                <w:sz w:val="18"/>
              </w:rPr>
              <w:t>1.66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172,588</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,826.58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3,651,761</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,789.17</w:t>
            </w:r>
          </w:p>
        </w:tc>
      </w:tr>
    </w:tbl>
    <w:p>
      <w:pPr>
        <w:pStyle w:val="BodyText"/>
        <w:spacing w:line="240" w:lineRule="auto" w:before="51"/>
        <w:ind w:left="17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5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25"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5"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7"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22" w:space="0" w:color="D2D2D2"/>
              <w:right w:val="single" w:sz="23" w:space="0" w:color="D2D2D2"/>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23" w:space="0" w:color="D2D2D2"/>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23" w:space="0" w:color="D2D2D2"/>
              <w:right w:val="single" w:sz="23" w:space="0" w:color="D2D2D2"/>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3"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22"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23" w:space="0" w:color="D2D2D2"/>
            </w:tcBorders>
          </w:tcPr>
          <w:p>
            <w:pPr/>
          </w:p>
        </w:tc>
        <w:tc>
          <w:tcPr>
            <w:tcW w:w="797" w:type="dxa"/>
            <w:vMerge/>
            <w:tcBorders>
              <w:left w:val="single" w:sz="23" w:space="0" w:color="D2D2D2"/>
              <w:bottom w:val="nil" w:sz="6" w:space="0" w:color="auto"/>
              <w:right w:val="single" w:sz="23"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9"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42" w:type="dxa"/>
            <w:tcBorders>
              <w:top w:val="single" w:sz="52" w:space="0" w:color="D2D2D2"/>
              <w:left w:val="single" w:sz="13" w:space="0" w:color="D2D2D2"/>
              <w:bottom w:val="single" w:sz="48" w:space="0" w:color="D2D2D2"/>
              <w:right w:val="single" w:sz="13" w:space="0" w:color="D2D2D2"/>
            </w:tcBorders>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6"/>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3"/>
              <w:ind w:left="128"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3"/>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28,528,73</w:t>
            </w:r>
          </w:p>
          <w:p>
            <w:pPr>
              <w:pStyle w:val="TableParagraph"/>
              <w:spacing w:line="240" w:lineRule="auto" w:before="33"/>
              <w:ind w:left="449" w:right="0"/>
              <w:jc w:val="left"/>
              <w:rPr>
                <w:rFonts w:ascii="Times New Roman" w:hAnsi="Times New Roman" w:cs="Times New Roman" w:eastAsia="Times New Roman" w:hint="default"/>
                <w:sz w:val="18"/>
                <w:szCs w:val="18"/>
              </w:rPr>
            </w:pPr>
            <w:r>
              <w:rPr>
                <w:rFonts w:ascii="Times New Roman"/>
                <w:sz w:val="18"/>
              </w:rPr>
              <w:t>2.05</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47"/>
              <w:ind w:left="58" w:right="0"/>
              <w:jc w:val="left"/>
              <w:rPr>
                <w:rFonts w:ascii="Times New Roman" w:hAnsi="Times New Roman" w:cs="Times New Roman" w:eastAsia="Times New Roman" w:hint="default"/>
                <w:sz w:val="18"/>
                <w:szCs w:val="18"/>
              </w:rPr>
            </w:pPr>
            <w:r>
              <w:rPr>
                <w:rFonts w:ascii="Times New Roman"/>
                <w:sz w:val="18"/>
              </w:rPr>
              <w:t>151,671</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,962.74</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Times New Roman" w:hAnsi="Times New Roman" w:cs="Times New Roman" w:eastAsia="Times New Roman" w:hint="default"/>
                <w:sz w:val="18"/>
                <w:szCs w:val="18"/>
              </w:rPr>
            </w:pPr>
            <w:r>
              <w:rPr>
                <w:rFonts w:ascii="Times New Roman"/>
                <w:sz w:val="18"/>
              </w:rPr>
              <w:t>3,625,794</w:t>
            </w:r>
          </w:p>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,485.72</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6"/>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3"/>
              <w:ind w:left="128"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3"/>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28,528,73</w:t>
            </w:r>
          </w:p>
          <w:p>
            <w:pPr>
              <w:pStyle w:val="TableParagraph"/>
              <w:spacing w:line="240" w:lineRule="auto" w:before="33"/>
              <w:ind w:left="449" w:right="0"/>
              <w:jc w:val="left"/>
              <w:rPr>
                <w:rFonts w:ascii="Times New Roman" w:hAnsi="Times New Roman" w:cs="Times New Roman" w:eastAsia="Times New Roman" w:hint="default"/>
                <w:sz w:val="18"/>
                <w:szCs w:val="18"/>
              </w:rPr>
            </w:pPr>
            <w:r>
              <w:rPr>
                <w:rFonts w:ascii="Times New Roman"/>
                <w:sz w:val="18"/>
              </w:rPr>
              <w:t>2.05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 w:right="0"/>
              <w:jc w:val="left"/>
              <w:rPr>
                <w:rFonts w:ascii="Times New Roman" w:hAnsi="Times New Roman" w:cs="Times New Roman" w:eastAsia="Times New Roman" w:hint="default"/>
                <w:sz w:val="18"/>
                <w:szCs w:val="18"/>
              </w:rPr>
            </w:pPr>
            <w:r>
              <w:rPr>
                <w:rFonts w:ascii="Times New Roman"/>
                <w:sz w:val="18"/>
              </w:rPr>
              <w:t>151,671</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,962.74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3,625,794</w:t>
            </w:r>
          </w:p>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,485.72</w:t>
            </w: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15,572,</w:t>
            </w:r>
          </w:p>
          <w:p>
            <w:pPr>
              <w:pStyle w:val="TableParagraph"/>
              <w:spacing w:line="240" w:lineRule="auto" w:before="33"/>
              <w:ind w:left="148" w:right="0"/>
              <w:jc w:val="left"/>
              <w:rPr>
                <w:rFonts w:ascii="Times New Roman" w:hAnsi="Times New Roman" w:cs="Times New Roman" w:eastAsia="Times New Roman" w:hint="default"/>
                <w:sz w:val="18"/>
                <w:szCs w:val="18"/>
              </w:rPr>
            </w:pPr>
            <w:r>
              <w:rPr>
                <w:rFonts w:ascii="Times New Roman"/>
                <w:sz w:val="18"/>
              </w:rPr>
              <w:t>864.61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3"/>
              <w:ind w:left="433" w:right="0"/>
              <w:jc w:val="left"/>
              <w:rPr>
                <w:rFonts w:ascii="Times New Roman" w:hAnsi="Times New Roman" w:cs="Times New Roman" w:eastAsia="Times New Roman" w:hint="default"/>
                <w:sz w:val="18"/>
                <w:szCs w:val="18"/>
              </w:rPr>
            </w:pPr>
            <w:r>
              <w:rPr>
                <w:rFonts w:ascii="Times New Roman"/>
                <w:sz w:val="18"/>
              </w:rPr>
              <w:t>2.90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3"/>
              <w:ind w:left="148" w:right="0"/>
              <w:jc w:val="left"/>
              <w:rPr>
                <w:rFonts w:ascii="Times New Roman" w:hAnsi="Times New Roman" w:cs="Times New Roman" w:eastAsia="Times New Roman" w:hint="default"/>
                <w:sz w:val="18"/>
                <w:szCs w:val="18"/>
              </w:rPr>
            </w:pPr>
            <w:r>
              <w:rPr>
                <w:rFonts w:ascii="Times New Roman"/>
                <w:sz w:val="18"/>
              </w:rPr>
              <w:t>182.90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7" w:right="0"/>
              <w:jc w:val="lef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3"/>
              <w:ind w:left="433" w:right="0"/>
              <w:jc w:val="left"/>
              <w:rPr>
                <w:rFonts w:ascii="Times New Roman" w:hAnsi="Times New Roman" w:cs="Times New Roman" w:eastAsia="Times New Roman" w:hint="default"/>
                <w:sz w:val="18"/>
                <w:szCs w:val="18"/>
              </w:rPr>
            </w:pPr>
            <w:r>
              <w:rPr>
                <w:rFonts w:ascii="Times New Roman"/>
                <w:sz w:val="18"/>
              </w:rPr>
              <w:t>2.90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26"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3"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.29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64"/>
              <w:ind w:left="21" w:right="0"/>
              <w:jc w:val="center"/>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3"/>
              <w:ind w:left="216" w:right="0"/>
              <w:jc w:val="center"/>
              <w:rPr>
                <w:rFonts w:ascii="Times New Roman" w:hAnsi="Times New Roman" w:cs="Times New Roman" w:eastAsia="Times New Roman" w:hint="default"/>
                <w:sz w:val="18"/>
                <w:szCs w:val="18"/>
              </w:rPr>
            </w:pPr>
            <w:r>
              <w:rPr>
                <w:rFonts w:ascii="Times New Roman"/>
                <w:sz w:val="18"/>
              </w:rPr>
              <w:t>18.29</w:t>
            </w:r>
          </w:p>
        </w:tc>
        <w:tc>
          <w:tcPr>
            <w:tcW w:w="781" w:type="dxa"/>
            <w:vMerge w:val="restart"/>
            <w:tcBorders>
              <w:top w:val="single" w:sz="4" w:space="0" w:color="000000"/>
              <w:left w:val="single" w:sz="4" w:space="0" w:color="000000"/>
              <w:right w:val="single" w:sz="4" w:space="0" w:color="000000"/>
            </w:tcBorders>
          </w:tcPr>
          <w:p>
            <w:pPr/>
          </w:p>
        </w:tc>
      </w:tr>
      <w:tr>
        <w:trPr>
          <w:trHeight w:val="444"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3"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571" w:hRule="exact"/>
        </w:trPr>
        <w:tc>
          <w:tcPr>
            <w:tcW w:w="1442" w:type="dxa"/>
            <w:tcBorders>
              <w:top w:val="single" w:sz="48" w:space="0" w:color="D2D2D2"/>
              <w:left w:val="single" w:sz="13" w:space="0" w:color="D2D2D2"/>
              <w:bottom w:val="single" w:sz="52" w:space="0" w:color="D2D2D2"/>
              <w:right w:val="single" w:sz="13" w:space="0" w:color="D2D2D2"/>
            </w:tcBorders>
          </w:tcPr>
          <w:p>
            <w:pPr>
              <w:pStyle w:val="TableParagraph"/>
              <w:spacing w:line="240" w:lineRule="auto" w:before="8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center"/>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3"/>
              <w:ind w:left="216" w:right="0"/>
              <w:jc w:val="center"/>
              <w:rPr>
                <w:rFonts w:ascii="Times New Roman" w:hAnsi="Times New Roman" w:cs="Times New Roman" w:eastAsia="Times New Roman" w:hint="default"/>
                <w:sz w:val="18"/>
                <w:szCs w:val="18"/>
              </w:rPr>
            </w:pPr>
            <w:r>
              <w:rPr>
                <w:rFonts w:ascii="Times New Roman"/>
                <w:sz w:val="18"/>
              </w:rPr>
              <w:t>18.29</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4"/>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30,259,05</w:t>
            </w:r>
          </w:p>
          <w:p>
            <w:pPr>
              <w:pStyle w:val="TableParagraph"/>
              <w:spacing w:line="240" w:lineRule="auto" w:before="34"/>
              <w:ind w:left="449" w:right="0"/>
              <w:jc w:val="left"/>
              <w:rPr>
                <w:rFonts w:ascii="Times New Roman" w:hAnsi="Times New Roman" w:cs="Times New Roman" w:eastAsia="Times New Roman" w:hint="default"/>
                <w:sz w:val="18"/>
                <w:szCs w:val="18"/>
              </w:rPr>
            </w:pPr>
            <w:r>
              <w:rPr>
                <w:rFonts w:ascii="Times New Roman"/>
                <w:sz w:val="18"/>
              </w:rPr>
              <w:t>0.34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167,244</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,827.35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3,643,097</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,668.62</w:t>
            </w:r>
          </w:p>
        </w:tc>
      </w:tr>
    </w:tbl>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三、公司基本情况" w:id="189"/>
      <w:bookmarkEnd w:id="189"/>
      <w:r>
        <w:rPr>
          <w:b w:val="0"/>
          <w:bCs w:val="0"/>
        </w:rPr>
      </w:r>
      <w:r>
        <w:rPr/>
        <w:t>三、公司基本情况</w:t>
      </w:r>
      <w:r>
        <w:rPr>
          <w:b w:val="0"/>
          <w:bCs w:val="0"/>
        </w:rPr>
      </w:r>
    </w:p>
    <w:p>
      <w:pPr>
        <w:spacing w:line="240" w:lineRule="auto" w:before="9"/>
        <w:rPr>
          <w:rFonts w:ascii="宋体" w:hAnsi="宋体" w:cs="宋体" w:eastAsia="宋体" w:hint="default"/>
          <w:b/>
          <w:bCs/>
          <w:sz w:val="26"/>
          <w:szCs w:val="26"/>
        </w:rPr>
      </w:pPr>
    </w:p>
    <w:p>
      <w:pPr>
        <w:pStyle w:val="BodyText"/>
        <w:spacing w:line="302" w:lineRule="auto" w:before="0"/>
        <w:ind w:left="174" w:right="1119" w:firstLine="360"/>
        <w:jc w:val="left"/>
      </w:pPr>
      <w:r>
        <w:rPr>
          <w:spacing w:val="-4"/>
        </w:rPr>
        <w:t>金财互联控股股份有限公司（原名“江苏丰东热技术股份有限公司”）为境内公开发行</w:t>
      </w:r>
      <w:r>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20"/>
          <w:w w:val="99"/>
        </w:rPr>
        <w:t> </w:t>
      </w:r>
      <w:r>
        <w:rPr/>
        <w:t>股股票并在深圳证券交易所上 市的股份有限公司。</w:t>
      </w:r>
    </w:p>
    <w:p>
      <w:pPr>
        <w:pStyle w:val="BodyText"/>
        <w:spacing w:line="300" w:lineRule="auto" w:before="69"/>
        <w:ind w:left="174" w:right="0" w:firstLine="360"/>
        <w:jc w:val="left"/>
      </w:pPr>
      <w:r>
        <w:rPr>
          <w:spacing w:val="-5"/>
        </w:rPr>
        <w:t>经中国证券监督管理委员会《关于核准江苏丰东热技术股份有限公司首次公开发行股票的批复》（证监许可［</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1757</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的核准，公司向社会公开发行人民币普通股股票</w:t>
      </w:r>
      <w:r>
        <w:rPr>
          <w:spacing w:val="-45"/>
        </w:rPr>
        <w:t> </w:t>
      </w:r>
      <w:r>
        <w:rPr>
          <w:rFonts w:ascii="Times New Roman" w:hAnsi="Times New Roman" w:cs="Times New Roman" w:eastAsia="Times New Roman" w:hint="default"/>
        </w:rPr>
        <w:t>3,400</w:t>
      </w:r>
      <w:r>
        <w:rPr>
          <w:rFonts w:ascii="Times New Roman" w:hAnsi="Times New Roman" w:cs="Times New Roman" w:eastAsia="Times New Roman" w:hint="default"/>
          <w:spacing w:val="-1"/>
        </w:rPr>
        <w:t> </w:t>
      </w:r>
      <w:r>
        <w:rPr/>
        <w:t>万股，每股面值壹元，每股发行价为人民币壹拾贰元，募集资金 </w:t>
      </w:r>
      <w:r>
        <w:rPr>
          <w:spacing w:val="-4"/>
        </w:rPr>
        <w:t>总额为人民币肆亿零捌佰万元整。经深圳证券交易所《关于江苏丰东热技术股份有限公司人民币普通股股票上市交易的通知》</w:t>
      </w:r>
    </w:p>
    <w:p>
      <w:pPr>
        <w:pStyle w:val="BodyText"/>
        <w:spacing w:line="302" w:lineRule="auto" w:before="31"/>
        <w:ind w:left="174" w:right="1168"/>
        <w:jc w:val="left"/>
      </w:pPr>
      <w:r>
        <w:rPr/>
        <w:t>（深证［</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429</w:t>
      </w:r>
      <w:r>
        <w:rPr>
          <w:rFonts w:ascii="Times New Roman" w:hAnsi="Times New Roman" w:cs="Times New Roman" w:eastAsia="Times New Roman" w:hint="default"/>
          <w:spacing w:val="-1"/>
        </w:rPr>
        <w:t> </w:t>
      </w:r>
      <w:r>
        <w:rPr/>
        <w:t>号）同意，本公司发行的人民币普通股股票在深圳证券交易所上市，证券简称“丰东股份</w:t>
      </w:r>
      <w:r>
        <w:rPr>
          <w:spacing w:val="-90"/>
        </w:rPr>
        <w:t>”</w:t>
      </w:r>
      <w:r>
        <w:rPr/>
        <w:t>，股票代码</w:t>
      </w:r>
      <w:r>
        <w:rPr/>
        <w:t> “</w:t>
      </w:r>
      <w:r>
        <w:rPr>
          <w:rFonts w:ascii="Times New Roman" w:hAnsi="Times New Roman" w:cs="Times New Roman" w:eastAsia="Times New Roman" w:hint="default"/>
        </w:rPr>
        <w:t>002530</w:t>
      </w:r>
      <w:r>
        <w:rPr>
          <w:spacing w:val="-90"/>
        </w:rPr>
        <w:t>”</w:t>
      </w:r>
      <w:r>
        <w:rPr/>
        <w:t>。</w:t>
      </w:r>
    </w:p>
    <w:p>
      <w:pPr>
        <w:pStyle w:val="BodyText"/>
        <w:spacing w:line="307" w:lineRule="auto" w:before="49"/>
        <w:ind w:left="174" w:right="1052" w:firstLine="360"/>
        <w:jc w:val="left"/>
      </w:pPr>
      <w:r>
        <w:rPr>
          <w:spacing w:val="-2"/>
        </w:rPr>
        <w:t>根据财政部、国资委、证监会和全国社保基金理事会联合印发的《境内证券市场转持部分国有股充实全国社会保障基金</w:t>
      </w:r>
      <w:r>
        <w:rPr/>
        <w:t> </w:t>
      </w:r>
      <w:r>
        <w:rPr>
          <w:spacing w:val="-2"/>
        </w:rPr>
        <w:t>实施办法》文件规定及江苏省国资委《关于同意江苏丰东热技术股份有限公司国有股转持的批复》（苏国资复</w:t>
      </w:r>
      <w:r>
        <w:rPr>
          <w:rFonts w:ascii="Times New Roman" w:hAnsi="Times New Roman" w:cs="Times New Roman" w:eastAsia="Times New Roman" w:hint="default"/>
          <w:spacing w:val="-2"/>
        </w:rPr>
        <w:t>[2010]51</w:t>
      </w:r>
      <w:r>
        <w:rPr>
          <w:rFonts w:ascii="Times New Roman" w:hAnsi="Times New Roman" w:cs="Times New Roman" w:eastAsia="Times New Roman" w:hint="default"/>
          <w:spacing w:val="17"/>
        </w:rPr>
        <w:t> </w:t>
      </w:r>
      <w:r>
        <w:rPr>
          <w:spacing w:val="-30"/>
        </w:rPr>
        <w:t>号），</w:t>
      </w:r>
      <w:r>
        <w:rPr>
          <w:spacing w:val="-87"/>
        </w:rPr>
        <w:t> </w:t>
      </w:r>
      <w:r>
        <w:rPr>
          <w:spacing w:val="-87"/>
        </w:rPr>
      </w:r>
      <w:r>
        <w:rPr/>
        <w:t>江苏高科技投资集团有限公司将持有的本公司</w:t>
      </w:r>
      <w:r>
        <w:rPr>
          <w:spacing w:val="-50"/>
        </w:rPr>
        <w:t> </w:t>
      </w:r>
      <w:r>
        <w:rPr>
          <w:rFonts w:ascii="Times New Roman" w:hAnsi="Times New Roman" w:cs="Times New Roman" w:eastAsia="Times New Roman" w:hint="default"/>
        </w:rPr>
        <w:t>340</w:t>
      </w:r>
      <w:r>
        <w:rPr>
          <w:rFonts w:ascii="Times New Roman" w:hAnsi="Times New Roman" w:cs="Times New Roman" w:eastAsia="Times New Roman" w:hint="default"/>
          <w:spacing w:val="-5"/>
        </w:rPr>
        <w:t> </w:t>
      </w:r>
      <w:r>
        <w:rPr>
          <w:spacing w:val="-3"/>
        </w:rPr>
        <w:t>万股股份（按本次发行</w:t>
      </w:r>
      <w:r>
        <w:rPr>
          <w:spacing w:val="-50"/>
        </w:rPr>
        <w:t> </w:t>
      </w:r>
      <w:r>
        <w:rPr>
          <w:rFonts w:ascii="Times New Roman" w:hAnsi="Times New Roman" w:cs="Times New Roman" w:eastAsia="Times New Roman" w:hint="default"/>
        </w:rPr>
        <w:t>3,400</w:t>
      </w:r>
      <w:r>
        <w:rPr>
          <w:rFonts w:ascii="Times New Roman" w:hAnsi="Times New Roman" w:cs="Times New Roman" w:eastAsia="Times New Roman" w:hint="default"/>
          <w:spacing w:val="-5"/>
        </w:rPr>
        <w:t> </w:t>
      </w:r>
      <w:r>
        <w:rPr/>
        <w:t>万股的</w:t>
      </w:r>
      <w:r>
        <w:rPr>
          <w:spacing w:val="-50"/>
        </w:rPr>
        <w:t> </w:t>
      </w:r>
      <w:r>
        <w:rPr>
          <w:rFonts w:ascii="Times New Roman" w:hAnsi="Times New Roman" w:cs="Times New Roman" w:eastAsia="Times New Roman" w:hint="default"/>
        </w:rPr>
        <w:t>10%</w:t>
      </w:r>
      <w:r>
        <w:rPr/>
        <w:t>计算）划转给全国社会保障基金 理事会。</w:t>
      </w:r>
    </w:p>
    <w:p>
      <w:pPr>
        <w:pStyle w:val="BodyText"/>
        <w:spacing w:line="300" w:lineRule="auto" w:before="64"/>
        <w:ind w:left="174" w:right="1148" w:firstLine="360"/>
        <w:jc w:val="left"/>
        <w:rPr>
          <w:rFonts w:ascii="Times New Roman" w:hAnsi="Times New Roman" w:cs="Times New Roman" w:eastAsia="Times New Roman" w:hint="default"/>
        </w:rPr>
      </w:pPr>
      <w:r>
        <w:rPr>
          <w:spacing w:val="-2"/>
        </w:rPr>
        <w:t>根据中华人民共和国财政部《关于回拨江苏丰东热技术股份有限公司部分国有股有关问题的通知》（财企</w:t>
      </w:r>
      <w:r>
        <w:rPr>
          <w:rFonts w:ascii="Times New Roman" w:hAnsi="Times New Roman" w:cs="Times New Roman" w:eastAsia="Times New Roman" w:hint="default"/>
          <w:spacing w:val="-2"/>
        </w:rPr>
        <w:t>[2011]43</w:t>
      </w:r>
      <w:r>
        <w:rPr>
          <w:rFonts w:ascii="Times New Roman" w:hAnsi="Times New Roman" w:cs="Times New Roman" w:eastAsia="Times New Roman" w:hint="default"/>
          <w:spacing w:val="7"/>
        </w:rPr>
        <w:t> </w:t>
      </w:r>
      <w:r>
        <w:rPr/>
        <w:t>号） 文件规定，江苏高科技投资集团有限公司原划转给全国社会保障基金理事会持有的本公司</w:t>
      </w:r>
      <w:r>
        <w:rPr>
          <w:spacing w:val="-47"/>
        </w:rPr>
        <w:t> </w:t>
      </w:r>
      <w:r>
        <w:rPr>
          <w:rFonts w:ascii="Times New Roman" w:hAnsi="Times New Roman" w:cs="Times New Roman" w:eastAsia="Times New Roman" w:hint="default"/>
        </w:rPr>
        <w:t>340</w:t>
      </w:r>
      <w:r>
        <w:rPr>
          <w:rFonts w:ascii="Times New Roman" w:hAnsi="Times New Roman" w:cs="Times New Roman" w:eastAsia="Times New Roman" w:hint="default"/>
          <w:spacing w:val="-3"/>
        </w:rPr>
        <w:t> </w:t>
      </w:r>
      <w:r>
        <w:rPr/>
        <w:t>万股限售流通股于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6</w:t>
      </w:r>
    </w:p>
    <w:p>
      <w:pPr>
        <w:pStyle w:val="BodyText"/>
        <w:spacing w:line="240" w:lineRule="auto" w:before="14"/>
        <w:ind w:left="174" w:right="0"/>
        <w:jc w:val="left"/>
      </w:pP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日回拨到江苏高科技投资集团有限公司的证券账户中。</w:t>
      </w:r>
    </w:p>
    <w:p>
      <w:pPr>
        <w:pStyle w:val="BodyText"/>
        <w:spacing w:line="240" w:lineRule="auto" w:before="102"/>
        <w:ind w:right="0"/>
        <w:jc w:val="left"/>
        <w:rPr>
          <w:rFonts w:ascii="Times New Roman" w:hAnsi="Times New Roman" w:cs="Times New Roman" w:eastAsia="Times New Roman" w:hint="default"/>
        </w:rPr>
      </w:pPr>
      <w:r>
        <w:rPr/>
        <w:t>根据公司</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年年度股东大会决议，本公司实施资本公积转增注册资本</w:t>
      </w:r>
      <w:r>
        <w:rPr>
          <w:spacing w:val="-51"/>
        </w:rPr>
        <w:t> </w:t>
      </w:r>
      <w:r>
        <w:rPr>
          <w:rFonts w:ascii="Times New Roman" w:hAnsi="Times New Roman" w:cs="Times New Roman" w:eastAsia="Times New Roman" w:hint="default"/>
        </w:rPr>
        <w:t>134,000,000</w:t>
      </w:r>
      <w:r>
        <w:rPr>
          <w:rFonts w:ascii="Times New Roman" w:hAnsi="Times New Roman" w:cs="Times New Roman" w:eastAsia="Times New Roman" w:hint="default"/>
          <w:spacing w:val="-5"/>
        </w:rPr>
        <w:t> </w:t>
      </w:r>
      <w:r>
        <w:rPr/>
        <w:t>元，转增基准日为</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29</w:t>
      </w:r>
    </w:p>
    <w:p>
      <w:pPr>
        <w:pStyle w:val="BodyText"/>
        <w:spacing w:line="240" w:lineRule="auto" w:before="64"/>
        <w:ind w:left="174" w:right="0"/>
        <w:jc w:val="left"/>
      </w:pPr>
      <w:r>
        <w:rPr/>
        <w:t>日，转增后本公司注册资本为人民币</w:t>
      </w:r>
      <w:r>
        <w:rPr>
          <w:spacing w:val="-46"/>
        </w:rPr>
        <w:t> </w:t>
      </w:r>
      <w:r>
        <w:rPr>
          <w:rFonts w:ascii="Times New Roman" w:hAnsi="Times New Roman" w:cs="Times New Roman" w:eastAsia="Times New Roman" w:hint="default"/>
        </w:rPr>
        <w:t>268,000,000 </w:t>
      </w:r>
      <w:r>
        <w:rPr/>
        <w:t>元。</w:t>
      </w:r>
    </w:p>
    <w:p>
      <w:pPr>
        <w:pStyle w:val="BodyText"/>
        <w:spacing w:line="300" w:lineRule="auto" w:before="101"/>
        <w:ind w:left="174" w:right="1131" w:firstLine="360"/>
        <w:jc w:val="both"/>
      </w:pPr>
      <w:r>
        <w:rPr/>
        <w:t>根据公司</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2"/>
        </w:rPr>
        <w:t>日第三届董事会第十七次会议决议及中国证券监督管理委员会《关于核准江苏丰东热技术股份</w:t>
      </w:r>
      <w:r>
        <w:rPr/>
        <w:t> </w:t>
      </w:r>
      <w:r>
        <w:rPr>
          <w:spacing w:val="-3"/>
        </w:rPr>
        <w:t>有限公司向徐正军等发行股份购买资产并募集配套资金的批复》（证监许可</w:t>
      </w:r>
      <w:r>
        <w:rPr>
          <w:rFonts w:ascii="Times New Roman" w:hAnsi="Times New Roman" w:cs="Times New Roman" w:eastAsia="Times New Roman" w:hint="default"/>
          <w:spacing w:val="-3"/>
        </w:rPr>
        <w:t>[2016]2334</w:t>
      </w:r>
      <w:r>
        <w:rPr>
          <w:rFonts w:ascii="Times New Roman" w:hAnsi="Times New Roman" w:cs="Times New Roman" w:eastAsia="Times New Roman" w:hint="default"/>
        </w:rPr>
        <w:t> </w:t>
      </w:r>
      <w:r>
        <w:rPr/>
        <w:t>号）文核准，同意本公司向方欣科技</w:t>
      </w:r>
      <w:r>
        <w:rPr>
          <w:spacing w:val="-53"/>
        </w:rPr>
        <w:t> </w:t>
      </w:r>
      <w:r>
        <w:rPr/>
        <w:t>有限公司股东徐正军发行</w:t>
      </w:r>
      <w:r>
        <w:rPr>
          <w:spacing w:val="-43"/>
        </w:rPr>
        <w:t> </w:t>
      </w:r>
      <w:r>
        <w:rPr>
          <w:rFonts w:ascii="Times New Roman" w:hAnsi="Times New Roman" w:cs="Times New Roman" w:eastAsia="Times New Roman" w:hint="default"/>
        </w:rPr>
        <w:t>80,126,857</w:t>
      </w:r>
      <w:r>
        <w:rPr>
          <w:rFonts w:ascii="Times New Roman" w:hAnsi="Times New Roman" w:cs="Times New Roman" w:eastAsia="Times New Roman" w:hint="default"/>
          <w:spacing w:val="2"/>
        </w:rPr>
        <w:t> </w:t>
      </w:r>
      <w:r>
        <w:rPr>
          <w:spacing w:val="-3"/>
        </w:rPr>
        <w:t>股、向股东王金根发行</w:t>
      </w:r>
      <w:r>
        <w:rPr>
          <w:spacing w:val="-43"/>
        </w:rPr>
        <w:t> </w:t>
      </w:r>
      <w:r>
        <w:rPr>
          <w:rFonts w:ascii="Times New Roman" w:hAnsi="Times New Roman" w:cs="Times New Roman" w:eastAsia="Times New Roman" w:hint="default"/>
        </w:rPr>
        <w:t>34,069,687</w:t>
      </w:r>
      <w:r>
        <w:rPr>
          <w:rFonts w:ascii="Times New Roman" w:hAnsi="Times New Roman" w:cs="Times New Roman" w:eastAsia="Times New Roman" w:hint="default"/>
          <w:spacing w:val="2"/>
        </w:rPr>
        <w:t> </w:t>
      </w:r>
      <w:r>
        <w:rPr>
          <w:spacing w:val="-3"/>
        </w:rPr>
        <w:t>股、向股东北京众诚方圆投资中心（有限合伙）发行</w:t>
      </w:r>
    </w:p>
    <w:p>
      <w:pPr>
        <w:pStyle w:val="BodyText"/>
        <w:spacing w:line="240" w:lineRule="auto" w:before="13"/>
        <w:ind w:left="174" w:right="0"/>
        <w:jc w:val="left"/>
      </w:pPr>
      <w:r>
        <w:rPr>
          <w:rFonts w:ascii="Times New Roman" w:hAnsi="Times New Roman" w:cs="Times New Roman" w:eastAsia="Times New Roman" w:hint="default"/>
        </w:rPr>
        <w:t>10,331,948</w:t>
      </w:r>
      <w:r>
        <w:rPr>
          <w:rFonts w:ascii="Times New Roman" w:hAnsi="Times New Roman" w:cs="Times New Roman" w:eastAsia="Times New Roman" w:hint="default"/>
          <w:spacing w:val="-1"/>
        </w:rPr>
        <w:t> </w:t>
      </w:r>
      <w:r>
        <w:rPr/>
        <w:t>股、向股东深圳市金蝶软件配套用品有限公司发行</w:t>
      </w:r>
      <w:r>
        <w:rPr>
          <w:spacing w:val="-47"/>
        </w:rPr>
        <w:t> </w:t>
      </w:r>
      <w:r>
        <w:rPr>
          <w:rFonts w:ascii="Times New Roman" w:hAnsi="Times New Roman" w:cs="Times New Roman" w:eastAsia="Times New Roman" w:hint="default"/>
        </w:rPr>
        <w:t>6,309,201</w:t>
      </w:r>
      <w:r>
        <w:rPr>
          <w:rFonts w:ascii="Times New Roman" w:hAnsi="Times New Roman" w:cs="Times New Roman" w:eastAsia="Times New Roman" w:hint="default"/>
          <w:spacing w:val="-2"/>
        </w:rPr>
        <w:t> </w:t>
      </w:r>
      <w:r>
        <w:rPr/>
        <w:t>股、向股东苏州松禾成长二号创业投资中心（有限</w:t>
      </w:r>
    </w:p>
    <w:p>
      <w:pPr>
        <w:pStyle w:val="BodyText"/>
        <w:spacing w:line="240" w:lineRule="auto" w:before="63"/>
        <w:ind w:left="174" w:right="0"/>
        <w:jc w:val="left"/>
      </w:pPr>
      <w:r>
        <w:rPr/>
        <w:t>合伙）发行</w:t>
      </w:r>
      <w:r>
        <w:rPr>
          <w:spacing w:val="-47"/>
        </w:rPr>
        <w:t> </w:t>
      </w:r>
      <w:r>
        <w:rPr>
          <w:rFonts w:ascii="Times New Roman" w:hAnsi="Times New Roman" w:cs="Times New Roman" w:eastAsia="Times New Roman" w:hint="default"/>
        </w:rPr>
        <w:t>5,938,220</w:t>
      </w:r>
      <w:r>
        <w:rPr>
          <w:rFonts w:ascii="Times New Roman" w:hAnsi="Times New Roman" w:cs="Times New Roman" w:eastAsia="Times New Roman" w:hint="default"/>
          <w:spacing w:val="-2"/>
        </w:rPr>
        <w:t> </w:t>
      </w:r>
      <w:r>
        <w:rPr/>
        <w:t>股、向股东广州西域洪昌互联网创业投资合伙企业（有限合伙）发行</w:t>
      </w:r>
      <w:r>
        <w:rPr>
          <w:spacing w:val="-46"/>
        </w:rPr>
        <w:t> </w:t>
      </w:r>
      <w:r>
        <w:rPr>
          <w:rFonts w:ascii="Times New Roman" w:hAnsi="Times New Roman" w:cs="Times New Roman" w:eastAsia="Times New Roman" w:hint="default"/>
        </w:rPr>
        <w:t>5,938,220</w:t>
      </w:r>
      <w:r>
        <w:rPr>
          <w:rFonts w:ascii="Times New Roman" w:hAnsi="Times New Roman" w:cs="Times New Roman" w:eastAsia="Times New Roman" w:hint="default"/>
          <w:spacing w:val="-2"/>
        </w:rPr>
        <w:t> </w:t>
      </w:r>
      <w:r>
        <w:rPr/>
        <w:t>股、向股东曹锋发行</w:t>
      </w:r>
    </w:p>
    <w:p>
      <w:pPr>
        <w:spacing w:after="0" w:line="240"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240" w:lineRule="auto"/>
        <w:ind w:left="174" w:right="0"/>
        <w:jc w:val="left"/>
      </w:pPr>
      <w:r>
        <w:rPr>
          <w:rFonts w:ascii="Times New Roman" w:hAnsi="Times New Roman" w:cs="Times New Roman" w:eastAsia="Times New Roman" w:hint="default"/>
        </w:rPr>
        <w:t>3,785,520</w:t>
      </w:r>
      <w:r>
        <w:rPr>
          <w:rFonts w:ascii="Times New Roman" w:hAnsi="Times New Roman" w:cs="Times New Roman" w:eastAsia="Times New Roman" w:hint="default"/>
          <w:spacing w:val="-9"/>
        </w:rPr>
        <w:t> </w:t>
      </w:r>
      <w:r>
        <w:rPr/>
        <w:t>股、向股东邓国庭发行</w:t>
      </w:r>
      <w:r>
        <w:rPr>
          <w:spacing w:val="-54"/>
        </w:rPr>
        <w:t> </w:t>
      </w:r>
      <w:r>
        <w:rPr>
          <w:rFonts w:ascii="Times New Roman" w:hAnsi="Times New Roman" w:cs="Times New Roman" w:eastAsia="Times New Roman" w:hint="default"/>
        </w:rPr>
        <w:t>1,892,760</w:t>
      </w:r>
      <w:r>
        <w:rPr>
          <w:rFonts w:ascii="Times New Roman" w:hAnsi="Times New Roman" w:cs="Times New Roman" w:eastAsia="Times New Roman" w:hint="default"/>
          <w:spacing w:val="-9"/>
        </w:rPr>
        <w:t> </w:t>
      </w:r>
      <w:r>
        <w:rPr/>
        <w:t>股；同意本公司非公开发行股份募集配套资金不超过</w:t>
      </w:r>
      <w:r>
        <w:rPr>
          <w:spacing w:val="-54"/>
        </w:rPr>
        <w:t> </w:t>
      </w:r>
      <w:r>
        <w:rPr>
          <w:rFonts w:ascii="Times New Roman" w:hAnsi="Times New Roman" w:cs="Times New Roman" w:eastAsia="Times New Roman" w:hint="default"/>
        </w:rPr>
        <w:t>74,349,440</w:t>
      </w:r>
      <w:r>
        <w:rPr>
          <w:rFonts w:ascii="Times New Roman" w:hAnsi="Times New Roman" w:cs="Times New Roman" w:eastAsia="Times New Roman" w:hint="default"/>
          <w:spacing w:val="-9"/>
        </w:rPr>
        <w:t> </w:t>
      </w:r>
      <w:r>
        <w:rPr/>
        <w:t>股。此次定向增</w:t>
      </w:r>
    </w:p>
    <w:p>
      <w:pPr>
        <w:pStyle w:val="BodyText"/>
        <w:spacing w:line="240" w:lineRule="auto" w:before="64"/>
        <w:ind w:left="174" w:right="0"/>
        <w:jc w:val="left"/>
      </w:pPr>
      <w:r>
        <w:rPr/>
        <w:t>发及配套募集资金完成后，本公司注册资本为人民币</w:t>
      </w:r>
      <w:r>
        <w:rPr>
          <w:spacing w:val="-47"/>
        </w:rPr>
        <w:t> </w:t>
      </w:r>
      <w:r>
        <w:rPr>
          <w:rFonts w:ascii="Times New Roman" w:hAnsi="Times New Roman" w:cs="Times New Roman" w:eastAsia="Times New Roman" w:hint="default"/>
        </w:rPr>
        <w:t>490,741,853.00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t>根据公司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日召开的</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spacing w:val="-8"/>
        </w:rPr>
        <w:t>年年度股东大会决议，公司变更名称、证券简称及经营范围。公司名称变更为“金</w:t>
      </w:r>
    </w:p>
    <w:p>
      <w:pPr>
        <w:pStyle w:val="BodyText"/>
        <w:spacing w:line="240" w:lineRule="auto" w:before="63"/>
        <w:ind w:left="174" w:right="0"/>
        <w:jc w:val="left"/>
        <w:rPr>
          <w:rFonts w:ascii="Times New Roman" w:hAnsi="Times New Roman" w:cs="Times New Roman" w:eastAsia="Times New Roman" w:hint="default"/>
        </w:rPr>
      </w:pPr>
      <w:r>
        <w:rPr/>
        <w:t>财互联控股股份有限公司</w:t>
      </w:r>
      <w:r>
        <w:rPr>
          <w:spacing w:val="-90"/>
        </w:rPr>
        <w:t>”</w:t>
      </w:r>
      <w:r>
        <w:rPr/>
        <w:t>，并于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日完成</w:t>
      </w:r>
      <w:r>
        <w:rPr>
          <w:spacing w:val="1"/>
        </w:rPr>
        <w:t>工</w:t>
      </w:r>
      <w:r>
        <w:rPr/>
        <w:t>商变更登记；经公司申请，深圳证券交易所批准，自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p>
    <w:p>
      <w:pPr>
        <w:pStyle w:val="BodyText"/>
        <w:spacing w:line="240" w:lineRule="auto" w:before="64"/>
        <w:ind w:left="174" w:right="0"/>
        <w:jc w:val="left"/>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日起，</w:t>
      </w:r>
      <w:r>
        <w:rPr>
          <w:spacing w:val="1"/>
        </w:rPr>
        <w:t>公</w:t>
      </w:r>
      <w:r>
        <w:rPr/>
        <w:t>司中文证券简称由“丰东股份”变更为“金财互联</w:t>
      </w:r>
      <w:r>
        <w:rPr>
          <w:spacing w:val="-90"/>
        </w:rPr>
        <w:t>”</w:t>
      </w:r>
      <w:r>
        <w:rPr/>
        <w:t>。</w:t>
      </w:r>
    </w:p>
    <w:p>
      <w:pPr>
        <w:pStyle w:val="BodyText"/>
        <w:spacing w:line="240" w:lineRule="auto" w:before="102"/>
        <w:ind w:right="0"/>
        <w:jc w:val="left"/>
      </w:pPr>
      <w:r>
        <w:rPr/>
        <w:t>根据公司</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w:t>
      </w:r>
      <w:r>
        <w:rPr>
          <w:spacing w:val="1"/>
        </w:rPr>
        <w:t>召</w:t>
      </w:r>
      <w:r>
        <w:rPr/>
        <w:t>开的</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年年度股东大会决议</w:t>
      </w:r>
      <w:r>
        <w:rPr>
          <w:spacing w:val="-90"/>
        </w:rPr>
        <w:t>，</w:t>
      </w:r>
      <w:r>
        <w:rPr/>
        <w:t>公司以</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spacing w:val="1"/>
        </w:rPr>
        <w:t>日</w:t>
      </w:r>
      <w:r>
        <w:rPr/>
        <w:t>的总股本</w:t>
      </w:r>
      <w:r>
        <w:rPr>
          <w:spacing w:val="-50"/>
        </w:rPr>
        <w:t> </w:t>
      </w:r>
      <w:r>
        <w:rPr>
          <w:rFonts w:ascii="Times New Roman" w:hAnsi="Times New Roman" w:cs="Times New Roman" w:eastAsia="Times New Roman" w:hint="default"/>
        </w:rPr>
        <w:t>490,741,853</w:t>
      </w:r>
      <w:r>
        <w:rPr>
          <w:rFonts w:ascii="Times New Roman" w:hAnsi="Times New Roman" w:cs="Times New Roman" w:eastAsia="Times New Roman" w:hint="default"/>
          <w:spacing w:val="-5"/>
        </w:rPr>
        <w:t> </w:t>
      </w:r>
      <w:r>
        <w:rPr/>
        <w:t>股为基数，</w:t>
      </w:r>
    </w:p>
    <w:p>
      <w:pPr>
        <w:pStyle w:val="BodyText"/>
        <w:spacing w:line="240" w:lineRule="auto" w:before="63"/>
        <w:ind w:left="174" w:right="0"/>
        <w:jc w:val="left"/>
      </w:pPr>
      <w:r>
        <w:rPr/>
        <w:t>以资本公积转增股本方式向全体股东每</w:t>
      </w:r>
      <w:r>
        <w:rPr>
          <w:spacing w:val="-46"/>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股，转增后公司总股本为</w:t>
      </w:r>
      <w:r>
        <w:rPr>
          <w:spacing w:val="-46"/>
        </w:rPr>
        <w:t> </w:t>
      </w:r>
      <w:r>
        <w:rPr>
          <w:rFonts w:ascii="Times New Roman" w:hAnsi="Times New Roman" w:cs="Times New Roman" w:eastAsia="Times New Roman" w:hint="default"/>
        </w:rPr>
        <w:t>785,186,964</w:t>
      </w:r>
      <w:r>
        <w:rPr>
          <w:rFonts w:ascii="Times New Roman" w:hAnsi="Times New Roman" w:cs="Times New Roman" w:eastAsia="Times New Roman" w:hint="default"/>
          <w:spacing w:val="-1"/>
        </w:rPr>
        <w:t> </w:t>
      </w:r>
      <w:r>
        <w:rPr/>
        <w:t>股，公司注册资本为人民币</w:t>
      </w:r>
    </w:p>
    <w:p>
      <w:pPr>
        <w:pStyle w:val="BodyText"/>
        <w:spacing w:line="240" w:lineRule="auto" w:before="64"/>
        <w:ind w:left="174" w:right="0"/>
        <w:jc w:val="left"/>
      </w:pPr>
      <w:r>
        <w:rPr>
          <w:rFonts w:ascii="Times New Roman" w:hAnsi="Times New Roman" w:cs="Times New Roman" w:eastAsia="Times New Roman" w:hint="default"/>
        </w:rPr>
        <w:t>785,186,964</w:t>
      </w:r>
      <w:r>
        <w:rPr>
          <w:rFonts w:ascii="Times New Roman" w:hAnsi="Times New Roman" w:cs="Times New Roman" w:eastAsia="Times New Roman" w:hint="default"/>
          <w:spacing w:val="-4"/>
        </w:rPr>
        <w:t> </w:t>
      </w:r>
      <w:r>
        <w:rPr/>
        <w:t>元。</w:t>
      </w:r>
    </w:p>
    <w:p>
      <w:pPr>
        <w:pStyle w:val="BodyText"/>
        <w:spacing w:line="240" w:lineRule="auto" w:before="102"/>
        <w:ind w:right="0"/>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日止的公司股权结构如下：</w:t>
      </w:r>
    </w:p>
    <w:p>
      <w:pPr>
        <w:spacing w:line="240" w:lineRule="auto" w:before="13"/>
        <w:rPr>
          <w:rFonts w:ascii="宋体" w:hAnsi="宋体" w:cs="宋体" w:eastAsia="宋体" w:hint="default"/>
          <w:sz w:val="6"/>
          <w:szCs w:val="6"/>
        </w:rPr>
      </w:pPr>
    </w:p>
    <w:tbl>
      <w:tblPr>
        <w:tblW w:w="0" w:type="auto"/>
        <w:jc w:val="left"/>
        <w:tblInd w:w="16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329"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35" w:right="0"/>
              <w:jc w:val="left"/>
              <w:rPr>
                <w:rFonts w:ascii="宋体" w:hAnsi="宋体" w:cs="宋体" w:eastAsia="宋体" w:hint="default"/>
                <w:sz w:val="18"/>
                <w:szCs w:val="18"/>
              </w:rPr>
            </w:pPr>
            <w:r>
              <w:rPr>
                <w:rFonts w:ascii="宋体" w:hAnsi="宋体" w:cs="宋体" w:eastAsia="宋体" w:hint="default"/>
                <w:sz w:val="18"/>
                <w:szCs w:val="18"/>
              </w:rPr>
              <w:t>无限售流通股</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35"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233,068.00</w:t>
            </w:r>
          </w:p>
        </w:tc>
        <w:tc>
          <w:tcPr>
            <w:tcW w:w="1981"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233,068.00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0.03%</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20,557,147.00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155,040,000.00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175,597,147.00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22.37%</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240,765,342.00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249,354,748.00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490,120,090.00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62.42%</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89,540,456.00</w:t>
            </w:r>
          </w:p>
        </w:tc>
        <w:tc>
          <w:tcPr>
            <w:tcW w:w="1981"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89,540,456.00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11.40%</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764,800.00</w:t>
            </w:r>
          </w:p>
        </w:tc>
        <w:tc>
          <w:tcPr>
            <w:tcW w:w="1981"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764,800.00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0.10%</w:t>
            </w:r>
          </w:p>
        </w:tc>
      </w:tr>
      <w:tr>
        <w:trPr>
          <w:trHeight w:val="330"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基金、理财产品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21,835,493.00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7,095,910.00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28,931,403.00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3.68%</w:t>
            </w:r>
          </w:p>
        </w:tc>
      </w:tr>
      <w:tr>
        <w:trPr>
          <w:trHeight w:val="331" w:hRule="exact"/>
        </w:trPr>
        <w:tc>
          <w:tcPr>
            <w:tcW w:w="1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373,696,306.00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411,490,658.00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785,186,964.00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6"/>
          <w:szCs w:val="6"/>
        </w:rPr>
      </w:pPr>
    </w:p>
    <w:p>
      <w:pPr>
        <w:pStyle w:val="BodyText"/>
        <w:spacing w:line="319" w:lineRule="auto"/>
        <w:ind w:left="174" w:right="1032" w:firstLine="360"/>
        <w:jc w:val="left"/>
      </w:pPr>
      <w:r>
        <w:rPr/>
        <w:t>经营范围：实业投资；股权投资；投资咨询；资产管理；税务服务；财务、税务咨询服务；互联网软、硬件产品研发、 </w:t>
      </w:r>
      <w:r>
        <w:rPr>
          <w:spacing w:val="-2"/>
        </w:rPr>
        <w:t>销售、技术服务、系统集成服务；数据服务；金属材料热处理及表面改性设备的技术开发、技术咨询、制造、销售及维修服</w:t>
      </w:r>
      <w:r>
        <w:rPr>
          <w:spacing w:val="-70"/>
        </w:rPr>
        <w:t> </w:t>
      </w:r>
      <w:r>
        <w:rPr>
          <w:spacing w:val="-70"/>
        </w:rPr>
      </w:r>
      <w:r>
        <w:rPr>
          <w:spacing w:val="-5"/>
        </w:rPr>
        <w:t>务；房屋、设备租赁。（依法须经批准的项目</w:t>
      </w:r>
      <w:r>
        <w:rPr>
          <w:rFonts w:ascii="Times New Roman" w:hAnsi="Times New Roman" w:cs="Times New Roman" w:eastAsia="Times New Roman" w:hint="default"/>
          <w:spacing w:val="-5"/>
        </w:rPr>
        <w:t>,</w:t>
      </w:r>
      <w:r>
        <w:rPr>
          <w:spacing w:val="-5"/>
        </w:rPr>
        <w:t>经相关部门批准后方可开展经营活动）。</w:t>
      </w:r>
    </w:p>
    <w:p>
      <w:pPr>
        <w:spacing w:line="360" w:lineRule="auto" w:before="116"/>
        <w:ind w:left="534" w:right="2292" w:firstLine="1"/>
        <w:jc w:val="left"/>
        <w:rPr>
          <w:rFonts w:ascii="宋体" w:hAnsi="宋体" w:cs="宋体" w:eastAsia="宋体" w:hint="default"/>
          <w:sz w:val="18"/>
          <w:szCs w:val="18"/>
        </w:rPr>
      </w:pPr>
      <w:r>
        <w:rPr>
          <w:rFonts w:ascii="宋体" w:hAnsi="宋体" w:cs="宋体" w:eastAsia="宋体" w:hint="default"/>
          <w:b/>
          <w:bCs/>
          <w:sz w:val="18"/>
          <w:szCs w:val="18"/>
        </w:rPr>
        <w:t>本年度合并财务报表范围</w:t>
      </w:r>
      <w:r>
        <w:rPr>
          <w:rFonts w:ascii="宋体" w:hAnsi="宋体" w:cs="宋体" w:eastAsia="宋体" w:hint="default"/>
          <w:b/>
          <w:bCs/>
          <w:w w:val="99"/>
          <w:sz w:val="18"/>
          <w:szCs w:val="18"/>
        </w:rPr>
        <w:t> </w:t>
      </w:r>
      <w:r>
        <w:rPr>
          <w:rFonts w:ascii="宋体" w:hAnsi="宋体" w:cs="宋体" w:eastAsia="宋体" w:hint="default"/>
          <w:spacing w:val="-5"/>
          <w:sz w:val="18"/>
          <w:szCs w:val="18"/>
        </w:rPr>
        <w:t>本年度纳入合并范围的公司为：（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）江苏丰东热技术有限公司、（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）方欣科技有限公司。</w:t>
      </w:r>
    </w:p>
    <w:p>
      <w:pPr>
        <w:pStyle w:val="BodyText"/>
        <w:spacing w:line="300" w:lineRule="auto" w:before="1"/>
        <w:ind w:left="174" w:right="1049" w:firstLine="360"/>
        <w:jc w:val="both"/>
      </w:pPr>
      <w:r>
        <w:rPr/>
        <w:t>纳入丰东热技术合并财务报表范围的子公司及下属公司共</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户为</w:t>
      </w:r>
      <w:r>
        <w:rPr>
          <w:spacing w:val="-90"/>
        </w:rPr>
        <w:t>：</w:t>
      </w:r>
      <w:r>
        <w:rPr/>
        <w:t>（</w:t>
      </w:r>
      <w:r>
        <w:rPr>
          <w:rFonts w:ascii="Times New Roman" w:hAnsi="Times New Roman" w:cs="Times New Roman" w:eastAsia="Times New Roman" w:hint="default"/>
          <w:spacing w:val="1"/>
        </w:rPr>
        <w:t>1</w:t>
      </w:r>
      <w:r>
        <w:rPr/>
        <w:t>）上海丰东热处理工程有限公司</w:t>
      </w:r>
      <w:r>
        <w:rPr>
          <w:spacing w:val="-90"/>
        </w:rPr>
        <w:t>、</w:t>
      </w:r>
      <w:r>
        <w:rPr/>
        <w:t>（</w:t>
      </w:r>
      <w:r>
        <w:rPr>
          <w:rFonts w:ascii="Times New Roman" w:hAnsi="Times New Roman" w:cs="Times New Roman" w:eastAsia="Times New Roman" w:hint="default"/>
        </w:rPr>
        <w:t>2</w:t>
      </w:r>
      <w:r>
        <w:rPr/>
        <w:t>）青岛丰东 热处理有限公司</w:t>
      </w:r>
      <w:r>
        <w:rPr>
          <w:spacing w:val="-104"/>
        </w:rPr>
        <w:t>、</w:t>
      </w:r>
      <w:r>
        <w:rPr/>
        <w:t>（</w:t>
      </w:r>
      <w:r>
        <w:rPr>
          <w:rFonts w:ascii="Times New Roman" w:hAnsi="Times New Roman" w:cs="Times New Roman" w:eastAsia="Times New Roman" w:hint="default"/>
        </w:rPr>
        <w:t>3</w:t>
      </w:r>
      <w:r>
        <w:rPr>
          <w:spacing w:val="-14"/>
        </w:rPr>
        <w:t>）</w:t>
      </w:r>
      <w:r>
        <w:rPr/>
        <w:t>江</w:t>
      </w:r>
      <w:r>
        <w:rPr>
          <w:spacing w:val="-2"/>
        </w:rPr>
        <w:t>苏</w:t>
      </w:r>
      <w:r>
        <w:rPr/>
        <w:t>丰东热处理及表面改性工程技术研究有限公司</w:t>
      </w:r>
      <w:r>
        <w:rPr>
          <w:spacing w:val="-104"/>
        </w:rPr>
        <w:t>、</w:t>
      </w:r>
      <w:r>
        <w:rPr/>
        <w:t>（</w:t>
      </w:r>
      <w:r>
        <w:rPr>
          <w:rFonts w:ascii="Times New Roman" w:hAnsi="Times New Roman" w:cs="Times New Roman" w:eastAsia="Times New Roman" w:hint="default"/>
        </w:rPr>
        <w:t>4</w:t>
      </w:r>
      <w:r>
        <w:rPr>
          <w:spacing w:val="-14"/>
        </w:rPr>
        <w:t>）</w:t>
      </w:r>
      <w:r>
        <w:rPr>
          <w:spacing w:val="-2"/>
        </w:rPr>
        <w:t>盐</w:t>
      </w:r>
      <w:r>
        <w:rPr/>
        <w:t>城丰东特种炉业有限公司</w:t>
      </w:r>
      <w:r>
        <w:rPr>
          <w:spacing w:val="-104"/>
        </w:rPr>
        <w:t>、</w:t>
      </w:r>
      <w:r>
        <w:rPr/>
        <w:t>（</w:t>
      </w:r>
      <w:r>
        <w:rPr>
          <w:rFonts w:ascii="Times New Roman" w:hAnsi="Times New Roman" w:cs="Times New Roman" w:eastAsia="Times New Roman" w:hint="default"/>
        </w:rPr>
        <w:t>5</w:t>
      </w:r>
      <w:r>
        <w:rPr>
          <w:spacing w:val="-14"/>
        </w:rPr>
        <w:t>）</w:t>
      </w:r>
      <w:r>
        <w:rPr/>
        <w:t>重庆丰东</w:t>
      </w:r>
      <w:r>
        <w:rPr/>
        <w:t> 热处理工程有限公司</w:t>
      </w:r>
      <w:r>
        <w:rPr>
          <w:spacing w:val="-90"/>
        </w:rPr>
        <w:t>、</w:t>
      </w:r>
      <w:r>
        <w:rPr/>
        <w:t>（</w:t>
      </w:r>
      <w:r>
        <w:rPr>
          <w:rFonts w:ascii="Times New Roman" w:hAnsi="Times New Roman" w:cs="Times New Roman" w:eastAsia="Times New Roman" w:hint="default"/>
        </w:rPr>
        <w:t>6</w:t>
      </w:r>
      <w:r>
        <w:rPr/>
        <w:t>）南京丰东热处理工程有限公司</w:t>
      </w:r>
      <w:r>
        <w:rPr>
          <w:spacing w:val="-90"/>
        </w:rPr>
        <w:t>、</w:t>
      </w:r>
      <w:r>
        <w:rPr/>
        <w:t>（</w:t>
      </w:r>
      <w:r>
        <w:rPr>
          <w:rFonts w:ascii="Times New Roman" w:hAnsi="Times New Roman" w:cs="Times New Roman" w:eastAsia="Times New Roman" w:hint="default"/>
        </w:rPr>
        <w:t>7</w:t>
      </w:r>
      <w:r>
        <w:rPr/>
        <w:t>）天津丰东热处理有限公司</w:t>
      </w:r>
      <w:r>
        <w:rPr>
          <w:spacing w:val="-90"/>
        </w:rPr>
        <w:t>、</w:t>
      </w:r>
      <w:r>
        <w:rPr/>
        <w:t>（</w:t>
      </w:r>
      <w:r>
        <w:rPr>
          <w:rFonts w:ascii="Times New Roman" w:hAnsi="Times New Roman" w:cs="Times New Roman" w:eastAsia="Times New Roman" w:hint="default"/>
        </w:rPr>
        <w:t>8</w:t>
      </w:r>
      <w:r>
        <w:rPr/>
        <w:t>）潍坊丰东热处理有限公司、</w:t>
      </w:r>
    </w:p>
    <w:p>
      <w:pPr>
        <w:pStyle w:val="BodyText"/>
        <w:spacing w:line="300" w:lineRule="auto" w:before="13"/>
        <w:ind w:left="174" w:right="1040"/>
        <w:jc w:val="left"/>
      </w:pPr>
      <w:r>
        <w:rPr/>
        <w:t>（</w:t>
      </w:r>
      <w:r>
        <w:rPr>
          <w:rFonts w:ascii="Times New Roman" w:hAnsi="Times New Roman" w:cs="Times New Roman" w:eastAsia="Times New Roman" w:hint="default"/>
        </w:rPr>
        <w:t>9</w:t>
      </w:r>
      <w:r>
        <w:rPr/>
        <w:t>）盐城丰东祺耀工业炉有限公司</w:t>
      </w:r>
      <w:r>
        <w:rPr>
          <w:spacing w:val="-90"/>
        </w:rPr>
        <w:t>、</w:t>
      </w:r>
      <w:r>
        <w:rPr/>
        <w:t>（</w:t>
      </w:r>
      <w:r>
        <w:rPr>
          <w:rFonts w:ascii="Times New Roman" w:hAnsi="Times New Roman" w:cs="Times New Roman" w:eastAsia="Times New Roman" w:hint="default"/>
        </w:rPr>
        <w:t>10</w:t>
      </w:r>
      <w:r>
        <w:rPr/>
        <w:t>）广州鑫润丰东热处理有限公司</w:t>
      </w:r>
      <w:r>
        <w:rPr>
          <w:spacing w:val="-90"/>
        </w:rPr>
        <w:t>、</w:t>
      </w:r>
      <w:r>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）常州鑫润丰东热处理工程有限公司</w:t>
      </w:r>
      <w:r>
        <w:rPr>
          <w:spacing w:val="-90"/>
        </w:rPr>
        <w:t>、</w:t>
      </w:r>
      <w:r>
        <w:rPr/>
        <w:t>（</w:t>
      </w:r>
      <w:r>
        <w:rPr>
          <w:rFonts w:ascii="Times New Roman" w:hAnsi="Times New Roman" w:cs="Times New Roman" w:eastAsia="Times New Roman" w:hint="default"/>
        </w:rPr>
        <w:t>12</w:t>
      </w:r>
      <w:r>
        <w:rPr/>
        <w:t>） 上海宝华威热处理设备有限公司</w:t>
      </w:r>
      <w:r>
        <w:rPr>
          <w:spacing w:val="-90"/>
        </w:rPr>
        <w:t>、</w:t>
      </w:r>
      <w:r>
        <w:rPr/>
        <w:t>（</w:t>
      </w:r>
      <w:r>
        <w:rPr>
          <w:rFonts w:ascii="Times New Roman" w:hAnsi="Times New Roman" w:cs="Times New Roman" w:eastAsia="Times New Roman" w:hint="default"/>
        </w:rPr>
        <w:t>13</w:t>
      </w:r>
      <w:r>
        <w:rPr/>
        <w:t>）艾普零件制造（苏州）股份有限公司、</w:t>
      </w:r>
      <w:r>
        <w:rPr>
          <w:rFonts w:ascii="Times New Roman" w:hAnsi="Times New Roman" w:cs="Times New Roman" w:eastAsia="Times New Roman" w:hint="default"/>
        </w:rPr>
        <w:t>(14) </w:t>
      </w:r>
      <w:r>
        <w:rPr>
          <w:rFonts w:ascii="Times New Roman" w:hAnsi="Times New Roman" w:cs="Times New Roman" w:eastAsia="Times New Roman" w:hint="default"/>
          <w:spacing w:val="-1"/>
        </w:rPr>
        <w:t> </w:t>
      </w:r>
      <w:r>
        <w:rPr/>
        <w:t>青岛丰东热工技术有限公司</w:t>
      </w:r>
      <w:r>
        <w:rPr>
          <w:spacing w:val="-90"/>
        </w:rPr>
        <w:t>、</w:t>
      </w:r>
      <w:r>
        <w:rPr/>
        <w:t>（</w:t>
      </w:r>
      <w:r>
        <w:rPr>
          <w:rFonts w:ascii="Times New Roman" w:hAnsi="Times New Roman" w:cs="Times New Roman" w:eastAsia="Times New Roman" w:hint="default"/>
        </w:rPr>
        <w:t>15</w:t>
      </w:r>
      <w:r>
        <w:rPr/>
        <w:t>）烟 台丰东热技术有限公司。其中（</w:t>
      </w:r>
      <w:r>
        <w:rPr>
          <w:rFonts w:ascii="Times New Roman" w:hAnsi="Times New Roman" w:cs="Times New Roman" w:eastAsia="Times New Roman" w:hint="default"/>
        </w:rPr>
        <w:t>14</w:t>
      </w:r>
      <w:r>
        <w:rPr>
          <w:spacing w:val="-90"/>
        </w:rPr>
        <w:t>）、</w:t>
      </w:r>
      <w:r>
        <w:rPr/>
        <w:t>（</w:t>
      </w:r>
      <w:r>
        <w:rPr>
          <w:rFonts w:ascii="Times New Roman" w:hAnsi="Times New Roman" w:cs="Times New Roman" w:eastAsia="Times New Roman" w:hint="default"/>
        </w:rPr>
        <w:t>15</w:t>
      </w:r>
      <w:r>
        <w:rPr/>
        <w:t>）为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1"/>
        </w:rPr>
        <w:t>度</w:t>
      </w:r>
      <w:r>
        <w:rPr/>
        <w:t>新纳入合并报表范围。</w:t>
      </w:r>
    </w:p>
    <w:p>
      <w:pPr>
        <w:pStyle w:val="BodyText"/>
        <w:spacing w:line="300" w:lineRule="auto" w:before="52"/>
        <w:ind w:left="174" w:right="1042" w:firstLine="360"/>
        <w:jc w:val="both"/>
      </w:pPr>
      <w:r>
        <w:rPr/>
        <w:t>纳入方欣科技合并财务报表范围的子公司及下属公司共</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户为</w:t>
      </w:r>
      <w:r>
        <w:rPr>
          <w:spacing w:val="-90"/>
        </w:rPr>
        <w:t>：</w:t>
      </w:r>
      <w:r>
        <w:rPr/>
        <w:t>（</w:t>
      </w:r>
      <w:r>
        <w:rPr>
          <w:rFonts w:ascii="Times New Roman" w:hAnsi="Times New Roman" w:cs="Times New Roman" w:eastAsia="Times New Roman" w:hint="default"/>
        </w:rPr>
        <w:t>1</w:t>
      </w:r>
      <w:r>
        <w:rPr/>
        <w:t>）广州金财互联税务顾问有限公司</w:t>
      </w:r>
      <w:r>
        <w:rPr>
          <w:spacing w:val="-90"/>
        </w:rPr>
        <w:t>、</w:t>
      </w:r>
      <w:r>
        <w:rPr/>
        <w:t>（</w:t>
      </w:r>
      <w:r>
        <w:rPr>
          <w:rFonts w:ascii="Times New Roman" w:hAnsi="Times New Roman" w:cs="Times New Roman" w:eastAsia="Times New Roman" w:hint="default"/>
        </w:rPr>
        <w:t>2</w:t>
      </w:r>
      <w:r>
        <w:rPr/>
        <w:t>）山东神创 信息科技有限公司</w:t>
      </w:r>
      <w:r>
        <w:rPr>
          <w:spacing w:val="-104"/>
        </w:rPr>
        <w:t>、</w:t>
      </w:r>
      <w:r>
        <w:rPr/>
        <w:t>（</w:t>
      </w:r>
      <w:r>
        <w:rPr>
          <w:rFonts w:ascii="Times New Roman" w:hAnsi="Times New Roman" w:cs="Times New Roman" w:eastAsia="Times New Roman" w:hint="default"/>
        </w:rPr>
        <w:t>3</w:t>
      </w:r>
      <w:r>
        <w:rPr>
          <w:spacing w:val="-14"/>
        </w:rPr>
        <w:t>）</w:t>
      </w:r>
      <w:r>
        <w:rPr>
          <w:spacing w:val="-2"/>
        </w:rPr>
        <w:t>广</w:t>
      </w:r>
      <w:r>
        <w:rPr/>
        <w:t>州方欣现代信息产业园有限公司</w:t>
      </w:r>
      <w:r>
        <w:rPr>
          <w:spacing w:val="-104"/>
        </w:rPr>
        <w:t>、</w:t>
      </w:r>
      <w:r>
        <w:rPr/>
        <w:t>（</w:t>
      </w:r>
      <w:r>
        <w:rPr>
          <w:rFonts w:ascii="Times New Roman" w:hAnsi="Times New Roman" w:cs="Times New Roman" w:eastAsia="Times New Roman" w:hint="default"/>
        </w:rPr>
        <w:t>4</w:t>
      </w:r>
      <w:r>
        <w:rPr>
          <w:spacing w:val="-14"/>
        </w:rPr>
        <w:t>）</w:t>
      </w:r>
      <w:r>
        <w:rPr>
          <w:spacing w:val="-2"/>
        </w:rPr>
        <w:t>广</w:t>
      </w:r>
      <w:r>
        <w:rPr/>
        <w:t>东浪潮创新计算机科技服务有限公司</w:t>
      </w:r>
      <w:r>
        <w:rPr>
          <w:spacing w:val="-104"/>
        </w:rPr>
        <w:t>、</w:t>
      </w:r>
      <w:r>
        <w:rPr/>
        <w:t>（</w:t>
      </w:r>
      <w:r>
        <w:rPr>
          <w:rFonts w:ascii="Times New Roman" w:hAnsi="Times New Roman" w:cs="Times New Roman" w:eastAsia="Times New Roman" w:hint="default"/>
        </w:rPr>
        <w:t>5</w:t>
      </w:r>
      <w:r>
        <w:rPr>
          <w:spacing w:val="-14"/>
        </w:rPr>
        <w:t>）</w:t>
      </w:r>
      <w:r>
        <w:rPr/>
        <w:t>广州翼税数</w:t>
      </w:r>
      <w:r>
        <w:rPr/>
        <w:t> 据服务有限公司</w:t>
      </w:r>
      <w:r>
        <w:rPr>
          <w:spacing w:val="-119"/>
        </w:rPr>
        <w:t>、</w:t>
      </w:r>
      <w:r>
        <w:rPr/>
        <w:t>（</w:t>
      </w:r>
      <w:r>
        <w:rPr>
          <w:rFonts w:ascii="Times New Roman" w:hAnsi="Times New Roman" w:cs="Times New Roman" w:eastAsia="Times New Roman" w:hint="default"/>
        </w:rPr>
        <w:t>6</w:t>
      </w:r>
      <w:r>
        <w:rPr>
          <w:spacing w:val="-29"/>
        </w:rPr>
        <w:t>）</w:t>
      </w:r>
      <w:r>
        <w:rPr/>
        <w:t>金财互联数据服务有限公司</w:t>
      </w:r>
      <w:r>
        <w:rPr>
          <w:spacing w:val="-119"/>
        </w:rPr>
        <w:t>、</w:t>
      </w:r>
      <w:r>
        <w:rPr/>
        <w:t>（</w:t>
      </w:r>
      <w:r>
        <w:rPr>
          <w:rFonts w:ascii="Times New Roman" w:hAnsi="Times New Roman" w:cs="Times New Roman" w:eastAsia="Times New Roman" w:hint="default"/>
        </w:rPr>
        <w:t>7</w:t>
      </w:r>
      <w:r>
        <w:rPr>
          <w:spacing w:val="-29"/>
        </w:rPr>
        <w:t>）</w:t>
      </w:r>
      <w:r>
        <w:rPr/>
        <w:t>方欣智慧财税服务有限公司</w:t>
      </w:r>
      <w:r>
        <w:rPr>
          <w:spacing w:val="-119"/>
        </w:rPr>
        <w:t>、</w:t>
      </w:r>
      <w:r>
        <w:rPr/>
        <w:t>（</w:t>
      </w:r>
      <w:r>
        <w:rPr>
          <w:rFonts w:ascii="Times New Roman" w:hAnsi="Times New Roman" w:cs="Times New Roman" w:eastAsia="Times New Roman" w:hint="default"/>
        </w:rPr>
        <w:t>8</w:t>
      </w:r>
      <w:r>
        <w:rPr>
          <w:spacing w:val="-29"/>
        </w:rPr>
        <w:t>）</w:t>
      </w:r>
      <w:r>
        <w:rPr/>
        <w:t>浙江金财立信财务管理有限公司、</w:t>
      </w:r>
    </w:p>
    <w:p>
      <w:pPr>
        <w:pStyle w:val="BodyText"/>
        <w:spacing w:line="300" w:lineRule="auto" w:before="13"/>
        <w:ind w:left="174" w:right="1026"/>
        <w:jc w:val="left"/>
      </w:pPr>
      <w:r>
        <w:rPr/>
        <w:t>（</w:t>
      </w:r>
      <w:r>
        <w:rPr>
          <w:rFonts w:ascii="Times New Roman" w:hAnsi="Times New Roman" w:cs="Times New Roman" w:eastAsia="Times New Roman" w:hint="default"/>
        </w:rPr>
        <w:t>9</w:t>
      </w:r>
      <w:r>
        <w:rPr/>
        <w:t>）北京方欣恒利科技有限公司</w:t>
      </w:r>
      <w:r>
        <w:rPr>
          <w:spacing w:val="-90"/>
        </w:rPr>
        <w:t>、</w:t>
      </w:r>
      <w:r>
        <w:rPr/>
        <w:t>（</w:t>
      </w:r>
      <w:r>
        <w:rPr>
          <w:rFonts w:ascii="Times New Roman" w:hAnsi="Times New Roman" w:cs="Times New Roman" w:eastAsia="Times New Roman" w:hint="default"/>
        </w:rPr>
        <w:t>10</w:t>
      </w:r>
      <w:r>
        <w:rPr/>
        <w:t>）上海金财企盈企业服务有限公司</w:t>
      </w:r>
      <w:r>
        <w:rPr>
          <w:spacing w:val="-90"/>
        </w:rPr>
        <w:t>、</w:t>
      </w:r>
      <w:r>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）东莞市金财互联信息科技有限公司</w:t>
      </w:r>
      <w:r>
        <w:rPr>
          <w:spacing w:val="-90"/>
        </w:rPr>
        <w:t>、</w:t>
      </w:r>
      <w:r>
        <w:rPr/>
        <w:t>（</w:t>
      </w:r>
      <w:r>
        <w:rPr>
          <w:rFonts w:ascii="Times New Roman" w:hAnsi="Times New Roman" w:cs="Times New Roman" w:eastAsia="Times New Roman" w:hint="default"/>
        </w:rPr>
        <w:t>12</w:t>
      </w:r>
      <w:r>
        <w:rPr/>
        <w:t>） 江门市金财互联数据服务有限公司</w:t>
      </w:r>
      <w:r>
        <w:rPr>
          <w:spacing w:val="-104"/>
        </w:rPr>
        <w:t>、</w:t>
      </w:r>
      <w:r>
        <w:rPr/>
        <w:t>（</w:t>
      </w:r>
      <w:r>
        <w:rPr>
          <w:rFonts w:ascii="Times New Roman" w:hAnsi="Times New Roman" w:cs="Times New Roman" w:eastAsia="Times New Roman" w:hint="default"/>
        </w:rPr>
        <w:t>13</w:t>
      </w:r>
      <w:r>
        <w:rPr>
          <w:spacing w:val="-15"/>
        </w:rPr>
        <w:t>）</w:t>
      </w:r>
      <w:r>
        <w:rPr/>
        <w:t>浙江金财立信之友科技有限公</w:t>
      </w:r>
      <w:r>
        <w:rPr>
          <w:spacing w:val="-14"/>
        </w:rPr>
        <w:t>司</w:t>
      </w:r>
      <w:r>
        <w:rPr/>
        <w:t>（</w:t>
      </w:r>
      <w:r>
        <w:rPr>
          <w:rFonts w:ascii="Times New Roman" w:hAnsi="Times New Roman" w:cs="Times New Roman" w:eastAsia="Times New Roman" w:hint="default"/>
        </w:rPr>
        <w:t>14</w:t>
      </w:r>
      <w:r>
        <w:rPr>
          <w:spacing w:val="-14"/>
        </w:rPr>
        <w:t>）</w:t>
      </w:r>
      <w:r>
        <w:rPr>
          <w:spacing w:val="-2"/>
        </w:rPr>
        <w:t>黄</w:t>
      </w:r>
      <w:r>
        <w:rPr/>
        <w:t>山怀信商务信息咨询有限公司</w:t>
      </w:r>
      <w:r>
        <w:rPr>
          <w:spacing w:val="-104"/>
        </w:rPr>
        <w:t>、</w:t>
      </w:r>
      <w:r>
        <w:rPr/>
        <w:t>（</w:t>
      </w:r>
      <w:r>
        <w:rPr>
          <w:rFonts w:ascii="Times New Roman" w:hAnsi="Times New Roman" w:cs="Times New Roman" w:eastAsia="Times New Roman" w:hint="default"/>
        </w:rPr>
        <w:t>15</w:t>
      </w:r>
      <w:r>
        <w:rPr>
          <w:spacing w:val="-14"/>
        </w:rPr>
        <w:t>）新 </w:t>
      </w:r>
      <w:r>
        <w:rPr/>
        <w:t>疆金财立信财务管理有限公司</w:t>
      </w:r>
      <w:r>
        <w:rPr>
          <w:spacing w:val="-107"/>
        </w:rPr>
        <w:t>、</w:t>
      </w:r>
      <w:r>
        <w:rPr/>
        <w:t>（</w:t>
      </w:r>
      <w:r>
        <w:rPr>
          <w:rFonts w:ascii="Times New Roman" w:hAnsi="Times New Roman" w:cs="Times New Roman" w:eastAsia="Times New Roman" w:hint="default"/>
        </w:rPr>
        <w:t>16</w:t>
      </w:r>
      <w:r>
        <w:rPr>
          <w:spacing w:val="-17"/>
        </w:rPr>
        <w:t>）</w:t>
      </w:r>
      <w:r>
        <w:rPr/>
        <w:t>北</w:t>
      </w:r>
      <w:r>
        <w:rPr>
          <w:spacing w:val="1"/>
        </w:rPr>
        <w:t>京</w:t>
      </w:r>
      <w:r>
        <w:rPr/>
        <w:t>金财纵横信息咨询服务有限公司</w:t>
      </w:r>
      <w:r>
        <w:rPr>
          <w:spacing w:val="-107"/>
        </w:rPr>
        <w:t>、</w:t>
      </w:r>
      <w:r>
        <w:rPr>
          <w:spacing w:val="-1"/>
        </w:rPr>
        <w:t>（</w:t>
      </w:r>
      <w:r>
        <w:rPr>
          <w:rFonts w:ascii="Times New Roman" w:hAnsi="Times New Roman" w:cs="Times New Roman" w:eastAsia="Times New Roman" w:hint="default"/>
        </w:rPr>
        <w:t>17</w:t>
      </w:r>
      <w:r>
        <w:rPr>
          <w:spacing w:val="-17"/>
        </w:rPr>
        <w:t>）</w:t>
      </w:r>
      <w:r>
        <w:rPr>
          <w:spacing w:val="1"/>
        </w:rPr>
        <w:t>广</w:t>
      </w:r>
      <w:r>
        <w:rPr/>
        <w:t>东益东金财资产管理中</w:t>
      </w:r>
      <w:r>
        <w:rPr>
          <w:spacing w:val="-17"/>
        </w:rPr>
        <w:t>心</w:t>
      </w:r>
      <w:r>
        <w:rPr/>
        <w:t>（有限合伙</w:t>
      </w:r>
      <w:r>
        <w:rPr>
          <w:spacing w:val="-90"/>
        </w:rPr>
        <w:t>）</w:t>
      </w:r>
      <w:r>
        <w:rPr/>
        <w:t>、</w:t>
      </w:r>
    </w:p>
    <w:p>
      <w:pPr>
        <w:pStyle w:val="BodyText"/>
        <w:spacing w:line="300" w:lineRule="auto" w:before="13"/>
        <w:ind w:left="174" w:right="1032"/>
        <w:jc w:val="left"/>
      </w:pPr>
      <w:r>
        <w:rPr>
          <w:spacing w:val="-6"/>
        </w:rPr>
        <w:t>（</w:t>
      </w:r>
      <w:r>
        <w:rPr>
          <w:rFonts w:ascii="Times New Roman" w:hAnsi="Times New Roman" w:cs="Times New Roman" w:eastAsia="Times New Roman" w:hint="default"/>
          <w:spacing w:val="-6"/>
        </w:rPr>
        <w:t>18</w:t>
      </w:r>
      <w:r>
        <w:rPr>
          <w:spacing w:val="-6"/>
        </w:rPr>
        <w:t>）青岛高新金财信息科技有限公司、（</w:t>
      </w:r>
      <w:r>
        <w:rPr>
          <w:rFonts w:ascii="Times New Roman" w:hAnsi="Times New Roman" w:cs="Times New Roman" w:eastAsia="Times New Roman" w:hint="default"/>
          <w:spacing w:val="-6"/>
        </w:rPr>
        <w:t>19</w:t>
      </w:r>
      <w:r>
        <w:rPr>
          <w:spacing w:val="-6"/>
        </w:rPr>
        <w:t>）广州金财互联区块链科技有限公司、（</w:t>
      </w:r>
      <w:r>
        <w:rPr>
          <w:rFonts w:ascii="Times New Roman" w:hAnsi="Times New Roman" w:cs="Times New Roman" w:eastAsia="Times New Roman" w:hint="default"/>
          <w:spacing w:val="-6"/>
        </w:rPr>
        <w:t>20</w:t>
      </w:r>
      <w:r>
        <w:rPr>
          <w:spacing w:val="-6"/>
        </w:rPr>
        <w:t>）广东龙达财税服务有限公司、（</w:t>
      </w:r>
      <w:r>
        <w:rPr>
          <w:rFonts w:ascii="Times New Roman" w:hAnsi="Times New Roman" w:cs="Times New Roman" w:eastAsia="Times New Roman" w:hint="default"/>
          <w:spacing w:val="-6"/>
        </w:rPr>
        <w:t>21</w:t>
      </w:r>
      <w:r>
        <w:rPr>
          <w:spacing w:val="-6"/>
        </w:rPr>
        <w:t>）</w:t>
      </w:r>
      <w:r>
        <w:rPr>
          <w:spacing w:val="-86"/>
        </w:rPr>
        <w:t> </w:t>
      </w:r>
      <w:r>
        <w:rPr>
          <w:spacing w:val="-5"/>
        </w:rPr>
        <w:t>深圳龙达财税有限公司、（</w:t>
      </w:r>
      <w:r>
        <w:rPr>
          <w:rFonts w:ascii="Times New Roman" w:hAnsi="Times New Roman" w:cs="Times New Roman" w:eastAsia="Times New Roman" w:hint="default"/>
          <w:spacing w:val="-5"/>
        </w:rPr>
        <w:t>22</w:t>
      </w:r>
      <w:r>
        <w:rPr>
          <w:spacing w:val="-5"/>
        </w:rPr>
        <w:t>）青岛百旺金赋信息科技有限公司、（</w:t>
      </w:r>
      <w:r>
        <w:rPr>
          <w:rFonts w:ascii="Times New Roman" w:hAnsi="Times New Roman" w:cs="Times New Roman" w:eastAsia="Times New Roman" w:hint="default"/>
          <w:spacing w:val="-5"/>
        </w:rPr>
        <w:t>23</w:t>
      </w:r>
      <w:r>
        <w:rPr>
          <w:spacing w:val="-5"/>
        </w:rPr>
        <w:t>）金财慧盈保险经纪有限公司、（</w:t>
      </w:r>
      <w:r>
        <w:rPr>
          <w:rFonts w:ascii="Times New Roman" w:hAnsi="Times New Roman" w:cs="Times New Roman" w:eastAsia="Times New Roman" w:hint="default"/>
          <w:spacing w:val="-5"/>
        </w:rPr>
        <w:t>24</w:t>
      </w:r>
      <w:r>
        <w:rPr>
          <w:spacing w:val="-5"/>
        </w:rPr>
        <w:t>）浙江金财共享智</w:t>
      </w:r>
      <w:r>
        <w:rPr>
          <w:spacing w:val="-70"/>
        </w:rPr>
        <w:t> </w:t>
      </w:r>
      <w:r>
        <w:rPr/>
        <w:t>能科技有限公司。其中（</w:t>
      </w:r>
      <w:r>
        <w:rPr>
          <w:rFonts w:ascii="Times New Roman" w:hAnsi="Times New Roman" w:cs="Times New Roman" w:eastAsia="Times New Roman" w:hint="default"/>
        </w:rPr>
        <w:t>16</w:t>
      </w:r>
      <w:r>
        <w:rPr/>
        <w:t>）～</w:t>
      </w:r>
      <w:r>
        <w:rPr>
          <w:rFonts w:ascii="Times New Roman" w:hAnsi="Times New Roman" w:cs="Times New Roman" w:eastAsia="Times New Roman" w:hint="default"/>
        </w:rPr>
        <w:t>(24)</w:t>
      </w:r>
      <w:r>
        <w:rPr/>
        <w:t>为</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年度新纳入合并报表范围。</w:t>
      </w:r>
    </w:p>
    <w:p>
      <w:pPr>
        <w:pStyle w:val="BodyText"/>
        <w:spacing w:line="240" w:lineRule="auto" w:before="52"/>
        <w:ind w:right="0"/>
        <w:jc w:val="left"/>
      </w:pPr>
      <w:r>
        <w:rPr/>
        <w:t>本年度减少一户合并单位：上海灏友企业服务有限公司。</w:t>
      </w:r>
    </w:p>
    <w:p>
      <w:pPr>
        <w:spacing w:after="0" w:line="240" w:lineRule="auto"/>
        <w:jc w:val="left"/>
        <w:sectPr>
          <w:pgSz w:w="11910" w:h="16840"/>
          <w:pgMar w:header="551" w:footer="979" w:top="1120" w:bottom="1160" w:left="960" w:right="0"/>
        </w:sectPr>
      </w:pPr>
    </w:p>
    <w:p>
      <w:pPr>
        <w:spacing w:line="240" w:lineRule="auto" w:before="7"/>
        <w:rPr>
          <w:rFonts w:ascii="宋体" w:hAnsi="宋体" w:cs="宋体" w:eastAsia="宋体" w:hint="default"/>
          <w:sz w:val="22"/>
          <w:szCs w:val="22"/>
        </w:rPr>
      </w:pPr>
    </w:p>
    <w:p>
      <w:pPr>
        <w:pStyle w:val="Heading2"/>
        <w:spacing w:line="240" w:lineRule="auto" w:before="26"/>
        <w:ind w:right="0"/>
        <w:jc w:val="left"/>
        <w:rPr>
          <w:b w:val="0"/>
          <w:bCs w:val="0"/>
        </w:rPr>
      </w:pPr>
      <w:bookmarkStart w:name="四、财务报表的编制基础" w:id="190"/>
      <w:bookmarkEnd w:id="190"/>
      <w:r>
        <w:rPr>
          <w:b w:val="0"/>
          <w:bCs w:val="0"/>
        </w:rPr>
      </w:r>
      <w:r>
        <w:rPr/>
        <w:t>四、财务报表的编制基础</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编制基础" w:id="191"/>
      <w:bookmarkEnd w:id="191"/>
      <w:r>
        <w:rPr>
          <w:b w:val="0"/>
          <w:bCs w:val="0"/>
        </w:rPr>
      </w:r>
      <w:r>
        <w:rPr>
          <w:rFonts w:ascii="Times New Roman" w:hAnsi="Times New Roman" w:cs="Times New Roman" w:eastAsia="Times New Roman" w:hint="default"/>
        </w:rPr>
        <w:t>1</w:t>
      </w:r>
      <w:r>
        <w:rPr/>
        <w:t>、编制基础</w:t>
      </w:r>
      <w:r>
        <w:rPr>
          <w:b w:val="0"/>
          <w:bCs w:val="0"/>
        </w:rPr>
      </w:r>
    </w:p>
    <w:p>
      <w:pPr>
        <w:pStyle w:val="BodyText"/>
        <w:spacing w:line="300" w:lineRule="auto" w:before="157"/>
        <w:ind w:left="174" w:right="0" w:firstLine="36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基本准则》和其他各项会计准则的规定</w:t>
      </w:r>
      <w:r>
        <w:rPr/>
        <w:t> 进行确认和计量，在此基础上编制财务报表。</w:t>
      </w:r>
    </w:p>
    <w:p>
      <w:pPr>
        <w:pStyle w:val="BodyText"/>
        <w:spacing w:line="300" w:lineRule="auto" w:before="31"/>
        <w:ind w:left="174" w:right="1117" w:firstLine="360"/>
        <w:jc w:val="left"/>
      </w:pPr>
      <w:r>
        <w:rPr>
          <w:spacing w:val="-1"/>
        </w:rPr>
        <w:t>根据财政部《关于修订印发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[2018]15</w:t>
      </w:r>
      <w:r>
        <w:rPr>
          <w:spacing w:val="-1"/>
        </w:rPr>
        <w:t>号），本公司对财务报表格式进行</w:t>
      </w:r>
      <w:r>
        <w:rPr/>
        <w:t> 了相应调整。</w:t>
      </w:r>
    </w:p>
    <w:p>
      <w:pPr>
        <w:spacing w:line="240" w:lineRule="auto" w:before="0"/>
        <w:rPr>
          <w:rFonts w:ascii="宋体" w:hAnsi="宋体" w:cs="宋体" w:eastAsia="宋体" w:hint="default"/>
          <w:sz w:val="14"/>
          <w:szCs w:val="14"/>
        </w:rPr>
      </w:pPr>
    </w:p>
    <w:p>
      <w:pPr>
        <w:pStyle w:val="Heading3"/>
        <w:spacing w:line="240" w:lineRule="auto" w:before="0"/>
        <w:ind w:right="0"/>
        <w:jc w:val="left"/>
        <w:rPr>
          <w:b w:val="0"/>
          <w:bCs w:val="0"/>
        </w:rPr>
      </w:pPr>
      <w:bookmarkStart w:name="2、持续经营" w:id="192"/>
      <w:bookmarkEnd w:id="192"/>
      <w:r>
        <w:rPr>
          <w:b w:val="0"/>
          <w:bCs w:val="0"/>
        </w:rPr>
      </w:r>
      <w:r>
        <w:rPr>
          <w:rFonts w:ascii="Times New Roman" w:hAnsi="Times New Roman" w:cs="Times New Roman" w:eastAsia="Times New Roman" w:hint="default"/>
        </w:rPr>
        <w:t>2</w:t>
      </w:r>
      <w:r>
        <w:rPr/>
        <w:t>、持续经营</w:t>
      </w:r>
      <w:r>
        <w:rPr>
          <w:b w:val="0"/>
          <w:bCs w:val="0"/>
        </w:rPr>
      </w:r>
    </w:p>
    <w:p>
      <w:pPr>
        <w:pStyle w:val="BodyText"/>
        <w:spacing w:line="300" w:lineRule="auto" w:before="157"/>
        <w:ind w:left="174" w:right="1117" w:firstLine="36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个月内，本公司持续经营能力良好，不存在导致对本公司持续经营能力产生重大怀</w:t>
      </w:r>
      <w:r>
        <w:rPr/>
        <w:t> 疑的因素。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93"/>
      <w:bookmarkEnd w:id="193"/>
      <w:r>
        <w:rPr>
          <w:b w:val="0"/>
          <w:bCs w:val="0"/>
        </w:rPr>
      </w:r>
      <w:r>
        <w:rPr/>
        <w:t>五、重要会计政策及会计估计</w:t>
      </w:r>
      <w:r>
        <w:rPr>
          <w:b w:val="0"/>
          <w:bCs w:val="0"/>
        </w:rPr>
      </w:r>
    </w:p>
    <w:p>
      <w:pPr>
        <w:spacing w:line="240" w:lineRule="auto" w:before="10"/>
        <w:rPr>
          <w:rFonts w:ascii="宋体" w:hAnsi="宋体" w:cs="宋体" w:eastAsia="宋体" w:hint="default"/>
          <w:b/>
          <w:bCs/>
          <w:sz w:val="26"/>
          <w:szCs w:val="26"/>
        </w:rPr>
      </w:pPr>
    </w:p>
    <w:p>
      <w:pPr>
        <w:pStyle w:val="BodyText"/>
        <w:spacing w:line="357" w:lineRule="auto" w:before="0"/>
        <w:ind w:right="7332"/>
        <w:jc w:val="left"/>
      </w:pPr>
      <w:r>
        <w:rPr/>
        <w:t>公司是否需要遵守特殊行业的披露要求 是</w:t>
      </w:r>
    </w:p>
    <w:p>
      <w:pPr>
        <w:pStyle w:val="BodyText"/>
        <w:spacing w:line="240" w:lineRule="auto" w:before="29"/>
        <w:ind w:right="0"/>
        <w:jc w:val="left"/>
      </w:pPr>
      <w:r>
        <w:rPr/>
        <w:t>软件与信息技术服务业</w:t>
      </w:r>
    </w:p>
    <w:p>
      <w:pPr>
        <w:spacing w:line="240" w:lineRule="auto" w:before="4"/>
        <w:rPr>
          <w:rFonts w:ascii="宋体" w:hAnsi="宋体" w:cs="宋体" w:eastAsia="宋体" w:hint="default"/>
          <w:sz w:val="17"/>
          <w:szCs w:val="17"/>
        </w:rPr>
      </w:pPr>
    </w:p>
    <w:p>
      <w:pPr>
        <w:pStyle w:val="Heading3"/>
        <w:spacing w:line="240" w:lineRule="auto" w:before="0"/>
        <w:ind w:right="0"/>
        <w:jc w:val="left"/>
        <w:rPr>
          <w:b w:val="0"/>
          <w:bCs w:val="0"/>
        </w:rPr>
      </w:pPr>
      <w:bookmarkStart w:name="1、遵循企业会计准则的声明" w:id="194"/>
      <w:bookmarkEnd w:id="194"/>
      <w:r>
        <w:rPr>
          <w:b w:val="0"/>
          <w:bCs w:val="0"/>
        </w:rPr>
      </w:r>
      <w:r>
        <w:rPr>
          <w:rFonts w:ascii="Times New Roman" w:hAnsi="Times New Roman" w:cs="Times New Roman" w:eastAsia="Times New Roman" w:hint="default"/>
        </w:rPr>
        <w:t>1</w:t>
      </w:r>
      <w:r>
        <w:rPr/>
        <w:t>、遵循企业会计准则的声明</w:t>
      </w:r>
      <w:r>
        <w:rPr>
          <w:b w:val="0"/>
          <w:bCs w:val="0"/>
        </w:rPr>
      </w:r>
    </w:p>
    <w:p>
      <w:pPr>
        <w:pStyle w:val="BodyText"/>
        <w:spacing w:line="316" w:lineRule="auto" w:before="158"/>
        <w:ind w:left="174" w:right="0" w:firstLine="360"/>
        <w:jc w:val="left"/>
      </w:pPr>
      <w:r>
        <w:rPr>
          <w:spacing w:val="-2"/>
        </w:rPr>
        <w:t>本公司所编制的财务报表符合企业会计准则的要求，真实、完整地反映了本公司的财务状况、经营成果、所有者权益变</w:t>
      </w:r>
      <w:r>
        <w:rPr/>
        <w:t> 动和现金流量等有关信息。</w:t>
      </w:r>
    </w:p>
    <w:p>
      <w:pPr>
        <w:spacing w:line="240" w:lineRule="auto" w:before="1"/>
        <w:rPr>
          <w:rFonts w:ascii="宋体" w:hAnsi="宋体" w:cs="宋体" w:eastAsia="宋体" w:hint="default"/>
          <w:sz w:val="13"/>
          <w:szCs w:val="13"/>
        </w:rPr>
      </w:pPr>
    </w:p>
    <w:p>
      <w:pPr>
        <w:pStyle w:val="Heading3"/>
        <w:spacing w:line="240" w:lineRule="auto" w:before="0"/>
        <w:ind w:right="0"/>
        <w:jc w:val="left"/>
        <w:rPr>
          <w:b w:val="0"/>
          <w:bCs w:val="0"/>
        </w:rPr>
      </w:pPr>
      <w:bookmarkStart w:name="2、会计期间" w:id="195"/>
      <w:bookmarkEnd w:id="195"/>
      <w:r>
        <w:rPr>
          <w:b w:val="0"/>
          <w:bCs w:val="0"/>
        </w:rPr>
      </w:r>
      <w:r>
        <w:rPr>
          <w:rFonts w:ascii="Times New Roman" w:hAnsi="Times New Roman" w:cs="Times New Roman" w:eastAsia="Times New Roman" w:hint="default"/>
        </w:rPr>
        <w:t>2</w:t>
      </w:r>
      <w:r>
        <w:rPr/>
        <w:t>、会计期间</w:t>
      </w:r>
      <w:r>
        <w:rPr>
          <w:b w:val="0"/>
          <w:bCs w:val="0"/>
        </w:rPr>
      </w:r>
    </w:p>
    <w:p>
      <w:pPr>
        <w:pStyle w:val="BodyText"/>
        <w:spacing w:line="240" w:lineRule="auto" w:before="157"/>
        <w:ind w:right="0"/>
        <w:jc w:val="left"/>
      </w:pPr>
      <w:r>
        <w:rPr/>
        <w:t>会计期间自公历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6"/>
        <w:rPr>
          <w:rFonts w:ascii="宋体" w:hAnsi="宋体" w:cs="宋体" w:eastAsia="宋体" w:hint="default"/>
          <w:sz w:val="16"/>
          <w:szCs w:val="16"/>
        </w:rPr>
      </w:pPr>
    </w:p>
    <w:p>
      <w:pPr>
        <w:pStyle w:val="Heading3"/>
        <w:spacing w:line="240" w:lineRule="auto" w:before="0"/>
        <w:ind w:right="0"/>
        <w:jc w:val="left"/>
        <w:rPr>
          <w:b w:val="0"/>
          <w:bCs w:val="0"/>
        </w:rPr>
      </w:pPr>
      <w:bookmarkStart w:name="3、记账本位币" w:id="196"/>
      <w:bookmarkEnd w:id="196"/>
      <w:r>
        <w:rPr>
          <w:b w:val="0"/>
          <w:bCs w:val="0"/>
        </w:rPr>
      </w:r>
      <w:r>
        <w:rPr>
          <w:rFonts w:ascii="Times New Roman" w:hAnsi="Times New Roman" w:cs="Times New Roman" w:eastAsia="Times New Roman" w:hint="default"/>
        </w:rPr>
        <w:t>3</w:t>
      </w:r>
      <w:r>
        <w:rPr/>
        <w:t>、记账本位币</w:t>
      </w:r>
      <w:r>
        <w:rPr>
          <w:b w:val="0"/>
          <w:bCs w:val="0"/>
        </w:rPr>
      </w:r>
    </w:p>
    <w:p>
      <w:pPr>
        <w:pStyle w:val="BodyText"/>
        <w:spacing w:line="240" w:lineRule="auto" w:before="157"/>
        <w:ind w:right="0"/>
        <w:jc w:val="left"/>
      </w:pPr>
      <w:r>
        <w:rPr/>
        <w:t>记账本位币为人民币。</w:t>
      </w:r>
    </w:p>
    <w:p>
      <w:pPr>
        <w:spacing w:line="240" w:lineRule="auto" w:before="6"/>
        <w:rPr>
          <w:rFonts w:ascii="宋体" w:hAnsi="宋体" w:cs="宋体" w:eastAsia="宋体" w:hint="default"/>
          <w:sz w:val="17"/>
          <w:szCs w:val="17"/>
        </w:rPr>
      </w:pPr>
    </w:p>
    <w:p>
      <w:pPr>
        <w:pStyle w:val="Heading3"/>
        <w:spacing w:line="240" w:lineRule="auto" w:before="0"/>
        <w:ind w:right="0"/>
        <w:jc w:val="left"/>
        <w:rPr>
          <w:b w:val="0"/>
          <w:bCs w:val="0"/>
        </w:rPr>
      </w:pPr>
      <w:bookmarkStart w:name="4、同一控制下和非同一控制下企业合并的会计处理方法" w:id="197"/>
      <w:bookmarkEnd w:id="197"/>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pStyle w:val="BodyText"/>
        <w:spacing w:line="348" w:lineRule="auto" w:before="158"/>
        <w:ind w:right="1032"/>
        <w:jc w:val="left"/>
      </w:pPr>
      <w:r>
        <w:rPr/>
        <w:t>（</w:t>
      </w:r>
      <w:r>
        <w:rPr>
          <w:rFonts w:ascii="Times New Roman" w:hAnsi="Times New Roman" w:cs="Times New Roman" w:eastAsia="Times New Roman" w:hint="default"/>
        </w:rPr>
        <w:t>1</w:t>
      </w:r>
      <w:r>
        <w:rPr/>
        <w:t>）同一控制下的企业合并 参与合并的企业在合并前后均受同一方或相同的多方最终控制且该控制并非暂时性的，认定为同一控制下的企业合并。 </w:t>
      </w:r>
      <w:r>
        <w:rPr>
          <w:spacing w:val="-2"/>
        </w:rPr>
        <w:t>合并方以支付现金、转让非现金资产或承担债务方式作为合并对价的，在合并日按照被合并方所有者权益在最终控制方</w:t>
      </w:r>
    </w:p>
    <w:p>
      <w:pPr>
        <w:pStyle w:val="BodyText"/>
        <w:spacing w:line="319" w:lineRule="auto" w:before="0"/>
        <w:ind w:left="174" w:right="0"/>
        <w:jc w:val="left"/>
      </w:pPr>
      <w:r>
        <w:rPr>
          <w:spacing w:val="-2"/>
        </w:rPr>
        <w:t>合并财务报表中的账面价值的份额作为长期股权投资的初始投资成本。长期股权投资初始投资成本与支付的现金、转让的非</w:t>
      </w:r>
      <w:r>
        <w:rPr>
          <w:spacing w:val="-64"/>
        </w:rPr>
        <w:t> </w:t>
      </w:r>
      <w:r>
        <w:rPr>
          <w:spacing w:val="-64"/>
        </w:rPr>
      </w:r>
      <w:r>
        <w:rPr/>
        <w:t>现金资产以及所承担债务账面价值之间的差额，调整资本公积；资本公积不足冲减的，调整留存收益。</w:t>
      </w:r>
    </w:p>
    <w:p>
      <w:pPr>
        <w:pStyle w:val="BodyText"/>
        <w:spacing w:line="319" w:lineRule="auto" w:before="56"/>
        <w:ind w:left="174" w:right="1131" w:firstLine="360"/>
        <w:jc w:val="both"/>
      </w:pPr>
      <w:r>
        <w:rPr>
          <w:spacing w:val="-2"/>
        </w:rPr>
        <w:t>合并方以发行权益性证券作为合并对价的，在合并日按照被合并方所有者权益在最终控制方合并财务报表中的账面价值</w:t>
      </w:r>
      <w:r>
        <w:rPr/>
        <w:t> </w:t>
      </w:r>
      <w:r>
        <w:rPr>
          <w:spacing w:val="-2"/>
        </w:rPr>
        <w:t>的份额作为长期股权投资的初始投资成本。按照发行股份的面值总额作为股本，长期股权投资初始投资成本与所发行股份面</w:t>
      </w:r>
      <w:r>
        <w:rPr>
          <w:spacing w:val="-64"/>
        </w:rPr>
        <w:t> </w:t>
      </w:r>
      <w:r>
        <w:rPr>
          <w:spacing w:val="-64"/>
        </w:rPr>
      </w:r>
      <w:r>
        <w:rPr/>
        <w:t>值总额之间的差额，调整资本公积；资本公积不足冲减的，调整留存收益。</w:t>
      </w:r>
    </w:p>
    <w:p>
      <w:pPr>
        <w:pStyle w:val="BodyText"/>
        <w:spacing w:line="240" w:lineRule="auto" w:before="56"/>
        <w:ind w:right="0"/>
        <w:jc w:val="left"/>
      </w:pPr>
      <w:r>
        <w:rPr/>
        <w:t>合并方为企业合并发生的审计、法律服务、评估咨询等中介费用以及其他相关管理费用，于发生时计入当期损益。</w:t>
      </w:r>
    </w:p>
    <w:p>
      <w:pPr>
        <w:pStyle w:val="BodyText"/>
        <w:spacing w:line="348" w:lineRule="auto" w:before="116"/>
        <w:ind w:right="1117"/>
        <w:jc w:val="left"/>
      </w:pPr>
      <w:r>
        <w:rPr/>
        <w:t>（</w:t>
      </w:r>
      <w:r>
        <w:rPr>
          <w:rFonts w:ascii="Times New Roman" w:hAnsi="Times New Roman" w:cs="Times New Roman" w:eastAsia="Times New Roman" w:hint="default"/>
        </w:rPr>
        <w:t>2</w:t>
      </w:r>
      <w:r>
        <w:rPr/>
        <w:t>）非同一控制下的企业合并 参与合并的各方在合并前后不受同一方或相同的多方最终控制的，认定为非同一控制下的企业合并。 </w:t>
      </w:r>
      <w:r>
        <w:rPr>
          <w:spacing w:val="-2"/>
        </w:rPr>
        <w:t>购买方通过一次交换交易实现的企业合并，合并成本为购买方在购买日为取得对被购买方的控制权而付出的资产、发生</w:t>
      </w:r>
    </w:p>
    <w:p>
      <w:pPr>
        <w:pStyle w:val="BodyText"/>
        <w:spacing w:line="316" w:lineRule="auto" w:before="0"/>
        <w:ind w:left="174" w:right="0"/>
        <w:jc w:val="left"/>
      </w:pPr>
      <w:r>
        <w:rPr>
          <w:spacing w:val="-2"/>
        </w:rPr>
        <w:t>或承担的负债以及发行的权益性证券的公允价值。购买方为企业合并发生的审计、法律服务、评估咨询等中介费用以及其他</w:t>
      </w:r>
      <w:r>
        <w:rPr>
          <w:spacing w:val="-66"/>
        </w:rPr>
        <w:t> </w:t>
      </w:r>
      <w:r>
        <w:rPr>
          <w:spacing w:val="-66"/>
        </w:rPr>
      </w:r>
      <w:r>
        <w:rPr>
          <w:spacing w:val="-2"/>
        </w:rPr>
        <w:t>相关管理费用，于发生时计入当期损益；购买方作为合并对价发行的权益性证券或债务性证券的交易费用，计入权益性证券</w:t>
      </w:r>
    </w:p>
    <w:p>
      <w:pPr>
        <w:spacing w:after="0" w:line="316"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357" w:lineRule="auto"/>
        <w:ind w:right="0" w:hanging="360"/>
        <w:jc w:val="left"/>
      </w:pPr>
      <w:r>
        <w:rPr/>
        <w:t>或债务性证券的初始确认金额。 </w:t>
      </w:r>
      <w:r>
        <w:rPr>
          <w:spacing w:val="-2"/>
        </w:rPr>
        <w:t>购买方的合并成本和购买方在合并中取得的可辨认净资产按购买日的公允价值计量。合并成本大于合并中取得的被购买</w:t>
      </w:r>
    </w:p>
    <w:p>
      <w:pPr>
        <w:pStyle w:val="BodyText"/>
        <w:spacing w:line="224" w:lineRule="exact" w:before="0"/>
        <w:ind w:left="174" w:right="0"/>
        <w:jc w:val="left"/>
      </w:pPr>
      <w:r>
        <w:rPr/>
        <w:t>方于购买日可辨认净资产公允价值份额的差额，确认为商誉；合并成本小于合并中取得的被购买方可辨认净资产公允价值份</w:t>
      </w:r>
    </w:p>
    <w:p>
      <w:pPr>
        <w:pStyle w:val="BodyText"/>
        <w:spacing w:line="240" w:lineRule="auto" w:before="77"/>
        <w:ind w:left="174" w:right="0"/>
        <w:jc w:val="left"/>
      </w:pPr>
      <w:r>
        <w:rPr/>
        <w:t>额的差额，计入当期损益。</w:t>
      </w:r>
    </w:p>
    <w:p>
      <w:pPr>
        <w:pStyle w:val="BodyText"/>
        <w:spacing w:line="338" w:lineRule="auto" w:before="117"/>
        <w:ind w:right="0"/>
        <w:jc w:val="left"/>
      </w:pPr>
      <w:r>
        <w:rPr/>
        <w:t>（</w:t>
      </w:r>
      <w:r>
        <w:rPr>
          <w:rFonts w:ascii="Times New Roman" w:hAnsi="Times New Roman" w:cs="Times New Roman" w:eastAsia="Times New Roman" w:hint="default"/>
        </w:rPr>
        <w:t>3</w:t>
      </w:r>
      <w:r>
        <w:rPr/>
        <w:t>）因追加投资等原因能够对非同一控制下的被投资单位实施控制的 </w:t>
      </w:r>
      <w:r>
        <w:rPr>
          <w:spacing w:val="-4"/>
        </w:rPr>
        <w:t>在编制个别财务报表时，按照原持有的股权投资账面价值加上新增投资成本之和，作为改按成本法核算的初始投资成本。</w:t>
      </w:r>
    </w:p>
    <w:p>
      <w:pPr>
        <w:pStyle w:val="BodyText"/>
        <w:spacing w:line="309" w:lineRule="auto" w:before="2"/>
        <w:ind w:left="174" w:right="1130"/>
        <w:jc w:val="both"/>
      </w:pPr>
      <w:r>
        <w:rPr>
          <w:spacing w:val="-2"/>
        </w:rPr>
        <w:t>购买日之前持有的股权投资因采用权益法核算而确认的其他综合收益，在处置该项投资时采用与被投资单位直接处置相关资</w:t>
      </w:r>
      <w:r>
        <w:rPr>
          <w:spacing w:val="-63"/>
        </w:rPr>
        <w:t> </w:t>
      </w:r>
      <w:r>
        <w:rPr>
          <w:spacing w:val="-63"/>
        </w:rPr>
      </w:r>
      <w:r>
        <w:rPr/>
        <w:t>产或负债相同的基础进行会计处理。购买日之前持有的股权投资按照《企业会计准则第</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金融工具确认和计量》的 有关规定进行会计处理的，原计入其他综合收益的累计公允价值变动在改按成本法核算时转入当期损益。</w:t>
      </w:r>
    </w:p>
    <w:p>
      <w:pPr>
        <w:pStyle w:val="BodyText"/>
        <w:spacing w:line="319" w:lineRule="auto" w:before="62"/>
        <w:ind w:left="174"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与其账面价值的差额计入当期投资收益；购买日之前持有的被购买方的股权涉及权益法核算下的其他综合收益等的，与其相</w:t>
      </w:r>
      <w:r>
        <w:rPr>
          <w:spacing w:val="-64"/>
        </w:rPr>
        <w:t> </w:t>
      </w:r>
      <w:r>
        <w:rPr>
          <w:spacing w:val="-64"/>
        </w:rPr>
      </w:r>
      <w:r>
        <w:rPr/>
        <w:t>关的其他综合收益等应当转为购买日所属当期收益。</w:t>
      </w:r>
    </w:p>
    <w:p>
      <w:pPr>
        <w:spacing w:line="240" w:lineRule="auto" w:before="11"/>
        <w:rPr>
          <w:rFonts w:ascii="宋体" w:hAnsi="宋体" w:cs="宋体" w:eastAsia="宋体" w:hint="default"/>
          <w:sz w:val="12"/>
          <w:szCs w:val="12"/>
        </w:rPr>
      </w:pPr>
    </w:p>
    <w:p>
      <w:pPr>
        <w:pStyle w:val="Heading3"/>
        <w:spacing w:line="240" w:lineRule="auto" w:before="0"/>
        <w:ind w:right="0"/>
        <w:jc w:val="left"/>
        <w:rPr>
          <w:b w:val="0"/>
          <w:bCs w:val="0"/>
        </w:rPr>
      </w:pPr>
      <w:bookmarkStart w:name="5、合并财务报表的编制方法" w:id="198"/>
      <w:bookmarkEnd w:id="198"/>
      <w:r>
        <w:rPr>
          <w:b w:val="0"/>
          <w:bCs w:val="0"/>
        </w:rPr>
      </w:r>
      <w:r>
        <w:rPr>
          <w:rFonts w:ascii="Times New Roman" w:hAnsi="Times New Roman" w:cs="Times New Roman" w:eastAsia="Times New Roman" w:hint="default"/>
        </w:rPr>
        <w:t>5</w:t>
      </w:r>
      <w:r>
        <w:rPr/>
        <w:t>、合并财务报表的编制方法</w:t>
      </w:r>
      <w:r>
        <w:rPr>
          <w:b w:val="0"/>
          <w:bCs w:val="0"/>
        </w:rPr>
      </w:r>
    </w:p>
    <w:p>
      <w:pPr>
        <w:pStyle w:val="BodyText"/>
        <w:spacing w:line="340" w:lineRule="auto" w:before="158"/>
        <w:ind w:right="2652"/>
        <w:jc w:val="left"/>
      </w:pPr>
      <w:r>
        <w:rPr/>
        <w:t>（</w:t>
      </w:r>
      <w:r>
        <w:rPr>
          <w:rFonts w:ascii="Times New Roman" w:hAnsi="Times New Roman" w:cs="Times New Roman" w:eastAsia="Times New Roman" w:hint="default"/>
        </w:rPr>
        <w:t>1</w:t>
      </w:r>
      <w:r>
        <w:rPr/>
        <w:t>）合并范围 合并财务报表的合并范围包括本公司及子公司。合并财务报表的合并范围以控制为基础予以确定。</w:t>
      </w:r>
    </w:p>
    <w:p>
      <w:pPr>
        <w:pStyle w:val="BodyText"/>
        <w:spacing w:line="338" w:lineRule="auto" w:before="40"/>
        <w:ind w:right="0"/>
        <w:jc w:val="left"/>
      </w:pPr>
      <w:r>
        <w:rPr/>
        <w:t>（</w:t>
      </w:r>
      <w:r>
        <w:rPr>
          <w:rFonts w:ascii="Times New Roman" w:hAnsi="Times New Roman" w:cs="Times New Roman" w:eastAsia="Times New Roman" w:hint="default"/>
        </w:rPr>
        <w:t>2</w:t>
      </w:r>
      <w:r>
        <w:rPr/>
        <w:t>）控制的依据 </w:t>
      </w:r>
      <w:r>
        <w:rPr>
          <w:spacing w:val="-2"/>
        </w:rPr>
        <w:t>投资方拥有对被投资方的权力，通过参与被投资方的相关活动而享有可变回报，并且有能力运用对被投资方的权力影响</w:t>
      </w:r>
    </w:p>
    <w:p>
      <w:pPr>
        <w:pStyle w:val="BodyText"/>
        <w:spacing w:line="240" w:lineRule="auto" w:before="4"/>
        <w:ind w:left="174" w:right="0"/>
        <w:jc w:val="left"/>
      </w:pPr>
      <w:r>
        <w:rPr/>
        <w:t>其回报金额，视为投资方控制被投资方。相关活动，系为对被投资方的回报产生重大影响的活动。</w:t>
      </w:r>
    </w:p>
    <w:p>
      <w:pPr>
        <w:pStyle w:val="BodyText"/>
        <w:spacing w:line="338" w:lineRule="auto" w:before="117"/>
        <w:ind w:right="0"/>
        <w:jc w:val="left"/>
      </w:pPr>
      <w:r>
        <w:rPr/>
        <w:t>（</w:t>
      </w:r>
      <w:r>
        <w:rPr>
          <w:rFonts w:ascii="Times New Roman" w:hAnsi="Times New Roman" w:cs="Times New Roman" w:eastAsia="Times New Roman" w:hint="default"/>
        </w:rPr>
        <w:t>3</w:t>
      </w:r>
      <w:r>
        <w:rPr/>
        <w:t>）决策者和代理人 </w:t>
      </w:r>
      <w:r>
        <w:rPr>
          <w:spacing w:val="-2"/>
        </w:rPr>
        <w:t>代理人仅代表主要责任人行使决策权，不控制被投资方。投资方将被投资方相关活动的决策权委托给代理人的，将该决</w:t>
      </w:r>
    </w:p>
    <w:p>
      <w:pPr>
        <w:pStyle w:val="BodyText"/>
        <w:spacing w:line="360" w:lineRule="auto" w:before="4"/>
        <w:ind w:right="2832" w:hanging="360"/>
        <w:jc w:val="left"/>
      </w:pPr>
      <w:r>
        <w:rPr/>
        <w:t>策权视为自身直接持有。 在确定决策者是否为代理人时，公司综合考虑该决策者与被投资方以及其他投资方之间的关系。 </w:t>
      </w:r>
      <w:r>
        <w:rPr>
          <w:rFonts w:ascii="Times New Roman" w:hAnsi="Times New Roman" w:cs="Times New Roman" w:eastAsia="Times New Roman" w:hint="default"/>
        </w:rPr>
        <w:t>a.</w:t>
      </w:r>
      <w:r>
        <w:rPr/>
        <w:t>存在单独一方拥有实质性权利可以无条件罢免决策者的，该决策者为代理人。</w:t>
      </w:r>
    </w:p>
    <w:p>
      <w:pPr>
        <w:pStyle w:val="BodyText"/>
        <w:spacing w:line="302" w:lineRule="auto" w:before="1"/>
        <w:ind w:left="174" w:right="1195" w:firstLine="36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除</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以外的情况下，综合考虑决策者对被投资方的决策权范围、其他方享有的实质性权利、决策者的薪酬水平、决 策者因持有被投资方中的其他权益所承担可变回报的风险等相关因素进行判断。</w:t>
      </w:r>
    </w:p>
    <w:p>
      <w:pPr>
        <w:pStyle w:val="BodyText"/>
        <w:spacing w:line="340" w:lineRule="auto" w:before="69"/>
        <w:ind w:right="6972"/>
        <w:jc w:val="left"/>
      </w:pPr>
      <w:r>
        <w:rPr/>
        <w:t>（</w:t>
      </w:r>
      <w:r>
        <w:rPr>
          <w:rFonts w:ascii="Times New Roman" w:hAnsi="Times New Roman" w:cs="Times New Roman" w:eastAsia="Times New Roman" w:hint="default"/>
        </w:rPr>
        <w:t>4</w:t>
      </w:r>
      <w:r>
        <w:rPr/>
        <w:t>）投资性主体 当同时满足下列条件时，视为投资性主体：</w:t>
      </w:r>
    </w:p>
    <w:p>
      <w:pPr>
        <w:pStyle w:val="BodyText"/>
        <w:spacing w:line="338" w:lineRule="auto" w:before="40"/>
        <w:ind w:right="3417"/>
        <w:jc w:val="left"/>
      </w:pPr>
      <w:r>
        <w:rPr>
          <w:rFonts w:ascii="Times New Roman" w:hAnsi="Times New Roman" w:cs="Times New Roman" w:eastAsia="Times New Roman" w:hint="default"/>
        </w:rPr>
        <w:t>a.</w:t>
      </w:r>
      <w:r>
        <w:rPr/>
        <w:t>该公司是以向投资者提供投资管理服务为目的，从一个或多个投资者处获取资金； </w:t>
      </w:r>
      <w:r>
        <w:rPr>
          <w:rFonts w:ascii="Times New Roman" w:hAnsi="Times New Roman" w:cs="Times New Roman" w:eastAsia="Times New Roman" w:hint="default"/>
        </w:rPr>
        <w:t>b.</w:t>
      </w:r>
      <w:r>
        <w:rPr/>
        <w:t>该公司的唯一经营目的，是通过资本增值、投资收益或两者兼有而让投资者获得回报； </w:t>
      </w:r>
      <w:r>
        <w:rPr>
          <w:rFonts w:ascii="Times New Roman" w:hAnsi="Times New Roman" w:cs="Times New Roman" w:eastAsia="Times New Roman" w:hint="default"/>
        </w:rPr>
        <w:t>c.</w:t>
      </w:r>
      <w:r>
        <w:rPr/>
        <w:t>该公司按照公允价值对几乎所有投资的业绩进行考量和评价。 属于投资性主体的，通常情况下符合下列所有特征：</w:t>
      </w:r>
    </w:p>
    <w:p>
      <w:pPr>
        <w:pStyle w:val="BodyText"/>
        <w:spacing w:line="338" w:lineRule="auto" w:before="42"/>
        <w:ind w:right="6837"/>
        <w:jc w:val="left"/>
      </w:pPr>
      <w:r>
        <w:rPr>
          <w:rFonts w:ascii="Times New Roman" w:hAnsi="Times New Roman" w:cs="Times New Roman" w:eastAsia="Times New Roman" w:hint="default"/>
        </w:rPr>
        <w:t>a.</w:t>
      </w:r>
      <w:r>
        <w:rPr/>
        <w:t>拥有一个以上投资； </w:t>
      </w:r>
      <w:r>
        <w:rPr>
          <w:rFonts w:ascii="Times New Roman" w:hAnsi="Times New Roman" w:cs="Times New Roman" w:eastAsia="Times New Roman" w:hint="default"/>
        </w:rPr>
        <w:t>b.</w:t>
      </w:r>
      <w:r>
        <w:rPr/>
        <w:t>拥有一个以上投资者； </w:t>
      </w:r>
      <w:r>
        <w:rPr>
          <w:rFonts w:ascii="Times New Roman" w:hAnsi="Times New Roman" w:cs="Times New Roman" w:eastAsia="Times New Roman" w:hint="default"/>
        </w:rPr>
        <w:t>c.</w:t>
      </w:r>
      <w:r>
        <w:rPr/>
        <w:t>投资者不是该主体的关联方； </w:t>
      </w:r>
      <w:r>
        <w:rPr>
          <w:rFonts w:ascii="Times New Roman" w:hAnsi="Times New Roman" w:cs="Times New Roman" w:eastAsia="Times New Roman" w:hint="default"/>
        </w:rPr>
        <w:t>d.</w:t>
      </w:r>
      <w:r>
        <w:rPr/>
        <w:t>其所有者权益以股权或类似权益方式存在。</w:t>
      </w:r>
    </w:p>
    <w:p>
      <w:pPr>
        <w:pStyle w:val="BodyText"/>
        <w:spacing w:line="302" w:lineRule="auto" w:before="20"/>
        <w:ind w:left="174" w:right="1272" w:firstLine="360"/>
        <w:jc w:val="left"/>
      </w:pPr>
      <w:r>
        <w:rPr/>
        <w:t>如果母公司是投资性主体，则母公司仅将为其投资活动提供相关服务的子公司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纳入合并范围并编制合并财务报 表；其他子公司不予以合并，母公司对其他子公司的投资按照公允价值计量且其变动计入当期损益。</w:t>
      </w:r>
    </w:p>
    <w:p>
      <w:pPr>
        <w:pStyle w:val="BodyText"/>
        <w:spacing w:line="319" w:lineRule="auto" w:before="68"/>
        <w:ind w:left="174" w:right="0" w:firstLine="360"/>
        <w:jc w:val="left"/>
      </w:pPr>
      <w:r>
        <w:rPr>
          <w:spacing w:val="-2"/>
        </w:rPr>
        <w:t>投资性主体的母公司本身不是投资性主体，则将其控制的全部主体，包括那些通过投资性主体所间接控制的主体，纳入</w:t>
      </w:r>
      <w:r>
        <w:rPr/>
        <w:t> 合并财务报表范围。</w:t>
      </w:r>
    </w:p>
    <w:p>
      <w:pPr>
        <w:pStyle w:val="BodyText"/>
        <w:spacing w:line="240" w:lineRule="auto" w:before="56"/>
        <w:ind w:right="0"/>
        <w:jc w:val="left"/>
      </w:pPr>
      <w:r>
        <w:rPr/>
        <w:t>（</w:t>
      </w:r>
      <w:r>
        <w:rPr>
          <w:rFonts w:ascii="Times New Roman" w:hAnsi="Times New Roman" w:cs="Times New Roman" w:eastAsia="Times New Roman" w:hint="default"/>
        </w:rPr>
        <w:t>5</w:t>
      </w:r>
      <w:r>
        <w:rPr/>
        <w:t>）合并程序</w:t>
      </w:r>
    </w:p>
    <w:p>
      <w:pPr>
        <w:spacing w:after="0" w:line="240"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0" w:firstLine="360"/>
        <w:jc w:val="left"/>
      </w:pPr>
      <w:r>
        <w:rPr>
          <w:spacing w:val="-2"/>
        </w:rPr>
        <w:t>子公司所采用的会计政策或会计期间与本公司不一致的，按照本公司的会计政策或会计期间对子公司财务报表进行必要</w:t>
      </w:r>
      <w:r>
        <w:rPr/>
        <w:t> 的调整；或者要求子公司按照本公司的会计政策或会计期间另行编报财务报表。</w:t>
      </w:r>
    </w:p>
    <w:p>
      <w:pPr>
        <w:pStyle w:val="BodyText"/>
        <w:spacing w:line="319" w:lineRule="auto" w:before="55"/>
        <w:ind w:left="174" w:right="0" w:firstLine="360"/>
        <w:jc w:val="left"/>
      </w:pPr>
      <w:r>
        <w:rPr>
          <w:spacing w:val="-4"/>
        </w:rPr>
        <w:t>合并资产负债表、合并利润表、合并现金流量表及合并所有者（股东）权益变动表分别以本公司和子公司的资产负债表、</w:t>
      </w:r>
      <w:r>
        <w:rPr/>
        <w:t> </w:t>
      </w:r>
      <w:r>
        <w:rPr>
          <w:spacing w:val="-2"/>
        </w:rPr>
        <w:t>利润表、现金流量表及所有者（股东）权益变动表为基础，在抵销本公司与子公司、子公司相互之间发生的内部交易对合并</w:t>
      </w:r>
      <w:r>
        <w:rPr>
          <w:spacing w:val="-66"/>
        </w:rPr>
        <w:t> </w:t>
      </w:r>
      <w:r>
        <w:rPr>
          <w:spacing w:val="-66"/>
        </w:rPr>
      </w:r>
      <w:r>
        <w:rPr/>
        <w:t>资产负债表、合并利润表、合并现金流量表及合并所有者（股东）权益变动表的影响后，由本公司合并编制。</w:t>
      </w:r>
    </w:p>
    <w:p>
      <w:pPr>
        <w:pStyle w:val="BodyText"/>
        <w:spacing w:line="319" w:lineRule="auto" w:before="56"/>
        <w:ind w:left="174" w:right="1130" w:firstLine="360"/>
        <w:jc w:val="both"/>
      </w:pPr>
      <w:r>
        <w:rPr>
          <w:spacing w:val="-2"/>
        </w:rPr>
        <w:t>本公司向子公司出售资产所发生的未实现内部交易损益，全额抵销“归属于母公司所有者的净利润”。子公司向本公司</w:t>
      </w:r>
      <w:r>
        <w:rPr/>
        <w:t> </w:t>
      </w:r>
      <w:r>
        <w:rPr>
          <w:spacing w:val="-2"/>
        </w:rPr>
        <w:t>出售资产所发生的未实现内部交易损益，按照本公司对该子公司的分配比例在“归属于母公司所有者的净利润”和“少数股</w:t>
      </w:r>
      <w:r>
        <w:rPr>
          <w:spacing w:val="-65"/>
        </w:rPr>
        <w:t> </w:t>
      </w:r>
      <w:r>
        <w:rPr>
          <w:spacing w:val="-65"/>
        </w:rPr>
      </w:r>
      <w:r>
        <w:rPr>
          <w:spacing w:val="-2"/>
        </w:rPr>
        <w:t>东损益”之间分配抵销。子公司之间出售资产所发生的未实现内部交易损益，应当按照本公司对出售方子公司的分配比例在</w:t>
      </w:r>
      <w:r>
        <w:rPr>
          <w:spacing w:val="-66"/>
        </w:rPr>
        <w:t> </w:t>
      </w:r>
      <w:r>
        <w:rPr>
          <w:spacing w:val="-66"/>
        </w:rPr>
      </w:r>
      <w:r>
        <w:rPr/>
        <w:t>“归属于母公司所有者的净利润”和“少数股东损益”之间分配抵销。</w:t>
      </w:r>
    </w:p>
    <w:p>
      <w:pPr>
        <w:pStyle w:val="BodyText"/>
        <w:spacing w:line="319" w:lineRule="auto" w:before="55"/>
        <w:ind w:left="174" w:right="1032" w:firstLine="360"/>
        <w:jc w:val="left"/>
      </w:pPr>
      <w:r>
        <w:rPr>
          <w:spacing w:val="-2"/>
        </w:rPr>
        <w:t>子公司所有者权益中不属于本公司的份额，作为少数股东权益，在合并资产负债表中所有者权益项目下以“少数股东权</w:t>
      </w:r>
      <w:r>
        <w:rPr/>
        <w:t> </w:t>
      </w:r>
      <w:r>
        <w:rPr>
          <w:spacing w:val="-4"/>
        </w:rPr>
        <w:t>益”项目列示。子公司当期净损益中属于少数股东权益的份额，在合并利润表中净利润项目下以“少数股东损益”项目列示。</w:t>
      </w:r>
      <w:r>
        <w:rPr>
          <w:spacing w:val="-43"/>
        </w:rPr>
        <w:t> </w:t>
      </w:r>
      <w:r>
        <w:rPr>
          <w:spacing w:val="-43"/>
        </w:rPr>
      </w:r>
      <w:r>
        <w:rPr>
          <w:spacing w:val="-4"/>
        </w:rPr>
        <w:t>子公司当期综合收益中属于少数股东权益的份额，在合并利润表中综合收益总额项目下以“归属于少数股东的综合收益总额”</w:t>
      </w:r>
      <w:r>
        <w:rPr>
          <w:spacing w:val="-43"/>
        </w:rPr>
        <w:t> </w:t>
      </w:r>
      <w:r>
        <w:rPr>
          <w:spacing w:val="-43"/>
        </w:rPr>
      </w:r>
      <w:r>
        <w:rPr>
          <w:spacing w:val="-2"/>
        </w:rPr>
        <w:t>项目列示。有少数股东的，在合并所有者权益变动表中增加“少数股东权益”栏目，反映少数股东权益变动的情况。子公司</w:t>
      </w:r>
      <w:r>
        <w:rPr>
          <w:spacing w:val="-67"/>
        </w:rPr>
        <w:t> </w:t>
      </w:r>
      <w:r>
        <w:rPr>
          <w:spacing w:val="-67"/>
        </w:rPr>
      </w:r>
      <w:r>
        <w:rPr/>
        <w:t>少数股东分担的当期亏损超过了少数股东在该子公司期初所有者权益中所享有的份额的，其余额仍应当冲减少数股东权益。</w:t>
      </w:r>
    </w:p>
    <w:p>
      <w:pPr>
        <w:pStyle w:val="BodyText"/>
        <w:spacing w:line="319" w:lineRule="auto" w:before="55"/>
        <w:ind w:left="174" w:right="0" w:firstLine="360"/>
        <w:jc w:val="left"/>
      </w:pPr>
      <w:r>
        <w:rPr>
          <w:spacing w:val="-2"/>
        </w:rPr>
        <w:t>本公司在报告期内因同一控制下企业合并增加的子公司以及业务，编制合并资产负债表时，调整合并资产负债表的期初</w:t>
      </w:r>
      <w:r>
        <w:rPr/>
        <w:t> </w:t>
      </w:r>
      <w:r>
        <w:rPr>
          <w:spacing w:val="-2"/>
        </w:rPr>
        <w:t>数；编制合并利润表时，将该子公司以及业务合并当期期初至报告期末的收入、费用、利润纳入合并利润表；编制现金流量</w:t>
      </w:r>
      <w:r>
        <w:rPr>
          <w:spacing w:val="-66"/>
        </w:rPr>
        <w:t> </w:t>
      </w:r>
      <w:r>
        <w:rPr>
          <w:spacing w:val="-66"/>
        </w:rPr>
      </w:r>
      <w:r>
        <w:rPr>
          <w:spacing w:val="-4"/>
        </w:rPr>
        <w:t>表时，将该子公司以及业务合并当期期初至报告期末的现金流量纳入合并现金流量表；同时对比较报表的相关项目进行调整，</w:t>
      </w:r>
      <w:r>
        <w:rPr>
          <w:spacing w:val="-44"/>
        </w:rPr>
        <w:t> </w:t>
      </w:r>
      <w:r>
        <w:rPr>
          <w:spacing w:val="-44"/>
        </w:rPr>
      </w:r>
      <w:r>
        <w:rPr/>
        <w:t>视同合并后的报告主体自最终控制方开始控制时点起一直存在。</w:t>
      </w:r>
    </w:p>
    <w:p>
      <w:pPr>
        <w:pStyle w:val="BodyText"/>
        <w:spacing w:line="319" w:lineRule="auto" w:before="56"/>
        <w:ind w:left="174" w:right="1043" w:firstLine="360"/>
        <w:jc w:val="both"/>
      </w:pPr>
      <w:r>
        <w:rPr>
          <w:spacing w:val="-4"/>
        </w:rPr>
        <w:t>因非同一控制下企业合并或其他方式增加的子公司以及业务，编制合并资产负债表时，不调整合并资产负债表的期初数；</w:t>
      </w:r>
      <w:r>
        <w:rPr/>
        <w:t> 编制合并利润表时，将该子公司以及业务购买日至报告期末的收入、费用、利润纳入合并利润表；编制合并现金流量表时， 将该子公司购买日至报告期末的现金流量纳入合并现金流量表。</w:t>
      </w:r>
    </w:p>
    <w:p>
      <w:pPr>
        <w:pStyle w:val="BodyText"/>
        <w:spacing w:line="319" w:lineRule="auto" w:before="56"/>
        <w:ind w:left="174" w:right="0" w:firstLine="360"/>
        <w:jc w:val="left"/>
      </w:pPr>
      <w:r>
        <w:rPr>
          <w:spacing w:val="-4"/>
        </w:rPr>
        <w:t>本公司在报告期内处置子公司以及业务，编制合并资产负债表时，不调整合并资产负债表的期初数；编制合并利润表时，</w:t>
      </w:r>
      <w:r>
        <w:rPr/>
        <w:t> </w:t>
      </w:r>
      <w:r>
        <w:rPr>
          <w:spacing w:val="-2"/>
        </w:rPr>
        <w:t>将该子公司以及业务期初至处置日的收入、费用、利润纳入合并利润表；编制合并现金流量表时，将该子公司以及业务期初</w:t>
      </w:r>
      <w:r>
        <w:rPr>
          <w:spacing w:val="-66"/>
        </w:rPr>
        <w:t> </w:t>
      </w:r>
      <w:r>
        <w:rPr>
          <w:spacing w:val="-66"/>
        </w:rPr>
      </w:r>
      <w:r>
        <w:rPr/>
        <w:t>至处置日的现金流量纳入合并现金流量表。</w:t>
      </w:r>
    </w:p>
    <w:p>
      <w:pPr>
        <w:pStyle w:val="BodyText"/>
        <w:spacing w:line="240" w:lineRule="auto" w:before="56"/>
        <w:ind w:right="0"/>
        <w:jc w:val="left"/>
      </w:pPr>
      <w:r>
        <w:rPr/>
        <w:t>（</w:t>
      </w:r>
      <w:r>
        <w:rPr>
          <w:rFonts w:ascii="Times New Roman" w:hAnsi="Times New Roman" w:cs="Times New Roman" w:eastAsia="Times New Roman" w:hint="default"/>
        </w:rPr>
        <w:t>6</w:t>
      </w:r>
      <w:r>
        <w:rPr/>
        <w:t>）特殊交易会计处理</w:t>
      </w:r>
    </w:p>
    <w:p>
      <w:pPr>
        <w:pStyle w:val="BodyText"/>
        <w:spacing w:line="338" w:lineRule="auto" w:before="103"/>
        <w:ind w:right="0"/>
        <w:jc w:val="left"/>
      </w:pPr>
      <w:r>
        <w:rPr>
          <w:rFonts w:ascii="Times New Roman" w:hAnsi="Times New Roman" w:cs="Times New Roman" w:eastAsia="Times New Roman" w:hint="default"/>
        </w:rPr>
        <w:t>1</w:t>
      </w:r>
      <w:r>
        <w:rPr/>
        <w:t>）购买子公司少数股东拥有的子公司股权 </w:t>
      </w:r>
      <w:r>
        <w:rPr>
          <w:spacing w:val="-2"/>
        </w:rPr>
        <w:t>在合并财务报表中，因购买少数股权新取得的长期股权投资与按照新增持股比例计算应享有子公司自购买日或合并日开</w:t>
      </w:r>
    </w:p>
    <w:p>
      <w:pPr>
        <w:pStyle w:val="BodyText"/>
        <w:spacing w:line="338" w:lineRule="auto" w:before="4"/>
        <w:ind w:right="0" w:hanging="360"/>
        <w:jc w:val="left"/>
      </w:pPr>
      <w:r>
        <w:rPr/>
        <w:t>始持续计算的净资产份额之间的差额，调整资本公积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 </w:t>
      </w:r>
      <w:r>
        <w:rPr>
          <w:rFonts w:ascii="Times New Roman" w:hAnsi="Times New Roman" w:cs="Times New Roman" w:eastAsia="Times New Roman" w:hint="default"/>
        </w:rPr>
        <w:t>2</w:t>
      </w:r>
      <w:r>
        <w:rPr/>
        <w:t>）不丧失控制权的情况下处置对子公司长期股权投资 </w:t>
      </w:r>
      <w:r>
        <w:rPr>
          <w:spacing w:val="-2"/>
        </w:rPr>
        <w:t>在不丧失控制权的情况下部分处置对子公司的长期股权投资，在合并财务报表中，处置价款与处置长期股权投资相对应</w:t>
      </w:r>
    </w:p>
    <w:p>
      <w:pPr>
        <w:pStyle w:val="BodyText"/>
        <w:spacing w:line="302" w:lineRule="auto" w:before="2"/>
        <w:ind w:left="174" w:right="0"/>
        <w:jc w:val="left"/>
      </w:pPr>
      <w:r>
        <w:rPr>
          <w:spacing w:val="-1"/>
        </w:rPr>
        <w:t>享有子公司自购买日或合并日开始持续计算的净资产份额之间的差额，应当调整资本公积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，资本公积</w:t>
      </w:r>
      <w:r>
        <w:rPr>
          <w:spacing w:val="-56"/>
        </w:rPr>
        <w:t> </w:t>
      </w:r>
      <w:r>
        <w:rPr>
          <w:spacing w:val="-56"/>
        </w:rPr>
      </w:r>
      <w:r>
        <w:rPr/>
        <w:t>不足冲减的，调整留存收益。</w:t>
      </w:r>
    </w:p>
    <w:p>
      <w:pPr>
        <w:pStyle w:val="BodyText"/>
        <w:spacing w:line="338" w:lineRule="auto" w:before="69"/>
        <w:ind w:right="0"/>
        <w:jc w:val="left"/>
      </w:pPr>
      <w:r>
        <w:rPr>
          <w:rFonts w:ascii="Times New Roman" w:hAnsi="Times New Roman" w:cs="Times New Roman" w:eastAsia="Times New Roman" w:hint="default"/>
        </w:rPr>
        <w:t>3</w:t>
      </w:r>
      <w:r>
        <w:rPr/>
        <w:t>）处置部分股权投资等原因丧失了对被投资方的控制权时，对于剩余股权的处理 </w:t>
      </w:r>
      <w:r>
        <w:rPr>
          <w:spacing w:val="-2"/>
        </w:rPr>
        <w:t>在编制合并财务报表时，对于剩余股权，按照其在丧失控制权日的公允价值进行重新计量。处置股权取得的对价与剩余</w:t>
      </w:r>
    </w:p>
    <w:p>
      <w:pPr>
        <w:pStyle w:val="BodyText"/>
        <w:spacing w:line="319" w:lineRule="auto" w:before="2"/>
        <w:ind w:left="174" w:right="1032"/>
        <w:jc w:val="left"/>
      </w:pPr>
      <w:r>
        <w:rPr/>
        <w:t>股权公允价值之和，减去按原持股比例计算应享有原有子公司自购买日或合并日开始持续计算的净资产的份额之间的差额， </w:t>
      </w:r>
      <w:r>
        <w:rPr>
          <w:spacing w:val="-2"/>
        </w:rPr>
        <w:t>计入丧失控制权当期的投资收益，同时冲减商誉。与原有子公司股权投资相关的其他综合收益等，在丧失控制权时转为当期</w:t>
      </w:r>
      <w:r>
        <w:rPr>
          <w:spacing w:val="-66"/>
        </w:rPr>
        <w:t> </w:t>
      </w:r>
      <w:r>
        <w:rPr>
          <w:spacing w:val="-66"/>
        </w:rPr>
      </w:r>
      <w:r>
        <w:rPr/>
        <w:t>投资收益。</w:t>
      </w:r>
    </w:p>
    <w:p>
      <w:pPr>
        <w:pStyle w:val="BodyText"/>
        <w:spacing w:line="338" w:lineRule="auto" w:before="58"/>
        <w:ind w:right="0"/>
        <w:jc w:val="left"/>
      </w:pPr>
      <w:r>
        <w:rPr>
          <w:rFonts w:ascii="Times New Roman" w:hAnsi="Times New Roman" w:cs="Times New Roman" w:eastAsia="Times New Roman" w:hint="default"/>
        </w:rPr>
        <w:t>4</w:t>
      </w:r>
      <w:r>
        <w:rPr/>
        <w:t>）企业通过多次交易分步处置对子公司股权投资直至丧失控制权，且该多次交易属于一揽子交易的处理 </w:t>
      </w:r>
      <w:r>
        <w:rPr>
          <w:spacing w:val="-2"/>
        </w:rPr>
        <w:t>处置对子公司股权投资直至丧失控制权的各项交易属于一揽子交易的，应当将各项交易作为一项处置子公司并丧失控制</w:t>
      </w:r>
    </w:p>
    <w:p>
      <w:pPr>
        <w:pStyle w:val="BodyText"/>
        <w:spacing w:line="319" w:lineRule="auto" w:before="2"/>
        <w:ind w:left="174" w:right="0"/>
        <w:jc w:val="left"/>
      </w:pPr>
      <w:r>
        <w:rPr>
          <w:spacing w:val="-2"/>
        </w:rPr>
        <w:t>权的交易进行会计处理；但是，在丧失控制权之前每一次处置价款与处置投资对应的享有该子公司净资产份额的差额，在合</w:t>
      </w:r>
      <w:r>
        <w:rPr>
          <w:spacing w:val="-66"/>
        </w:rPr>
        <w:t> </w:t>
      </w:r>
      <w:r>
        <w:rPr>
          <w:spacing w:val="-66"/>
        </w:rPr>
      </w:r>
      <w:r>
        <w:rPr/>
        <w:t>并财务报表中确认为其他综合收益，在丧失控制权时一并转入丧失控制权当期的损益。</w:t>
      </w:r>
    </w:p>
    <w:p>
      <w:pPr>
        <w:pStyle w:val="BodyText"/>
        <w:spacing w:line="240" w:lineRule="auto" w:before="56"/>
        <w:ind w:right="0"/>
        <w:jc w:val="left"/>
      </w:pPr>
      <w:r>
        <w:rPr/>
        <w:t>判断分步处置股权至丧失控制权过程的各项交易是否属于一揽子交易的原则如下：</w:t>
      </w:r>
    </w:p>
    <w:p>
      <w:pPr>
        <w:spacing w:after="0" w:line="240"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1132" w:firstLine="360"/>
        <w:jc w:val="both"/>
      </w:pPr>
      <w:r>
        <w:rPr>
          <w:spacing w:val="-2"/>
        </w:rPr>
        <w:t>处置对子公司股权投资的各项交易的条款、条件以及经济影响符合以下一种或多种情况，通常表明多次交易事项属于一</w:t>
      </w:r>
      <w:r>
        <w:rPr/>
        <w:t> 揽子交易：</w:t>
      </w:r>
    </w:p>
    <w:p>
      <w:pPr>
        <w:pStyle w:val="BodyText"/>
        <w:spacing w:line="338" w:lineRule="auto" w:before="56"/>
        <w:ind w:right="4857"/>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Heading3"/>
        <w:spacing w:line="240" w:lineRule="auto" w:before="132"/>
        <w:ind w:right="0"/>
        <w:jc w:val="left"/>
        <w:rPr>
          <w:b w:val="0"/>
          <w:bCs w:val="0"/>
        </w:rPr>
      </w:pPr>
      <w:bookmarkStart w:name="6、合营安排分类及共同经营会计处理方法" w:id="199"/>
      <w:bookmarkEnd w:id="199"/>
      <w:r>
        <w:rPr>
          <w:b w:val="0"/>
          <w:bCs w:val="0"/>
        </w:rPr>
      </w:r>
      <w:r>
        <w:rPr>
          <w:rFonts w:ascii="Times New Roman" w:hAnsi="Times New Roman" w:cs="Times New Roman" w:eastAsia="Times New Roman" w:hint="default"/>
        </w:rPr>
        <w:t>6</w:t>
      </w:r>
      <w:r>
        <w:rPr/>
        <w:t>、合营安排分类及共同经营会计处理方法</w:t>
      </w:r>
      <w:r>
        <w:rPr>
          <w:b w:val="0"/>
          <w:bCs w:val="0"/>
        </w:rPr>
      </w:r>
    </w:p>
    <w:p>
      <w:pPr>
        <w:pStyle w:val="BodyText"/>
        <w:spacing w:line="340" w:lineRule="auto" w:before="158"/>
        <w:ind w:right="7512"/>
        <w:jc w:val="left"/>
      </w:pPr>
      <w:r>
        <w:rPr/>
        <w:t>（</w:t>
      </w:r>
      <w:r>
        <w:rPr>
          <w:rFonts w:ascii="Times New Roman" w:hAnsi="Times New Roman" w:cs="Times New Roman" w:eastAsia="Times New Roman" w:hint="default"/>
        </w:rPr>
        <w:t>1</w:t>
      </w:r>
      <w:r>
        <w:rPr/>
        <w:t>）合营安排的分类 合营安排分为共同经营和合营企业。</w:t>
      </w:r>
    </w:p>
    <w:p>
      <w:pPr>
        <w:pStyle w:val="BodyText"/>
        <w:spacing w:line="343" w:lineRule="auto" w:before="40"/>
        <w:ind w:right="2292"/>
        <w:jc w:val="left"/>
      </w:pPr>
      <w:r>
        <w:rPr/>
        <w:t>（</w:t>
      </w:r>
      <w:r>
        <w:rPr>
          <w:rFonts w:ascii="Times New Roman" w:hAnsi="Times New Roman" w:cs="Times New Roman" w:eastAsia="Times New Roman" w:hint="default"/>
        </w:rPr>
        <w:t>2</w:t>
      </w:r>
      <w:r>
        <w:rPr/>
        <w:t>）共同经营参与方的会计处理 合营方确认其与共同经营中利益份额相关的下列项目，并按照相关企业会计准则的规定进行会计处理：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300" w:lineRule="auto" w:before="15"/>
        <w:ind w:left="174" w:right="1131" w:firstLine="360"/>
        <w:jc w:val="both"/>
      </w:pPr>
      <w:r>
        <w:rPr>
          <w:spacing w:val="-1"/>
        </w:rPr>
        <w:t>合营方向共同经营投出或出售资产等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，在该资产等由共同经营出售给第三方之前，仅确认因该</w:t>
      </w:r>
      <w:r>
        <w:rPr/>
        <w:t> 交易产生的损益中归属于共同经营其他参与方的部分。投出或出售的资产发生符合《企业会计准则第</w:t>
      </w:r>
      <w:r>
        <w:rPr>
          <w:spacing w:val="-71"/>
        </w:rPr>
        <w:t> </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spacing w:val="-3"/>
        </w:rPr>
        <w:t>号</w:t>
      </w:r>
      <w:r>
        <w:rPr>
          <w:rFonts w:ascii="Times New Roman" w:hAnsi="Times New Roman" w:cs="Times New Roman" w:eastAsia="Times New Roman" w:hint="default"/>
          <w:spacing w:val="-3"/>
        </w:rPr>
        <w:t>——</w:t>
      </w:r>
      <w:r>
        <w:rPr>
          <w:spacing w:val="-3"/>
        </w:rPr>
        <w:t>资产减值》等</w:t>
      </w:r>
      <w:r>
        <w:rPr/>
        <w:t> 规定的资产减值损失的，合营方全额确认该损失。</w:t>
      </w:r>
    </w:p>
    <w:p>
      <w:pPr>
        <w:pStyle w:val="BodyText"/>
        <w:spacing w:line="300" w:lineRule="auto" w:before="71"/>
        <w:ind w:left="174" w:right="1028" w:firstLine="360"/>
        <w:jc w:val="left"/>
      </w:pPr>
      <w:r>
        <w:rPr/>
        <w:t>合营方自共同经营购买资产等</w:t>
      </w:r>
      <w:r>
        <w:rPr>
          <w:rFonts w:ascii="Times New Roman" w:hAnsi="Times New Roman" w:cs="Times New Roman" w:eastAsia="Times New Roman" w:hint="default"/>
        </w:rPr>
        <w:t>(</w:t>
      </w:r>
      <w:r>
        <w:rPr/>
        <w:t>该资产构成业务的除外</w:t>
      </w:r>
      <w:r>
        <w:rPr>
          <w:rFonts w:ascii="Times New Roman" w:hAnsi="Times New Roman" w:cs="Times New Roman" w:eastAsia="Times New Roman" w:hint="default"/>
        </w:rPr>
        <w:t>)</w:t>
      </w:r>
      <w:r>
        <w:rPr/>
        <w:t>，在将该资产等出售给第三方之前，仅确认因该交易产生的损益 </w:t>
      </w:r>
      <w:r>
        <w:rPr>
          <w:spacing w:val="-4"/>
        </w:rPr>
        <w:t>中归属于共同经营其他参与方的部分。购入的资产发生符合《企业会计准则第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spacing w:val="-3"/>
        </w:rPr>
        <w:t>号</w:t>
      </w:r>
      <w:r>
        <w:rPr>
          <w:rFonts w:ascii="Times New Roman" w:hAnsi="Times New Roman" w:cs="Times New Roman" w:eastAsia="Times New Roman" w:hint="default"/>
          <w:spacing w:val="-3"/>
        </w:rPr>
        <w:t>——</w:t>
      </w:r>
      <w:r>
        <w:rPr>
          <w:spacing w:val="-3"/>
        </w:rPr>
        <w:t>资产减值》等规定的资产减值损失的，</w:t>
      </w:r>
      <w:r>
        <w:rPr/>
        <w:t> 合营方按其承担的份额确认该部分损失。</w:t>
      </w:r>
    </w:p>
    <w:p>
      <w:pPr>
        <w:pStyle w:val="BodyText"/>
        <w:spacing w:line="319" w:lineRule="auto" w:before="70"/>
        <w:ind w:left="174" w:right="1132" w:firstLine="360"/>
        <w:jc w:val="both"/>
      </w:pPr>
      <w:r>
        <w:rPr>
          <w:spacing w:val="-2"/>
        </w:rPr>
        <w:t>对共同经营不享有共同控制的参与方，如果享有该共同经营相关资产且承担该共同经营相关负债的，按照上述方法进行</w:t>
      </w:r>
      <w:r>
        <w:rPr/>
        <w:t> 会计处理；否则，按照相关企业会计准则的规定进行会计处理。</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7、现金及现金等价物的确定标准" w:id="200"/>
      <w:bookmarkEnd w:id="200"/>
      <w:r>
        <w:rPr>
          <w:b w:val="0"/>
          <w:bCs w:val="0"/>
        </w:rPr>
      </w:r>
      <w:r>
        <w:rPr>
          <w:rFonts w:ascii="Times New Roman" w:hAnsi="Times New Roman" w:cs="Times New Roman" w:eastAsia="Times New Roman" w:hint="default"/>
        </w:rPr>
        <w:t>7</w:t>
      </w:r>
      <w:r>
        <w:rPr/>
        <w:t>、现金及现金等价物的确定标准</w:t>
      </w:r>
      <w:r>
        <w:rPr>
          <w:b w:val="0"/>
          <w:bCs w:val="0"/>
        </w:rPr>
      </w:r>
    </w:p>
    <w:p>
      <w:pPr>
        <w:pStyle w:val="BodyText"/>
        <w:spacing w:line="319" w:lineRule="auto" w:before="158"/>
        <w:ind w:left="174" w:right="1132" w:firstLine="360"/>
        <w:jc w:val="both"/>
      </w:pPr>
      <w:r>
        <w:rPr>
          <w:spacing w:val="-2"/>
        </w:rPr>
        <w:t>列示于现金流量表中的现金是指库存现金及可随时用于支付的存款，现金等价物是指持有的期限短（一般指从购买日起</w:t>
      </w:r>
      <w:r>
        <w:rPr/>
        <w:t> </w:t>
      </w:r>
      <w:r>
        <w:rPr>
          <w:spacing w:val="-3"/>
        </w:rPr>
        <w:t>三个月内到期）、流动性强、易于转换为已知金额现金及价值变动风险很小的投资。</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8、外币业务和外币报表折算" w:id="201"/>
      <w:bookmarkEnd w:id="201"/>
      <w:r>
        <w:rPr>
          <w:b w:val="0"/>
          <w:bCs w:val="0"/>
        </w:rPr>
      </w:r>
      <w:r>
        <w:rPr>
          <w:rFonts w:ascii="Times New Roman" w:hAnsi="Times New Roman" w:cs="Times New Roman" w:eastAsia="Times New Roman" w:hint="default"/>
        </w:rPr>
        <w:t>8</w:t>
      </w:r>
      <w:r>
        <w:rPr/>
        <w:t>、外币业务和外币报表折算</w:t>
      </w:r>
      <w:r>
        <w:rPr>
          <w:b w:val="0"/>
          <w:bCs w:val="0"/>
        </w:rPr>
      </w:r>
    </w:p>
    <w:p>
      <w:pPr>
        <w:pStyle w:val="BodyText"/>
        <w:spacing w:line="338" w:lineRule="auto" w:before="159"/>
        <w:ind w:right="5172"/>
        <w:jc w:val="left"/>
      </w:pPr>
      <w:r>
        <w:rPr/>
        <w:t>（</w:t>
      </w:r>
      <w:r>
        <w:rPr>
          <w:rFonts w:ascii="Times New Roman" w:hAnsi="Times New Roman" w:cs="Times New Roman" w:eastAsia="Times New Roman" w:hint="default"/>
        </w:rPr>
        <w:t>1</w:t>
      </w:r>
      <w:r>
        <w:rPr/>
        <w:t>）外币业务 外币业务按业务发生日的即期汇率将外币金额折算为人民币入账。</w:t>
      </w:r>
    </w:p>
    <w:p>
      <w:pPr>
        <w:pStyle w:val="BodyText"/>
        <w:spacing w:line="319" w:lineRule="auto" w:before="42"/>
        <w:ind w:left="174" w:right="1131" w:firstLine="360"/>
        <w:jc w:val="both"/>
      </w:pPr>
      <w:r>
        <w:rPr>
          <w:spacing w:val="-2"/>
        </w:rPr>
        <w:t>于资产负债表日，外币货币性项目采用资产负债表日的即期汇率折算为人民币，所产生的折算差额除了为购建或生产符</w:t>
      </w:r>
      <w:r>
        <w:rPr/>
        <w:t> </w:t>
      </w:r>
      <w:r>
        <w:rPr>
          <w:spacing w:val="-2"/>
        </w:rPr>
        <w:t>合资本化条件的资产而借入的外币借款产生的汇兑差额按资本化的原则处理外，直接计入当期损益。以历史成本计量的外币</w:t>
      </w:r>
      <w:r>
        <w:rPr>
          <w:spacing w:val="-64"/>
        </w:rPr>
        <w:t> </w:t>
      </w:r>
      <w:r>
        <w:rPr>
          <w:spacing w:val="-64"/>
        </w:rPr>
      </w:r>
      <w:r>
        <w:rPr/>
        <w:t>非货币性项目，于资产负债表日采用交易发生日的即期汇率折算。</w:t>
      </w:r>
    </w:p>
    <w:p>
      <w:pPr>
        <w:pStyle w:val="BodyText"/>
        <w:spacing w:line="338" w:lineRule="auto" w:before="56"/>
        <w:ind w:right="0"/>
        <w:jc w:val="left"/>
      </w:pPr>
      <w:r>
        <w:rPr/>
        <w:t>（</w:t>
      </w:r>
      <w:r>
        <w:rPr>
          <w:rFonts w:ascii="Times New Roman" w:hAnsi="Times New Roman" w:cs="Times New Roman" w:eastAsia="Times New Roman" w:hint="default"/>
        </w:rPr>
        <w:t>2</w:t>
      </w:r>
      <w:r>
        <w:rPr/>
        <w:t>）外币财务报表的折算 </w:t>
      </w:r>
      <w:r>
        <w:rPr>
          <w:spacing w:val="-2"/>
        </w:rPr>
        <w:t>以非记账本位币编制的资产负债表中的资产和负债项目，采用资产负债表日的即期汇率折算成记账本位币，所有者权益</w:t>
      </w:r>
    </w:p>
    <w:p>
      <w:pPr>
        <w:pStyle w:val="BodyText"/>
        <w:spacing w:line="319" w:lineRule="auto" w:before="3"/>
        <w:ind w:left="174" w:right="1132"/>
        <w:jc w:val="both"/>
      </w:pPr>
      <w:r>
        <w:rPr>
          <w:spacing w:val="-2"/>
        </w:rPr>
        <w:t>中除未分配利润项目外，其他项目采用发生时的即期汇率折算。以非记账本位币编制的利润表中的收入与费用项目，采用交</w:t>
      </w:r>
      <w:r>
        <w:rPr>
          <w:spacing w:val="-66"/>
        </w:rPr>
        <w:t> </w:t>
      </w:r>
      <w:r>
        <w:rPr>
          <w:spacing w:val="-66"/>
        </w:rPr>
      </w:r>
      <w:r>
        <w:rPr>
          <w:spacing w:val="-2"/>
        </w:rPr>
        <w:t>易发生日的即期汇率折算成记账本位币。上述折算产生的外币报表折算差额，在其他综合收益中核算。以非记账本位币编制</w:t>
      </w:r>
      <w:r>
        <w:rPr>
          <w:spacing w:val="-66"/>
        </w:rPr>
        <w:t> </w:t>
      </w:r>
      <w:r>
        <w:rPr>
          <w:spacing w:val="-66"/>
        </w:rPr>
      </w:r>
      <w:r>
        <w:rPr>
          <w:spacing w:val="-2"/>
        </w:rPr>
        <w:t>的现金流量表中各项目的现金流量采用现金流量发生日的即期汇率折算成记账本位币。汇率变动对现金的影响额，在现金流</w:t>
      </w:r>
      <w:r>
        <w:rPr>
          <w:spacing w:val="-64"/>
        </w:rPr>
        <w:t> </w:t>
      </w:r>
      <w:r>
        <w:rPr>
          <w:spacing w:val="-64"/>
        </w:rPr>
      </w:r>
      <w:r>
        <w:rPr/>
        <w:t>量表中单独列示。</w:t>
      </w:r>
    </w:p>
    <w:p>
      <w:pPr>
        <w:spacing w:after="0" w:line="319" w:lineRule="auto"/>
        <w:jc w:val="both"/>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9、金融工具" w:id="202"/>
      <w:bookmarkEnd w:id="202"/>
      <w:r>
        <w:rPr>
          <w:b w:val="0"/>
          <w:bCs w:val="0"/>
        </w:rPr>
      </w:r>
      <w:r>
        <w:rPr>
          <w:rFonts w:ascii="Times New Roman" w:hAnsi="Times New Roman" w:cs="Times New Roman" w:eastAsia="Times New Roman" w:hint="default"/>
        </w:rPr>
        <w:t>9</w:t>
      </w:r>
      <w:r>
        <w:rPr/>
        <w:t>、金融工具</w:t>
      </w:r>
      <w:r>
        <w:rPr>
          <w:b w:val="0"/>
          <w:bCs w:val="0"/>
        </w:rPr>
      </w:r>
    </w:p>
    <w:p>
      <w:pPr>
        <w:pStyle w:val="BodyText"/>
        <w:spacing w:line="352" w:lineRule="auto" w:before="159"/>
        <w:ind w:right="4992"/>
        <w:jc w:val="left"/>
      </w:pPr>
      <w:r>
        <w:rPr/>
        <w:t>（</w:t>
      </w:r>
      <w:r>
        <w:rPr>
          <w:rFonts w:ascii="Times New Roman" w:hAnsi="Times New Roman" w:cs="Times New Roman" w:eastAsia="Times New Roman" w:hint="default"/>
        </w:rPr>
        <w:t>1</w:t>
      </w:r>
      <w:r>
        <w:rPr/>
        <w:t>）金融工具的确认和终止确认 本公司于成为金融工具合同的一方时确认一项金融资产或金融负债。 金融资产满足下列条件之一的，终止确认： </w:t>
      </w:r>
      <w:r>
        <w:rPr>
          <w:rFonts w:ascii="Times New Roman" w:hAnsi="Times New Roman" w:cs="Times New Roman" w:eastAsia="Times New Roman" w:hint="default"/>
        </w:rPr>
        <w:t>a.</w:t>
      </w:r>
      <w:r>
        <w:rPr/>
        <w:t>收取该金融资产现金流量的合同权利终止；</w:t>
      </w:r>
    </w:p>
    <w:p>
      <w:pPr>
        <w:pStyle w:val="BodyText"/>
        <w:spacing w:line="340" w:lineRule="auto" w:before="8"/>
        <w:ind w:right="2249"/>
        <w:jc w:val="left"/>
      </w:pPr>
      <w:r>
        <w:rPr>
          <w:rFonts w:ascii="Times New Roman" w:hAnsi="Times New Roman" w:cs="Times New Roman" w:eastAsia="Times New Roman" w:hint="default"/>
        </w:rPr>
        <w:t>b.</w:t>
      </w:r>
      <w:r>
        <w:rPr/>
        <w:t>该金融资产已转移，且符合《企业会计准则第</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号－金融资产转移》规定的金融资产终止确认条件。 金融负债的现时义务全部或部分已经解除的，终止确认该金融负债或其一部分。</w:t>
      </w:r>
    </w:p>
    <w:p>
      <w:pPr>
        <w:pStyle w:val="BodyText"/>
        <w:spacing w:line="338" w:lineRule="auto" w:before="40"/>
        <w:ind w:right="0"/>
        <w:jc w:val="left"/>
      </w:pPr>
      <w:r>
        <w:rPr/>
        <w:t>（</w:t>
      </w:r>
      <w:r>
        <w:rPr>
          <w:rFonts w:ascii="Times New Roman" w:hAnsi="Times New Roman" w:cs="Times New Roman" w:eastAsia="Times New Roman" w:hint="default"/>
        </w:rPr>
        <w:t>2</w:t>
      </w:r>
      <w:r>
        <w:rPr/>
        <w:t>）金融资产的分类 </w:t>
      </w:r>
      <w:r>
        <w:rPr>
          <w:spacing w:val="-2"/>
        </w:rPr>
        <w:t>金融资产于初始确认时分类为：以公允价值计量且其变动计入当期损益的金融资产、应收款项、可供出售金融资产和持</w:t>
      </w:r>
    </w:p>
    <w:p>
      <w:pPr>
        <w:pStyle w:val="BodyText"/>
        <w:spacing w:line="348" w:lineRule="auto" w:before="4"/>
        <w:ind w:right="1212" w:hanging="360"/>
        <w:jc w:val="left"/>
      </w:pPr>
      <w:r>
        <w:rPr/>
        <w:t>有至到期投资。金融资产的分类取决于本公司对金融资产的持有意图和持有能力。 </w:t>
      </w:r>
      <w:r>
        <w:rPr>
          <w:rFonts w:ascii="Times New Roman" w:hAnsi="Times New Roman" w:cs="Times New Roman" w:eastAsia="Times New Roman" w:hint="default"/>
        </w:rPr>
        <w:t>1</w:t>
      </w:r>
      <w:r>
        <w:rPr/>
        <w:t>）以公允价值计量且其变动计入当期损益的金融资产 以公允价值计量且其变动计入当期损益的金融资产包括持有目的为短期内出售的金融资产，该资产在资产负债表中以</w:t>
      </w:r>
    </w:p>
    <w:p>
      <w:pPr>
        <w:pStyle w:val="BodyText"/>
        <w:spacing w:line="338" w:lineRule="auto" w:before="0"/>
        <w:ind w:right="6092" w:hanging="360"/>
        <w:jc w:val="left"/>
      </w:pPr>
      <w:r>
        <w:rPr>
          <w:rFonts w:ascii="Times New Roman" w:hAnsi="Times New Roman" w:cs="Times New Roman" w:eastAsia="Times New Roman" w:hint="default"/>
        </w:rPr>
        <w:t>“</w:t>
      </w:r>
      <w:r>
        <w:rPr/>
        <w:t>以公允价值计量且其变动计入当期损益的金融资产</w:t>
      </w:r>
      <w:r>
        <w:rPr>
          <w:rFonts w:ascii="Times New Roman" w:hAnsi="Times New Roman" w:cs="Times New Roman" w:eastAsia="Times New Roman" w:hint="default"/>
        </w:rPr>
        <w:t>”</w:t>
      </w:r>
      <w:r>
        <w:rPr/>
        <w:t>列示。 </w:t>
      </w:r>
      <w:r>
        <w:rPr>
          <w:rFonts w:ascii="Times New Roman" w:hAnsi="Times New Roman" w:cs="Times New Roman" w:eastAsia="Times New Roman" w:hint="default"/>
        </w:rPr>
        <w:t>2</w:t>
      </w:r>
      <w:r>
        <w:rPr/>
        <w:t>）应收款项</w:t>
      </w:r>
    </w:p>
    <w:p>
      <w:pPr>
        <w:pStyle w:val="BodyText"/>
        <w:spacing w:line="319" w:lineRule="auto" w:before="20"/>
        <w:ind w:left="174" w:right="1132" w:firstLine="360"/>
        <w:jc w:val="both"/>
      </w:pPr>
      <w:r>
        <w:rPr>
          <w:spacing w:val="-2"/>
        </w:rPr>
        <w:t>应收款项是指在活跃市场中没有报价、回收金额固定或可确定的非衍生金融资产，包括应收账款、其他应收款和长期应</w:t>
      </w:r>
      <w:r>
        <w:rPr/>
        <w:t> 收款等。</w:t>
      </w:r>
    </w:p>
    <w:p>
      <w:pPr>
        <w:pStyle w:val="BodyText"/>
        <w:spacing w:line="338" w:lineRule="auto" w:before="56"/>
        <w:ind w:right="0"/>
        <w:jc w:val="left"/>
      </w:pPr>
      <w:r>
        <w:rPr>
          <w:rFonts w:ascii="Times New Roman" w:hAnsi="Times New Roman" w:cs="Times New Roman" w:eastAsia="Times New Roman" w:hint="default"/>
        </w:rPr>
        <w:t>3</w:t>
      </w:r>
      <w:r>
        <w:rPr/>
        <w:t>）可供出售金融资产 </w:t>
      </w:r>
      <w:r>
        <w:rPr>
          <w:spacing w:val="-2"/>
        </w:rPr>
        <w:t>可供出售金融资产包括初始确认时即被指定为可供出售的非衍生金融资产及未被划分为其他类的金融资产。自资产负债</w:t>
      </w:r>
    </w:p>
    <w:p>
      <w:pPr>
        <w:pStyle w:val="BodyText"/>
        <w:spacing w:line="240" w:lineRule="auto" w:before="4"/>
        <w:ind w:left="174" w:right="0"/>
        <w:jc w:val="left"/>
      </w:pPr>
      <w:r>
        <w:rPr/>
        <w:t>表日起</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个月内将出售的可供出售金融资产在资产负债表中列示为一年内到期的非流动资产。</w:t>
      </w:r>
    </w:p>
    <w:p>
      <w:pPr>
        <w:pStyle w:val="BodyText"/>
        <w:spacing w:line="338" w:lineRule="auto" w:before="103"/>
        <w:ind w:right="1032"/>
        <w:jc w:val="left"/>
      </w:pPr>
      <w:r>
        <w:rPr>
          <w:rFonts w:ascii="Times New Roman" w:hAnsi="Times New Roman" w:cs="Times New Roman" w:eastAsia="Times New Roman" w:hint="default"/>
        </w:rPr>
        <w:t>4</w:t>
      </w:r>
      <w:r>
        <w:rPr/>
        <w:t>）持有至到期投资 持有至到期投资是指到期日固定、回收金额固定或可确定，且管理层有明确意图和能力持有至到期的非衍生金融资产。</w:t>
      </w:r>
    </w:p>
    <w:p>
      <w:pPr>
        <w:pStyle w:val="BodyText"/>
        <w:spacing w:line="240" w:lineRule="auto" w:before="4"/>
        <w:ind w:left="174" w:right="0"/>
        <w:jc w:val="left"/>
      </w:pPr>
      <w:r>
        <w:rPr/>
        <w:t>自资产负债表日起</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个月内到期的持有至到期投资在资产负债表中列示为一年内到期的非流动资产。</w:t>
      </w:r>
    </w:p>
    <w:p>
      <w:pPr>
        <w:pStyle w:val="BodyText"/>
        <w:spacing w:line="338" w:lineRule="auto" w:before="102"/>
        <w:ind w:right="0"/>
        <w:jc w:val="left"/>
      </w:pPr>
      <w:r>
        <w:rPr/>
        <w:t>（</w:t>
      </w:r>
      <w:r>
        <w:rPr>
          <w:rFonts w:ascii="Times New Roman" w:hAnsi="Times New Roman" w:cs="Times New Roman" w:eastAsia="Times New Roman" w:hint="default"/>
        </w:rPr>
        <w:t>3</w:t>
      </w:r>
      <w:r>
        <w:rPr/>
        <w:t>）金融资产的计量 </w:t>
      </w:r>
      <w:r>
        <w:rPr>
          <w:spacing w:val="-2"/>
        </w:rPr>
        <w:t>金融资产于本公司成为金融工具合同的一方时，按公允价值在资产负债表内确认。以公允价值计量且其变动计入当期损</w:t>
      </w:r>
    </w:p>
    <w:p>
      <w:pPr>
        <w:pStyle w:val="BodyText"/>
        <w:spacing w:line="357" w:lineRule="auto" w:before="4"/>
        <w:ind w:right="0" w:hanging="360"/>
        <w:jc w:val="left"/>
      </w:pPr>
      <w:r>
        <w:rPr/>
        <w:t>益的金融资产，取得时发生的相关交易费用直接计入当期损益。其他金融资产的相关交易费用计入初始确认金额。 </w:t>
      </w:r>
      <w:r>
        <w:rPr>
          <w:spacing w:val="-2"/>
        </w:rPr>
        <w:t>以公允价值计量且其变动计入当期损益的金融资产和可供出售金融资产按照公允价值进行后续计量，但在活跃市场中没</w:t>
      </w:r>
    </w:p>
    <w:p>
      <w:pPr>
        <w:pStyle w:val="BodyText"/>
        <w:spacing w:line="224" w:lineRule="exact" w:before="0"/>
        <w:ind w:left="174" w:right="0"/>
        <w:jc w:val="left"/>
      </w:pPr>
      <w:r>
        <w:rPr/>
        <w:t>有报价且其公允价值不能可靠计量的权益工具投资，按照成本计量；应收款项以及持有至到期投资采用实际利率法，以摊余</w:t>
      </w:r>
    </w:p>
    <w:p>
      <w:pPr>
        <w:pStyle w:val="BodyText"/>
        <w:spacing w:line="240" w:lineRule="auto" w:before="77"/>
        <w:ind w:left="174" w:right="0"/>
        <w:jc w:val="left"/>
      </w:pPr>
      <w:r>
        <w:rPr/>
        <w:t>成本计量。</w:t>
      </w:r>
    </w:p>
    <w:p>
      <w:pPr>
        <w:pStyle w:val="BodyText"/>
        <w:spacing w:line="319" w:lineRule="auto" w:before="115"/>
        <w:ind w:left="174" w:right="1131" w:firstLine="360"/>
        <w:jc w:val="both"/>
      </w:pPr>
      <w:r>
        <w:rPr>
          <w:spacing w:val="-2"/>
        </w:rPr>
        <w:t>以公允价值计量且其变动计入当期损益的金融资产的公允价值变动计入公允价值变动损益；在资产持有期间所取得的利</w:t>
      </w:r>
      <w:r>
        <w:rPr/>
        <w:t> 息或现金股利以及在处置时产生的处置损益，计入当期损益。</w:t>
      </w:r>
    </w:p>
    <w:p>
      <w:pPr>
        <w:pStyle w:val="BodyText"/>
        <w:spacing w:line="319" w:lineRule="auto" w:before="56"/>
        <w:ind w:left="174" w:right="1132" w:firstLine="360"/>
        <w:jc w:val="both"/>
      </w:pPr>
      <w:r>
        <w:rPr>
          <w:spacing w:val="-2"/>
        </w:rPr>
        <w:t>除减值损失及外币货币性金融资产形成的汇兑损益外，可供出售金融资产公允价值变动计入所有者权益，待该金融资产</w:t>
      </w:r>
      <w:r>
        <w:rPr/>
        <w:t> </w:t>
      </w:r>
      <w:r>
        <w:rPr>
          <w:spacing w:val="-2"/>
        </w:rPr>
        <w:t>终止确认时，原直接计入权益的公允价值变动累计额转入当期损益。可供出售债务工具投资在持有期间按实际利率法计算利</w:t>
      </w:r>
      <w:r>
        <w:rPr>
          <w:spacing w:val="-64"/>
        </w:rPr>
        <w:t> </w:t>
      </w:r>
      <w:r>
        <w:rPr>
          <w:spacing w:val="-64"/>
        </w:rPr>
      </w:r>
      <w:r>
        <w:rPr/>
        <w:t>息，计入投资收益；可供出售权益工具投资的现金股利，于被投资单位宣告发放股利时计入投资收益。</w:t>
      </w:r>
    </w:p>
    <w:p>
      <w:pPr>
        <w:pStyle w:val="BodyText"/>
        <w:spacing w:line="338" w:lineRule="auto" w:before="56"/>
        <w:ind w:right="0"/>
        <w:jc w:val="left"/>
      </w:pPr>
      <w:r>
        <w:rPr/>
        <w:t>（</w:t>
      </w:r>
      <w:r>
        <w:rPr>
          <w:rFonts w:ascii="Times New Roman" w:hAnsi="Times New Roman" w:cs="Times New Roman" w:eastAsia="Times New Roman" w:hint="default"/>
        </w:rPr>
        <w:t>4</w:t>
      </w:r>
      <w:r>
        <w:rPr/>
        <w:t>）金融资产转移的确认依据和计量方法 </w:t>
      </w:r>
      <w:r>
        <w:rPr>
          <w:spacing w:val="-2"/>
        </w:rPr>
        <w:t>公司已将金融资产所有权上几乎所有的风险和报酬转移给转入方的，终止确认该金融资产；保留了金融资产所有权上几</w:t>
      </w:r>
    </w:p>
    <w:p>
      <w:pPr>
        <w:pStyle w:val="BodyText"/>
        <w:spacing w:line="360" w:lineRule="auto" w:before="4"/>
        <w:ind w:right="4092" w:hanging="360"/>
        <w:jc w:val="left"/>
      </w:pPr>
      <w:r>
        <w:rPr/>
        <w:t>乎所有的风险和报酬的，不终止确认该金融资产。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2" w:lineRule="auto" w:before="1"/>
        <w:ind w:left="174" w:right="1131" w:firstLine="360"/>
        <w:jc w:val="both"/>
      </w:pP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因转移而收到的对价，与原直接计入所有者权益的公允价值变动累计额（涉及转移的金融资产为可供出售金融资产的</w:t>
      </w:r>
      <w:r>
        <w:rPr/>
        <w:t> 情形）之和。</w:t>
      </w:r>
    </w:p>
    <w:p>
      <w:pPr>
        <w:spacing w:after="0" w:line="302" w:lineRule="auto"/>
        <w:jc w:val="both"/>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1132" w:firstLine="360"/>
        <w:jc w:val="both"/>
      </w:pPr>
      <w:r>
        <w:rPr>
          <w:spacing w:val="-2"/>
        </w:rPr>
        <w:t>因金融资产转移获得了新金融资产或承担了新金融负债的，在转移日按照公允价值确认该金融资产或金融负债（包括看</w:t>
      </w:r>
      <w:r>
        <w:rPr/>
        <w:t> </w:t>
      </w:r>
      <w:r>
        <w:rPr>
          <w:spacing w:val="-2"/>
        </w:rPr>
        <w:t>涨期权、看跌期权、担保负债、远期合同、互换等），并将该金融资产扣除金融负债后的净额作为上述对价的组成部分。</w:t>
      </w:r>
    </w:p>
    <w:p>
      <w:pPr>
        <w:pStyle w:val="BodyText"/>
        <w:spacing w:line="319" w:lineRule="auto" w:before="55"/>
        <w:ind w:left="174" w:right="1132" w:firstLine="360"/>
        <w:jc w:val="both"/>
      </w:pPr>
      <w:r>
        <w:rPr>
          <w:spacing w:val="-2"/>
        </w:rPr>
        <w:t>公司与金融资产转入方签订服务合同提供相关服务的（包括收取该金融资产的现金流量，并将所收取的现金流量交付给</w:t>
      </w:r>
      <w:r>
        <w:rPr/>
        <w:t> </w:t>
      </w:r>
      <w:r>
        <w:rPr>
          <w:spacing w:val="-2"/>
        </w:rPr>
        <w:t>指定的资金保管机构等），就该服务合同确认一项服务资产或服务负债。服务负债应当按照公允价值进行初始计量，并作为</w:t>
      </w:r>
      <w:r>
        <w:rPr>
          <w:spacing w:val="-72"/>
        </w:rPr>
        <w:t> </w:t>
      </w:r>
      <w:r>
        <w:rPr>
          <w:spacing w:val="-72"/>
        </w:rPr>
      </w:r>
      <w:r>
        <w:rPr/>
        <w:t>上述对价的组成部分。</w:t>
      </w:r>
    </w:p>
    <w:p>
      <w:pPr>
        <w:pStyle w:val="BodyText"/>
        <w:spacing w:line="319" w:lineRule="auto" w:before="56"/>
        <w:ind w:left="174" w:right="1131"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6"/>
        </w:rPr>
        <w:t> </w:t>
      </w:r>
      <w:r>
        <w:rPr>
          <w:spacing w:val="-66"/>
        </w:rPr>
      </w:r>
      <w:r>
        <w:rPr/>
        <w:t>金额的差额计入当期损益：</w:t>
      </w:r>
    </w:p>
    <w:p>
      <w:pPr>
        <w:pStyle w:val="BodyText"/>
        <w:spacing w:line="338" w:lineRule="auto" w:before="56"/>
        <w:ind w:right="113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终止确认部分的对价，与原直接计入所有者权益的公允价值变动累计额中对应终止确认部分的金额（涉及转移的金融</w:t>
      </w:r>
    </w:p>
    <w:p>
      <w:pPr>
        <w:pStyle w:val="BodyText"/>
        <w:spacing w:line="218" w:lineRule="exact" w:before="0"/>
        <w:ind w:left="174" w:right="0"/>
        <w:jc w:val="left"/>
      </w:pPr>
      <w:r>
        <w:rPr/>
        <w:t>资产为可供出售金融资产的情形）之和。</w:t>
      </w:r>
    </w:p>
    <w:p>
      <w:pPr>
        <w:pStyle w:val="BodyText"/>
        <w:spacing w:line="319" w:lineRule="auto" w:before="116"/>
        <w:ind w:left="174" w:right="1131" w:firstLine="360"/>
        <w:jc w:val="both"/>
      </w:pPr>
      <w:r>
        <w:rPr>
          <w:spacing w:val="-2"/>
        </w:rPr>
        <w:t>原直接计入所有者权益的公允价值变动累计额中对应终止确认部分的金额，按照金融资产终止确认部分和未终止确认部</w:t>
      </w:r>
      <w:r>
        <w:rPr/>
        <w:t> 分的相对公允价值，对该累计额进行分摊后确定。</w:t>
      </w:r>
    </w:p>
    <w:p>
      <w:pPr>
        <w:pStyle w:val="BodyText"/>
        <w:spacing w:line="338" w:lineRule="auto" w:before="56"/>
        <w:ind w:right="0"/>
        <w:jc w:val="left"/>
      </w:pPr>
      <w:r>
        <w:rPr/>
        <w:t>（</w:t>
      </w:r>
      <w:r>
        <w:rPr>
          <w:rFonts w:ascii="Times New Roman" w:hAnsi="Times New Roman" w:cs="Times New Roman" w:eastAsia="Times New Roman" w:hint="default"/>
        </w:rPr>
        <w:t>5</w:t>
      </w:r>
      <w:r>
        <w:rPr/>
        <w:t>）金融负债的分类 </w:t>
      </w:r>
      <w:r>
        <w:rPr>
          <w:spacing w:val="-2"/>
        </w:rPr>
        <w:t>金融负债于初始确认时分类为：以公允价值计量且其变动计入当期损益的金融负债和其他金融负债。以公允价值计量且</w:t>
      </w:r>
    </w:p>
    <w:p>
      <w:pPr>
        <w:pStyle w:val="BodyText"/>
        <w:spacing w:line="319" w:lineRule="auto" w:before="2"/>
        <w:ind w:left="174" w:right="1130"/>
        <w:jc w:val="both"/>
      </w:pPr>
      <w:r>
        <w:rPr>
          <w:spacing w:val="-2"/>
        </w:rPr>
        <w:t>其变动计入当期损益的金融负债，包括交易性金融负债和初始确认时指定为以公允价值计量且其变动计入当期损益的金融负</w:t>
      </w:r>
      <w:r>
        <w:rPr>
          <w:spacing w:val="-63"/>
        </w:rPr>
        <w:t> </w:t>
      </w:r>
      <w:r>
        <w:rPr>
          <w:spacing w:val="-63"/>
        </w:rPr>
      </w:r>
      <w:r>
        <w:rPr/>
        <w:t>债。</w:t>
      </w:r>
    </w:p>
    <w:p>
      <w:pPr>
        <w:pStyle w:val="BodyText"/>
        <w:spacing w:line="338" w:lineRule="auto" w:before="58"/>
        <w:ind w:right="0"/>
        <w:jc w:val="left"/>
      </w:pPr>
      <w:r>
        <w:rPr/>
        <w:t>（</w:t>
      </w:r>
      <w:r>
        <w:rPr>
          <w:rFonts w:ascii="Times New Roman" w:hAnsi="Times New Roman" w:cs="Times New Roman" w:eastAsia="Times New Roman" w:hint="default"/>
        </w:rPr>
        <w:t>6</w:t>
      </w:r>
      <w:r>
        <w:rPr/>
        <w:t>）金融负债的计量 </w:t>
      </w:r>
      <w:r>
        <w:rPr>
          <w:spacing w:val="-2"/>
        </w:rPr>
        <w:t>金融负债于本公司成为金融工具合同的一方时，按公允价值在资产负债表内确认。以公允价值计量且其变动计入当期损</w:t>
      </w:r>
    </w:p>
    <w:p>
      <w:pPr>
        <w:pStyle w:val="BodyText"/>
        <w:spacing w:line="357" w:lineRule="auto" w:before="4"/>
        <w:ind w:right="0" w:hanging="360"/>
        <w:jc w:val="left"/>
      </w:pPr>
      <w:r>
        <w:rPr/>
        <w:t>益的金融负债，取得时发生的相关交易费用直接计入当期损益；其他金融负债的相关交易费用计入初始确认金额。 </w:t>
      </w:r>
      <w:r>
        <w:rPr>
          <w:spacing w:val="-2"/>
        </w:rPr>
        <w:t>以公允价值计量且其变动计入当期损益的金融负债，按照公允价值后续计量，且不扣除将来结清金融负债时可能发生的</w:t>
      </w:r>
    </w:p>
    <w:p>
      <w:pPr>
        <w:pStyle w:val="BodyText"/>
        <w:spacing w:line="225" w:lineRule="exact" w:before="0"/>
        <w:ind w:left="174" w:right="0"/>
        <w:jc w:val="left"/>
      </w:pPr>
      <w:r>
        <w:rPr/>
        <w:t>交易费用。其他金融负债，采用实际利率法，按照摊余成本进行后续计量。</w:t>
      </w:r>
    </w:p>
    <w:p>
      <w:pPr>
        <w:pStyle w:val="BodyText"/>
        <w:spacing w:line="338" w:lineRule="auto" w:before="117"/>
        <w:ind w:right="0"/>
        <w:jc w:val="left"/>
      </w:pPr>
      <w:r>
        <w:rPr/>
        <w:t>（</w:t>
      </w:r>
      <w:r>
        <w:rPr>
          <w:rFonts w:ascii="Times New Roman" w:hAnsi="Times New Roman" w:cs="Times New Roman" w:eastAsia="Times New Roman" w:hint="default"/>
        </w:rPr>
        <w:t>7</w:t>
      </w:r>
      <w:r>
        <w:rPr/>
        <w:t>）金融资产和金融负债的公允价值的确定方法 </w:t>
      </w:r>
      <w:r>
        <w:rPr>
          <w:spacing w:val="-2"/>
        </w:rPr>
        <w:t>存在活跃市场的金融资产或金融负债，采用活跃市场中的报价确定其公允价值。金融工具不存在活跃市场的，采用估值</w:t>
      </w:r>
    </w:p>
    <w:p>
      <w:pPr>
        <w:pStyle w:val="BodyText"/>
        <w:spacing w:line="319" w:lineRule="auto" w:before="2"/>
        <w:ind w:left="174" w:right="1132"/>
        <w:jc w:val="both"/>
      </w:pPr>
      <w:r>
        <w:rPr>
          <w:spacing w:val="-2"/>
        </w:rPr>
        <w:t>技术确定其公允价值，估值技术包括参考熟悉情况并自愿交易的各方最近进行的市场交易中使用的价格、参照实质上相同的</w:t>
      </w:r>
      <w:r>
        <w:rPr>
          <w:spacing w:val="-64"/>
        </w:rPr>
        <w:t> </w:t>
      </w:r>
      <w:r>
        <w:rPr>
          <w:spacing w:val="-64"/>
        </w:rPr>
      </w:r>
      <w:r>
        <w:rPr/>
        <w:t>其他金融工具的当前公允价值、现金流量折现法和期权定价模型等。</w:t>
      </w:r>
    </w:p>
    <w:p>
      <w:pPr>
        <w:pStyle w:val="BodyText"/>
        <w:spacing w:line="338" w:lineRule="auto" w:before="56"/>
        <w:ind w:right="0"/>
        <w:jc w:val="left"/>
      </w:pPr>
      <w:r>
        <w:rPr/>
        <w:t>（</w:t>
      </w:r>
      <w:r>
        <w:rPr>
          <w:rFonts w:ascii="Times New Roman" w:hAnsi="Times New Roman" w:cs="Times New Roman" w:eastAsia="Times New Roman" w:hint="default"/>
        </w:rPr>
        <w:t>8</w:t>
      </w:r>
      <w:r>
        <w:rPr/>
        <w:t>）金融资产减值测试方法及会计处理方法 </w:t>
      </w:r>
      <w:r>
        <w:rPr>
          <w:spacing w:val="-2"/>
        </w:rPr>
        <w:t>除以公允价值计量且其变动计入当期损益的金融资产外，本公司于资产负债表日对金融资产的账面价值进行检查，如果</w:t>
      </w:r>
    </w:p>
    <w:p>
      <w:pPr>
        <w:pStyle w:val="BodyText"/>
        <w:spacing w:line="357" w:lineRule="auto" w:before="4"/>
        <w:ind w:right="0" w:hanging="360"/>
        <w:jc w:val="left"/>
      </w:pPr>
      <w:r>
        <w:rPr/>
        <w:t>有客观证据表明某项金融资产发生减值的，计提减值准备。 </w:t>
      </w: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p>
    <w:p>
      <w:pPr>
        <w:pStyle w:val="BodyText"/>
        <w:spacing w:line="201" w:lineRule="exact" w:before="0"/>
        <w:ind w:left="174" w:right="0"/>
        <w:jc w:val="left"/>
      </w:pPr>
      <w:r>
        <w:rPr/>
        <w:t>额，计提减值准备。如果有客观证据表明该金融资产价值已恢复，且客观上与确认该损失后发生的事项有关，原确认的减值</w:t>
      </w:r>
    </w:p>
    <w:p>
      <w:pPr>
        <w:pStyle w:val="BodyText"/>
        <w:spacing w:line="357" w:lineRule="auto" w:before="77"/>
        <w:ind w:right="0" w:hanging="360"/>
        <w:jc w:val="left"/>
      </w:pPr>
      <w:r>
        <w:rPr/>
        <w:t>损失予以转回，计入当期损益。 </w:t>
      </w:r>
      <w:r>
        <w:rPr>
          <w:spacing w:val="-2"/>
        </w:rPr>
        <w:t>当可供出售金融资产的公允价值发生较大幅度或非暂时性下降，原直接计入所有者权益的因公允价值下降形成的累计损</w:t>
      </w:r>
    </w:p>
    <w:p>
      <w:pPr>
        <w:pStyle w:val="BodyText"/>
        <w:spacing w:line="224" w:lineRule="exact" w:before="0"/>
        <w:ind w:left="174" w:right="0"/>
        <w:jc w:val="left"/>
      </w:pPr>
      <w:r>
        <w:rPr/>
        <w:t>失计入减值损失。对已确认减值损失的可供出售债务工具投资，在期后公允价值上升且客观上与确认原减值损失确认后发生</w:t>
      </w:r>
    </w:p>
    <w:p>
      <w:pPr>
        <w:pStyle w:val="BodyText"/>
        <w:spacing w:line="319" w:lineRule="auto" w:before="76"/>
        <w:ind w:left="174" w:right="1131"/>
        <w:jc w:val="both"/>
      </w:pPr>
      <w:r>
        <w:rPr>
          <w:spacing w:val="-2"/>
        </w:rPr>
        <w:t>的事项有关的，原确认的减值损失予以转回，计入当期损益。对已确认减值损失的可供出售权益工具投资，在期后公允价值</w:t>
      </w:r>
      <w:r>
        <w:rPr>
          <w:spacing w:val="-66"/>
        </w:rPr>
        <w:t> </w:t>
      </w:r>
      <w:r>
        <w:rPr>
          <w:spacing w:val="-66"/>
        </w:rPr>
      </w:r>
      <w:r>
        <w:rPr>
          <w:spacing w:val="-2"/>
        </w:rPr>
        <w:t>上升且客观上与确认原减值损失后发生的事项有关的，原确认的减值损失予以转回，直接计入所有者权益。在活跃市场中没</w:t>
      </w:r>
      <w:r>
        <w:rPr>
          <w:spacing w:val="-66"/>
        </w:rPr>
        <w:t> </w:t>
      </w:r>
      <w:r>
        <w:rPr>
          <w:spacing w:val="-66"/>
        </w:rPr>
      </w:r>
      <w:r>
        <w:rPr/>
        <w:t>有报价且其公允价值不能可靠计量的权益工具投资发生的减值损失，如果在以后期间价值得以恢复，也不予转回。</w:t>
      </w:r>
    </w:p>
    <w:p>
      <w:pPr>
        <w:pStyle w:val="BodyText"/>
        <w:spacing w:line="240" w:lineRule="auto" w:before="56"/>
        <w:ind w:right="0"/>
        <w:jc w:val="left"/>
      </w:pPr>
      <w:r>
        <w:rPr/>
        <w:t>可供出售金融资产</w:t>
      </w:r>
      <w:r>
        <w:rPr>
          <w:rFonts w:ascii="Times New Roman" w:hAnsi="Times New Roman" w:cs="Times New Roman" w:eastAsia="Times New Roman" w:hint="default"/>
        </w:rPr>
        <w:t>-</w:t>
      </w:r>
      <w:r>
        <w:rPr/>
        <w:t>权益工具投资减值认定标准：</w:t>
      </w:r>
    </w:p>
    <w:p>
      <w:pPr>
        <w:spacing w:line="240" w:lineRule="auto" w:before="3"/>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2835"/>
        <w:gridCol w:w="6733"/>
      </w:tblGrid>
      <w:tr>
        <w:trPr>
          <w:trHeight w:val="649"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53"/>
              <w:ind w:left="22" w:right="15"/>
              <w:jc w:val="left"/>
              <w:rPr>
                <w:rFonts w:ascii="宋体" w:hAnsi="宋体" w:cs="宋体" w:eastAsia="宋体" w:hint="default"/>
                <w:sz w:val="18"/>
                <w:szCs w:val="18"/>
              </w:rPr>
            </w:pPr>
            <w:r>
              <w:rPr>
                <w:rFonts w:ascii="宋体" w:hAnsi="宋体" w:cs="宋体" w:eastAsia="宋体" w:hint="default"/>
                <w:spacing w:val="5"/>
                <w:sz w:val="18"/>
                <w:szCs w:val="18"/>
              </w:rPr>
              <w:t>公允价值发生“严重”或“非暂时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性”下跌的具体量化标准</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3"/>
              <w:ind w:left="23" w:right="21"/>
              <w:jc w:val="left"/>
              <w:rPr>
                <w:rFonts w:ascii="宋体" w:hAnsi="宋体" w:cs="宋体" w:eastAsia="宋体" w:hint="default"/>
                <w:sz w:val="18"/>
                <w:szCs w:val="18"/>
              </w:rPr>
            </w:pPr>
            <w:r>
              <w:rPr>
                <w:rFonts w:ascii="宋体" w:hAnsi="宋体" w:cs="宋体" w:eastAsia="宋体" w:hint="default"/>
                <w:sz w:val="18"/>
                <w:szCs w:val="18"/>
              </w:rPr>
              <w:t>当公允价值低于其初始投资成本超过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（含</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低于其初始投资成本持续时间超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过</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个月（含</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个月）的</w:t>
            </w:r>
          </w:p>
        </w:tc>
      </w:tr>
      <w:tr>
        <w:trPr>
          <w:trHeight w:val="37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成本指权益工具投资依据准则规定确定的账面初始投资成本扣除已收回或摊销金额</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2835"/>
        <w:gridCol w:w="6733"/>
      </w:tblGrid>
      <w:tr>
        <w:trPr>
          <w:trHeight w:val="57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3" w:right="24"/>
              <w:jc w:val="left"/>
              <w:rPr>
                <w:rFonts w:ascii="宋体" w:hAnsi="宋体" w:cs="宋体" w:eastAsia="宋体" w:hint="default"/>
                <w:sz w:val="18"/>
                <w:szCs w:val="18"/>
              </w:rPr>
            </w:pPr>
            <w:r>
              <w:rPr>
                <w:rFonts w:ascii="宋体" w:hAnsi="宋体" w:cs="宋体" w:eastAsia="宋体" w:hint="default"/>
                <w:sz w:val="18"/>
                <w:szCs w:val="18"/>
              </w:rPr>
              <w:t>存在活跃市场的按期末市场公开价格确定；不存在活跃市场的按照类似金融资产当时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的市场收益率对未来现金流量进行折现确定为公允价值</w:t>
            </w:r>
          </w:p>
        </w:tc>
      </w:tr>
      <w:tr>
        <w:trPr>
          <w:trHeight w:val="57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4"/>
              <w:ind w:left="23" w:right="20"/>
              <w:jc w:val="left"/>
              <w:rPr>
                <w:rFonts w:ascii="宋体" w:hAnsi="宋体" w:cs="宋体" w:eastAsia="宋体" w:hint="default"/>
                <w:sz w:val="18"/>
                <w:szCs w:val="18"/>
              </w:rPr>
            </w:pPr>
            <w:r>
              <w:rPr>
                <w:rFonts w:ascii="宋体" w:hAnsi="宋体" w:cs="宋体" w:eastAsia="宋体" w:hint="default"/>
                <w:spacing w:val="-2"/>
                <w:sz w:val="18"/>
                <w:szCs w:val="18"/>
              </w:rPr>
              <w:t>连续下跌或在下跌趋势持续期间反弹上扬幅度低于</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，反弹持续时间未超过</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个月的</w:t>
            </w:r>
            <w:r>
              <w:rPr>
                <w:rFonts w:ascii="宋体" w:hAnsi="宋体" w:cs="宋体" w:eastAsia="宋体" w:hint="default"/>
                <w:spacing w:val="-56"/>
                <w:sz w:val="18"/>
                <w:szCs w:val="18"/>
              </w:rPr>
              <w:t> </w:t>
            </w:r>
            <w:r>
              <w:rPr>
                <w:rFonts w:ascii="宋体" w:hAnsi="宋体" w:cs="宋体" w:eastAsia="宋体" w:hint="default"/>
                <w:sz w:val="18"/>
                <w:szCs w:val="18"/>
              </w:rPr>
              <w:t>均作为持续下跌期间</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0、应收票据及应收账款" w:id="203"/>
      <w:bookmarkEnd w:id="203"/>
      <w:r>
        <w:rPr>
          <w:b w:val="0"/>
          <w:bCs w:val="0"/>
        </w:rPr>
      </w:r>
      <w:r>
        <w:rPr>
          <w:rFonts w:ascii="Times New Roman" w:hAnsi="Times New Roman" w:cs="Times New Roman" w:eastAsia="Times New Roman" w:hint="default"/>
        </w:rPr>
        <w:t>10</w:t>
      </w:r>
      <w:r>
        <w:rPr/>
        <w:t>、应收票据及应收账款</w:t>
      </w:r>
      <w:r>
        <w:rPr>
          <w:b w:val="0"/>
          <w:bCs w:val="0"/>
        </w:rPr>
      </w:r>
    </w:p>
    <w:p>
      <w:pPr>
        <w:pStyle w:val="Heading3"/>
        <w:spacing w:line="240" w:lineRule="auto" w:before="189"/>
        <w:ind w:right="0"/>
        <w:jc w:val="left"/>
        <w:rPr>
          <w:b w:val="0"/>
          <w:bCs w:val="0"/>
        </w:rPr>
      </w:pPr>
      <w:bookmarkStart w:name="（1）单项金额重大并单独计提坏账准备的应收款项" w:id="204"/>
      <w:bookmarkEnd w:id="20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3687"/>
        <w:gridCol w:w="5882"/>
      </w:tblGrid>
      <w:tr>
        <w:trPr>
          <w:trHeight w:val="81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对于单项金额重大的应收款项（应收账款金额在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万元以上、其他应收</w:t>
            </w:r>
          </w:p>
          <w:p>
            <w:pPr>
              <w:pStyle w:val="TableParagraph"/>
              <w:spacing w:line="240" w:lineRule="exact" w:before="13"/>
              <w:ind w:left="22" w:right="21"/>
              <w:jc w:val="left"/>
              <w:rPr>
                <w:rFonts w:ascii="宋体" w:hAnsi="宋体" w:cs="宋体" w:eastAsia="宋体" w:hint="default"/>
                <w:sz w:val="18"/>
                <w:szCs w:val="18"/>
              </w:rPr>
            </w:pPr>
            <w:r>
              <w:rPr>
                <w:rFonts w:ascii="宋体" w:hAnsi="宋体" w:cs="宋体" w:eastAsia="宋体" w:hint="default"/>
                <w:sz w:val="18"/>
                <w:szCs w:val="18"/>
              </w:rPr>
              <w:t>款金额在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7"/>
                <w:sz w:val="18"/>
                <w:szCs w:val="18"/>
              </w:rPr>
              <w:t> </w:t>
            </w:r>
            <w:r>
              <w:rPr>
                <w:rFonts w:ascii="宋体" w:hAnsi="宋体" w:cs="宋体" w:eastAsia="宋体" w:hint="default"/>
                <w:spacing w:val="-4"/>
                <w:sz w:val="18"/>
                <w:szCs w:val="18"/>
              </w:rPr>
              <w:t>万元以上），当存在客观证据表明本公司将无法按应收款项的</w:t>
            </w:r>
            <w:r>
              <w:rPr>
                <w:rFonts w:ascii="宋体" w:hAnsi="宋体" w:cs="宋体" w:eastAsia="宋体" w:hint="default"/>
                <w:sz w:val="18"/>
                <w:szCs w:val="18"/>
              </w:rPr>
              <w:t> 原有条款收回所有款项时，确认相应的坏账准备。</w:t>
            </w:r>
          </w:p>
        </w:tc>
      </w:tr>
      <w:tr>
        <w:trPr>
          <w:trHeight w:val="57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7"/>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根据该款项预计未来现金流量现值低于其账面价值的差额，单独进行减值</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测试，计提坏账准备。</w:t>
            </w:r>
          </w:p>
        </w:tc>
      </w:tr>
    </w:tbl>
    <w:p>
      <w:pPr>
        <w:spacing w:line="240" w:lineRule="auto" w:before="10"/>
        <w:rPr>
          <w:rFonts w:ascii="宋体" w:hAnsi="宋体" w:cs="宋体" w:eastAsia="宋体" w:hint="default"/>
          <w:b/>
          <w:bCs/>
          <w:sz w:val="9"/>
          <w:szCs w:val="9"/>
        </w:rPr>
      </w:pPr>
    </w:p>
    <w:p>
      <w:pPr>
        <w:pStyle w:val="Heading3"/>
        <w:spacing w:line="240" w:lineRule="auto"/>
        <w:ind w:right="0"/>
        <w:jc w:val="left"/>
        <w:rPr>
          <w:b w:val="0"/>
          <w:bCs w:val="0"/>
        </w:rPr>
      </w:pPr>
      <w:bookmarkStart w:name="（2）按信用风险特征组合计提坏账准备的应收款项" w:id="205"/>
      <w:bookmarkEnd w:id="20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4785"/>
        <w:gridCol w:w="4784"/>
      </w:tblGrid>
      <w:tr>
        <w:trPr>
          <w:trHeight w:val="33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30"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按账龄进行组合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采用账龄分析法</w:t>
            </w:r>
          </w:p>
        </w:tc>
      </w:tr>
      <w:tr>
        <w:trPr>
          <w:trHeight w:val="330"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关联方、押金备用金的组合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不计提坏账</w:t>
            </w:r>
          </w:p>
        </w:tc>
      </w:tr>
    </w:tbl>
    <w:p>
      <w:pPr>
        <w:spacing w:line="240" w:lineRule="auto" w:before="9"/>
        <w:rPr>
          <w:rFonts w:ascii="宋体" w:hAnsi="宋体" w:cs="宋体" w:eastAsia="宋体" w:hint="default"/>
          <w:b/>
          <w:bCs/>
          <w:sz w:val="6"/>
          <w:szCs w:val="6"/>
        </w:rPr>
      </w:pPr>
    </w:p>
    <w:p>
      <w:pPr>
        <w:pStyle w:val="BodyText"/>
        <w:spacing w:line="240" w:lineRule="auto"/>
        <w:ind w:right="0"/>
        <w:jc w:val="left"/>
      </w:pPr>
      <w:r>
        <w:rPr/>
        <w:t>组合中，采用账龄分析法计提坏账准备的：</w:t>
      </w:r>
    </w:p>
    <w:p>
      <w:pPr>
        <w:pStyle w:val="BodyText"/>
        <w:spacing w:line="340" w:lineRule="auto" w:before="116"/>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本公司及下属制造业板块子公司</w:t>
      </w:r>
    </w:p>
    <w:p>
      <w:pPr>
        <w:spacing w:line="240" w:lineRule="auto" w:before="3"/>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0.50%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本公司下属软件和信息技术服务板块子公司</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80.00%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组合中，采用余额百分比法计提坏账准备的：</w:t>
      </w:r>
    </w:p>
    <w:p>
      <w:pPr>
        <w:pStyle w:val="BodyText"/>
        <w:spacing w:line="417" w:lineRule="auto" w:before="116"/>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32" w:lineRule="exact"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3190"/>
        <w:gridCol w:w="3190"/>
        <w:gridCol w:w="3190"/>
      </w:tblGrid>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关联方、押金备用金的组合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3）单项金额不重大但单独计提坏账准备的应收款项" w:id="206"/>
      <w:bookmarkEnd w:id="20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2694"/>
        <w:gridCol w:w="6874"/>
      </w:tblGrid>
      <w:tr>
        <w:trPr>
          <w:trHeight w:val="57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1"/>
                <w:sz w:val="18"/>
                <w:szCs w:val="18"/>
              </w:rPr>
              <w:t>对于单项金额虽不重大的应收款项，当存在客观证据表明本公司将无法按应收款项的原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有条款收回所有款项时，确认相应的坏账准备。</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87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21"/>
              <w:ind w:left="22" w:right="20"/>
              <w:jc w:val="left"/>
              <w:rPr>
                <w:rFonts w:ascii="宋体" w:hAnsi="宋体" w:cs="宋体" w:eastAsia="宋体" w:hint="default"/>
                <w:sz w:val="18"/>
                <w:szCs w:val="18"/>
              </w:rPr>
            </w:pPr>
            <w:r>
              <w:rPr>
                <w:rFonts w:ascii="宋体" w:hAnsi="宋体" w:cs="宋体" w:eastAsia="宋体" w:hint="default"/>
                <w:spacing w:val="-1"/>
                <w:sz w:val="18"/>
                <w:szCs w:val="18"/>
              </w:rPr>
              <w:t>根据该款项预计未来现金流量现值低于其账面价值的差额，单独进行减值测试，计提坏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r>
    </w:tbl>
    <w:p>
      <w:pPr>
        <w:spacing w:line="240" w:lineRule="auto" w:before="10"/>
        <w:rPr>
          <w:rFonts w:ascii="宋体" w:hAnsi="宋体" w:cs="宋体" w:eastAsia="宋体" w:hint="default"/>
          <w:b/>
          <w:bCs/>
          <w:sz w:val="9"/>
          <w:szCs w:val="9"/>
        </w:rPr>
      </w:pPr>
    </w:p>
    <w:p>
      <w:pPr>
        <w:spacing w:line="364" w:lineRule="auto" w:before="35"/>
        <w:ind w:left="534" w:right="7332" w:firstLine="62"/>
        <w:jc w:val="left"/>
        <w:rPr>
          <w:rFonts w:ascii="宋体" w:hAnsi="宋体" w:cs="宋体" w:eastAsia="宋体" w:hint="default"/>
          <w:sz w:val="18"/>
          <w:szCs w:val="18"/>
        </w:rPr>
      </w:pPr>
      <w:bookmarkStart w:name="11、存货" w:id="207"/>
      <w:bookmarkEnd w:id="207"/>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b/>
          <w:bCs/>
          <w:w w:val="99"/>
          <w:sz w:val="21"/>
          <w:szCs w:val="21"/>
        </w:rPr>
        <w:t> </w:t>
      </w:r>
      <w:r>
        <w:rPr>
          <w:rFonts w:ascii="宋体" w:hAnsi="宋体" w:cs="宋体" w:eastAsia="宋体" w:hint="default"/>
          <w:sz w:val="18"/>
          <w:szCs w:val="18"/>
        </w:rPr>
        <w:t>公司是否需要遵守特殊行业的披露要求 是</w:t>
      </w:r>
    </w:p>
    <w:p>
      <w:pPr>
        <w:pStyle w:val="BodyText"/>
        <w:spacing w:line="240" w:lineRule="auto" w:before="22"/>
        <w:ind w:right="0"/>
        <w:jc w:val="left"/>
      </w:pPr>
      <w:r>
        <w:rPr/>
        <w:t>软件与信息技术服务业</w:t>
      </w:r>
    </w:p>
    <w:p>
      <w:pPr>
        <w:pStyle w:val="BodyText"/>
        <w:spacing w:line="340" w:lineRule="auto" w:before="116"/>
        <w:ind w:right="3912"/>
        <w:jc w:val="left"/>
      </w:pPr>
      <w:r>
        <w:rPr/>
        <w:t>（</w:t>
      </w:r>
      <w:r>
        <w:rPr>
          <w:rFonts w:ascii="Times New Roman" w:hAnsi="Times New Roman" w:cs="Times New Roman" w:eastAsia="Times New Roman" w:hint="default"/>
        </w:rPr>
        <w:t>1</w:t>
      </w:r>
      <w:r>
        <w:rPr/>
        <w:t>）存货的类别 存货包括原材料、在产品、产成品和周转材料等，按成本与可变现净值孰低列示。</w:t>
      </w:r>
    </w:p>
    <w:p>
      <w:pPr>
        <w:pStyle w:val="BodyText"/>
        <w:spacing w:line="338" w:lineRule="auto" w:before="40"/>
        <w:ind w:right="0"/>
        <w:jc w:val="left"/>
      </w:pPr>
      <w:r>
        <w:rPr/>
        <w:t>（</w:t>
      </w:r>
      <w:r>
        <w:rPr>
          <w:rFonts w:ascii="Times New Roman" w:hAnsi="Times New Roman" w:cs="Times New Roman" w:eastAsia="Times New Roman" w:hint="default"/>
        </w:rPr>
        <w:t>2</w:t>
      </w:r>
      <w:r>
        <w:rPr/>
        <w:t>）发出存货的计价方法 </w:t>
      </w:r>
      <w:r>
        <w:rPr>
          <w:spacing w:val="-2"/>
        </w:rPr>
        <w:t>货发出时的成本按加权平均法核算，产成品和在产品成本包括原材料、直接人工以及在正常生产能力下按照一定方法分</w:t>
      </w:r>
    </w:p>
    <w:p>
      <w:pPr>
        <w:pStyle w:val="BodyText"/>
        <w:spacing w:line="240" w:lineRule="auto" w:before="4"/>
        <w:ind w:left="174" w:right="0"/>
        <w:jc w:val="left"/>
      </w:pPr>
      <w:r>
        <w:rPr/>
        <w:t>配的制造费用。周转材料包括低值易耗品和包装物等。</w:t>
      </w:r>
    </w:p>
    <w:p>
      <w:pPr>
        <w:pStyle w:val="BodyText"/>
        <w:spacing w:line="338" w:lineRule="auto" w:before="117"/>
        <w:ind w:right="0"/>
        <w:jc w:val="left"/>
      </w:pPr>
      <w:r>
        <w:rPr/>
        <w:t>（</w:t>
      </w:r>
      <w:r>
        <w:rPr>
          <w:rFonts w:ascii="Times New Roman" w:hAnsi="Times New Roman" w:cs="Times New Roman" w:eastAsia="Times New Roman" w:hint="default"/>
        </w:rPr>
        <w:t>3</w:t>
      </w:r>
      <w:r>
        <w:rPr/>
        <w:t>）确定不同类别存货可变现净值的依据 </w:t>
      </w:r>
      <w:r>
        <w:rPr>
          <w:spacing w:val="-2"/>
        </w:rPr>
        <w:t>存货成本高于其可变现净值的，计提存货跌价准备，计入当期损益。可变现净值，是指在日常活动中，存货的估计售价</w:t>
      </w:r>
    </w:p>
    <w:p>
      <w:pPr>
        <w:pStyle w:val="BodyText"/>
        <w:spacing w:line="319" w:lineRule="auto" w:before="2"/>
        <w:ind w:left="174" w:right="0"/>
        <w:jc w:val="left"/>
      </w:pPr>
      <w:r>
        <w:rPr>
          <w:spacing w:val="-2"/>
        </w:rPr>
        <w:t>减去至完工时估计将要发生的成本、估计的销售费用以及相关税费后的金额。公司确定存货的可变现净值，以取得的确凿证</w:t>
      </w:r>
      <w:r>
        <w:rPr>
          <w:spacing w:val="-66"/>
        </w:rPr>
        <w:t> </w:t>
      </w:r>
      <w:r>
        <w:rPr>
          <w:spacing w:val="-66"/>
        </w:rPr>
      </w:r>
      <w:r>
        <w:rPr/>
        <w:t>据为基础，并且考虑持有存货的目的、资产负债表日后事项的影响等因素。</w:t>
      </w:r>
    </w:p>
    <w:p>
      <w:pPr>
        <w:pStyle w:val="BodyText"/>
        <w:spacing w:line="319" w:lineRule="auto" w:before="55"/>
        <w:ind w:left="174" w:right="0" w:firstLine="360"/>
        <w:jc w:val="left"/>
      </w:pPr>
      <w:r>
        <w:rPr>
          <w:spacing w:val="-2"/>
        </w:rPr>
        <w:t>为生产而持有的材料等，用其生产的产成品的可变现净值高于成本的，该材料仍然按照成本计量；材料价格的下降表明</w:t>
      </w:r>
      <w:r>
        <w:rPr/>
        <w:t> 产成品的可变现净值低于成本的，该材料按照可变现净值计量。</w:t>
      </w:r>
    </w:p>
    <w:p>
      <w:pPr>
        <w:pStyle w:val="BodyText"/>
        <w:spacing w:line="319" w:lineRule="auto" w:before="57"/>
        <w:ind w:left="174" w:right="0" w:firstLine="360"/>
        <w:jc w:val="left"/>
      </w:pPr>
      <w:r>
        <w:rPr>
          <w:spacing w:val="-2"/>
        </w:rPr>
        <w:t>为执行销售合同或者劳务合同而持有的存货，其可变现净值以合同价格为基础计算。持有存货的数量多于销售合同订购</w:t>
      </w:r>
      <w:r>
        <w:rPr/>
        <w:t> 数量的，超出部分的存货的可变现净值以一般销售价格为基础计算。</w:t>
      </w:r>
    </w:p>
    <w:p>
      <w:pPr>
        <w:pStyle w:val="BodyText"/>
        <w:spacing w:line="338" w:lineRule="auto" w:before="56"/>
        <w:ind w:right="7872"/>
        <w:jc w:val="left"/>
      </w:pPr>
      <w:r>
        <w:rPr/>
        <w:t>（</w:t>
      </w:r>
      <w:r>
        <w:rPr>
          <w:rFonts w:ascii="Times New Roman" w:hAnsi="Times New Roman" w:cs="Times New Roman" w:eastAsia="Times New Roman" w:hint="default"/>
        </w:rPr>
        <w:t>4</w:t>
      </w:r>
      <w:r>
        <w:rPr/>
        <w:t>）存货的盘存制度 存货盘存制度采用永续盘存制。</w:t>
      </w:r>
    </w:p>
    <w:p>
      <w:pPr>
        <w:pStyle w:val="BodyText"/>
        <w:spacing w:line="348" w:lineRule="auto" w:before="43"/>
        <w:ind w:right="6612"/>
        <w:jc w:val="left"/>
      </w:pPr>
      <w:r>
        <w:rPr/>
        <w:t>（</w:t>
      </w:r>
      <w:r>
        <w:rPr>
          <w:rFonts w:ascii="Times New Roman" w:hAnsi="Times New Roman" w:cs="Times New Roman" w:eastAsia="Times New Roman" w:hint="default"/>
        </w:rPr>
        <w:t>5</w:t>
      </w:r>
      <w:r>
        <w:rPr/>
        <w:t>）低值易耗品和包装物的摊销方法 低值易耗品在领用时采用一次转销法核算成本。 包装物在领用时采用一次转销法核算成本。</w:t>
      </w:r>
    </w:p>
    <w:p>
      <w:pPr>
        <w:pStyle w:val="Heading3"/>
        <w:spacing w:line="240" w:lineRule="auto" w:before="146"/>
        <w:ind w:right="0"/>
        <w:jc w:val="left"/>
        <w:rPr>
          <w:b w:val="0"/>
          <w:bCs w:val="0"/>
        </w:rPr>
      </w:pPr>
      <w:bookmarkStart w:name="12、持有待售资产" w:id="208"/>
      <w:bookmarkEnd w:id="208"/>
      <w:r>
        <w:rPr>
          <w:b w:val="0"/>
          <w:bCs w:val="0"/>
        </w:rPr>
      </w:r>
      <w:r>
        <w:rPr>
          <w:rFonts w:ascii="Times New Roman" w:hAnsi="Times New Roman" w:cs="Times New Roman" w:eastAsia="Times New Roman" w:hint="default"/>
        </w:rPr>
        <w:t>12</w:t>
      </w:r>
      <w:r>
        <w:rPr/>
        <w:t>、持有待售资产</w:t>
      </w:r>
      <w:r>
        <w:rPr>
          <w:b w:val="0"/>
          <w:bCs w:val="0"/>
        </w:rPr>
      </w:r>
    </w:p>
    <w:p>
      <w:pPr>
        <w:pStyle w:val="BodyText"/>
        <w:spacing w:line="348" w:lineRule="auto" w:before="158"/>
        <w:ind w:right="4147"/>
        <w:jc w:val="left"/>
      </w:pPr>
      <w:r>
        <w:rPr/>
        <w:t>（</w:t>
      </w:r>
      <w:r>
        <w:rPr>
          <w:rFonts w:ascii="Times New Roman" w:hAnsi="Times New Roman" w:cs="Times New Roman" w:eastAsia="Times New Roman" w:hint="default"/>
        </w:rPr>
        <w:t>1</w:t>
      </w:r>
      <w:r>
        <w:rPr/>
        <w:t>）划分为持有待售类别的条件 同时满足下列条件的非流动资产或处置组，确认为持有待售类别： </w:t>
      </w:r>
      <w:r>
        <w:rPr>
          <w:rFonts w:ascii="Times New Roman" w:hAnsi="Times New Roman" w:cs="Times New Roman" w:eastAsia="Times New Roman" w:hint="default"/>
        </w:rPr>
        <w:t>a.</w:t>
      </w:r>
      <w:r>
        <w:rPr/>
        <w:t>根据类似交易中出售此类资产或处置组的惯例，在当前状况下即可立即出售；</w:t>
      </w:r>
    </w:p>
    <w:p>
      <w:pPr>
        <w:pStyle w:val="BodyText"/>
        <w:spacing w:line="348" w:lineRule="auto" w:before="12"/>
        <w:ind w:right="0"/>
        <w:jc w:val="left"/>
      </w:pPr>
      <w:r>
        <w:rPr>
          <w:rFonts w:ascii="Times New Roman" w:hAnsi="Times New Roman" w:cs="Times New Roman" w:eastAsia="Times New Roman" w:hint="default"/>
        </w:rPr>
        <w:t>b.</w:t>
      </w:r>
      <w:r>
        <w:rPr/>
        <w:t>出售极可能发生，即公司已经就一项出售计划作出决议且获得确定的购买承诺，预计出售将在一年内完成。 有关规定要求公司相关权力机构或者监管部门批准后方可出售的，已经获得批准。 </w:t>
      </w:r>
      <w:r>
        <w:rPr>
          <w:spacing w:val="-2"/>
        </w:rPr>
        <w:t>确定的购买承诺，是指公司与其他方签订的具有法律约束力的购买协议，该协议包含交易价格、时间和足够严厉的违约</w:t>
      </w:r>
    </w:p>
    <w:p>
      <w:pPr>
        <w:pStyle w:val="BodyText"/>
        <w:spacing w:line="232" w:lineRule="exact" w:before="0"/>
        <w:ind w:left="174" w:right="0"/>
        <w:jc w:val="left"/>
      </w:pPr>
      <w:r>
        <w:rPr/>
        <w:t>惩罚等重要条款，使协议出现重大调整或者撤销的可能性极小。</w:t>
      </w:r>
    </w:p>
    <w:p>
      <w:pPr>
        <w:pStyle w:val="BodyText"/>
        <w:spacing w:line="338" w:lineRule="auto" w:before="116"/>
        <w:ind w:right="0"/>
        <w:jc w:val="left"/>
      </w:pPr>
      <w:r>
        <w:rPr/>
        <w:t>（</w:t>
      </w:r>
      <w:r>
        <w:rPr>
          <w:rFonts w:ascii="Times New Roman" w:hAnsi="Times New Roman" w:cs="Times New Roman" w:eastAsia="Times New Roman" w:hint="default"/>
        </w:rPr>
        <w:t>2</w:t>
      </w:r>
      <w:r>
        <w:rPr/>
        <w:t>）持有待售的非流动资产或处置组的计量 </w:t>
      </w:r>
      <w:r>
        <w:rPr>
          <w:spacing w:val="-2"/>
        </w:rPr>
        <w:t>公司初始计量或在资产负债表日重新计量持有待售的非流动资产或处置组时，其账面价值高于公允价值减去出售费用后</w:t>
      </w:r>
    </w:p>
    <w:p>
      <w:pPr>
        <w:pStyle w:val="BodyText"/>
        <w:spacing w:line="319" w:lineRule="auto" w:before="2"/>
        <w:ind w:left="174" w:right="0"/>
        <w:jc w:val="left"/>
      </w:pPr>
      <w:r>
        <w:rPr>
          <w:spacing w:val="-2"/>
        </w:rPr>
        <w:t>的净额的，将账面价值减记至公允价值减去出售费用后的净额，减记的金额确认为资产减值损失，计入当期损益，同时计提</w:t>
      </w:r>
      <w:r>
        <w:rPr>
          <w:spacing w:val="-66"/>
        </w:rPr>
        <w:t> </w:t>
      </w:r>
      <w:r>
        <w:rPr>
          <w:spacing w:val="-66"/>
        </w:rPr>
      </w:r>
      <w:r>
        <w:rPr/>
        <w:t>持有待售资产减值准备。</w:t>
      </w:r>
    </w:p>
    <w:p>
      <w:pPr>
        <w:spacing w:after="0" w:line="319"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1131" w:firstLine="360"/>
        <w:jc w:val="both"/>
      </w:pPr>
      <w:r>
        <w:rPr>
          <w:spacing w:val="-2"/>
        </w:rPr>
        <w:t>对于取得日划分为持有待售类别的非流动资产或处置组，公司在初始计量时比较假定其不划分为持有待售类别情况下的</w:t>
      </w:r>
      <w:r>
        <w:rPr/>
        <w:t> </w:t>
      </w:r>
      <w:r>
        <w:rPr>
          <w:spacing w:val="-2"/>
        </w:rPr>
        <w:t>初始计量金额和公允价值减去出售费用后的净额，以两者孰低计量。除公司合并中取得的非流动资产或处置组外，由非流动</w:t>
      </w:r>
      <w:r>
        <w:rPr>
          <w:spacing w:val="-66"/>
        </w:rPr>
        <w:t> </w:t>
      </w:r>
      <w:r>
        <w:rPr>
          <w:spacing w:val="-66"/>
        </w:rPr>
      </w:r>
      <w:r>
        <w:rPr/>
        <w:t>资产或处置组以公允价值减去出售费用后的净额作为初始计量金额而产生的差额，计入当期损益。</w:t>
      </w:r>
    </w:p>
    <w:p>
      <w:pPr>
        <w:pStyle w:val="BodyText"/>
        <w:spacing w:line="319" w:lineRule="auto" w:before="55"/>
        <w:ind w:left="174" w:right="1050" w:firstLine="360"/>
        <w:jc w:val="both"/>
      </w:pPr>
      <w:r>
        <w:rPr/>
        <w:t>公司在资产负债表日重新计量持有待售的处置组时，首先按照相关会计准则规定计量处置组中资产和负债的账面价值， 然后按照上款的规定进行会计处理。</w:t>
      </w:r>
    </w:p>
    <w:p>
      <w:pPr>
        <w:pStyle w:val="BodyText"/>
        <w:spacing w:line="319" w:lineRule="auto" w:before="56"/>
        <w:ind w:left="174" w:right="1132" w:firstLine="360"/>
        <w:jc w:val="both"/>
      </w:pPr>
      <w:r>
        <w:rPr>
          <w:spacing w:val="-2"/>
        </w:rPr>
        <w:t>对于持有待售的处置组确认的资产减值损失金额，先抵减处置组中商誉的账面价值，再根据处置组中适用准则计量规定</w:t>
      </w:r>
      <w:r>
        <w:rPr/>
        <w:t> 的各项非流动资产账面价值所占比重，按比例抵减其账面价值。</w:t>
      </w:r>
    </w:p>
    <w:p>
      <w:pPr>
        <w:pStyle w:val="BodyText"/>
        <w:spacing w:line="319" w:lineRule="auto" w:before="55"/>
        <w:ind w:left="174" w:right="1132" w:firstLine="360"/>
        <w:jc w:val="both"/>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r>
        <w:rPr>
          <w:spacing w:val="-64"/>
        </w:rPr>
        <w:t> </w:t>
      </w:r>
      <w:r>
        <w:rPr>
          <w:spacing w:val="-64"/>
        </w:rPr>
      </w:r>
      <w:r>
        <w:rPr/>
        <w:t>失不得转回。</w:t>
      </w:r>
    </w:p>
    <w:p>
      <w:pPr>
        <w:pStyle w:val="BodyText"/>
        <w:spacing w:line="319" w:lineRule="auto" w:before="55"/>
        <w:ind w:left="174" w:right="1132" w:firstLine="360"/>
        <w:jc w:val="both"/>
      </w:pPr>
      <w:r>
        <w:rPr>
          <w:spacing w:val="-2"/>
        </w:rPr>
        <w:t>后续资产负债表日持有待售的处置组公允价值减去出售费用后的净额增加的，以前减记的金额予以恢复，并在划分为持</w:t>
      </w:r>
      <w:r>
        <w:rPr/>
        <w:t> </w:t>
      </w:r>
      <w:r>
        <w:rPr>
          <w:spacing w:val="-2"/>
        </w:rPr>
        <w:t>有待售类别后适用准则计量规定的非流动资产确认的资产减值损失金额内转回，转回金额计入当期损益。已抵减的商誉账面</w:t>
      </w:r>
      <w:r>
        <w:rPr>
          <w:spacing w:val="-64"/>
        </w:rPr>
        <w:t> </w:t>
      </w:r>
      <w:r>
        <w:rPr>
          <w:spacing w:val="-64"/>
        </w:rPr>
      </w:r>
      <w:r>
        <w:rPr/>
        <w:t>价值，以及适用准则计量规定的非流动资产在划分为持有待售类别前确认的资产减值损失不得转回。</w:t>
      </w:r>
    </w:p>
    <w:p>
      <w:pPr>
        <w:pStyle w:val="BodyText"/>
        <w:spacing w:line="319" w:lineRule="auto" w:before="56"/>
        <w:ind w:left="174" w:right="1131" w:firstLine="360"/>
        <w:jc w:val="both"/>
      </w:pPr>
      <w:r>
        <w:rPr>
          <w:spacing w:val="-2"/>
        </w:rPr>
        <w:t>持有待售的处置组确认的资产减值损失后续转回金额，根据处置组中除商誉外适用准则计量规定的各项非流动资产账面</w:t>
      </w:r>
      <w:r>
        <w:rPr/>
        <w:t> 价值所占比重，按比例增加其账面价值。</w:t>
      </w:r>
    </w:p>
    <w:p>
      <w:pPr>
        <w:pStyle w:val="BodyText"/>
        <w:spacing w:line="319" w:lineRule="auto" w:before="55"/>
        <w:ind w:left="174" w:right="1131"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19" w:lineRule="auto" w:before="55"/>
        <w:ind w:left="174" w:right="1230" w:firstLine="360"/>
        <w:jc w:val="both"/>
      </w:pPr>
      <w:r>
        <w:rPr/>
        <w:t>非流动资产或处置组因不再满足持有待售类别的划分条件而不再继续划分为持有待售类别或非流动资产从持有待售的 处置组中移除时，按照以下两者孰低计量：</w:t>
      </w:r>
    </w:p>
    <w:p>
      <w:pPr>
        <w:pStyle w:val="BodyText"/>
        <w:spacing w:line="302" w:lineRule="auto" w:before="56"/>
        <w:ind w:left="174" w:right="1131" w:firstLine="360"/>
        <w:jc w:val="both"/>
      </w:pPr>
      <w:r>
        <w:rPr>
          <w:rFonts w:ascii="Times New Roman" w:hAnsi="Times New Roman" w:cs="Times New Roman" w:eastAsia="Times New Roman" w:hint="default"/>
          <w:spacing w:val="-1"/>
        </w:rPr>
        <w:t>a.</w:t>
      </w:r>
      <w:r>
        <w:rPr>
          <w:spacing w:val="-1"/>
        </w:rPr>
        <w:t>划分为持有待售类别前的账面价值，按照假定不划分为持有待售类别情况下本应确认的折旧、摊销或减值等进行调整</w:t>
      </w:r>
      <w:r>
        <w:rPr/>
        <w:t> 后的金额；</w:t>
      </w:r>
    </w:p>
    <w:p>
      <w:pPr>
        <w:pStyle w:val="BodyText"/>
        <w:spacing w:line="338" w:lineRule="auto" w:before="69"/>
        <w:ind w:right="3192"/>
        <w:jc w:val="left"/>
      </w:pPr>
      <w:r>
        <w:rPr>
          <w:rFonts w:ascii="Times New Roman" w:hAnsi="Times New Roman" w:cs="Times New Roman" w:eastAsia="Times New Roman" w:hint="default"/>
        </w:rPr>
        <w:t>b.</w:t>
      </w:r>
      <w:r>
        <w:rPr/>
        <w:t>可收回金额。 公司终止确认持有待售的非流动资产或处置组时，将尚未确认的利得或损失计入当期损益。</w:t>
      </w:r>
    </w:p>
    <w:p>
      <w:pPr>
        <w:pStyle w:val="Heading3"/>
        <w:spacing w:line="240" w:lineRule="auto" w:before="153"/>
        <w:ind w:right="0"/>
        <w:jc w:val="left"/>
        <w:rPr>
          <w:b w:val="0"/>
          <w:bCs w:val="0"/>
        </w:rPr>
      </w:pPr>
      <w:bookmarkStart w:name="13、长期股权投资" w:id="209"/>
      <w:bookmarkEnd w:id="209"/>
      <w:r>
        <w:rPr>
          <w:b w:val="0"/>
          <w:bCs w:val="0"/>
        </w:rPr>
      </w:r>
      <w:r>
        <w:rPr>
          <w:rFonts w:ascii="Times New Roman" w:hAnsi="Times New Roman" w:cs="Times New Roman" w:eastAsia="Times New Roman" w:hint="default"/>
        </w:rPr>
        <w:t>13</w:t>
      </w:r>
      <w:r>
        <w:rPr/>
        <w:t>、长期股权投资</w:t>
      </w:r>
      <w:r>
        <w:rPr>
          <w:b w:val="0"/>
          <w:bCs w:val="0"/>
        </w:rPr>
      </w:r>
    </w:p>
    <w:p>
      <w:pPr>
        <w:pStyle w:val="BodyText"/>
        <w:spacing w:line="338" w:lineRule="auto" w:before="158"/>
        <w:ind w:right="0"/>
        <w:jc w:val="left"/>
      </w:pPr>
      <w:r>
        <w:rPr/>
        <w:t>（</w:t>
      </w:r>
      <w:r>
        <w:rPr>
          <w:rFonts w:ascii="Times New Roman" w:hAnsi="Times New Roman" w:cs="Times New Roman" w:eastAsia="Times New Roman" w:hint="default"/>
        </w:rPr>
        <w:t>1</w:t>
      </w:r>
      <w:r>
        <w:rPr/>
        <w:t>）共同控制、重大影响的判断标准 </w:t>
      </w:r>
      <w:r>
        <w:rPr>
          <w:spacing w:val="-2"/>
        </w:rPr>
        <w:t>按照相关约定对某项安排所共有的控制，并且该安排的相关活动必须经过分享控制权的参与方一致同意后才能决策，则</w:t>
      </w:r>
    </w:p>
    <w:p>
      <w:pPr>
        <w:pStyle w:val="BodyText"/>
        <w:spacing w:line="357" w:lineRule="auto" w:before="4"/>
        <w:ind w:right="0" w:hanging="360"/>
        <w:jc w:val="left"/>
      </w:pPr>
      <w:r>
        <w:rPr/>
        <w:t>视为共同控制。如果存在两个或两个以上的参与方组合能够集体控制某项安排的，不视为共同控制。 </w:t>
      </w:r>
      <w:r>
        <w:rPr>
          <w:spacing w:val="-2"/>
        </w:rPr>
        <w:t>对被投资单位的财务和经营政策有参与决策的权力，但并不能够控制或者与其他方一起共同控制这些政策的制定，则视</w:t>
      </w:r>
    </w:p>
    <w:p>
      <w:pPr>
        <w:pStyle w:val="BodyText"/>
        <w:spacing w:line="225" w:lineRule="exact" w:before="0"/>
        <w:ind w:left="0" w:right="8076"/>
        <w:jc w:val="center"/>
      </w:pPr>
      <w:r>
        <w:rPr/>
        <w:t>为对被投资单位实施重大影响。</w:t>
      </w:r>
    </w:p>
    <w:p>
      <w:pPr>
        <w:pStyle w:val="BodyText"/>
        <w:spacing w:line="240" w:lineRule="auto" w:before="116"/>
        <w:ind w:right="0"/>
        <w:jc w:val="left"/>
      </w:pPr>
      <w:r>
        <w:rPr/>
        <w:t>（</w:t>
      </w:r>
      <w:r>
        <w:rPr>
          <w:rFonts w:ascii="Times New Roman" w:hAnsi="Times New Roman" w:cs="Times New Roman" w:eastAsia="Times New Roman" w:hint="default"/>
        </w:rPr>
        <w:t>2</w:t>
      </w:r>
      <w:r>
        <w:rPr/>
        <w:t>）初始投资成本确定</w:t>
      </w:r>
    </w:p>
    <w:p>
      <w:pPr>
        <w:pStyle w:val="BodyText"/>
        <w:spacing w:line="302" w:lineRule="auto" w:before="102"/>
        <w:ind w:left="174" w:right="1043" w:firstLine="360"/>
        <w:jc w:val="both"/>
      </w:pPr>
      <w:r>
        <w:rPr/>
        <w:t>企业合并形成的长期股权投资，按照本附注“</w:t>
      </w: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t>同一控制下和非同一控制下企业合并的会计处理方法”的相关内容确 </w:t>
      </w:r>
      <w:r>
        <w:rPr>
          <w:spacing w:val="-4"/>
        </w:rPr>
        <w:t>认初始投资成本；除企业合并形成的长期股权投资以外，其他方式取得的长期股权投资，按照下述方法确认其初始投资成本：</w:t>
      </w:r>
    </w:p>
    <w:p>
      <w:pPr>
        <w:pStyle w:val="BodyText"/>
        <w:spacing w:line="302" w:lineRule="auto" w:before="68"/>
        <w:ind w:left="174" w:right="1131" w:firstLine="360"/>
        <w:jc w:val="both"/>
      </w:pPr>
      <w:r>
        <w:rPr>
          <w:rFonts w:ascii="Times New Roman" w:hAnsi="Times New Roman" w:cs="Times New Roman" w:eastAsia="Times New Roman" w:hint="default"/>
          <w:spacing w:val="-1"/>
        </w:rPr>
        <w:t>a.</w:t>
      </w:r>
      <w:r>
        <w:rPr>
          <w:spacing w:val="-1"/>
        </w:rPr>
        <w:t>以支付现金取得的长期股权投资，应当按照实际支付的购买价款作为初始投资成本。初始投资成本包括与取得长期股</w:t>
      </w:r>
      <w:r>
        <w:rPr/>
        <w:t> 权投资直接相关的费用、税金及其他必要支出。</w:t>
      </w:r>
    </w:p>
    <w:p>
      <w:pPr>
        <w:pStyle w:val="BodyText"/>
        <w:spacing w:line="302" w:lineRule="auto" w:before="68"/>
        <w:ind w:left="174" w:right="1130" w:firstLine="360"/>
        <w:jc w:val="both"/>
      </w:pPr>
      <w:r>
        <w:rPr>
          <w:rFonts w:ascii="Times New Roman" w:hAnsi="Times New Roman" w:cs="Times New Roman" w:eastAsia="Times New Roman" w:hint="default"/>
          <w:spacing w:val="-1"/>
        </w:rPr>
        <w:t>b.</w:t>
      </w:r>
      <w:r>
        <w:rPr>
          <w:spacing w:val="-1"/>
        </w:rPr>
        <w:t>以发行权益性证券取得的长期股权投资，应当按照发行权益性证券的公允价值作为初始投资成本。与发行权益行证券</w:t>
      </w:r>
      <w:r>
        <w:rPr/>
        <w:t> 直接相关的费用，应当按照《企业会计准则第</w:t>
      </w:r>
      <w:r>
        <w:rPr>
          <w:spacing w:val="-46"/>
        </w:rPr>
        <w:t>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金融工具列报》的有关规定确定。</w:t>
      </w:r>
    </w:p>
    <w:p>
      <w:pPr>
        <w:pStyle w:val="BodyText"/>
        <w:spacing w:line="309" w:lineRule="auto" w:before="50"/>
        <w:ind w:left="174" w:right="1132" w:firstLine="360"/>
        <w:jc w:val="both"/>
      </w:pPr>
      <w:r>
        <w:rPr>
          <w:rFonts w:ascii="Times New Roman" w:hAnsi="Times New Roman" w:cs="Times New Roman" w:eastAsia="Times New Roman" w:hint="default"/>
          <w:spacing w:val="-1"/>
        </w:rPr>
        <w:t>c.</w:t>
      </w:r>
      <w:r>
        <w:rPr>
          <w:spacing w:val="-1"/>
        </w:rPr>
        <w:t>在非货币性资产交换具备商业实质和换入资产或换出资产的公允价值能够可靠计量的前提下，非货币性资产交换换入</w:t>
      </w:r>
      <w:r>
        <w:rPr/>
        <w:t> </w:t>
      </w: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p>
    <w:p>
      <w:pPr>
        <w:pStyle w:val="BodyText"/>
        <w:spacing w:line="240" w:lineRule="auto" w:before="64"/>
        <w:ind w:right="0"/>
        <w:jc w:val="left"/>
      </w:pPr>
      <w:r>
        <w:rPr>
          <w:rFonts w:ascii="Times New Roman" w:hAnsi="Times New Roman" w:cs="Times New Roman" w:eastAsia="Times New Roman" w:hint="default"/>
        </w:rPr>
        <w:t>d.</w:t>
      </w:r>
      <w:r>
        <w:rPr/>
        <w:t>通过债务重组取得的长期股权投资，其初始投资成本按照公允价值为基础确定。</w:t>
      </w:r>
    </w:p>
    <w:p>
      <w:pPr>
        <w:pStyle w:val="BodyText"/>
        <w:spacing w:line="240" w:lineRule="auto" w:before="102"/>
        <w:ind w:right="0"/>
        <w:jc w:val="left"/>
      </w:pPr>
      <w:r>
        <w:rPr/>
        <w:t>（</w:t>
      </w:r>
      <w:r>
        <w:rPr>
          <w:rFonts w:ascii="Times New Roman" w:hAnsi="Times New Roman" w:cs="Times New Roman" w:eastAsia="Times New Roman" w:hint="default"/>
        </w:rPr>
        <w:t>3</w:t>
      </w:r>
      <w:r>
        <w:rPr/>
        <w:t>）后续计量及损益确认方法</w:t>
      </w:r>
    </w:p>
    <w:p>
      <w:pPr>
        <w:spacing w:after="0" w:line="240" w:lineRule="auto"/>
        <w:jc w:val="left"/>
        <w:sectPr>
          <w:footerReference w:type="default" r:id="rId18"/>
          <w:pgSz w:w="11910" w:h="16840"/>
          <w:pgMar w:footer="979" w:header="551" w:top="1120" w:bottom="1160" w:left="960" w:right="0"/>
        </w:sectPr>
      </w:pPr>
    </w:p>
    <w:p>
      <w:pPr>
        <w:spacing w:line="240" w:lineRule="auto" w:before="7"/>
        <w:rPr>
          <w:rFonts w:ascii="宋体" w:hAnsi="宋体" w:cs="宋体" w:eastAsia="宋体" w:hint="default"/>
          <w:sz w:val="21"/>
          <w:szCs w:val="21"/>
        </w:rPr>
      </w:pPr>
    </w:p>
    <w:p>
      <w:pPr>
        <w:pStyle w:val="BodyText"/>
        <w:spacing w:line="338" w:lineRule="auto"/>
        <w:ind w:right="0"/>
        <w:jc w:val="left"/>
      </w:pPr>
      <w:r>
        <w:rPr>
          <w:rFonts w:ascii="Times New Roman" w:hAnsi="Times New Roman" w:cs="Times New Roman" w:eastAsia="Times New Roman" w:hint="default"/>
        </w:rPr>
        <w:t>1</w:t>
      </w:r>
      <w:r>
        <w:rPr/>
        <w:t>）成本法后续计量 </w:t>
      </w:r>
      <w:r>
        <w:rPr>
          <w:spacing w:val="-2"/>
        </w:rPr>
        <w:t>公司能够对被投资单位实施控制的长期股权投资采用成本法核算，长期股权投资按照初始投资成本计价。追加或收回投</w:t>
      </w:r>
    </w:p>
    <w:p>
      <w:pPr>
        <w:pStyle w:val="BodyText"/>
        <w:spacing w:line="240" w:lineRule="auto" w:before="4"/>
        <w:ind w:left="174" w:right="0"/>
        <w:jc w:val="both"/>
      </w:pPr>
      <w:r>
        <w:rPr/>
        <w:t>资调整长期股权投资的成本。被投资单位宣告分派的现金股利或利润，确认为当期投资收益。</w:t>
      </w:r>
    </w:p>
    <w:p>
      <w:pPr>
        <w:pStyle w:val="BodyText"/>
        <w:spacing w:line="338" w:lineRule="auto" w:before="117"/>
        <w:ind w:right="0"/>
        <w:jc w:val="left"/>
      </w:pPr>
      <w:r>
        <w:rPr>
          <w:rFonts w:ascii="Times New Roman" w:hAnsi="Times New Roman" w:cs="Times New Roman" w:eastAsia="Times New Roman" w:hint="default"/>
        </w:rPr>
        <w:t>2</w:t>
      </w:r>
      <w:r>
        <w:rPr/>
        <w:t>）权益法后续计量 </w:t>
      </w:r>
      <w:r>
        <w:rPr>
          <w:spacing w:val="-2"/>
        </w:rPr>
        <w:t>公司对联营企业和合营企业的长期股权投资，采用权益法核算，长期股权投资的初始投资成本大于投资时应享有被投资</w:t>
      </w:r>
    </w:p>
    <w:p>
      <w:pPr>
        <w:pStyle w:val="BodyText"/>
        <w:spacing w:line="319" w:lineRule="auto" w:before="2"/>
        <w:ind w:left="174" w:right="1132"/>
        <w:jc w:val="both"/>
      </w:pPr>
      <w:r>
        <w:rPr>
          <w:spacing w:val="-2"/>
        </w:rPr>
        <w:t>单位可辨认净资产公允价值份额的，不调整长期股权投资的初始投资成本；长期股权投资的初始投资成本小于投资时应享有</w:t>
      </w:r>
      <w:r>
        <w:rPr>
          <w:spacing w:val="-64"/>
        </w:rPr>
        <w:t> </w:t>
      </w:r>
      <w:r>
        <w:rPr>
          <w:spacing w:val="-64"/>
        </w:rPr>
      </w:r>
      <w:r>
        <w:rPr/>
        <w:t>被投资单位可辨认净资产公允价值份额的，其差额计入当期损益，同时调整长期股权投资的成本。</w:t>
      </w:r>
    </w:p>
    <w:p>
      <w:pPr>
        <w:pStyle w:val="BodyText"/>
        <w:spacing w:line="319" w:lineRule="auto" w:before="55"/>
        <w:ind w:left="174" w:right="1132" w:firstLine="360"/>
        <w:jc w:val="both"/>
      </w:pPr>
      <w:r>
        <w:rPr>
          <w:spacing w:val="-2"/>
        </w:rPr>
        <w:t>采用权益法核算时，投资方取得长期股权投资后，按照应享有或应分担的被投资单位实现的净损益和其他综合收益的份</w:t>
      </w:r>
      <w:r>
        <w:rPr/>
        <w:t> </w:t>
      </w:r>
      <w:r>
        <w:rPr>
          <w:spacing w:val="-2"/>
        </w:rPr>
        <w:t>额，分别确认投资收益和其他综合收益，同时调整长期股权投资的账面价值；投资方按照被投资单位宣告分派的利润或现金</w:t>
      </w:r>
      <w:r>
        <w:rPr>
          <w:spacing w:val="-66"/>
        </w:rPr>
        <w:t> </w:t>
      </w:r>
      <w:r>
        <w:rPr>
          <w:spacing w:val="-66"/>
        </w:rPr>
      </w:r>
      <w:r>
        <w:rPr>
          <w:spacing w:val="-2"/>
        </w:rPr>
        <w:t>股利计算应享有的部分，相应减少长期股权投资的账面价值；投资方对于被投资单位除净损益、其他综合收益和利润分配以</w:t>
      </w:r>
      <w:r>
        <w:rPr>
          <w:spacing w:val="-66"/>
        </w:rPr>
        <w:t> </w:t>
      </w:r>
      <w:r>
        <w:rPr>
          <w:spacing w:val="-66"/>
        </w:rPr>
      </w:r>
      <w:r>
        <w:rPr>
          <w:spacing w:val="-2"/>
        </w:rPr>
        <w:t>外所有者权益的其他变动，调整长期股权投资的账面价值并计入所有者权益。投资方在确认应享有被投资单位净损益的份额</w:t>
      </w:r>
      <w:r>
        <w:rPr>
          <w:spacing w:val="-64"/>
        </w:rPr>
        <w:t> </w:t>
      </w:r>
      <w:r>
        <w:rPr>
          <w:spacing w:val="-64"/>
        </w:rPr>
      </w:r>
      <w:r>
        <w:rPr>
          <w:spacing w:val="-2"/>
        </w:rPr>
        <w:t>时，以取得投资时被投资单位可辨认净资产的公允价值为基础，对被投资单位的净利润进行调整后确认。被投资单位采用的</w:t>
      </w:r>
      <w:r>
        <w:rPr>
          <w:spacing w:val="-66"/>
        </w:rPr>
        <w:t> </w:t>
      </w:r>
      <w:r>
        <w:rPr>
          <w:spacing w:val="-66"/>
        </w:rPr>
      </w:r>
      <w:r>
        <w:rPr>
          <w:spacing w:val="-2"/>
        </w:rPr>
        <w:t>会计政策及会计期间与投资方不一致的，按照投资方的会计政策及会计期间对被投资单位的财务报表进行调整，并据以确认</w:t>
      </w:r>
      <w:r>
        <w:rPr>
          <w:spacing w:val="-64"/>
        </w:rPr>
        <w:t> </w:t>
      </w:r>
      <w:r>
        <w:rPr>
          <w:spacing w:val="-64"/>
        </w:rPr>
      </w:r>
      <w:r>
        <w:rPr/>
        <w:t>投资收益和其他综合收益等。</w:t>
      </w:r>
    </w:p>
    <w:p>
      <w:pPr>
        <w:pStyle w:val="BodyText"/>
        <w:spacing w:line="319" w:lineRule="auto" w:before="56"/>
        <w:ind w:left="174" w:right="1131" w:firstLine="360"/>
        <w:jc w:val="both"/>
      </w:pPr>
      <w:r>
        <w:rPr>
          <w:spacing w:val="-2"/>
        </w:rPr>
        <w:t>投资方确认被投资单位发生的净亏损，以长期股权投资的账面价值以及其他实质上构成对被投资单位净投资的长期权益</w:t>
      </w:r>
      <w:r>
        <w:rPr/>
        <w:t> </w:t>
      </w:r>
      <w:r>
        <w:rPr>
          <w:spacing w:val="-2"/>
        </w:rPr>
        <w:t>减记至零为限，投资方负有承担额外损失义务的除外。被投资单位以后实现净利润的，投资方在其收益分享额弥补未确认的</w:t>
      </w:r>
      <w:r>
        <w:rPr>
          <w:spacing w:val="-66"/>
        </w:rPr>
        <w:t> </w:t>
      </w:r>
      <w:r>
        <w:rPr>
          <w:spacing w:val="-66"/>
        </w:rPr>
      </w:r>
      <w:r>
        <w:rPr/>
        <w:t>亏损分担额后，恢复确认收益分享额。</w:t>
      </w:r>
    </w:p>
    <w:p>
      <w:pPr>
        <w:pStyle w:val="BodyText"/>
        <w:spacing w:line="319" w:lineRule="auto" w:before="55"/>
        <w:ind w:left="174" w:right="1130" w:firstLine="360"/>
        <w:jc w:val="both"/>
      </w:pPr>
      <w:r>
        <w:rPr>
          <w:spacing w:val="-2"/>
        </w:rPr>
        <w:t>投资方计算确认应享有或应分担被投资单位的净损益时，与联营企业、合营企业之间发生的未实现内部交易损益按照应</w:t>
      </w:r>
      <w:r>
        <w:rPr/>
        <w:t> </w:t>
      </w:r>
      <w:r>
        <w:rPr>
          <w:spacing w:val="-2"/>
        </w:rPr>
        <w:t>享有的比例计算归属于投资方的部分，予以抵销，在此基础上确认投资收益。投资方与被投资单位发生的未实现内部交易损</w:t>
      </w:r>
      <w:r>
        <w:rPr>
          <w:spacing w:val="-66"/>
        </w:rPr>
        <w:t> </w:t>
      </w:r>
      <w:r>
        <w:rPr>
          <w:spacing w:val="-66"/>
        </w:rPr>
      </w:r>
      <w:r>
        <w:rPr/>
        <w:t>失，按照《企业会计准则第</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资产减值》等的有关规定属于资产减值损失的，全额确认。</w:t>
      </w:r>
    </w:p>
    <w:p>
      <w:pPr>
        <w:pStyle w:val="BodyText"/>
        <w:spacing w:line="319" w:lineRule="auto" w:before="35"/>
        <w:ind w:left="174" w:right="1133" w:firstLine="360"/>
        <w:jc w:val="both"/>
      </w:pPr>
      <w:r>
        <w:rPr>
          <w:spacing w:val="-2"/>
        </w:rPr>
        <w:t>投资方对联营企业的权益性投资，其中一部分通过风险投资机构、共同基金、信托公司或包括投连险基金在内的类似主</w:t>
      </w:r>
      <w:r>
        <w:rPr/>
        <w:t> </w:t>
      </w:r>
      <w:r>
        <w:rPr>
          <w:spacing w:val="-2"/>
        </w:rPr>
        <w:t>体间接持有的，无论以上主体是否对这部分投资具有重大影响，投资方都按照金融工具政策的有关规定，对间接持有的该部</w:t>
      </w:r>
      <w:r>
        <w:rPr>
          <w:spacing w:val="-66"/>
        </w:rPr>
        <w:t> </w:t>
      </w:r>
      <w:r>
        <w:rPr>
          <w:spacing w:val="-66"/>
        </w:rPr>
      </w:r>
      <w:r>
        <w:rPr/>
        <w:t>分投资选择以公允价值计量且其变动计入损益，并对其余部分采用权益法核算。</w:t>
      </w:r>
    </w:p>
    <w:p>
      <w:pPr>
        <w:pStyle w:val="BodyText"/>
        <w:spacing w:line="240" w:lineRule="auto" w:before="58"/>
        <w:ind w:right="0"/>
        <w:jc w:val="left"/>
      </w:pPr>
      <w:r>
        <w:rPr>
          <w:rFonts w:ascii="Times New Roman" w:hAnsi="Times New Roman" w:cs="Times New Roman" w:eastAsia="Times New Roman" w:hint="default"/>
        </w:rPr>
        <w:t>3</w:t>
      </w:r>
      <w:r>
        <w:rPr/>
        <w:t>）因追加投资等原因能够对被投资单位施加重大影响或实施共同控制但不构成控制的处理</w:t>
      </w:r>
    </w:p>
    <w:p>
      <w:pPr>
        <w:pStyle w:val="BodyText"/>
        <w:spacing w:line="309" w:lineRule="auto" w:before="101"/>
        <w:ind w:left="174" w:right="1032" w:firstLine="360"/>
        <w:jc w:val="left"/>
      </w:pPr>
      <w:r>
        <w:rPr/>
        <w:t>按照《企业会计准则第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金融工具确认和计量》确定的原持有的股权投资的公允价值加上新增投资成本之和， 作为改按权益法核算的初始投资成本。原持有的股权投资分类为可供出售金融资产的，其公允价值与账面价值之间的差额， 以及原计入其他综合收益的累计公允价值变动转入改按权益法核算的当期损益。</w:t>
      </w:r>
    </w:p>
    <w:p>
      <w:pPr>
        <w:pStyle w:val="BodyText"/>
        <w:spacing w:line="338" w:lineRule="auto" w:before="64"/>
        <w:ind w:right="1232"/>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）处置部分股权的处理 因处置部分股权投资等原因丧失了对被投资单位的共同控制或重大影响的，处置后的剩余股权改按本附注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p>
    <w:p>
      <w:pPr>
        <w:pStyle w:val="BodyText"/>
        <w:spacing w:line="217" w:lineRule="exact" w:before="0"/>
        <w:ind w:left="174" w:right="0"/>
        <w:jc w:val="both"/>
      </w:pPr>
      <w:r>
        <w:rPr/>
        <w:t>的政策核算，其在丧失共同控制或重大影响之日的公允价值与账面价值之间的差额计入当期损益。原股权投资因采用权益法</w:t>
      </w:r>
    </w:p>
    <w:p>
      <w:pPr>
        <w:pStyle w:val="BodyText"/>
        <w:spacing w:line="319" w:lineRule="auto" w:before="76"/>
        <w:ind w:left="174" w:right="1230"/>
        <w:jc w:val="both"/>
      </w:pPr>
      <w:r>
        <w:rPr/>
        <w:t>核算而确认的其他综合收益，在终止采用权益法核算时采用与被投资单位直接处置相关资产或负债相同的基础进行会计处 理。</w:t>
      </w:r>
    </w:p>
    <w:p>
      <w:pPr>
        <w:pStyle w:val="BodyText"/>
        <w:spacing w:line="309" w:lineRule="auto" w:before="55"/>
        <w:ind w:left="174" w:right="0" w:firstLine="360"/>
        <w:jc w:val="left"/>
      </w:pPr>
      <w:r>
        <w:rPr>
          <w:spacing w:val="-2"/>
        </w:rPr>
        <w:t>因处置部分权益性投资等原因丧失了对被投资单位的控制的，在编制个别财务报表时，处置后的剩余股权能够对被投资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的剩余股权不能对被投资单位实施共同控制或施加重大影响的，改按本附注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的有关政策进行会计处理，其在丧失</w:t>
      </w:r>
      <w:r>
        <w:rPr>
          <w:spacing w:val="-44"/>
        </w:rPr>
        <w:t> </w:t>
      </w:r>
      <w:r>
        <w:rPr>
          <w:spacing w:val="-44"/>
        </w:rPr>
      </w:r>
      <w:r>
        <w:rPr/>
        <w:t>控制之日的公允价值与账面价值间的差额计入当期损益。在编制合并财务报表时，按照本附注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的相关内容处理。</w:t>
      </w:r>
    </w:p>
    <w:p>
      <w:pPr>
        <w:pStyle w:val="BodyText"/>
        <w:spacing w:line="338" w:lineRule="auto" w:before="64"/>
        <w:ind w:right="0"/>
        <w:jc w:val="left"/>
      </w:pPr>
      <w:r>
        <w:rPr>
          <w:rFonts w:ascii="Times New Roman" w:hAnsi="Times New Roman" w:cs="Times New Roman" w:eastAsia="Times New Roman" w:hint="default"/>
        </w:rPr>
        <w:t>5</w:t>
      </w:r>
      <w:r>
        <w:rPr/>
        <w:t>）对联营企业或合营企业的权益性投资全部或部分分类为持有待售资产的处理 </w:t>
      </w:r>
      <w:r>
        <w:rPr>
          <w:spacing w:val="-2"/>
        </w:rPr>
        <w:t>分类为持有待售资产的对联营企业或合营企业的权益性投资，以账面价值与公允价值减去处置费用孰低的金额列示，公</w:t>
      </w:r>
    </w:p>
    <w:p>
      <w:pPr>
        <w:pStyle w:val="BodyText"/>
        <w:spacing w:line="319" w:lineRule="auto" w:before="2"/>
        <w:ind w:left="174" w:right="1132"/>
        <w:jc w:val="both"/>
      </w:pPr>
      <w:r>
        <w:rPr>
          <w:spacing w:val="-2"/>
        </w:rPr>
        <w:t>允价值减去处置费用低于原账面价值的金额，确认为资产减值损失。对于未划分为持有待售资产的剩余权益性投资，采用权</w:t>
      </w:r>
      <w:r>
        <w:rPr>
          <w:spacing w:val="-66"/>
        </w:rPr>
        <w:t> </w:t>
      </w:r>
      <w:r>
        <w:rPr>
          <w:spacing w:val="-66"/>
        </w:rPr>
      </w:r>
      <w:r>
        <w:rPr>
          <w:spacing w:val="-2"/>
        </w:rPr>
        <w:t>益法进行会计处理。已划分为持有待售的对联营企业或合营企业的权益性投资，不再符合持有待售资产分类条件的，从被分</w:t>
      </w:r>
      <w:r>
        <w:rPr>
          <w:spacing w:val="-65"/>
        </w:rPr>
        <w:t> </w:t>
      </w:r>
      <w:r>
        <w:rPr>
          <w:spacing w:val="-65"/>
        </w:rPr>
      </w:r>
      <w:r>
        <w:rPr/>
        <w:t>类为持有待售资产之日起采用权益法进行追溯调整。分类为持有待售期间的财务报表作相应调整。</w:t>
      </w:r>
    </w:p>
    <w:p>
      <w:pPr>
        <w:spacing w:after="0" w:line="319" w:lineRule="auto"/>
        <w:jc w:val="both"/>
        <w:sectPr>
          <w:footerReference w:type="default" r:id="rId19"/>
          <w:pgSz w:w="11910" w:h="16840"/>
          <w:pgMar w:footer="979" w:header="551" w:top="1120" w:bottom="1160" w:left="960" w:right="0"/>
          <w:pgNumType w:start="101"/>
        </w:sectPr>
      </w:pPr>
    </w:p>
    <w:p>
      <w:pPr>
        <w:spacing w:line="240" w:lineRule="auto" w:before="7"/>
        <w:rPr>
          <w:rFonts w:ascii="宋体" w:hAnsi="宋体" w:cs="宋体" w:eastAsia="宋体" w:hint="default"/>
          <w:sz w:val="21"/>
          <w:szCs w:val="21"/>
        </w:rPr>
      </w:pPr>
    </w:p>
    <w:p>
      <w:pPr>
        <w:pStyle w:val="BodyText"/>
        <w:spacing w:line="338" w:lineRule="auto"/>
        <w:ind w:right="0"/>
        <w:jc w:val="left"/>
      </w:pPr>
      <w:r>
        <w:rPr>
          <w:rFonts w:ascii="Times New Roman" w:hAnsi="Times New Roman" w:cs="Times New Roman" w:eastAsia="Times New Roman" w:hint="default"/>
        </w:rPr>
        <w:t>6</w:t>
      </w:r>
      <w:r>
        <w:rPr/>
        <w:t>）处置长期股权投资的处理 </w:t>
      </w:r>
      <w:r>
        <w:rPr>
          <w:spacing w:val="-2"/>
        </w:rPr>
        <w:t>处置长期股权投资，其账面价值与实际取得价款之间的差额，计入当期损益。采用权益法核算的长期股权投资，在处置</w:t>
      </w:r>
    </w:p>
    <w:p>
      <w:pPr>
        <w:pStyle w:val="BodyText"/>
        <w:spacing w:line="319" w:lineRule="auto" w:before="2"/>
        <w:ind w:left="174" w:right="1117"/>
        <w:jc w:val="left"/>
      </w:pPr>
      <w:r>
        <w:rPr>
          <w:spacing w:val="-2"/>
        </w:rPr>
        <w:t>该项投资时，采用与被投资单位直接处置相关资产或负债相同的基础，按相应比例对原计入其他综合收益的部分进行会计处</w:t>
      </w:r>
      <w:r>
        <w:rPr>
          <w:spacing w:val="-64"/>
        </w:rPr>
        <w:t> </w:t>
      </w:r>
      <w:r>
        <w:rPr>
          <w:spacing w:val="-64"/>
        </w:rPr>
      </w:r>
      <w:r>
        <w:rPr/>
        <w:t>理。</w:t>
      </w:r>
    </w:p>
    <w:p>
      <w:pPr>
        <w:spacing w:line="240" w:lineRule="auto" w:before="11"/>
        <w:rPr>
          <w:rFonts w:ascii="宋体" w:hAnsi="宋体" w:cs="宋体" w:eastAsia="宋体" w:hint="default"/>
          <w:sz w:val="12"/>
          <w:szCs w:val="12"/>
        </w:rPr>
      </w:pPr>
    </w:p>
    <w:p>
      <w:pPr>
        <w:spacing w:line="362" w:lineRule="auto" w:before="0"/>
        <w:ind w:left="534" w:right="8592" w:firstLine="62"/>
        <w:jc w:val="left"/>
        <w:rPr>
          <w:rFonts w:ascii="宋体" w:hAnsi="宋体" w:cs="宋体" w:eastAsia="宋体" w:hint="default"/>
          <w:sz w:val="18"/>
          <w:szCs w:val="18"/>
        </w:rPr>
      </w:pPr>
      <w:bookmarkStart w:name="14、投资性房地产" w:id="210"/>
      <w:bookmarkEnd w:id="210"/>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18"/>
          <w:szCs w:val="18"/>
        </w:rPr>
        <w:t>投资性房地产计量模式 成本法计量 折旧或摊销方法</w:t>
      </w:r>
    </w:p>
    <w:p>
      <w:pPr>
        <w:pStyle w:val="BodyText"/>
        <w:spacing w:line="319" w:lineRule="auto" w:before="23"/>
        <w:ind w:left="174" w:right="0" w:firstLine="360"/>
        <w:jc w:val="left"/>
      </w:pPr>
      <w:r>
        <w:rPr>
          <w:spacing w:val="-2"/>
        </w:rPr>
        <w:t>投资性房地产包括已出租持有并准备增值后转让的土地使用权以及已出租的建筑物，以实际成本进行初始计量。与投资</w:t>
      </w:r>
      <w:r>
        <w:rPr/>
        <w:t> </w:t>
      </w:r>
      <w:r>
        <w:rPr>
          <w:spacing w:val="-4"/>
        </w:rPr>
        <w:t>性房地产有关的后续支出，在相关的经济利益很可能流入本公司且其成本能够可靠的计量时，计入投资性房地产成本；否则，</w:t>
      </w:r>
      <w:r>
        <w:rPr>
          <w:spacing w:val="-44"/>
        </w:rPr>
        <w:t> </w:t>
      </w:r>
      <w:r>
        <w:rPr>
          <w:spacing w:val="-44"/>
        </w:rPr>
      </w:r>
      <w:r>
        <w:rPr/>
        <w:t>在发生时计入当期损益。</w:t>
      </w:r>
    </w:p>
    <w:p>
      <w:pPr>
        <w:pStyle w:val="BodyText"/>
        <w:spacing w:line="316" w:lineRule="auto" w:before="56"/>
        <w:ind w:left="174" w:right="0" w:firstLine="360"/>
        <w:jc w:val="left"/>
      </w:pPr>
      <w:r>
        <w:rPr>
          <w:spacing w:val="-2"/>
        </w:rPr>
        <w:t>本公司采用成本模式对所有投资性房地产进行后续计量，按其预计使用寿命及净残值率对建筑物和土地使用权计提折旧</w:t>
      </w:r>
      <w:r>
        <w:rPr/>
        <w:t> 或摊销。投资性房地产的预计使用寿命、净残值率及年折旧（摊销）率列示如下：</w:t>
      </w:r>
    </w:p>
    <w:p>
      <w:pPr>
        <w:spacing w:line="240" w:lineRule="auto" w:before="11"/>
        <w:rPr>
          <w:rFonts w:ascii="宋体" w:hAnsi="宋体" w:cs="宋体" w:eastAsia="宋体" w:hint="default"/>
          <w:sz w:val="9"/>
          <w:szCs w:val="9"/>
        </w:rPr>
      </w:pPr>
    </w:p>
    <w:tbl>
      <w:tblPr>
        <w:tblW w:w="0" w:type="auto"/>
        <w:jc w:val="left"/>
        <w:tblInd w:w="169" w:type="dxa"/>
        <w:tblLayout w:type="fixed"/>
        <w:tblCellMar>
          <w:top w:w="0" w:type="dxa"/>
          <w:left w:w="0" w:type="dxa"/>
          <w:bottom w:w="0" w:type="dxa"/>
          <w:right w:w="0" w:type="dxa"/>
        </w:tblCellMar>
        <w:tblLook w:val="01E0"/>
      </w:tblPr>
      <w:tblGrid>
        <w:gridCol w:w="2410"/>
        <w:gridCol w:w="2375"/>
        <w:gridCol w:w="2446"/>
        <w:gridCol w:w="2338"/>
      </w:tblGrid>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4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78" w:right="0"/>
              <w:jc w:val="left"/>
              <w:rPr>
                <w:rFonts w:ascii="宋体" w:hAnsi="宋体" w:cs="宋体" w:eastAsia="宋体" w:hint="default"/>
                <w:sz w:val="18"/>
                <w:szCs w:val="18"/>
              </w:rPr>
            </w:pPr>
            <w:r>
              <w:rPr>
                <w:rFonts w:ascii="宋体" w:hAnsi="宋体" w:cs="宋体" w:eastAsia="宋体" w:hint="default"/>
                <w:sz w:val="18"/>
                <w:szCs w:val="18"/>
              </w:rPr>
              <w:t>预计净残值率</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年折旧</w:t>
            </w:r>
            <w:r>
              <w:rPr>
                <w:rFonts w:ascii="Times New Roman" w:hAnsi="Times New Roman" w:cs="Times New Roman" w:eastAsia="Times New Roman" w:hint="default"/>
                <w:sz w:val="18"/>
                <w:szCs w:val="18"/>
              </w:rPr>
              <w:t>(</w:t>
            </w:r>
            <w:r>
              <w:rPr>
                <w:rFonts w:ascii="宋体" w:hAnsi="宋体" w:cs="宋体" w:eastAsia="宋体" w:hint="default"/>
                <w:sz w:val="18"/>
                <w:szCs w:val="18"/>
              </w:rPr>
              <w:t>摊销</w:t>
            </w:r>
            <w:r>
              <w:rPr>
                <w:rFonts w:ascii="Times New Roman" w:hAnsi="Times New Roman" w:cs="Times New Roman" w:eastAsia="Times New Roman" w:hint="default"/>
                <w:sz w:val="18"/>
                <w:szCs w:val="18"/>
              </w:rPr>
              <w:t>)</w:t>
            </w:r>
            <w:r>
              <w:rPr>
                <w:rFonts w:ascii="宋体" w:hAnsi="宋体" w:cs="宋体" w:eastAsia="宋体" w:hint="default"/>
                <w:sz w:val="18"/>
                <w:szCs w:val="18"/>
              </w:rPr>
              <w:t>率</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年</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10%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2.25%</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5、固定资产" w:id="211"/>
      <w:bookmarkEnd w:id="211"/>
      <w:r>
        <w:rPr>
          <w:b w:val="0"/>
          <w:bCs w:val="0"/>
        </w:rPr>
      </w:r>
      <w:r>
        <w:rPr>
          <w:rFonts w:ascii="Times New Roman" w:hAnsi="Times New Roman" w:cs="Times New Roman" w:eastAsia="Times New Roman" w:hint="default"/>
        </w:rPr>
        <w:t>15</w:t>
      </w:r>
      <w:r>
        <w:rPr/>
        <w:t>、固定资产</w:t>
      </w:r>
      <w:r>
        <w:rPr>
          <w:b w:val="0"/>
          <w:bCs w:val="0"/>
        </w:rPr>
      </w:r>
    </w:p>
    <w:p>
      <w:pPr>
        <w:pStyle w:val="Heading3"/>
        <w:spacing w:line="240" w:lineRule="auto" w:before="189"/>
        <w:ind w:right="0"/>
        <w:jc w:val="left"/>
        <w:rPr>
          <w:b w:val="0"/>
          <w:bCs w:val="0"/>
        </w:rPr>
      </w:pPr>
      <w:bookmarkStart w:name="（1）确认条件" w:id="212"/>
      <w:bookmarkEnd w:id="212"/>
      <w:r>
        <w:rPr>
          <w:b w:val="0"/>
          <w:bCs w:val="0"/>
        </w:rPr>
      </w:r>
      <w:r>
        <w:rPr/>
        <w:t>（</w:t>
      </w:r>
      <w:r>
        <w:rPr>
          <w:rFonts w:ascii="Times New Roman" w:hAnsi="Times New Roman" w:cs="Times New Roman" w:eastAsia="Times New Roman" w:hint="default"/>
        </w:rPr>
        <w:t>1</w:t>
      </w:r>
      <w:r>
        <w:rPr/>
        <w:t>）确认条件</w:t>
      </w:r>
      <w:r>
        <w:rPr>
          <w:b w:val="0"/>
          <w:bCs w:val="0"/>
        </w:rPr>
      </w:r>
    </w:p>
    <w:p>
      <w:pPr>
        <w:pStyle w:val="BodyText"/>
        <w:spacing w:line="319" w:lineRule="auto" w:before="157"/>
        <w:ind w:left="174" w:right="0" w:firstLine="360"/>
        <w:jc w:val="left"/>
      </w:pPr>
      <w:r>
        <w:rPr>
          <w:spacing w:val="-2"/>
        </w:rPr>
        <w:t>固定资产是指为生产商品、提供劳务、出租或经营管理而持有的，使用寿命超过一个会计年度的有形资产。固定资产同</w:t>
      </w:r>
      <w:r>
        <w:rPr/>
        <w:t> </w:t>
      </w:r>
      <w:r>
        <w:rPr>
          <w:spacing w:val="-2"/>
        </w:rPr>
        <w:t>时满足下列条件的，才能予以确认：</w:t>
      </w:r>
      <w:r>
        <w:rPr>
          <w:rFonts w:ascii="Times New Roman" w:hAnsi="Times New Roman" w:cs="Times New Roman" w:eastAsia="Times New Roman" w:hint="default"/>
          <w:spacing w:val="-2"/>
        </w:rPr>
        <w:t>a.</w:t>
      </w:r>
      <w:r>
        <w:rPr>
          <w:spacing w:val="-2"/>
        </w:rPr>
        <w:t>与该固定资产有关的经济利益很可能流入企业；</w:t>
      </w:r>
      <w:r>
        <w:rPr>
          <w:rFonts w:ascii="Times New Roman" w:hAnsi="Times New Roman" w:cs="Times New Roman" w:eastAsia="Times New Roman" w:hint="default"/>
          <w:spacing w:val="-2"/>
        </w:rPr>
        <w:t>b.</w:t>
      </w:r>
      <w:r>
        <w:rPr>
          <w:spacing w:val="-2"/>
        </w:rPr>
        <w:t>该固定资产的成本能够可靠地计量。</w:t>
      </w:r>
    </w:p>
    <w:p>
      <w:pPr>
        <w:pStyle w:val="Heading3"/>
        <w:spacing w:line="240" w:lineRule="auto" w:before="147"/>
        <w:ind w:right="0"/>
        <w:jc w:val="left"/>
        <w:rPr>
          <w:b w:val="0"/>
          <w:bCs w:val="0"/>
        </w:rPr>
      </w:pPr>
      <w:bookmarkStart w:name="（2）折旧方法" w:id="213"/>
      <w:bookmarkEnd w:id="21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4"/>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2.25-4.75%</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9-9.5%</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18-23.75%</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18-31.67%</w:t>
            </w:r>
          </w:p>
        </w:tc>
      </w:tr>
    </w:tbl>
    <w:p>
      <w:pPr>
        <w:spacing w:line="240" w:lineRule="auto" w:before="10"/>
        <w:rPr>
          <w:rFonts w:ascii="宋体" w:hAnsi="宋体" w:cs="宋体" w:eastAsia="宋体" w:hint="default"/>
          <w:b/>
          <w:bCs/>
          <w:sz w:val="9"/>
          <w:szCs w:val="9"/>
        </w:rPr>
      </w:pPr>
    </w:p>
    <w:p>
      <w:pPr>
        <w:spacing w:line="364" w:lineRule="auto" w:before="35"/>
        <w:ind w:left="534" w:right="7332" w:firstLine="62"/>
        <w:jc w:val="left"/>
        <w:rPr>
          <w:rFonts w:ascii="宋体" w:hAnsi="宋体" w:cs="宋体" w:eastAsia="宋体" w:hint="default"/>
          <w:sz w:val="18"/>
          <w:szCs w:val="18"/>
        </w:rPr>
      </w:pPr>
      <w:bookmarkStart w:name="16、在建工程" w:id="214"/>
      <w:bookmarkEnd w:id="214"/>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sz w:val="18"/>
          <w:szCs w:val="18"/>
        </w:rPr>
        <w:t>公司是否需要遵守特殊行业的披露要求 是</w:t>
      </w:r>
    </w:p>
    <w:p>
      <w:pPr>
        <w:pStyle w:val="BodyText"/>
        <w:spacing w:line="357" w:lineRule="auto" w:before="22"/>
        <w:ind w:right="0"/>
        <w:jc w:val="left"/>
      </w:pPr>
      <w:r>
        <w:rPr/>
        <w:t>软件与信息技术服务业 </w:t>
      </w:r>
      <w:r>
        <w:rPr>
          <w:spacing w:val="-2"/>
        </w:rPr>
        <w:t>在建工程按实际发生的成本计量。实际成本包括建筑费用、其他为使在建工程达到预定可使用状态所发生的必要支出以</w:t>
      </w:r>
    </w:p>
    <w:p>
      <w:pPr>
        <w:pStyle w:val="BodyText"/>
        <w:spacing w:line="224" w:lineRule="exact" w:before="0"/>
        <w:ind w:left="174" w:right="0"/>
        <w:jc w:val="left"/>
      </w:pPr>
      <w:r>
        <w:rPr/>
        <w:t>及在资产达到预定可使用状态之前所发生的符合资本化条件的借款费用。在建工程在达到预定可使用状态时，转入固定资产</w:t>
      </w:r>
    </w:p>
    <w:p>
      <w:pPr>
        <w:pStyle w:val="BodyText"/>
        <w:spacing w:line="240" w:lineRule="auto" w:before="77"/>
        <w:ind w:left="596" w:right="0" w:hanging="423"/>
        <w:jc w:val="left"/>
      </w:pPr>
      <w:r>
        <w:rPr/>
        <w:t>并自次月起开始计提折旧。</w:t>
      </w:r>
    </w:p>
    <w:p>
      <w:pPr>
        <w:spacing w:line="240" w:lineRule="auto" w:before="5"/>
        <w:rPr>
          <w:rFonts w:ascii="宋体" w:hAnsi="宋体" w:cs="宋体" w:eastAsia="宋体" w:hint="default"/>
          <w:sz w:val="17"/>
          <w:szCs w:val="17"/>
        </w:rPr>
      </w:pPr>
    </w:p>
    <w:p>
      <w:pPr>
        <w:pStyle w:val="Heading3"/>
        <w:spacing w:line="240" w:lineRule="auto" w:before="0"/>
        <w:ind w:right="0"/>
        <w:jc w:val="left"/>
        <w:rPr>
          <w:b w:val="0"/>
          <w:bCs w:val="0"/>
        </w:rPr>
      </w:pPr>
      <w:bookmarkStart w:name="17、借款费用" w:id="215"/>
      <w:bookmarkEnd w:id="215"/>
      <w:r>
        <w:rPr>
          <w:b w:val="0"/>
          <w:bCs w:val="0"/>
        </w:rPr>
      </w:r>
      <w:r>
        <w:rPr>
          <w:rFonts w:ascii="Times New Roman" w:hAnsi="Times New Roman" w:cs="Times New Roman" w:eastAsia="Times New Roman" w:hint="default"/>
        </w:rPr>
        <w:t>17</w:t>
      </w:r>
      <w:r>
        <w:rPr/>
        <w:t>、借款费用</w:t>
      </w:r>
      <w:r>
        <w:rPr>
          <w:b w:val="0"/>
          <w:bCs w:val="0"/>
        </w:rPr>
      </w:r>
    </w:p>
    <w:p>
      <w:pPr>
        <w:pStyle w:val="BodyText"/>
        <w:spacing w:line="319" w:lineRule="auto" w:before="157"/>
        <w:ind w:left="174" w:right="1032" w:firstLine="360"/>
        <w:jc w:val="left"/>
      </w:pPr>
      <w:r>
        <w:rPr>
          <w:spacing w:val="-2"/>
        </w:rPr>
        <w:t>发生的可直接归属于需要经过相当长时间的购建活动才能达到预定可使用状态之固定资产的购建的借款费用，在资产支</w:t>
      </w:r>
      <w:r>
        <w:rPr/>
        <w:t> </w:t>
      </w:r>
      <w:r>
        <w:rPr>
          <w:spacing w:val="-2"/>
        </w:rPr>
        <w:t>出及借款费用已经发生、为使资产达到预定可使用状态所必要的购建活动已经开始时，开始资本化并计入该资产的成本。当</w:t>
      </w:r>
      <w:r>
        <w:rPr>
          <w:spacing w:val="-66"/>
        </w:rPr>
        <w:t> </w:t>
      </w:r>
      <w:r>
        <w:rPr>
          <w:spacing w:val="-66"/>
        </w:rPr>
      </w:r>
      <w:r>
        <w:rPr/>
        <w:t>购建的资产达到预定可使用状态时停止资本化，其后发生的借款费用计入当期损益。如果资产的购建活动发生非正常中断， 并且中断时间连续超过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个月，暂停借款费用的资本化，直至资产的购建活动重新开始。</w:t>
      </w:r>
    </w:p>
    <w:p>
      <w:pPr>
        <w:spacing w:after="0" w:line="319"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1131" w:firstLine="360"/>
        <w:jc w:val="both"/>
      </w:pPr>
      <w:r>
        <w:rPr>
          <w:spacing w:val="-2"/>
        </w:rPr>
        <w:t>在资本化期间内，专门借款（指为购建或者生产符合资本化条件的资产而专门借入的款项）以专门借款当期实际发生的</w:t>
      </w:r>
      <w:r>
        <w:rPr/>
        <w:t> </w:t>
      </w:r>
      <w:r>
        <w:rPr>
          <w:spacing w:val="-2"/>
        </w:rPr>
        <w:t>利息费用，减去将尚未动用的借款资金存入银行取得的利息收入或进行暂时性投资取得的投资收益后确定应予资本化的利息</w:t>
      </w:r>
      <w:r>
        <w:rPr>
          <w:spacing w:val="-64"/>
        </w:rPr>
        <w:t> </w:t>
      </w:r>
      <w:r>
        <w:rPr>
          <w:spacing w:val="-64"/>
        </w:rPr>
      </w:r>
      <w:r>
        <w:rPr>
          <w:spacing w:val="-2"/>
        </w:rPr>
        <w:t>金额；一般借款则根据累计资产支出超过专门借款部分的资产支出加权平均数乘以所占用一般借款的资本化率，计算确定一</w:t>
      </w:r>
      <w:r>
        <w:rPr>
          <w:spacing w:val="-64"/>
        </w:rPr>
        <w:t> </w:t>
      </w:r>
      <w:r>
        <w:rPr>
          <w:spacing w:val="-64"/>
        </w:rPr>
      </w:r>
      <w:r>
        <w:rPr/>
        <w:t>般借款应予资本化的利息金额。资本化率根据一般借款加权平均利率计算确定。</w:t>
      </w:r>
    </w:p>
    <w:p>
      <w:pPr>
        <w:pStyle w:val="BodyText"/>
        <w:spacing w:line="240" w:lineRule="auto" w:before="57"/>
        <w:ind w:right="0"/>
        <w:jc w:val="left"/>
      </w:pPr>
      <w:r>
        <w:rPr/>
        <w:t>借款存在折价或者溢价的，按照实际利率法确定每一会计期间应摊销的折价或者溢价金额，调整每期利息金额。</w:t>
      </w:r>
    </w:p>
    <w:p>
      <w:pPr>
        <w:spacing w:line="240" w:lineRule="auto" w:before="5"/>
        <w:rPr>
          <w:rFonts w:ascii="宋体" w:hAnsi="宋体" w:cs="宋体" w:eastAsia="宋体" w:hint="default"/>
          <w:sz w:val="17"/>
          <w:szCs w:val="17"/>
        </w:rPr>
      </w:pPr>
    </w:p>
    <w:p>
      <w:pPr>
        <w:pStyle w:val="Heading3"/>
        <w:spacing w:line="240" w:lineRule="auto" w:before="0"/>
        <w:ind w:right="0"/>
        <w:jc w:val="left"/>
        <w:rPr>
          <w:b w:val="0"/>
          <w:bCs w:val="0"/>
        </w:rPr>
      </w:pPr>
      <w:bookmarkStart w:name="18、无形资产" w:id="216"/>
      <w:bookmarkEnd w:id="216"/>
      <w:r>
        <w:rPr>
          <w:b w:val="0"/>
          <w:bCs w:val="0"/>
        </w:rPr>
      </w:r>
      <w:r>
        <w:rPr>
          <w:rFonts w:ascii="Times New Roman" w:hAnsi="Times New Roman" w:cs="Times New Roman" w:eastAsia="Times New Roman" w:hint="default"/>
        </w:rPr>
        <w:t>18</w:t>
      </w:r>
      <w:r>
        <w:rPr/>
        <w:t>、无形资产</w:t>
      </w:r>
      <w:r>
        <w:rPr>
          <w:b w:val="0"/>
          <w:bCs w:val="0"/>
        </w:rPr>
      </w:r>
    </w:p>
    <w:p>
      <w:pPr>
        <w:pStyle w:val="BodyText"/>
        <w:spacing w:line="364" w:lineRule="auto" w:before="189"/>
        <w:ind w:right="1117" w:firstLine="62"/>
        <w:jc w:val="left"/>
      </w:pPr>
      <w:bookmarkStart w:name="（1）计价方法、使用寿命、减值测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t>无形资产包括土地使用权、专利权及非专利技术等。无形资产以实际成本计量。 </w:t>
      </w:r>
      <w:r>
        <w:rPr>
          <w:spacing w:val="-2"/>
        </w:rPr>
        <w:t>土地使用权按使用年限平均摊销。外购土地及建筑物的价款难以在土地使用权与建筑物之间合理分配的，全部作为固定</w:t>
      </w:r>
    </w:p>
    <w:p>
      <w:pPr>
        <w:pStyle w:val="BodyText"/>
        <w:spacing w:line="220" w:lineRule="exact" w:before="0"/>
        <w:ind w:left="174" w:right="0"/>
        <w:jc w:val="left"/>
      </w:pPr>
      <w:r>
        <w:rPr/>
        <w:t>资产。专利权按法律规定的有效年限平均摊销。</w:t>
      </w:r>
    </w:p>
    <w:p>
      <w:pPr>
        <w:pStyle w:val="BodyText"/>
        <w:spacing w:line="240" w:lineRule="auto" w:before="116"/>
        <w:ind w:right="0"/>
        <w:jc w:val="left"/>
      </w:pPr>
      <w:r>
        <w:rPr/>
        <w:t>对使用寿命有限的无形资产的预计使用寿命及摊销方法于每年年度终了进行复核并作适当调整。</w:t>
      </w:r>
    </w:p>
    <w:p>
      <w:pPr>
        <w:spacing w:line="240" w:lineRule="auto" w:before="4"/>
        <w:rPr>
          <w:rFonts w:ascii="宋体" w:hAnsi="宋体" w:cs="宋体" w:eastAsia="宋体" w:hint="default"/>
          <w:sz w:val="17"/>
          <w:szCs w:val="17"/>
        </w:rPr>
      </w:pPr>
    </w:p>
    <w:p>
      <w:pPr>
        <w:pStyle w:val="Heading3"/>
        <w:spacing w:line="240" w:lineRule="auto" w:before="0"/>
        <w:ind w:right="0"/>
        <w:jc w:val="left"/>
        <w:rPr>
          <w:b w:val="0"/>
          <w:bCs w:val="0"/>
        </w:rPr>
      </w:pPr>
      <w:bookmarkStart w:name="（2）内部研究开发支出会计政策" w:id="218"/>
      <w:bookmarkEnd w:id="21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319" w:lineRule="auto" w:before="158"/>
        <w:ind w:left="174" w:right="1117" w:firstLine="360"/>
        <w:jc w:val="left"/>
      </w:pPr>
      <w:r>
        <w:rPr>
          <w:spacing w:val="-2"/>
        </w:rPr>
        <w:t>根据内部研究开发项目支出的性质以及研发活动最终形成无形资产是否具有较大不确定性，分为研究阶段支出和开发阶</w:t>
      </w:r>
      <w:r>
        <w:rPr/>
        <w:t> 段支出。</w:t>
      </w:r>
    </w:p>
    <w:p>
      <w:pPr>
        <w:pStyle w:val="BodyText"/>
        <w:spacing w:line="348" w:lineRule="auto" w:before="56"/>
        <w:ind w:right="2292"/>
        <w:jc w:val="left"/>
      </w:pPr>
      <w:r>
        <w:rPr/>
        <w:t>研究阶段的支出，于发生时计入当期损益；开发阶段的支出，同时满足下列条件的，确认为无形资产：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管理层具有完成该无形资产并使用或出售的意图；</w:t>
      </w:r>
    </w:p>
    <w:p>
      <w:pPr>
        <w:pStyle w:val="BodyText"/>
        <w:spacing w:line="338" w:lineRule="auto" w:before="12"/>
        <w:ind w:right="0"/>
        <w:jc w:val="left"/>
      </w:pPr>
      <w:r>
        <w:rPr>
          <w:rFonts w:ascii="Times New Roman" w:hAnsi="Times New Roman" w:cs="Times New Roman" w:eastAsia="Times New Roman" w:hint="default"/>
        </w:rPr>
        <w:t>c.</w:t>
      </w:r>
      <w:r>
        <w:rPr/>
        <w:t>能够证明该无形资产将如何产生经济利益； </w:t>
      </w: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360" w:lineRule="auto" w:before="4"/>
        <w:ind w:right="1932" w:hanging="360"/>
        <w:jc w:val="left"/>
      </w:pPr>
      <w:r>
        <w:rPr/>
        <w:t>资本化的开发阶段的支出在资产负债表上列示为开发支出，自该项目达到预定可使用状态之日起转为无形资产。 当开发支出的可收回金额低于其账面价值时，账面价值减记至可收回金额。</w:t>
      </w:r>
    </w:p>
    <w:p>
      <w:pPr>
        <w:pStyle w:val="Heading3"/>
        <w:spacing w:line="240" w:lineRule="auto" w:before="136"/>
        <w:ind w:right="0"/>
        <w:jc w:val="left"/>
        <w:rPr>
          <w:b w:val="0"/>
          <w:bCs w:val="0"/>
        </w:rPr>
      </w:pPr>
      <w:bookmarkStart w:name="19、长期资产减值" w:id="219"/>
      <w:bookmarkEnd w:id="219"/>
      <w:r>
        <w:rPr>
          <w:b w:val="0"/>
          <w:bCs w:val="0"/>
        </w:rPr>
      </w:r>
      <w:r>
        <w:rPr>
          <w:rFonts w:ascii="Times New Roman" w:hAnsi="Times New Roman" w:cs="Times New Roman" w:eastAsia="Times New Roman" w:hint="default"/>
        </w:rPr>
        <w:t>19</w:t>
      </w:r>
      <w:r>
        <w:rPr/>
        <w:t>、长期资产减值</w:t>
      </w:r>
      <w:r>
        <w:rPr>
          <w:b w:val="0"/>
          <w:bCs w:val="0"/>
        </w:rPr>
      </w:r>
    </w:p>
    <w:p>
      <w:pPr>
        <w:pStyle w:val="BodyText"/>
        <w:spacing w:line="319" w:lineRule="auto" w:before="158"/>
        <w:ind w:left="174" w:right="1132" w:firstLine="360"/>
        <w:jc w:val="both"/>
      </w:pPr>
      <w:r>
        <w:rPr>
          <w:spacing w:val="-2"/>
        </w:rPr>
        <w:t>在财务报表中单独列示的商誉和使用寿命不确定的无形资产，无论是否存在减值迹象，至少每年进行减值测试。固定资</w:t>
      </w:r>
      <w:r>
        <w:rPr/>
        <w:t> </w:t>
      </w:r>
      <w:r>
        <w:rPr>
          <w:spacing w:val="-2"/>
        </w:rPr>
        <w:t>产、无形资产、以成本模式计量的投资性房地产及长期股权投资等，于资产负债表日存在减值迹象的，进行减值测试。减值</w:t>
      </w:r>
      <w:r>
        <w:rPr>
          <w:spacing w:val="-66"/>
        </w:rPr>
        <w:t> </w:t>
      </w:r>
      <w:r>
        <w:rPr>
          <w:spacing w:val="-66"/>
        </w:rPr>
      </w:r>
      <w:r>
        <w:rPr>
          <w:spacing w:val="-2"/>
        </w:rPr>
        <w:t>测试结果表明资产的可收回金额低于其账面价值的，按其差额计提减值准备并计入减值损失。可收回金额为资产的公允价值</w:t>
      </w:r>
      <w:r>
        <w:rPr>
          <w:spacing w:val="-64"/>
        </w:rPr>
        <w:t> </w:t>
      </w:r>
      <w:r>
        <w:rPr>
          <w:spacing w:val="-64"/>
        </w:rPr>
      </w:r>
      <w:r>
        <w:rPr>
          <w:spacing w:val="-2"/>
        </w:rPr>
        <w:t>减去处置费用后的净额与资产预计未来现金流量的现值两者之间的较高者。资产减值准备按单项资产为基础计算并确认，如</w:t>
      </w:r>
      <w:r>
        <w:rPr>
          <w:spacing w:val="-64"/>
        </w:rPr>
        <w:t> </w:t>
      </w:r>
      <w:r>
        <w:rPr>
          <w:spacing w:val="-64"/>
        </w:rPr>
      </w:r>
      <w:r>
        <w:rPr>
          <w:spacing w:val="-2"/>
        </w:rPr>
        <w:t>果难以对单项资产的可收回金额进行估计的，以该资产所属的资产组确定资产组的可收回金额。资产组是能够独立产生现金</w:t>
      </w:r>
      <w:r>
        <w:rPr>
          <w:spacing w:val="-64"/>
        </w:rPr>
        <w:t> </w:t>
      </w:r>
      <w:r>
        <w:rPr>
          <w:spacing w:val="-64"/>
        </w:rPr>
      </w:r>
      <w:r>
        <w:rPr/>
        <w:t>流入的最小资产组合。前述资产减值损失一经确认，如果在以后期间价值得以恢复，也不予转回。</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20、长期待摊费用" w:id="220"/>
      <w:bookmarkEnd w:id="220"/>
      <w:r>
        <w:rPr>
          <w:b w:val="0"/>
          <w:bCs w:val="0"/>
        </w:rPr>
      </w:r>
      <w:r>
        <w:rPr>
          <w:rFonts w:ascii="Times New Roman" w:hAnsi="Times New Roman" w:cs="Times New Roman" w:eastAsia="Times New Roman" w:hint="default"/>
        </w:rPr>
        <w:t>20</w:t>
      </w:r>
      <w:r>
        <w:rPr/>
        <w:t>、长期待摊费用</w:t>
      </w:r>
      <w:r>
        <w:rPr>
          <w:b w:val="0"/>
          <w:bCs w:val="0"/>
        </w:rPr>
      </w:r>
    </w:p>
    <w:p>
      <w:pPr>
        <w:pStyle w:val="BodyText"/>
        <w:spacing w:line="319" w:lineRule="auto" w:before="158"/>
        <w:ind w:left="174" w:right="1212" w:firstLine="360"/>
        <w:jc w:val="left"/>
      </w:pPr>
      <w:r>
        <w:rPr/>
        <w:t>长期待摊费用包括经营租入固定资产改良及其他已经发生但应由本期和以后各期负担的分摊期限在一年以上的各项费 用，按预计受益期间分期平均摊销，并以实际支出减去累计摊销后的净额列示。</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21、职工薪酬" w:id="221"/>
      <w:bookmarkEnd w:id="221"/>
      <w:r>
        <w:rPr>
          <w:b w:val="0"/>
          <w:bCs w:val="0"/>
        </w:rPr>
      </w:r>
      <w:r>
        <w:rPr>
          <w:rFonts w:ascii="Times New Roman" w:hAnsi="Times New Roman" w:cs="Times New Roman" w:eastAsia="Times New Roman" w:hint="default"/>
        </w:rPr>
        <w:t>21</w:t>
      </w:r>
      <w:r>
        <w:rPr/>
        <w:t>、职工薪酬</w:t>
      </w:r>
      <w:r>
        <w:rPr>
          <w:b w:val="0"/>
          <w:bCs w:val="0"/>
        </w:rPr>
      </w:r>
    </w:p>
    <w:p>
      <w:pPr>
        <w:pStyle w:val="Heading3"/>
        <w:spacing w:line="240" w:lineRule="auto" w:before="191"/>
        <w:ind w:right="0"/>
        <w:jc w:val="left"/>
        <w:rPr>
          <w:b w:val="0"/>
          <w:bCs w:val="0"/>
        </w:rPr>
      </w:pPr>
      <w:bookmarkStart w:name="（1）短期薪酬的会计处理方法" w:id="222"/>
      <w:bookmarkEnd w:id="22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316" w:lineRule="auto" w:before="157"/>
        <w:ind w:left="174" w:right="1032" w:firstLine="360"/>
        <w:jc w:val="left"/>
      </w:pPr>
      <w:r>
        <w:rPr>
          <w:spacing w:val="-2"/>
        </w:rPr>
        <w:t>在职工为公司提供服务的会计期间，将实际发生的短期薪酬确认为负债，并计入当期损益或相关资产成本。发生的职工</w:t>
      </w:r>
      <w:r>
        <w:rPr/>
        <w:t> 福利费，在实际发生时根据实际发生额计入当期损益或相关资产成本。职工福利费为非货币性福利的，按照公允价值计量。</w:t>
      </w:r>
    </w:p>
    <w:p>
      <w:pPr>
        <w:spacing w:after="0" w:line="316" w:lineRule="auto"/>
        <w:jc w:val="left"/>
        <w:sectPr>
          <w:pgSz w:w="11910" w:h="16840"/>
          <w:pgMar w:header="551" w:footer="979" w:top="1120" w:bottom="1160" w:left="960" w:right="0"/>
        </w:sectPr>
      </w:pPr>
    </w:p>
    <w:p>
      <w:pPr>
        <w:spacing w:line="240" w:lineRule="auto" w:before="5"/>
        <w:rPr>
          <w:rFonts w:ascii="宋体" w:hAnsi="宋体" w:cs="宋体" w:eastAsia="宋体" w:hint="default"/>
          <w:sz w:val="21"/>
          <w:szCs w:val="21"/>
        </w:rPr>
      </w:pPr>
    </w:p>
    <w:p>
      <w:pPr>
        <w:pStyle w:val="BodyText"/>
        <w:spacing w:line="319" w:lineRule="auto"/>
        <w:ind w:left="174" w:right="1032"/>
        <w:jc w:val="left"/>
      </w:pPr>
      <w:r>
        <w:rPr>
          <w:spacing w:val="-2"/>
        </w:rPr>
        <w:t>为职工缴纳的医疗保险费、工伤保险费、生育保险费等社会保险费和住房公积金，以及按规定提取的工会经费和职工教育经</w:t>
      </w:r>
      <w:r>
        <w:rPr>
          <w:spacing w:val="-66"/>
        </w:rPr>
        <w:t> </w:t>
      </w:r>
      <w:r>
        <w:rPr>
          <w:spacing w:val="-66"/>
        </w:rPr>
      </w:r>
      <w:r>
        <w:rPr/>
        <w:t>费，在职工为公司提供服务的会计期间，根据规定的计提基础和计提比例计算确定相应的职工薪酬金额，并确认相应负债， 计入当期损益或相关资产成本。</w:t>
      </w:r>
    </w:p>
    <w:p>
      <w:pPr>
        <w:pStyle w:val="BodyText"/>
        <w:spacing w:line="319" w:lineRule="auto" w:before="55"/>
        <w:ind w:left="174" w:right="1132" w:firstLine="360"/>
        <w:jc w:val="both"/>
      </w:pPr>
      <w:r>
        <w:rPr>
          <w:spacing w:val="-2"/>
        </w:rPr>
        <w:t>在职工提供服务从而增加了其未来享有的带薪缺勤权利时，确认与累积带薪缺勤相关的职工薪酬，并以累积未行使权利</w:t>
      </w:r>
      <w:r>
        <w:rPr/>
        <w:t> 而增加的预期支付金额计量。在职工实际发生缺勤的会计期间确认与非累积带薪缺勤相关的职工薪酬。</w:t>
      </w:r>
    </w:p>
    <w:p>
      <w:pPr>
        <w:pStyle w:val="BodyText"/>
        <w:spacing w:line="348" w:lineRule="auto" w:before="58"/>
        <w:ind w:right="4992"/>
        <w:jc w:val="left"/>
      </w:pPr>
      <w:r>
        <w:rPr/>
        <w:t>利润分享计划同时满足下列条件时，公司确认相关的应付职工薪酬： </w:t>
      </w:r>
      <w:r>
        <w:rPr>
          <w:rFonts w:ascii="Times New Roman" w:hAnsi="Times New Roman" w:cs="Times New Roman" w:eastAsia="Times New Roman" w:hint="default"/>
        </w:rPr>
        <w:t>a.</w:t>
      </w:r>
      <w:r>
        <w:rPr/>
        <w:t>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pStyle w:val="Heading3"/>
        <w:spacing w:line="240" w:lineRule="auto" w:before="124"/>
        <w:ind w:right="0"/>
        <w:jc w:val="left"/>
        <w:rPr>
          <w:b w:val="0"/>
          <w:bCs w:val="0"/>
        </w:rPr>
      </w:pPr>
      <w:bookmarkStart w:name="（2）离职后福利的会计处理方法" w:id="223"/>
      <w:bookmarkEnd w:id="22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338" w:lineRule="auto" w:before="158"/>
        <w:ind w:right="0"/>
        <w:jc w:val="left"/>
      </w:pPr>
      <w:r>
        <w:rPr>
          <w:rFonts w:ascii="Times New Roman" w:hAnsi="Times New Roman" w:cs="Times New Roman" w:eastAsia="Times New Roman" w:hint="default"/>
        </w:rPr>
        <w:t>1</w:t>
      </w:r>
      <w:r>
        <w:rPr/>
        <w:t>）设定提存计划 </w:t>
      </w:r>
      <w:r>
        <w:rPr>
          <w:spacing w:val="-2"/>
        </w:rPr>
        <w:t>公司在职工为其提供服务的会计期间，将根据设定提存计划计算的应缴存金额确认为负债，并计入当期损益或相关资产</w:t>
      </w:r>
    </w:p>
    <w:p>
      <w:pPr>
        <w:pStyle w:val="BodyText"/>
        <w:spacing w:line="319" w:lineRule="auto" w:before="2"/>
        <w:ind w:left="174" w:right="0"/>
        <w:jc w:val="left"/>
      </w:pPr>
      <w:r>
        <w:rPr>
          <w:spacing w:val="-2"/>
        </w:rPr>
        <w:t>成本。根据设定提存计划，预期不会在职工提供相关服务的年度报告期结束后十二个月内支付全部应缴存金额的，公司将全</w:t>
      </w:r>
      <w:r>
        <w:rPr>
          <w:spacing w:val="-66"/>
        </w:rPr>
        <w:t> </w:t>
      </w:r>
      <w:r>
        <w:rPr>
          <w:spacing w:val="-66"/>
        </w:rPr>
      </w:r>
      <w:r>
        <w:rPr/>
        <w:t>部应缴存金额以折现后的金额计量应付职工薪酬。</w:t>
      </w:r>
    </w:p>
    <w:p>
      <w:pPr>
        <w:pStyle w:val="BodyText"/>
        <w:spacing w:line="338" w:lineRule="auto" w:before="56"/>
        <w:ind w:right="6252"/>
        <w:jc w:val="left"/>
      </w:pPr>
      <w:r>
        <w:rPr>
          <w:rFonts w:ascii="Times New Roman" w:hAnsi="Times New Roman" w:cs="Times New Roman" w:eastAsia="Times New Roman" w:hint="default"/>
        </w:rPr>
        <w:t>2</w:t>
      </w:r>
      <w:r>
        <w:rPr/>
        <w:t>）设定受益计划 公司对设定受益计划的会计处理包括下列四个步骤：</w:t>
      </w:r>
    </w:p>
    <w:p>
      <w:pPr>
        <w:pStyle w:val="BodyText"/>
        <w:spacing w:line="309" w:lineRule="auto" w:before="42"/>
        <w:ind w:left="174" w:right="1131" w:firstLine="360"/>
        <w:jc w:val="both"/>
      </w:pPr>
      <w:r>
        <w:rPr>
          <w:rFonts w:ascii="Times New Roman" w:hAnsi="Times New Roman" w:cs="Times New Roman" w:eastAsia="Times New Roman" w:hint="default"/>
          <w:spacing w:val="-1"/>
        </w:rPr>
        <w:t>a.</w:t>
      </w:r>
      <w:r>
        <w:rPr>
          <w:spacing w:val="-1"/>
        </w:rPr>
        <w:t>根据预期累计福利单位法，采用无偏且相互一致的精算假设对有关人口统计变量和财务变量等做出估计，计量设定受</w:t>
      </w:r>
      <w:r>
        <w:rPr/>
        <w:t> </w:t>
      </w:r>
      <w:r>
        <w:rPr>
          <w:spacing w:val="-2"/>
        </w:rPr>
        <w:t>益计划所产生的义务，并确定相关义务的归属期间。公司将设定受益计划所产生的义务予以折现，以确定设定受益计划义务</w:t>
      </w:r>
      <w:r>
        <w:rPr>
          <w:spacing w:val="-66"/>
        </w:rPr>
        <w:t> </w:t>
      </w:r>
      <w:r>
        <w:rPr>
          <w:spacing w:val="-66"/>
        </w:rPr>
      </w:r>
      <w:r>
        <w:rPr/>
        <w:t>的现值和当期服务成本。</w:t>
      </w:r>
    </w:p>
    <w:p>
      <w:pPr>
        <w:pStyle w:val="BodyText"/>
        <w:spacing w:line="309" w:lineRule="auto" w:before="62"/>
        <w:ind w:left="174" w:right="1132" w:firstLine="360"/>
        <w:jc w:val="both"/>
      </w:pPr>
      <w:r>
        <w:rPr>
          <w:rFonts w:ascii="Times New Roman" w:hAnsi="Times New Roman" w:cs="Times New Roman" w:eastAsia="Times New Roman" w:hint="default"/>
          <w:spacing w:val="-1"/>
        </w:rPr>
        <w:t>b.</w:t>
      </w:r>
      <w:r>
        <w:rPr>
          <w:spacing w:val="-1"/>
        </w:rPr>
        <w:t>设定受益计划存在资产的，公司将设定受益计划义务现值减去设定受益计划资产公允价值所形成的赤字或盈余确认为</w:t>
      </w:r>
      <w:r>
        <w:rPr/>
        <w:t> </w:t>
      </w:r>
      <w:r>
        <w:rPr>
          <w:spacing w:val="-2"/>
        </w:rPr>
        <w:t>一项设定受益计划净负债或净资产。设定受益计划存在盈余的，公司以设定受益计划的盈余和资产上限两项的孰低者计量设</w:t>
      </w:r>
      <w:r>
        <w:rPr>
          <w:spacing w:val="-64"/>
        </w:rPr>
        <w:t> </w:t>
      </w:r>
      <w:r>
        <w:rPr>
          <w:spacing w:val="-64"/>
        </w:rPr>
      </w:r>
      <w:r>
        <w:rPr/>
        <w:t>定受益计划净资产。</w:t>
      </w:r>
    </w:p>
    <w:p>
      <w:pPr>
        <w:pStyle w:val="BodyText"/>
        <w:spacing w:line="340" w:lineRule="auto" w:before="64"/>
        <w:ind w:right="7377"/>
        <w:jc w:val="left"/>
      </w:pPr>
      <w:r>
        <w:rPr>
          <w:rFonts w:ascii="Times New Roman" w:hAnsi="Times New Roman" w:cs="Times New Roman" w:eastAsia="Times New Roman" w:hint="default"/>
        </w:rPr>
        <w:t>c.</w:t>
      </w:r>
      <w:r>
        <w:rPr/>
        <w:t>确定应当计入当期损益的金额。 </w:t>
      </w:r>
      <w:r>
        <w:rPr>
          <w:rFonts w:ascii="Times New Roman" w:hAnsi="Times New Roman" w:cs="Times New Roman" w:eastAsia="Times New Roman" w:hint="default"/>
        </w:rPr>
        <w:t>d.</w:t>
      </w:r>
      <w:r>
        <w:rPr/>
        <w:t>确定应当计入其他综合收益的金额。</w:t>
      </w:r>
    </w:p>
    <w:p>
      <w:pPr>
        <w:pStyle w:val="BodyText"/>
        <w:spacing w:line="319" w:lineRule="auto" w:before="17"/>
        <w:ind w:left="174" w:right="0" w:firstLine="360"/>
        <w:jc w:val="left"/>
      </w:pPr>
      <w:r>
        <w:rPr>
          <w:spacing w:val="-2"/>
        </w:rPr>
        <w:t>公司根据预期累计福利单位法确定的公式将设定受益计划产生的福利义务归属于职工提供服务的期间，并计入当期损益</w:t>
      </w:r>
      <w:r>
        <w:rPr/>
        <w:t> </w:t>
      </w:r>
      <w:r>
        <w:rPr>
          <w:spacing w:val="-2"/>
        </w:rPr>
        <w:t>或相关资产成本。当职工后续年度的服务将导致其享有的设定受益计划福利水平显著高于以前年度时，按照直线法将累计设</w:t>
      </w:r>
      <w:r>
        <w:rPr>
          <w:spacing w:val="-64"/>
        </w:rPr>
        <w:t> </w:t>
      </w:r>
      <w:r>
        <w:rPr>
          <w:spacing w:val="-64"/>
        </w:rPr>
      </w:r>
      <w:r>
        <w:rPr/>
        <w:t>定受益计划义务分摊确认于职工提供服务而导致企业第一次产生设定受益计划福利义务至职工提供服务不再导致该福利义 务显著增加的期间。</w:t>
      </w:r>
    </w:p>
    <w:p>
      <w:pPr>
        <w:pStyle w:val="BodyText"/>
        <w:spacing w:line="319" w:lineRule="auto" w:before="55"/>
        <w:ind w:left="174" w:right="1131" w:firstLine="360"/>
        <w:jc w:val="both"/>
      </w:pPr>
      <w:r>
        <w:rPr>
          <w:spacing w:val="-2"/>
        </w:rPr>
        <w:t>报告期末，公司将设定受益计划产生的职工薪酬成本确认为：服务成本、设定受益计划净负债或净资产的利息净额，以</w:t>
      </w:r>
      <w:r>
        <w:rPr/>
        <w:t> 及重新计量设定受益计划净负债或净资产所产生的变动。</w:t>
      </w:r>
    </w:p>
    <w:p>
      <w:pPr>
        <w:pStyle w:val="BodyText"/>
        <w:spacing w:line="240" w:lineRule="auto" w:before="58"/>
        <w:ind w:right="0"/>
        <w:jc w:val="left"/>
      </w:pPr>
      <w:r>
        <w:rPr/>
        <w:t>在设定受益计划下，公司在下列日期孰早日将过去服务成本确认为当期费用：</w:t>
      </w:r>
    </w:p>
    <w:p>
      <w:pPr>
        <w:pStyle w:val="BodyText"/>
        <w:spacing w:line="338" w:lineRule="auto" w:before="116"/>
        <w:ind w:right="5892"/>
        <w:jc w:val="left"/>
      </w:pPr>
      <w:r>
        <w:rPr>
          <w:rFonts w:ascii="Times New Roman" w:hAnsi="Times New Roman" w:cs="Times New Roman" w:eastAsia="Times New Roman" w:hint="default"/>
        </w:rPr>
        <w:t>a.</w:t>
      </w:r>
      <w:r>
        <w:rPr/>
        <w:t>修改设定受益计划时。 </w:t>
      </w:r>
      <w:r>
        <w:rPr>
          <w:rFonts w:ascii="Times New Roman" w:hAnsi="Times New Roman" w:cs="Times New Roman" w:eastAsia="Times New Roman" w:hint="default"/>
        </w:rPr>
        <w:t>b.</w:t>
      </w:r>
      <w:r>
        <w:rPr/>
        <w:t>企业确认相关重组费用或辞退福利时。 公司在设定受益计划结算时，确认一项结算利得或损失。</w:t>
      </w:r>
    </w:p>
    <w:p>
      <w:pPr>
        <w:pStyle w:val="BodyText"/>
        <w:spacing w:line="352" w:lineRule="auto" w:before="152"/>
        <w:ind w:right="2292" w:firstLine="62"/>
        <w:jc w:val="left"/>
      </w:pPr>
      <w:bookmarkStart w:name="（3）辞退福利的会计处理方法"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t>公司向职工提供辞退福利的，在下列两者孰早日确认辞退福利产生的职工薪酬负债，并计入当期损益： </w:t>
      </w:r>
      <w:r>
        <w:rPr>
          <w:rFonts w:ascii="Times New Roman" w:hAnsi="Times New Roman" w:cs="Times New Roman" w:eastAsia="Times New Roman" w:hint="default"/>
        </w:rPr>
        <w:t>a.</w:t>
      </w:r>
      <w:r>
        <w:rPr/>
        <w:t>公司不能单方面撤回因解除劳动关系计划或裁减建议所提供的辞退福利时。 </w:t>
      </w:r>
      <w:r>
        <w:rPr>
          <w:rFonts w:ascii="Times New Roman" w:hAnsi="Times New Roman" w:cs="Times New Roman" w:eastAsia="Times New Roman" w:hint="default"/>
        </w:rPr>
        <w:t>b.</w:t>
      </w:r>
      <w:r>
        <w:rPr/>
        <w:t>公司确认与涉及支付辞退福利的重组相关的成本或费用时。 公司按照辞退计划条款的规定，合理预计并确认辞退福利产生的应付职工薪酬。</w:t>
      </w:r>
    </w:p>
    <w:p>
      <w:pPr>
        <w:spacing w:after="0" w:line="352" w:lineRule="auto"/>
        <w:jc w:val="left"/>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BodyText"/>
        <w:spacing w:line="364" w:lineRule="auto" w:before="35"/>
        <w:ind w:right="1032" w:firstLine="62"/>
        <w:jc w:val="left"/>
      </w:pPr>
      <w:bookmarkStart w:name="（4）其他长期职工福利的会计处理方法"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w:t>
      </w:r>
    </w:p>
    <w:p>
      <w:pPr>
        <w:pStyle w:val="BodyText"/>
        <w:spacing w:line="220" w:lineRule="exact" w:before="0"/>
        <w:ind w:left="174" w:right="0"/>
        <w:jc w:val="both"/>
      </w:pPr>
      <w:r>
        <w:rPr/>
        <w:t>将其他长期职工福利产生的职工薪酬成本确认为下列组成部分：</w:t>
      </w:r>
    </w:p>
    <w:p>
      <w:pPr>
        <w:pStyle w:val="BodyText"/>
        <w:spacing w:line="338" w:lineRule="auto" w:before="117"/>
        <w:ind w:right="5587"/>
        <w:jc w:val="left"/>
      </w:pPr>
      <w:r>
        <w:rPr>
          <w:rFonts w:ascii="Times New Roman" w:hAnsi="Times New Roman" w:cs="Times New Roman" w:eastAsia="Times New Roman" w:hint="default"/>
        </w:rPr>
        <w:t>a.</w:t>
      </w:r>
      <w:r>
        <w:rPr/>
        <w:t>服务成本。 </w:t>
      </w: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w:t>
      </w:r>
    </w:p>
    <w:p>
      <w:pPr>
        <w:pStyle w:val="BodyText"/>
        <w:spacing w:line="357" w:lineRule="auto" w:before="22"/>
        <w:ind w:right="0"/>
        <w:jc w:val="left"/>
      </w:pPr>
      <w:r>
        <w:rPr/>
        <w:t>为简化相关会计处理，上述项目的总净额应计入当期损益或相关资产成本。 </w:t>
      </w:r>
      <w:r>
        <w:rPr>
          <w:spacing w:val="-2"/>
        </w:rPr>
        <w:t>长期残疾福利水平取决于职工提供服务期间长短的，公司在职工提供服务的期间确认应付长期残疾福利义务；长期残疾</w:t>
      </w:r>
    </w:p>
    <w:p>
      <w:pPr>
        <w:pStyle w:val="BodyText"/>
        <w:spacing w:line="225" w:lineRule="exact" w:before="0"/>
        <w:ind w:left="174" w:right="0"/>
        <w:jc w:val="both"/>
      </w:pPr>
      <w:r>
        <w:rPr/>
        <w:t>福利与职工提供服务期间长短无关的，公司在导致职工长期残疾的事件发生的当期确认应付长期残疾福利义务。</w:t>
      </w:r>
    </w:p>
    <w:p>
      <w:pPr>
        <w:spacing w:line="240" w:lineRule="auto" w:before="4"/>
        <w:rPr>
          <w:rFonts w:ascii="宋体" w:hAnsi="宋体" w:cs="宋体" w:eastAsia="宋体" w:hint="default"/>
          <w:sz w:val="17"/>
          <w:szCs w:val="17"/>
        </w:rPr>
      </w:pPr>
    </w:p>
    <w:p>
      <w:pPr>
        <w:pStyle w:val="Heading3"/>
        <w:spacing w:line="240" w:lineRule="auto" w:before="0"/>
        <w:ind w:right="0"/>
        <w:jc w:val="left"/>
        <w:rPr>
          <w:b w:val="0"/>
          <w:bCs w:val="0"/>
        </w:rPr>
      </w:pPr>
      <w:bookmarkStart w:name="22、预计负债" w:id="226"/>
      <w:bookmarkEnd w:id="226"/>
      <w:r>
        <w:rPr>
          <w:b w:val="0"/>
          <w:bCs w:val="0"/>
        </w:rPr>
      </w:r>
      <w:r>
        <w:rPr>
          <w:rFonts w:ascii="Times New Roman" w:hAnsi="Times New Roman" w:cs="Times New Roman" w:eastAsia="Times New Roman" w:hint="default"/>
        </w:rPr>
        <w:t>22</w:t>
      </w:r>
      <w:r>
        <w:rPr/>
        <w:t>、预计负债</w:t>
      </w:r>
      <w:r>
        <w:rPr>
          <w:b w:val="0"/>
          <w:bCs w:val="0"/>
        </w:rPr>
      </w:r>
    </w:p>
    <w:p>
      <w:pPr>
        <w:pStyle w:val="BodyText"/>
        <w:spacing w:line="319" w:lineRule="auto" w:before="158"/>
        <w:ind w:left="174" w:right="0" w:firstLine="360"/>
        <w:jc w:val="left"/>
      </w:pPr>
      <w:r>
        <w:rPr>
          <w:spacing w:val="-4"/>
        </w:rPr>
        <w:t>对因产品质量保证、亏损合同等形成的现时义务，其履行很可能导致经济利益的流出，在该义务的金额能够可靠计量时，</w:t>
      </w:r>
      <w:r>
        <w:rPr/>
        <w:t> 确认为预计负债。对于未来经营亏损，不确认预计负债。</w:t>
      </w:r>
    </w:p>
    <w:p>
      <w:pPr>
        <w:pStyle w:val="BodyText"/>
        <w:spacing w:line="319" w:lineRule="auto" w:before="55"/>
        <w:ind w:left="174"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6"/>
        </w:rPr>
        <w:t> </w:t>
      </w:r>
      <w:r>
        <w:rPr>
          <w:spacing w:val="-66"/>
        </w:rPr>
      </w:r>
      <w:r>
        <w:rPr/>
        <w:t>进行的折现还原而导致的预计负债账面价值的增加金额，确认为利息费用。</w:t>
      </w:r>
    </w:p>
    <w:p>
      <w:pPr>
        <w:pStyle w:val="BodyText"/>
        <w:spacing w:line="357" w:lineRule="auto" w:before="58"/>
        <w:ind w:right="0"/>
        <w:jc w:val="left"/>
      </w:pPr>
      <w:r>
        <w:rPr/>
        <w:t>于资产负债表日，对预计负债的账面价值进行复核并作适当调整，以反映当前的最佳估计数。 </w:t>
      </w:r>
      <w:r>
        <w:rPr>
          <w:spacing w:val="-2"/>
        </w:rPr>
        <w:t>收入的金额按照本公司在日常经营活动中销售商品和提供劳务时，已收或应收合同或协议价款的公允价值确定。收入按</w:t>
      </w:r>
    </w:p>
    <w:p>
      <w:pPr>
        <w:pStyle w:val="BodyText"/>
        <w:spacing w:line="357" w:lineRule="auto" w:before="0"/>
        <w:ind w:right="0" w:hanging="360"/>
        <w:jc w:val="left"/>
      </w:pPr>
      <w:r>
        <w:rPr/>
        <w:t>扣除增值税、商业折扣、销售折让及销售退回的净额列示。 </w:t>
      </w:r>
      <w:r>
        <w:rPr>
          <w:spacing w:val="-2"/>
        </w:rPr>
        <w:t>与交易相关的经济利益能够流入本公司，相关的收入能够可靠计量且满足下列各项经营活动的特定收入确认标准时，确</w:t>
      </w:r>
    </w:p>
    <w:p>
      <w:pPr>
        <w:pStyle w:val="BodyText"/>
        <w:spacing w:line="225" w:lineRule="exact" w:before="0"/>
        <w:ind w:left="174" w:right="0"/>
        <w:jc w:val="both"/>
      </w:pPr>
      <w:r>
        <w:rPr/>
        <w:t>认相关的收入。</w:t>
      </w:r>
    </w:p>
    <w:p>
      <w:pPr>
        <w:spacing w:line="240" w:lineRule="auto" w:before="5"/>
        <w:rPr>
          <w:rFonts w:ascii="宋体" w:hAnsi="宋体" w:cs="宋体" w:eastAsia="宋体" w:hint="default"/>
          <w:sz w:val="17"/>
          <w:szCs w:val="17"/>
        </w:rPr>
      </w:pPr>
    </w:p>
    <w:p>
      <w:pPr>
        <w:spacing w:line="367" w:lineRule="auto" w:before="0"/>
        <w:ind w:left="534" w:right="7332" w:firstLine="62"/>
        <w:jc w:val="left"/>
        <w:rPr>
          <w:rFonts w:ascii="宋体" w:hAnsi="宋体" w:cs="宋体" w:eastAsia="宋体" w:hint="default"/>
          <w:sz w:val="18"/>
          <w:szCs w:val="18"/>
        </w:rPr>
      </w:pPr>
      <w:bookmarkStart w:name="23、收入" w:id="227"/>
      <w:bookmarkEnd w:id="227"/>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18"/>
          <w:szCs w:val="18"/>
        </w:rPr>
        <w:t>公司是否需要遵守特殊行业的披露要求 是</w:t>
      </w:r>
    </w:p>
    <w:p>
      <w:pPr>
        <w:pStyle w:val="BodyText"/>
        <w:spacing w:line="240" w:lineRule="auto" w:before="8"/>
        <w:ind w:right="0"/>
        <w:jc w:val="left"/>
      </w:pPr>
      <w:r>
        <w:rPr/>
        <w:t>软件与信息技术服务业</w:t>
      </w:r>
    </w:p>
    <w:p>
      <w:pPr>
        <w:pStyle w:val="BodyText"/>
        <w:spacing w:line="240" w:lineRule="auto" w:before="104"/>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26" w:lineRule="auto" w:before="91"/>
        <w:ind w:right="1117"/>
        <w:jc w:val="left"/>
      </w:pPr>
      <w:r>
        <w:rPr/>
        <w:t>（</w:t>
      </w:r>
      <w:r>
        <w:rPr>
          <w:rFonts w:ascii="Times New Roman" w:hAnsi="Times New Roman" w:cs="Times New Roman" w:eastAsia="Times New Roman" w:hint="default"/>
        </w:rPr>
        <w:t>1</w:t>
      </w:r>
      <w:r>
        <w:rPr/>
        <w:t>）销售商品 </w:t>
      </w:r>
      <w:r>
        <w:rPr>
          <w:spacing w:val="-2"/>
        </w:rPr>
        <w:t>商品销售在商品所有权上的主要风险和报酬已转移给买方，本公司不再对该商品实施继续管理权和实际控制权，与交易</w:t>
      </w:r>
    </w:p>
    <w:p>
      <w:pPr>
        <w:pStyle w:val="BodyText"/>
        <w:spacing w:line="235" w:lineRule="exact" w:before="0"/>
        <w:ind w:left="174" w:right="0"/>
        <w:jc w:val="both"/>
      </w:pPr>
      <w:r>
        <w:rPr/>
        <w:t>相关的经济利益很可能流入企业，并且与销售该商品相关的收入和成本能够可靠地计量时，确认营业收入的实现。</w:t>
      </w:r>
    </w:p>
    <w:p>
      <w:pPr>
        <w:pStyle w:val="BodyText"/>
        <w:spacing w:line="328" w:lineRule="auto" w:before="104"/>
        <w:ind w:right="0"/>
        <w:jc w:val="left"/>
      </w:pPr>
      <w:r>
        <w:rPr/>
        <w:t>（</w:t>
      </w:r>
      <w:r>
        <w:rPr>
          <w:rFonts w:ascii="Times New Roman" w:hAnsi="Times New Roman" w:cs="Times New Roman" w:eastAsia="Times New Roman" w:hint="default"/>
        </w:rPr>
        <w:t>2</w:t>
      </w:r>
      <w:r>
        <w:rPr/>
        <w:t>）提供劳务 </w:t>
      </w:r>
      <w:r>
        <w:rPr>
          <w:spacing w:val="-4"/>
        </w:rPr>
        <w:t>提供的劳务在同一会计年度开始并完成的，在劳务已经提供，收到价款或取得收取价款的证据时，确认营业收入的实现；</w:t>
      </w:r>
    </w:p>
    <w:p>
      <w:pPr>
        <w:pStyle w:val="BodyText"/>
        <w:spacing w:line="304" w:lineRule="auto" w:before="0"/>
        <w:ind w:left="174" w:right="1132"/>
        <w:jc w:val="both"/>
      </w:pPr>
      <w:r>
        <w:rPr>
          <w:spacing w:val="-2"/>
        </w:rPr>
        <w:t>劳务的开始和完成分属不同会计年度的，在劳务合同的总收入、劳务的完成程度能够可靠地确定，与交易相关的价款能够流</w:t>
      </w:r>
      <w:r>
        <w:rPr>
          <w:spacing w:val="-66"/>
        </w:rPr>
        <w:t> </w:t>
      </w:r>
      <w:r>
        <w:rPr>
          <w:spacing w:val="-66"/>
        </w:rPr>
      </w:r>
      <w:r>
        <w:rPr>
          <w:spacing w:val="-2"/>
        </w:rPr>
        <w:t>入，已经发生的成本和为完成劳务将要发生的成本能够可靠地计量时，按完工百分比法确认营业收入的实现；长期合同工程</w:t>
      </w:r>
      <w:r>
        <w:rPr>
          <w:spacing w:val="-66"/>
        </w:rPr>
        <w:t> </w:t>
      </w:r>
      <w:r>
        <w:rPr>
          <w:spacing w:val="-66"/>
        </w:rPr>
      </w:r>
      <w:r>
        <w:rPr/>
        <w:t>在合同结果已经能够合理地预见时，按结账时已完成工程进度的百分比法确认营业收入的实现。</w:t>
      </w:r>
    </w:p>
    <w:p>
      <w:pPr>
        <w:pStyle w:val="BodyText"/>
        <w:spacing w:line="326" w:lineRule="auto" w:before="55"/>
        <w:ind w:right="0"/>
        <w:jc w:val="left"/>
      </w:pPr>
      <w:r>
        <w:rPr/>
        <w:t>（</w:t>
      </w:r>
      <w:r>
        <w:rPr>
          <w:rFonts w:ascii="Times New Roman" w:hAnsi="Times New Roman" w:cs="Times New Roman" w:eastAsia="Times New Roman" w:hint="default"/>
        </w:rPr>
        <w:t>3</w:t>
      </w:r>
      <w:r>
        <w:rPr/>
        <w:t>）让渡资产使用权 </w:t>
      </w:r>
      <w:r>
        <w:rPr>
          <w:spacing w:val="-2"/>
        </w:rPr>
        <w:t>让渡资产使用权取得的利息收入和使用费收入，在与交易相关的经济利益能够流入企业，且收入的金额能够可靠地计量</w:t>
      </w:r>
    </w:p>
    <w:p>
      <w:pPr>
        <w:pStyle w:val="BodyText"/>
        <w:spacing w:line="240" w:lineRule="auto" w:before="0"/>
        <w:ind w:left="174" w:right="0"/>
        <w:jc w:val="both"/>
      </w:pPr>
      <w:r>
        <w:rPr/>
        <w:t>时，确认收入的实现。</w:t>
      </w:r>
    </w:p>
    <w:p>
      <w:pPr>
        <w:pStyle w:val="BodyText"/>
        <w:spacing w:line="240" w:lineRule="auto" w:before="105"/>
        <w:ind w:right="0"/>
        <w:jc w:val="left"/>
      </w:pPr>
      <w:r>
        <w:rPr/>
        <w:t>（</w:t>
      </w:r>
      <w:r>
        <w:rPr>
          <w:rFonts w:ascii="Times New Roman" w:hAnsi="Times New Roman" w:cs="Times New Roman" w:eastAsia="Times New Roman" w:hint="default"/>
        </w:rPr>
        <w:t>4</w:t>
      </w:r>
      <w:r>
        <w:rPr/>
        <w:t>）各收入类别的具体确认原则及方法</w:t>
      </w:r>
    </w:p>
    <w:p>
      <w:pPr>
        <w:pStyle w:val="BodyText"/>
        <w:spacing w:line="326" w:lineRule="auto" w:before="90"/>
        <w:ind w:right="0"/>
        <w:jc w:val="left"/>
      </w:pPr>
      <w:r>
        <w:rPr>
          <w:rFonts w:ascii="Times New Roman" w:hAnsi="Times New Roman" w:cs="Times New Roman" w:eastAsia="Times New Roman" w:hint="default"/>
        </w:rPr>
        <w:t>1</w:t>
      </w:r>
      <w:r>
        <w:rPr/>
        <w:t>）热处理设备收入的确认原则及方法： </w:t>
      </w:r>
      <w:r>
        <w:rPr>
          <w:spacing w:val="-2"/>
        </w:rPr>
        <w:t>热处理设备销售在设备完成终验收，产品所有权上的主要风险和报酬已转移给买方，本公司不再对该设备实施继续管理</w:t>
      </w:r>
    </w:p>
    <w:p>
      <w:pPr>
        <w:spacing w:after="0" w:line="326" w:lineRule="auto"/>
        <w:jc w:val="left"/>
        <w:sectPr>
          <w:pgSz w:w="11910" w:h="16840"/>
          <w:pgMar w:header="551" w:footer="979" w:top="1120" w:bottom="1160" w:left="960" w:right="0"/>
        </w:sectPr>
      </w:pPr>
    </w:p>
    <w:p>
      <w:pPr>
        <w:spacing w:line="240" w:lineRule="auto" w:before="11"/>
        <w:rPr>
          <w:rFonts w:ascii="宋体" w:hAnsi="宋体" w:cs="宋体" w:eastAsia="宋体" w:hint="default"/>
          <w:sz w:val="22"/>
          <w:szCs w:val="22"/>
        </w:rPr>
      </w:pPr>
    </w:p>
    <w:p>
      <w:pPr>
        <w:pStyle w:val="BodyText"/>
        <w:spacing w:line="304" w:lineRule="auto"/>
        <w:ind w:left="174" w:right="0"/>
        <w:jc w:val="left"/>
      </w:pPr>
      <w:r>
        <w:rPr>
          <w:spacing w:val="-2"/>
        </w:rPr>
        <w:t>权和实际控制权，与交易相关的经济利益很可能流入企业，并且与销售该设备相关的收入和成本能够可靠地计量时，确认营</w:t>
      </w:r>
      <w:r>
        <w:rPr>
          <w:spacing w:val="-66"/>
        </w:rPr>
        <w:t> </w:t>
      </w:r>
      <w:r>
        <w:rPr>
          <w:spacing w:val="-66"/>
        </w:rPr>
      </w:r>
      <w:r>
        <w:rPr/>
        <w:t>业收入的实现。</w:t>
      </w:r>
    </w:p>
    <w:p>
      <w:pPr>
        <w:pStyle w:val="BodyText"/>
        <w:spacing w:line="333" w:lineRule="auto" w:before="55"/>
        <w:ind w:right="0"/>
        <w:jc w:val="left"/>
      </w:pPr>
      <w:r>
        <w:rPr>
          <w:rFonts w:ascii="Times New Roman" w:hAnsi="Times New Roman" w:cs="Times New Roman" w:eastAsia="Times New Roman" w:hint="default"/>
        </w:rPr>
        <w:t>2</w:t>
      </w:r>
      <w:r>
        <w:rPr/>
        <w:t>）热处理加工收入的确认原则及方法： 热处理加工收入在加工服务已经提供，收到价款或取得收取价款的证据时，确认营业收入的实现。 </w:t>
      </w:r>
      <w:r>
        <w:rPr>
          <w:rFonts w:ascii="Times New Roman" w:hAnsi="Times New Roman" w:cs="Times New Roman" w:eastAsia="Times New Roman" w:hint="default"/>
        </w:rPr>
        <w:t>3</w:t>
      </w:r>
      <w:r>
        <w:rPr/>
        <w:t>）财税云服务收入的确认原则及方法： </w:t>
      </w:r>
      <w:r>
        <w:rPr>
          <w:spacing w:val="-2"/>
        </w:rPr>
        <w:t>财税云服务业务系公司以自主研发的企业云服务产品为纳税用户提供专业互联网财税服务，包括自营模式、合作销售模</w:t>
      </w:r>
    </w:p>
    <w:p>
      <w:pPr>
        <w:pStyle w:val="BodyText"/>
        <w:spacing w:line="304" w:lineRule="auto" w:before="0"/>
        <w:ind w:left="174" w:right="1131"/>
        <w:jc w:val="both"/>
      </w:pPr>
      <w:r>
        <w:rPr>
          <w:spacing w:val="-2"/>
        </w:rPr>
        <w:t>式和定制化产品。自营模式下，用户通过网络一次性支付相应服务周期的价款后，开始使用该产品，公司与用户根据合同按</w:t>
      </w:r>
      <w:r>
        <w:rPr>
          <w:spacing w:val="-66"/>
        </w:rPr>
        <w:t> </w:t>
      </w:r>
      <w:r>
        <w:rPr>
          <w:spacing w:val="-66"/>
        </w:rPr>
      </w:r>
      <w:r>
        <w:rPr>
          <w:spacing w:val="-2"/>
        </w:rPr>
        <w:t>月或年进行价款结算，本公司按为客户提供的互联网财税服务的所属期分期确认收入；合作销售模式下，公司根据合作机构</w:t>
      </w:r>
      <w:r>
        <w:rPr>
          <w:spacing w:val="-66"/>
        </w:rPr>
        <w:t> </w:t>
      </w:r>
      <w:r>
        <w:rPr>
          <w:spacing w:val="-66"/>
        </w:rPr>
      </w:r>
      <w:r>
        <w:rPr>
          <w:spacing w:val="-2"/>
        </w:rPr>
        <w:t>确定的服务用户数量、服务期限、按照合作协议约定的分成比例进行价款结算，本公司按为客户提供的互联网财税服务的所</w:t>
      </w:r>
      <w:r>
        <w:rPr>
          <w:spacing w:val="-66"/>
        </w:rPr>
        <w:t> </w:t>
      </w:r>
      <w:r>
        <w:rPr>
          <w:spacing w:val="-66"/>
        </w:rPr>
      </w:r>
      <w:r>
        <w:rPr>
          <w:spacing w:val="-2"/>
        </w:rPr>
        <w:t>属期分期确认收入；定制化产品，公司向客户提供定制化的财税云服务软件产品，依据合同约定方式进行价款结算，本公司</w:t>
      </w:r>
      <w:r>
        <w:rPr>
          <w:spacing w:val="-66"/>
        </w:rPr>
        <w:t> </w:t>
      </w:r>
      <w:r>
        <w:rPr>
          <w:spacing w:val="-66"/>
        </w:rPr>
      </w:r>
      <w:r>
        <w:rPr/>
        <w:t>采用完工百分比法确认收入。</w:t>
      </w:r>
    </w:p>
    <w:p>
      <w:pPr>
        <w:pStyle w:val="BodyText"/>
        <w:spacing w:line="326" w:lineRule="auto" w:before="56"/>
        <w:ind w:right="0"/>
        <w:jc w:val="left"/>
      </w:pPr>
      <w:r>
        <w:rPr>
          <w:rFonts w:ascii="Times New Roman" w:hAnsi="Times New Roman" w:cs="Times New Roman" w:eastAsia="Times New Roman" w:hint="default"/>
        </w:rPr>
        <w:t>4</w:t>
      </w:r>
      <w:r>
        <w:rPr/>
        <w:t>）软件开发与销售收入的确认原则及方法： </w:t>
      </w:r>
      <w:r>
        <w:rPr>
          <w:spacing w:val="-2"/>
        </w:rPr>
        <w:t>软件销售业务系向客户销售自主研发的计算机软件。该软件产品为通用型产品，不需要进行个性化开发，通过产品的配</w:t>
      </w:r>
    </w:p>
    <w:p>
      <w:pPr>
        <w:pStyle w:val="BodyText"/>
        <w:spacing w:line="304" w:lineRule="auto" w:before="0"/>
        <w:ind w:left="174" w:right="0"/>
        <w:jc w:val="left"/>
      </w:pPr>
      <w:r>
        <w:rPr>
          <w:spacing w:val="-2"/>
        </w:rPr>
        <w:t>置、使用的培训即能满足客户对产品的应用需求。本公司在软件产品使用权的重要风险和报酬转移，且相关价款已经收到或</w:t>
      </w:r>
      <w:r>
        <w:rPr>
          <w:spacing w:val="-66"/>
        </w:rPr>
        <w:t> </w:t>
      </w:r>
      <w:r>
        <w:rPr>
          <w:spacing w:val="-66"/>
        </w:rPr>
      </w:r>
      <w:r>
        <w:rPr/>
        <w:t>取得了收款凭据时，确认软件销售的收入。</w:t>
      </w:r>
    </w:p>
    <w:p>
      <w:pPr>
        <w:pStyle w:val="BodyText"/>
        <w:spacing w:line="304" w:lineRule="auto" w:before="55"/>
        <w:ind w:left="174" w:right="0" w:firstLine="360"/>
        <w:jc w:val="left"/>
      </w:pPr>
      <w:r>
        <w:rPr>
          <w:spacing w:val="-2"/>
        </w:rPr>
        <w:t>软件开发业务系接受客户的委托，根据客户的需求，对应用软件技术进行研究开发，该软件产品为定制软件，不具有通</w:t>
      </w:r>
      <w:r>
        <w:rPr/>
        <w:t> 用性，本公司采用完工百分比法确认软件开发业务收入。</w:t>
      </w:r>
    </w:p>
    <w:p>
      <w:pPr>
        <w:pStyle w:val="BodyText"/>
        <w:spacing w:line="326" w:lineRule="auto" w:before="56"/>
        <w:ind w:right="1032"/>
        <w:jc w:val="left"/>
      </w:pPr>
      <w:r>
        <w:rPr>
          <w:rFonts w:ascii="Times New Roman" w:hAnsi="Times New Roman" w:cs="Times New Roman" w:eastAsia="Times New Roman" w:hint="default"/>
        </w:rPr>
        <w:t>5</w:t>
      </w:r>
      <w:r>
        <w:rPr/>
        <w:t>）技术服务收入的确认原则及方法 技术服务业务系公司为客户提供专业的技术服务，包括规划咨询、系统运行维护服务等。技术服务一般约定服务期限，</w:t>
      </w:r>
    </w:p>
    <w:p>
      <w:pPr>
        <w:pStyle w:val="BodyText"/>
        <w:spacing w:line="235" w:lineRule="exact" w:before="0"/>
        <w:ind w:left="174" w:right="0"/>
        <w:jc w:val="both"/>
      </w:pPr>
      <w:r>
        <w:rPr/>
        <w:t>本公司按照服务合同约定的服务期限分期确认收入。</w:t>
      </w:r>
    </w:p>
    <w:p>
      <w:pPr>
        <w:pStyle w:val="BodyText"/>
        <w:spacing w:line="328" w:lineRule="auto" w:before="104"/>
        <w:ind w:right="1032"/>
        <w:jc w:val="left"/>
      </w:pPr>
      <w:r>
        <w:rPr>
          <w:rFonts w:ascii="Times New Roman" w:hAnsi="Times New Roman" w:cs="Times New Roman" w:eastAsia="Times New Roman" w:hint="default"/>
        </w:rPr>
        <w:t>6</w:t>
      </w:r>
      <w:r>
        <w:rPr/>
        <w:t>）系统集成收入的确认原则及方法 系统集成服务业务系针对客户的需求，为用户设计符合其需求的软硬件解决方案。本公司在相关产品及服务已经提供，</w:t>
      </w:r>
    </w:p>
    <w:p>
      <w:pPr>
        <w:pStyle w:val="BodyText"/>
        <w:spacing w:line="233" w:lineRule="exact" w:before="0"/>
        <w:ind w:left="174" w:right="0"/>
        <w:jc w:val="both"/>
      </w:pPr>
      <w:r>
        <w:rPr/>
        <w:t>并经客户验收合格后确认系统集成业务收入。</w:t>
      </w:r>
    </w:p>
    <w:p>
      <w:pPr>
        <w:spacing w:line="240" w:lineRule="auto" w:before="13"/>
        <w:rPr>
          <w:rFonts w:ascii="宋体" w:hAnsi="宋体" w:cs="宋体" w:eastAsia="宋体" w:hint="default"/>
          <w:sz w:val="14"/>
          <w:szCs w:val="14"/>
        </w:rPr>
      </w:pPr>
    </w:p>
    <w:p>
      <w:pPr>
        <w:pStyle w:val="Heading3"/>
        <w:spacing w:line="240" w:lineRule="auto" w:before="0"/>
        <w:ind w:right="0"/>
        <w:jc w:val="left"/>
        <w:rPr>
          <w:b w:val="0"/>
          <w:bCs w:val="0"/>
        </w:rPr>
      </w:pPr>
      <w:bookmarkStart w:name="24、政府补助" w:id="228"/>
      <w:bookmarkEnd w:id="228"/>
      <w:r>
        <w:rPr>
          <w:b w:val="0"/>
          <w:bCs w:val="0"/>
        </w:rPr>
      </w:r>
      <w:r>
        <w:rPr>
          <w:rFonts w:ascii="Times New Roman" w:hAnsi="Times New Roman" w:cs="Times New Roman" w:eastAsia="Times New Roman" w:hint="default"/>
        </w:rPr>
        <w:t>24</w:t>
      </w:r>
      <w:r>
        <w:rPr/>
        <w:t>、政府补助</w:t>
      </w:r>
      <w:r>
        <w:rPr>
          <w:b w:val="0"/>
          <w:bCs w:val="0"/>
        </w:rPr>
      </w:r>
    </w:p>
    <w:p>
      <w:pPr>
        <w:pStyle w:val="BodyText"/>
        <w:spacing w:line="338" w:lineRule="auto" w:before="159"/>
        <w:ind w:right="0"/>
        <w:jc w:val="left"/>
      </w:pPr>
      <w:r>
        <w:rPr/>
        <w:t>（</w:t>
      </w:r>
      <w:r>
        <w:rPr>
          <w:rFonts w:ascii="Times New Roman" w:hAnsi="Times New Roman" w:cs="Times New Roman" w:eastAsia="Times New Roman" w:hint="default"/>
        </w:rPr>
        <w:t>1</w:t>
      </w:r>
      <w:r>
        <w:rPr/>
        <w:t>）与资产相关的政府补助判断依据及会计处理方法 </w:t>
      </w:r>
      <w:r>
        <w:rPr>
          <w:spacing w:val="-2"/>
        </w:rPr>
        <w:t>与资产相关的政府补助，冲减相关资产的账面价值或确认为递延收益。与资产相关的政府补助确认为递延收益的，在相</w:t>
      </w:r>
    </w:p>
    <w:p>
      <w:pPr>
        <w:pStyle w:val="BodyText"/>
        <w:spacing w:line="357" w:lineRule="auto" w:before="4"/>
        <w:ind w:right="0" w:hanging="360"/>
        <w:jc w:val="left"/>
      </w:pPr>
      <w:r>
        <w:rPr/>
        <w:t>关资产使用寿命内按照合理、系统的方法分期计入损益。按照名义金额计量的政府补助，直接计入当期损益。 </w:t>
      </w:r>
      <w:r>
        <w:rPr>
          <w:spacing w:val="-2"/>
        </w:rPr>
        <w:t>相关资产在使用寿命结束前被出售、转让、报废或发生毁损的，应当将尚未分配的相关递延收益余额转入资产处置当期</w:t>
      </w:r>
    </w:p>
    <w:p>
      <w:pPr>
        <w:pStyle w:val="BodyText"/>
        <w:spacing w:line="225" w:lineRule="exact" w:before="0"/>
        <w:ind w:left="174" w:right="0"/>
        <w:jc w:val="both"/>
      </w:pPr>
      <w:r>
        <w:rPr/>
        <w:t>的损益。</w:t>
      </w:r>
    </w:p>
    <w:p>
      <w:pPr>
        <w:pStyle w:val="BodyText"/>
        <w:spacing w:line="338" w:lineRule="auto" w:before="117"/>
        <w:ind w:right="0"/>
        <w:jc w:val="left"/>
      </w:pPr>
      <w:r>
        <w:rPr/>
        <w:t>（</w:t>
      </w:r>
      <w:r>
        <w:rPr>
          <w:rFonts w:ascii="Times New Roman" w:hAnsi="Times New Roman" w:cs="Times New Roman" w:eastAsia="Times New Roman" w:hint="default"/>
        </w:rPr>
        <w:t>2</w:t>
      </w:r>
      <w:r>
        <w:rPr/>
        <w:t>）与收益相关的政府补助判断依据及会计处理方法 </w:t>
      </w:r>
      <w:r>
        <w:rPr>
          <w:spacing w:val="-2"/>
        </w:rPr>
        <w:t>用于补偿企业以后期间的相关成本费用或损失的，确认为递延收益，并在确认相关成本费用或损失的期间，计入当期损</w:t>
      </w:r>
    </w:p>
    <w:p>
      <w:pPr>
        <w:pStyle w:val="BodyText"/>
        <w:spacing w:line="240" w:lineRule="auto" w:before="4"/>
        <w:ind w:left="174" w:right="0"/>
        <w:jc w:val="both"/>
      </w:pPr>
      <w:r>
        <w:rPr/>
        <w:t>益或冲减相关成本；用于补偿企业已发生的相关成本费用或损失的，直接计入当期损益或冲减相关成本。</w:t>
      </w:r>
    </w:p>
    <w:p>
      <w:pPr>
        <w:pStyle w:val="BodyText"/>
        <w:spacing w:line="338" w:lineRule="auto" w:before="116"/>
        <w:ind w:right="0"/>
        <w:jc w:val="left"/>
      </w:pPr>
      <w:r>
        <w:rPr/>
        <w:t>（</w:t>
      </w:r>
      <w:r>
        <w:rPr>
          <w:rFonts w:ascii="Times New Roman" w:hAnsi="Times New Roman" w:cs="Times New Roman" w:eastAsia="Times New Roman" w:hint="default"/>
        </w:rPr>
        <w:t>3</w:t>
      </w:r>
      <w:r>
        <w:rPr/>
        <w:t>）同时包含与资产相关部分和与收益相关部分的政府补助 </w:t>
      </w:r>
      <w:r>
        <w:rPr>
          <w:spacing w:val="-2"/>
        </w:rPr>
        <w:t>对于同时包含与资产相关部分和与收益相关部分的政府补助，区分不同部分分别进行会计处理；难以区分的，应当整体</w:t>
      </w:r>
    </w:p>
    <w:p>
      <w:pPr>
        <w:pStyle w:val="BodyText"/>
        <w:spacing w:line="240" w:lineRule="auto" w:before="4"/>
        <w:ind w:left="174" w:right="0"/>
        <w:jc w:val="both"/>
      </w:pPr>
      <w:r>
        <w:rPr/>
        <w:t>归类为与收益相关的政府补助。</w:t>
      </w:r>
    </w:p>
    <w:p>
      <w:pPr>
        <w:pStyle w:val="BodyText"/>
        <w:spacing w:line="338" w:lineRule="auto" w:before="116"/>
        <w:ind w:right="0"/>
        <w:jc w:val="left"/>
      </w:pPr>
      <w:r>
        <w:rPr/>
        <w:t>（</w:t>
      </w:r>
      <w:r>
        <w:rPr>
          <w:rFonts w:ascii="Times New Roman" w:hAnsi="Times New Roman" w:cs="Times New Roman" w:eastAsia="Times New Roman" w:hint="default"/>
        </w:rPr>
        <w:t>4</w:t>
      </w:r>
      <w:r>
        <w:rPr/>
        <w:t>）政府补助在利润表中的核算 </w:t>
      </w:r>
      <w:r>
        <w:rPr>
          <w:spacing w:val="-2"/>
        </w:rPr>
        <w:t>与企业日常活动相关的政府补助，应当按照经济业务实质，计入其他收益或冲减相关成本费用。与企业日常活动无关的</w:t>
      </w:r>
    </w:p>
    <w:p>
      <w:pPr>
        <w:pStyle w:val="BodyText"/>
        <w:spacing w:line="240" w:lineRule="auto" w:before="4"/>
        <w:ind w:left="174" w:right="0"/>
        <w:jc w:val="both"/>
      </w:pPr>
      <w:r>
        <w:rPr/>
        <w:t>政府补助，应当计入营业外收支。</w:t>
      </w:r>
    </w:p>
    <w:p>
      <w:pPr>
        <w:pStyle w:val="BodyText"/>
        <w:spacing w:line="338" w:lineRule="auto" w:before="117"/>
        <w:ind w:right="3552"/>
        <w:jc w:val="left"/>
      </w:pPr>
      <w:r>
        <w:rPr/>
        <w:t>（</w:t>
      </w:r>
      <w:r>
        <w:rPr>
          <w:rFonts w:ascii="Times New Roman" w:hAnsi="Times New Roman" w:cs="Times New Roman" w:eastAsia="Times New Roman" w:hint="default"/>
        </w:rPr>
        <w:t>5</w:t>
      </w:r>
      <w:r>
        <w:rPr/>
        <w:t>）政府补助退回的处理 已确认的政府补助需要退回的，在需要退回的当期分情况按照以下规定进行会计处理：</w:t>
      </w:r>
    </w:p>
    <w:p>
      <w:pPr>
        <w:pStyle w:val="BodyText"/>
        <w:spacing w:line="319" w:lineRule="auto" w:before="41"/>
        <w:ind w:left="174" w:right="0" w:firstLine="360"/>
        <w:jc w:val="left"/>
      </w:pPr>
      <w:r>
        <w:rPr>
          <w:spacing w:val="-2"/>
        </w:rPr>
        <w:t>初始确认时冲减相关资产账面价值的，调整资产账面价值；存在相关递延收益的，冲减相关递延收益账面余额，超出部</w:t>
      </w:r>
      <w:r>
        <w:rPr/>
        <w:t> 分计入当期损益；属于其他情况的，直接计入当期损益。</w:t>
      </w:r>
    </w:p>
    <w:p>
      <w:pPr>
        <w:spacing w:after="0" w:line="319"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352" w:lineRule="auto"/>
        <w:ind w:right="0"/>
        <w:jc w:val="left"/>
      </w:pPr>
      <w:r>
        <w:rPr/>
        <w:t>（</w:t>
      </w:r>
      <w:r>
        <w:rPr>
          <w:rFonts w:ascii="Times New Roman" w:hAnsi="Times New Roman" w:cs="Times New Roman" w:eastAsia="Times New Roman" w:hint="default"/>
        </w:rPr>
        <w:t>6</w:t>
      </w:r>
      <w:r>
        <w:rPr/>
        <w:t>）政策性优惠贷款贴息的处理 财政将贴息资金拨付给贷款银行，由贷款银行以政策性优惠利率向企业提供贷款的，按以下方法进行会计处理： 以实际收到的借款金额作为借款的入账价值，按照借款本金和该政策性优惠利率计算相关借款费用。 财政将贴息资金直接拨付给企业，企业应当将对应的贴息冲减相关借款费用。 </w:t>
      </w:r>
      <w:r>
        <w:rPr>
          <w:spacing w:val="-2"/>
        </w:rPr>
        <w:t>本公司取得的、用于购建或以其他方式形成长期资产的政府补助作为与资产相关的政府补助。本公司取得的与资产相关</w:t>
      </w:r>
    </w:p>
    <w:p>
      <w:pPr>
        <w:pStyle w:val="BodyText"/>
        <w:spacing w:line="229" w:lineRule="exact" w:before="0"/>
        <w:ind w:left="174" w:right="0"/>
        <w:jc w:val="left"/>
      </w:pPr>
      <w:r>
        <w:rPr/>
        <w:t>之外的其他政府补助作为与收益相关的政府补助。</w:t>
      </w:r>
    </w:p>
    <w:p>
      <w:pPr>
        <w:spacing w:line="240" w:lineRule="auto" w:before="5"/>
        <w:rPr>
          <w:rFonts w:ascii="宋体" w:hAnsi="宋体" w:cs="宋体" w:eastAsia="宋体" w:hint="default"/>
          <w:sz w:val="17"/>
          <w:szCs w:val="17"/>
        </w:rPr>
      </w:pPr>
    </w:p>
    <w:p>
      <w:pPr>
        <w:pStyle w:val="Heading3"/>
        <w:spacing w:line="240" w:lineRule="auto" w:before="0"/>
        <w:ind w:right="0"/>
        <w:jc w:val="left"/>
        <w:rPr>
          <w:b w:val="0"/>
          <w:bCs w:val="0"/>
        </w:rPr>
      </w:pPr>
      <w:bookmarkStart w:name="25、递延所得税资产/递延所得税负债" w:id="229"/>
      <w:bookmarkEnd w:id="229"/>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300" w:lineRule="auto" w:before="157"/>
        <w:ind w:left="174" w:right="1169" w:firstLine="36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包括应纳税暂时性差异和可抵扣暂 时性差异</w:t>
      </w:r>
      <w:r>
        <w:rPr>
          <w:rFonts w:ascii="Times New Roman" w:hAnsi="Times New Roman" w:cs="Times New Roman" w:eastAsia="Times New Roman" w:hint="default"/>
        </w:rPr>
        <w:t>)</w:t>
      </w:r>
      <w:r>
        <w:rPr/>
        <w:t>计算确认。对于按照税法规定能够于以后年度抵减应纳税所得额的可抵扣亏损，视同可抵扣暂时性差异。对于商 誉的初始确认产生的暂时性差异，不确认相应的递延所得税负债。对于既不影响会计利润也不影响应纳税所得额</w:t>
      </w:r>
      <w:r>
        <w:rPr>
          <w:rFonts w:ascii="Times New Roman" w:hAnsi="Times New Roman" w:cs="Times New Roman" w:eastAsia="Times New Roman" w:hint="default"/>
        </w:rPr>
        <w:t>(</w:t>
      </w:r>
      <w:r>
        <w:rPr/>
        <w:t>或可抵扣 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BodyText"/>
        <w:spacing w:line="319" w:lineRule="auto" w:before="71"/>
        <w:ind w:left="174" w:right="1032" w:firstLine="360"/>
        <w:jc w:val="left"/>
      </w:pPr>
      <w:r>
        <w:rPr/>
        <w:t>递延所得税资产的确认以本公司很可能取得用来抵扣可抵扣暂时性差异、可抵扣亏损和税款抵减的应纳税所得额为限。 </w:t>
      </w:r>
      <w:r>
        <w:rPr>
          <w:spacing w:val="-2"/>
        </w:rPr>
        <w:t>对子公司、联营企业及合营企业投资相关的暂时性差异产生的递延所得税资产和递延所得税负债，予以确认。但本公司能够</w:t>
      </w:r>
      <w:r>
        <w:rPr>
          <w:spacing w:val="-65"/>
        </w:rPr>
        <w:t> </w:t>
      </w:r>
      <w:r>
        <w:rPr>
          <w:spacing w:val="-65"/>
        </w:rPr>
      </w:r>
      <w:r>
        <w:rPr/>
        <w:t>控制暂时性差异转回的时间且该暂时性差异在可预见的未来很可能不会转回的，不予确认。</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26、租赁" w:id="230"/>
      <w:bookmarkEnd w:id="230"/>
      <w:r>
        <w:rPr>
          <w:b w:val="0"/>
          <w:bCs w:val="0"/>
        </w:rPr>
      </w:r>
      <w:r>
        <w:rPr>
          <w:rFonts w:ascii="Times New Roman" w:hAnsi="Times New Roman" w:cs="Times New Roman" w:eastAsia="Times New Roman" w:hint="default"/>
        </w:rPr>
        <w:t>26</w:t>
      </w:r>
      <w:r>
        <w:rPr/>
        <w:t>、租赁</w:t>
      </w:r>
      <w:r>
        <w:rPr>
          <w:b w:val="0"/>
          <w:bCs w:val="0"/>
        </w:rPr>
      </w:r>
    </w:p>
    <w:p>
      <w:pPr>
        <w:pStyle w:val="BodyText"/>
        <w:spacing w:line="364" w:lineRule="auto" w:before="190"/>
        <w:ind w:right="2832" w:firstLine="62"/>
        <w:jc w:val="left"/>
      </w:pPr>
      <w:bookmarkStart w:name="（1）经营租赁的会计处理方法"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t>实质上转移了与资产所有权有关的全部风险和报酬的租赁为融资租赁。其他的租赁为经营租赁。 经营租赁的租金支出在租赁期内按照直线法计入相关资产成本或当期损益。</w:t>
      </w:r>
    </w:p>
    <w:p>
      <w:pPr>
        <w:pStyle w:val="Heading3"/>
        <w:spacing w:line="240" w:lineRule="auto" w:before="133"/>
        <w:ind w:right="0"/>
        <w:jc w:val="left"/>
        <w:rPr>
          <w:b w:val="0"/>
          <w:bCs w:val="0"/>
        </w:rPr>
      </w:pPr>
      <w:bookmarkStart w:name="（2）融资租赁的会计处理方法" w:id="232"/>
      <w:bookmarkEnd w:id="23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319" w:lineRule="auto" w:before="158"/>
        <w:ind w:left="174" w:right="1130" w:firstLine="360"/>
        <w:jc w:val="both"/>
      </w:pPr>
      <w:r>
        <w:rPr>
          <w:spacing w:val="-2"/>
        </w:rPr>
        <w:t>按租赁资产的公允价值与最低租赁付款额的现值两者中较低者作为租入资产的入账价值，租入资产的入账价值与最低租</w:t>
      </w:r>
      <w:r>
        <w:rPr/>
        <w:t> </w:t>
      </w:r>
      <w:r>
        <w:rPr>
          <w:spacing w:val="-2"/>
        </w:rPr>
        <w:t>赁付款额之间的差额为未确认融资费用，在租赁期内按实际利率法摊销。最低租赁付款额扣除未确认融资费用后的余额以长</w:t>
      </w:r>
      <w:r>
        <w:rPr>
          <w:spacing w:val="-63"/>
        </w:rPr>
        <w:t> </w:t>
      </w:r>
      <w:r>
        <w:rPr>
          <w:spacing w:val="-63"/>
        </w:rPr>
      </w:r>
      <w:r>
        <w:rPr/>
        <w:t>期应付款列示。</w:t>
      </w:r>
    </w:p>
    <w:p>
      <w:pPr>
        <w:spacing w:line="240" w:lineRule="auto" w:before="10"/>
        <w:rPr>
          <w:rFonts w:ascii="宋体" w:hAnsi="宋体" w:cs="宋体" w:eastAsia="宋体" w:hint="default"/>
          <w:sz w:val="12"/>
          <w:szCs w:val="12"/>
        </w:rPr>
      </w:pPr>
    </w:p>
    <w:p>
      <w:pPr>
        <w:pStyle w:val="Heading3"/>
        <w:spacing w:line="240" w:lineRule="auto" w:before="0"/>
        <w:ind w:right="0"/>
        <w:jc w:val="left"/>
        <w:rPr>
          <w:b w:val="0"/>
          <w:bCs w:val="0"/>
        </w:rPr>
      </w:pPr>
      <w:bookmarkStart w:name="27、其他重要的会计政策和会计估计" w:id="233"/>
      <w:bookmarkEnd w:id="233"/>
      <w:r>
        <w:rPr>
          <w:b w:val="0"/>
          <w:bCs w:val="0"/>
        </w:rPr>
      </w:r>
      <w:r>
        <w:rPr>
          <w:rFonts w:ascii="Times New Roman" w:hAnsi="Times New Roman" w:cs="Times New Roman" w:eastAsia="Times New Roman" w:hint="default"/>
        </w:rPr>
        <w:t>27</w:t>
      </w:r>
      <w:r>
        <w:rPr/>
        <w:t>、其他重要的会计政策和会计估计</w:t>
      </w:r>
      <w:r>
        <w:rPr>
          <w:b w:val="0"/>
          <w:bCs w:val="0"/>
        </w:rPr>
      </w:r>
    </w:p>
    <w:p>
      <w:pPr>
        <w:pStyle w:val="Heading3"/>
        <w:spacing w:line="240" w:lineRule="auto" w:before="190"/>
        <w:ind w:right="0"/>
        <w:jc w:val="left"/>
        <w:rPr>
          <w:b w:val="0"/>
          <w:bCs w:val="0"/>
        </w:rPr>
      </w:pPr>
      <w:bookmarkStart w:name="28、重要会计政策和会计估计变更" w:id="234"/>
      <w:bookmarkEnd w:id="234"/>
      <w:r>
        <w:rPr>
          <w:b w:val="0"/>
          <w:bCs w:val="0"/>
        </w:rPr>
      </w:r>
      <w:r>
        <w:rPr>
          <w:rFonts w:ascii="Times New Roman" w:hAnsi="Times New Roman" w:cs="Times New Roman" w:eastAsia="Times New Roman" w:hint="default"/>
        </w:rPr>
        <w:t>28</w:t>
      </w:r>
      <w:r>
        <w:rPr/>
        <w:t>、重要会计政策和会计估计变更</w:t>
      </w:r>
      <w:r>
        <w:rPr>
          <w:b w:val="0"/>
          <w:bCs w:val="0"/>
        </w:rPr>
      </w:r>
    </w:p>
    <w:p>
      <w:pPr>
        <w:pStyle w:val="Heading3"/>
        <w:spacing w:line="240" w:lineRule="auto" w:before="189"/>
        <w:ind w:right="0"/>
        <w:jc w:val="left"/>
        <w:rPr>
          <w:b w:val="0"/>
          <w:bCs w:val="0"/>
        </w:rPr>
      </w:pPr>
      <w:bookmarkStart w:name="（1）重要会计政策变更" w:id="235"/>
      <w:bookmarkEnd w:id="235"/>
      <w:r>
        <w:rPr>
          <w:b w:val="0"/>
          <w:bCs w:val="0"/>
        </w:rPr>
      </w:r>
      <w:r>
        <w:rPr/>
        <w:t>（</w:t>
      </w:r>
      <w:r>
        <w:rPr>
          <w:rFonts w:ascii="Times New Roman" w:hAnsi="Times New Roman" w:cs="Times New Roman" w:eastAsia="Times New Roman" w:hint="default"/>
        </w:rPr>
        <w:t>1</w:t>
      </w:r>
      <w:r>
        <w:rPr/>
        <w:t>）重要会计政策变更</w:t>
      </w:r>
      <w:r>
        <w:rPr>
          <w:b w:val="0"/>
          <w:bCs w:val="0"/>
        </w:rPr>
      </w:r>
    </w:p>
    <w:p>
      <w:pPr>
        <w:pStyle w:val="BodyText"/>
        <w:spacing w:line="240" w:lineRule="auto" w:before="15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ind w:left="0" w:right="1139"/>
        <w:jc w:val="right"/>
      </w:pPr>
      <w:r>
        <w:rPr/>
        <w:pict>
          <v:shape style="position:absolute;margin-left:56.459999pt;margin-top:-19.448259pt;width:479.25pt;height:155.1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419"/>
                    <w:gridCol w:w="5741"/>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69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22" w:right="21"/>
                          <w:jc w:val="left"/>
                          <w:rPr>
                            <w:rFonts w:ascii="宋体" w:hAnsi="宋体" w:cs="宋体" w:eastAsia="宋体" w:hint="default"/>
                            <w:sz w:val="18"/>
                            <w:szCs w:val="18"/>
                          </w:rPr>
                        </w:pPr>
                        <w:r>
                          <w:rPr>
                            <w:rFonts w:ascii="宋体" w:hAnsi="宋体" w:cs="宋体" w:eastAsia="宋体" w:hint="default"/>
                            <w:sz w:val="18"/>
                            <w:szCs w:val="18"/>
                          </w:rPr>
                          <w:t>根据财政部《关于修订印发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6"/>
                            <w:sz w:val="18"/>
                            <w:szCs w:val="18"/>
                          </w:rPr>
                          <w:t>格式的通知》（财会</w:t>
                        </w:r>
                        <w:r>
                          <w:rPr>
                            <w:rFonts w:ascii="Times New Roman" w:hAnsi="Times New Roman" w:cs="Times New Roman" w:eastAsia="Times New Roman" w:hint="default"/>
                            <w:spacing w:val="-6"/>
                            <w:sz w:val="18"/>
                            <w:szCs w:val="18"/>
                          </w:rPr>
                          <w:t>[2018]15</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pacing w:val="-12"/>
                            <w:sz w:val="18"/>
                            <w:szCs w:val="18"/>
                          </w:rPr>
                          <w:t>号），本公司对财务报表格式进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行了相应调整。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0"/>
                          <w:ind w:left="23" w:right="123"/>
                          <w:jc w:val="left"/>
                          <w:rPr>
                            <w:rFonts w:ascii="宋体" w:hAnsi="宋体" w:cs="宋体" w:eastAsia="宋体" w:hint="default"/>
                            <w:sz w:val="18"/>
                            <w:szCs w:val="18"/>
                          </w:rPr>
                        </w:pPr>
                        <w:r>
                          <w:rPr>
                            <w:rFonts w:ascii="宋体" w:hAnsi="宋体" w:cs="宋体" w:eastAsia="宋体" w:hint="default"/>
                            <w:sz w:val="18"/>
                            <w:szCs w:val="18"/>
                          </w:rPr>
                          <w:t>第四届董事会二 十四次会议</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、“应收票据”和“应收账款”合并列示为“应收票据及应收账款”</w:t>
                        </w:r>
                        <w:r>
                          <w:rPr>
                            <w:rFonts w:ascii="宋体" w:hAnsi="宋体" w:cs="宋体" w:eastAsia="宋体" w:hint="default"/>
                            <w:spacing w:val="-89"/>
                            <w:sz w:val="18"/>
                            <w:szCs w:val="18"/>
                          </w:rPr>
                          <w:t> </w:t>
                        </w:r>
                        <w:r>
                          <w:rPr>
                            <w:rFonts w:ascii="宋体" w:hAnsi="宋体" w:cs="宋体" w:eastAsia="宋体" w:hint="default"/>
                            <w:sz w:val="18"/>
                            <w:szCs w:val="18"/>
                          </w:rPr>
                          <w:t>本年余额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544,972,825.06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元，上年余额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423,195,355.30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exact" w:before="39"/>
                          <w:ind w:left="22" w:right="112" w:firstLine="36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、“应付票据”和“应付账款”合并列示为“应付票据及应付账款”</w:t>
                        </w:r>
                        <w:r>
                          <w:rPr>
                            <w:rFonts w:ascii="宋体" w:hAnsi="宋体" w:cs="宋体" w:eastAsia="宋体" w:hint="default"/>
                            <w:spacing w:val="-89"/>
                            <w:sz w:val="18"/>
                            <w:szCs w:val="18"/>
                          </w:rPr>
                          <w:t> </w:t>
                        </w:r>
                        <w:r>
                          <w:rPr>
                            <w:rFonts w:ascii="宋体" w:hAnsi="宋体" w:cs="宋体" w:eastAsia="宋体" w:hint="default"/>
                            <w:sz w:val="18"/>
                            <w:szCs w:val="18"/>
                          </w:rPr>
                          <w:t>本年余额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263,173,345.17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元，上年余额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181,685,033.83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5" w:lineRule="exact"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“应收利息”及“应收股利”并入“其他应收款</w:t>
                        </w:r>
                        <w:r>
                          <w:rPr>
                            <w:rFonts w:ascii="宋体" w:hAnsi="宋体" w:cs="宋体" w:eastAsia="宋体" w:hint="default"/>
                            <w:spacing w:val="-90"/>
                            <w:sz w:val="18"/>
                            <w:szCs w:val="18"/>
                          </w:rPr>
                          <w:t>”</w:t>
                        </w:r>
                        <w:r>
                          <w:rPr>
                            <w:rFonts w:ascii="宋体" w:hAnsi="宋体" w:cs="宋体" w:eastAsia="宋体" w:hint="default"/>
                            <w:sz w:val="18"/>
                            <w:szCs w:val="18"/>
                          </w:rPr>
                          <w:t>，本年余额</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39,089,199.67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元，上年余额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22,496,152.89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5" w:lineRule="exact" w:before="3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“应付利息”及“应付股利”并入“其他应付款</w:t>
                        </w:r>
                        <w:r>
                          <w:rPr>
                            <w:rFonts w:ascii="宋体" w:hAnsi="宋体" w:cs="宋体" w:eastAsia="宋体" w:hint="default"/>
                            <w:spacing w:val="-90"/>
                            <w:sz w:val="18"/>
                            <w:szCs w:val="18"/>
                          </w:rPr>
                          <w:t>”</w:t>
                        </w:r>
                        <w:r>
                          <w:rPr>
                            <w:rFonts w:ascii="宋体" w:hAnsi="宋体" w:cs="宋体" w:eastAsia="宋体" w:hint="default"/>
                            <w:sz w:val="18"/>
                            <w:szCs w:val="18"/>
                          </w:rPr>
                          <w:t>，本年余额</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97,574,099.86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元，上年余额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119,934,532.36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3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20"/>
                            <w:sz w:val="18"/>
                            <w:szCs w:val="18"/>
                          </w:rPr>
                          <w:t>、</w:t>
                        </w:r>
                        <w:r>
                          <w:rPr>
                            <w:rFonts w:ascii="宋体" w:hAnsi="宋体" w:cs="宋体" w:eastAsia="宋体" w:hint="default"/>
                            <w:sz w:val="18"/>
                            <w:szCs w:val="18"/>
                          </w:rPr>
                          <w:t>调</w:t>
                        </w:r>
                        <w:r>
                          <w:rPr>
                            <w:rFonts w:ascii="宋体" w:hAnsi="宋体" w:cs="宋体" w:eastAsia="宋体" w:hint="default"/>
                            <w:spacing w:val="-20"/>
                            <w:sz w:val="18"/>
                            <w:szCs w:val="18"/>
                          </w:rPr>
                          <w:t>减</w:t>
                        </w:r>
                        <w:r>
                          <w:rPr>
                            <w:rFonts w:ascii="宋体" w:hAnsi="宋体" w:cs="宋体" w:eastAsia="宋体" w:hint="default"/>
                            <w:sz w:val="18"/>
                            <w:szCs w:val="18"/>
                          </w:rPr>
                          <w:t>“管</w:t>
                        </w:r>
                        <w:r>
                          <w:rPr>
                            <w:rFonts w:ascii="宋体" w:hAnsi="宋体" w:cs="宋体" w:eastAsia="宋体" w:hint="default"/>
                            <w:spacing w:val="1"/>
                            <w:sz w:val="18"/>
                            <w:szCs w:val="18"/>
                          </w:rPr>
                          <w:t>理</w:t>
                        </w:r>
                        <w:r>
                          <w:rPr>
                            <w:rFonts w:ascii="宋体" w:hAnsi="宋体" w:cs="宋体" w:eastAsia="宋体" w:hint="default"/>
                            <w:sz w:val="18"/>
                            <w:szCs w:val="18"/>
                          </w:rPr>
                          <w:t>费用</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本年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,060,22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.80 </w:t>
                        </w:r>
                        <w:r>
                          <w:rPr>
                            <w:rFonts w:ascii="宋体" w:hAnsi="宋体" w:cs="宋体" w:eastAsia="宋体" w:hint="default"/>
                            <w:sz w:val="18"/>
                            <w:szCs w:val="18"/>
                          </w:rPr>
                          <w:t>元</w:t>
                        </w:r>
                        <w:r>
                          <w:rPr>
                            <w:rFonts w:ascii="宋体" w:hAnsi="宋体" w:cs="宋体" w:eastAsia="宋体" w:hint="default"/>
                            <w:spacing w:val="-20"/>
                            <w:sz w:val="18"/>
                            <w:szCs w:val="18"/>
                          </w:rPr>
                          <w:t>，</w:t>
                        </w:r>
                        <w:r>
                          <w:rPr>
                            <w:rFonts w:ascii="宋体" w:hAnsi="宋体" w:cs="宋体" w:eastAsia="宋体" w:hint="default"/>
                            <w:sz w:val="18"/>
                            <w:szCs w:val="18"/>
                          </w:rPr>
                          <w:t>上年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60,700,880.22 </w:t>
                        </w:r>
                        <w:r>
                          <w:rPr>
                            <w:rFonts w:ascii="宋体" w:hAnsi="宋体" w:cs="宋体" w:eastAsia="宋体" w:hint="default"/>
                            <w:sz w:val="18"/>
                            <w:szCs w:val="18"/>
                          </w:rPr>
                          <w:t>元</w:t>
                        </w:r>
                      </w:p>
                      <w:p>
                        <w:pPr>
                          <w:pStyle w:val="TableParagraph"/>
                          <w:spacing w:line="240" w:lineRule="auto" w:before="3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20"/>
                            <w:sz w:val="18"/>
                            <w:szCs w:val="18"/>
                          </w:rPr>
                          <w:t>、</w:t>
                        </w:r>
                        <w:r>
                          <w:rPr>
                            <w:rFonts w:ascii="宋体" w:hAnsi="宋体" w:cs="宋体" w:eastAsia="宋体" w:hint="default"/>
                            <w:sz w:val="18"/>
                            <w:szCs w:val="18"/>
                          </w:rPr>
                          <w:t>单</w:t>
                        </w:r>
                        <w:r>
                          <w:rPr>
                            <w:rFonts w:ascii="宋体" w:hAnsi="宋体" w:cs="宋体" w:eastAsia="宋体" w:hint="default"/>
                            <w:spacing w:val="-20"/>
                            <w:sz w:val="18"/>
                            <w:szCs w:val="18"/>
                          </w:rPr>
                          <w:t>列</w:t>
                        </w:r>
                        <w:r>
                          <w:rPr>
                            <w:rFonts w:ascii="宋体" w:hAnsi="宋体" w:cs="宋体" w:eastAsia="宋体" w:hint="default"/>
                            <w:sz w:val="18"/>
                            <w:szCs w:val="18"/>
                          </w:rPr>
                          <w:t>“研</w:t>
                        </w:r>
                        <w:r>
                          <w:rPr>
                            <w:rFonts w:ascii="宋体" w:hAnsi="宋体" w:cs="宋体" w:eastAsia="宋体" w:hint="default"/>
                            <w:spacing w:val="1"/>
                            <w:sz w:val="18"/>
                            <w:szCs w:val="18"/>
                          </w:rPr>
                          <w:t>发</w:t>
                        </w:r>
                        <w:r>
                          <w:rPr>
                            <w:rFonts w:ascii="宋体" w:hAnsi="宋体" w:cs="宋体" w:eastAsia="宋体" w:hint="default"/>
                            <w:sz w:val="18"/>
                            <w:szCs w:val="18"/>
                          </w:rPr>
                          <w:t>费用</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本年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,060,22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.80 </w:t>
                        </w:r>
                        <w:r>
                          <w:rPr>
                            <w:rFonts w:ascii="宋体" w:hAnsi="宋体" w:cs="宋体" w:eastAsia="宋体" w:hint="default"/>
                            <w:sz w:val="18"/>
                            <w:szCs w:val="18"/>
                          </w:rPr>
                          <w:t>元</w:t>
                        </w:r>
                        <w:r>
                          <w:rPr>
                            <w:rFonts w:ascii="宋体" w:hAnsi="宋体" w:cs="宋体" w:eastAsia="宋体" w:hint="default"/>
                            <w:spacing w:val="-20"/>
                            <w:sz w:val="18"/>
                            <w:szCs w:val="18"/>
                          </w:rPr>
                          <w:t>，</w:t>
                        </w:r>
                        <w:r>
                          <w:rPr>
                            <w:rFonts w:ascii="宋体" w:hAnsi="宋体" w:cs="宋体" w:eastAsia="宋体" w:hint="default"/>
                            <w:sz w:val="18"/>
                            <w:szCs w:val="18"/>
                          </w:rPr>
                          <w:t>上年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60,700,880.22 </w:t>
                        </w:r>
                        <w:r>
                          <w:rPr>
                            <w:rFonts w:ascii="宋体" w:hAnsi="宋体" w:cs="宋体" w:eastAsia="宋体" w:hint="default"/>
                            <w:sz w:val="18"/>
                            <w:szCs w:val="18"/>
                          </w:rPr>
                          <w:t>元</w:t>
                        </w:r>
                      </w:p>
                    </w:tc>
                  </w:tr>
                </w:tbl>
                <w:p>
                  <w:pPr/>
                </w:p>
              </w:txbxContent>
            </v:textbox>
            <w10:wrap type="none"/>
          </v:shape>
        </w:pict>
      </w:r>
      <w:r>
        <w:rPr/>
        <w:t>，</w:t>
      </w:r>
    </w:p>
    <w:p>
      <w:pPr>
        <w:spacing w:line="240" w:lineRule="auto" w:before="5"/>
        <w:rPr>
          <w:rFonts w:ascii="宋体" w:hAnsi="宋体" w:cs="宋体" w:eastAsia="宋体" w:hint="default"/>
          <w:sz w:val="18"/>
          <w:szCs w:val="18"/>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0" w:right="1138"/>
        <w:jc w:val="right"/>
      </w:pPr>
      <w:r>
        <w:rPr/>
        <w:t>；</w:t>
      </w:r>
    </w:p>
    <w:p>
      <w:pPr>
        <w:pStyle w:val="BodyText"/>
        <w:spacing w:line="240" w:lineRule="auto"/>
        <w:ind w:left="0" w:right="1138"/>
        <w:jc w:val="right"/>
      </w:pPr>
      <w:r>
        <w:rPr/>
        <w:t>。</w:t>
      </w:r>
    </w:p>
    <w:p>
      <w:pPr>
        <w:spacing w:after="0" w:line="240" w:lineRule="auto"/>
        <w:jc w:val="right"/>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重要会计估计变更" w:id="236"/>
      <w:bookmarkEnd w:id="236"/>
      <w:r>
        <w:rPr>
          <w:b w:val="0"/>
          <w:bCs w:val="0"/>
        </w:rPr>
      </w:r>
      <w:r>
        <w:rPr/>
        <w:t>（</w:t>
      </w:r>
      <w:r>
        <w:rPr>
          <w:rFonts w:ascii="Times New Roman" w:hAnsi="Times New Roman" w:cs="Times New Roman" w:eastAsia="Times New Roman" w:hint="default"/>
        </w:rPr>
        <w:t>2</w:t>
      </w:r>
      <w:r>
        <w:rPr/>
        <w:t>）重要会计估计变更</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9、其他" w:id="237"/>
      <w:bookmarkEnd w:id="237"/>
      <w:r>
        <w:rPr>
          <w:b w:val="0"/>
          <w:bCs w:val="0"/>
        </w:rPr>
      </w:r>
      <w:r>
        <w:rPr>
          <w:rFonts w:ascii="Times New Roman" w:hAnsi="Times New Roman" w:cs="Times New Roman" w:eastAsia="Times New Roman" w:hint="default"/>
        </w:rPr>
        <w:t>29</w:t>
      </w:r>
      <w:r>
        <w:rPr/>
        <w:t>、其他</w:t>
      </w:r>
      <w:r>
        <w:rPr>
          <w:b w:val="0"/>
          <w:bCs w:val="0"/>
        </w:rPr>
      </w:r>
    </w:p>
    <w:p>
      <w:pPr>
        <w:pStyle w:val="BodyText"/>
        <w:spacing w:line="319" w:lineRule="auto" w:before="158"/>
        <w:ind w:left="174" w:right="0" w:firstLine="360"/>
        <w:jc w:val="left"/>
      </w:pPr>
      <w:r>
        <w:rPr>
          <w:spacing w:val="-2"/>
        </w:rPr>
        <w:t>商誉为股权投资成本超过应享有的被投资单位于投资取得日的公允价值份额的差额，或者为非同一控制下企业合并成本</w:t>
      </w:r>
      <w:r>
        <w:rPr/>
        <w:t> 超过企业合并中取得的被购买方可辨认净资产于购买日的公允价值份额的差额。</w:t>
      </w:r>
    </w:p>
    <w:p>
      <w:pPr>
        <w:pStyle w:val="BodyText"/>
        <w:spacing w:line="319" w:lineRule="auto" w:before="55"/>
        <w:ind w:left="174" w:right="0" w:firstLine="360"/>
        <w:jc w:val="left"/>
      </w:pPr>
      <w:r>
        <w:rPr>
          <w:spacing w:val="-2"/>
        </w:rPr>
        <w:t>企业合并形成的商誉在合并财务报表上单独列示。购买联营企业和合营企业股权投资成本超过投资时应享有被投资单位</w:t>
      </w:r>
      <w:r>
        <w:rPr/>
        <w:t> 的公允价值份额的差额，包含于长期股权投资。</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38"/>
      <w:bookmarkEnd w:id="238"/>
      <w:r>
        <w:rPr>
          <w:b w:val="0"/>
          <w:bCs w:val="0"/>
        </w:rPr>
      </w:r>
      <w:r>
        <w:rPr/>
        <w:t>六、税项</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主要税种及税率" w:id="239"/>
      <w:bookmarkEnd w:id="23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3190"/>
        <w:gridCol w:w="4041"/>
        <w:gridCol w:w="2339"/>
      </w:tblGrid>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26"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vMerge w:val="restart"/>
            <w:tcBorders>
              <w:top w:val="single" w:sz="4" w:space="0" w:color="000000"/>
              <w:left w:val="single" w:sz="13" w:space="0" w:color="D2D2D2"/>
              <w:right w:val="single" w:sz="4" w:space="0" w:color="000000"/>
            </w:tcBorders>
          </w:tcPr>
          <w:p>
            <w:pPr>
              <w:pStyle w:val="TableParagraph"/>
              <w:spacing w:line="240" w:lineRule="exact" w:before="41"/>
              <w:ind w:left="10" w:right="166"/>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 税率扣除当期允许抵扣的进项税后的余额计算</w:t>
            </w:r>
            <w:r>
              <w:rPr>
                <w:rFonts w:ascii="Times New Roman" w:hAnsi="Times New Roman" w:cs="Times New Roman" w:eastAsia="Times New Roman" w:hint="default"/>
                <w:sz w:val="18"/>
                <w:szCs w:val="18"/>
              </w:rPr>
              <w:t>)</w:t>
            </w:r>
          </w:p>
        </w:tc>
        <w:tc>
          <w:tcPr>
            <w:tcW w:w="2339" w:type="dxa"/>
            <w:vMerge w:val="restart"/>
            <w:tcBorders>
              <w:top w:val="single" w:sz="4" w:space="0" w:color="000000"/>
              <w:left w:val="single" w:sz="4" w:space="0" w:color="000000"/>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4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041" w:type="dxa"/>
            <w:vMerge/>
            <w:tcBorders>
              <w:left w:val="single" w:sz="13" w:space="0" w:color="D2D2D2"/>
              <w:bottom w:val="single" w:sz="4" w:space="0" w:color="000000"/>
              <w:right w:val="single" w:sz="4" w:space="0" w:color="000000"/>
            </w:tcBorders>
          </w:tcPr>
          <w:p>
            <w:pPr/>
          </w:p>
        </w:tc>
        <w:tc>
          <w:tcPr>
            <w:tcW w:w="2339" w:type="dxa"/>
            <w:vMerge/>
            <w:tcBorders>
              <w:left w:val="single" w:sz="4" w:space="0" w:color="000000"/>
              <w:bottom w:val="single" w:sz="4" w:space="0" w:color="000000"/>
              <w:right w:val="single" w:sz="4" w:space="0" w:color="000000"/>
            </w:tcBorders>
          </w:tcPr>
          <w:p>
            <w:pP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0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3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spacing w:line="240" w:lineRule="auto" w:before="8"/>
        <w:rPr>
          <w:rFonts w:ascii="宋体" w:hAnsi="宋体" w:cs="宋体" w:eastAsia="宋体" w:hint="default"/>
          <w:b/>
          <w:bCs/>
          <w:sz w:val="6"/>
          <w:szCs w:val="6"/>
        </w:rPr>
      </w:pPr>
    </w:p>
    <w:p>
      <w:pPr>
        <w:pStyle w:val="BodyText"/>
        <w:spacing w:line="240" w:lineRule="auto"/>
        <w:ind w:right="0"/>
        <w:jc w:val="left"/>
      </w:pPr>
      <w:r>
        <w:rPr/>
        <w:t>存在不同企业所得税税率纳税主体的，披露情况说明</w:t>
      </w:r>
    </w:p>
    <w:p>
      <w:pPr>
        <w:spacing w:line="240" w:lineRule="auto" w:before="3"/>
        <w:rPr>
          <w:rFonts w:ascii="宋体" w:hAnsi="宋体" w:cs="宋体" w:eastAsia="宋体" w:hint="default"/>
          <w:sz w:val="14"/>
          <w:szCs w:val="14"/>
        </w:rPr>
      </w:pPr>
    </w:p>
    <w:tbl>
      <w:tblPr>
        <w:tblW w:w="0" w:type="auto"/>
        <w:jc w:val="left"/>
        <w:tblInd w:w="169" w:type="dxa"/>
        <w:tblLayout w:type="fixed"/>
        <w:tblCellMar>
          <w:top w:w="0" w:type="dxa"/>
          <w:left w:w="0" w:type="dxa"/>
          <w:bottom w:w="0" w:type="dxa"/>
          <w:right w:w="0" w:type="dxa"/>
        </w:tblCellMar>
        <w:tblLook w:val="01E0"/>
      </w:tblPr>
      <w:tblGrid>
        <w:gridCol w:w="4783"/>
        <w:gridCol w:w="4786"/>
      </w:tblGrid>
      <w:tr>
        <w:trPr>
          <w:trHeight w:val="33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金财互联控股股份有限公司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广州金财互联税务顾问有限公司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山东神创信息科技有限公司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广州方欣现代信息产业园有限公司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广东浪潮创新计算机科技服务有限公司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广州翼税数据服务有限公司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金财互联数据服务有限公司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方欣智慧财税服务有限公司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浙江金财立信财务管理有限公司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上海金财企盈企业服务有限公司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东莞市金财互联信息科技有限公司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江门市金财互联数据服务有限公司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浙江金财立信之友科技有限公司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黄山怀信商务信息咨询有限公司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新疆金财立信财务管理有限公司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北京金财纵横信息咨询服务有限公司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4783"/>
        <w:gridCol w:w="4786"/>
      </w:tblGrid>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青岛高新金财信息科技有限公司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广州金财互联区块链科技有限公司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广东龙达财税服务有限公司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深圳龙达财税有限公司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青岛百旺金赋信息科技有限公司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金财慧盈保险经纪有限公司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浙江金财共享智能科技有限公司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上海宝华威热处理设备有限公司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艾普零件制造（苏州）股份有限公司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青岛丰东热工技术有限公司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烟台丰东热技术有限公司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税收优惠" w:id="240"/>
      <w:bookmarkEnd w:id="240"/>
      <w:r>
        <w:rPr>
          <w:b w:val="0"/>
          <w:bCs w:val="0"/>
        </w:rPr>
      </w:r>
      <w:r>
        <w:rPr>
          <w:rFonts w:ascii="Times New Roman" w:hAnsi="Times New Roman" w:cs="Times New Roman" w:eastAsia="Times New Roman" w:hint="default"/>
        </w:rPr>
        <w:t>2</w:t>
      </w:r>
      <w:r>
        <w:rPr/>
        <w:t>、税收优惠</w:t>
      </w:r>
      <w:r>
        <w:rPr>
          <w:b w:val="0"/>
          <w:bCs w:val="0"/>
        </w:rPr>
      </w:r>
    </w:p>
    <w:p>
      <w:pPr>
        <w:pStyle w:val="BodyText"/>
        <w:spacing w:line="302" w:lineRule="auto" w:before="157"/>
        <w:ind w:left="174" w:right="1154" w:firstLine="360"/>
        <w:jc w:val="both"/>
      </w:pPr>
      <w:r>
        <w:rPr>
          <w:spacing w:val="-2"/>
        </w:rPr>
        <w:t>公司子公司方欣科技根据《关于软件和集成电路产业企业所得税优惠政策有关问题的通知》（财税</w:t>
      </w:r>
      <w:r>
        <w:rPr>
          <w:rFonts w:ascii="Times New Roman" w:hAnsi="Times New Roman" w:cs="Times New Roman" w:eastAsia="Times New Roman" w:hint="default"/>
          <w:spacing w:val="-2"/>
        </w:rPr>
        <w:t>[2016]49</w:t>
      </w:r>
      <w:r>
        <w:rPr>
          <w:rFonts w:ascii="Times New Roman" w:hAnsi="Times New Roman" w:cs="Times New Roman" w:eastAsia="Times New Roman" w:hint="default"/>
          <w:spacing w:val="8"/>
        </w:rPr>
        <w:t> </w:t>
      </w:r>
      <w:r>
        <w:rPr/>
        <w:t>号）相关规 定，</w:t>
      </w:r>
      <w:r>
        <w:rPr>
          <w:rFonts w:ascii="Times New Roman" w:hAnsi="Times New Roman" w:cs="Times New Roman" w:eastAsia="Times New Roman" w:hint="default"/>
        </w:rPr>
        <w:t>2018 </w:t>
      </w:r>
      <w:r>
        <w:rPr/>
        <w:t>年度执行</w:t>
      </w:r>
      <w:r>
        <w:rPr>
          <w:spacing w:val="-47"/>
        </w:rPr>
        <w:t> </w:t>
      </w:r>
      <w:r>
        <w:rPr>
          <w:rFonts w:ascii="Times New Roman" w:hAnsi="Times New Roman" w:cs="Times New Roman" w:eastAsia="Times New Roman" w:hint="default"/>
        </w:rPr>
        <w:t>10%</w:t>
      </w:r>
      <w:r>
        <w:rPr/>
        <w:t>的所得税率。</w:t>
      </w:r>
    </w:p>
    <w:p>
      <w:pPr>
        <w:pStyle w:val="BodyText"/>
        <w:spacing w:line="300" w:lineRule="auto" w:before="50"/>
        <w:ind w:left="174" w:right="1129" w:firstLine="360"/>
        <w:jc w:val="both"/>
      </w:pPr>
      <w:r>
        <w:rPr/>
        <w:t>方欣科技下属公司广州金财互联税务顾问有限公司</w:t>
      </w:r>
      <w:r>
        <w:rPr>
          <w:spacing w:val="-45"/>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日取得由广东省科学技术厅、广东省财政厅、广东 省国家税务局、广东省地方税务局共同颁发的高新技术企业证书，证书编号为</w:t>
      </w:r>
      <w:r>
        <w:rPr>
          <w:spacing w:val="-70"/>
        </w:rPr>
        <w:t> </w:t>
      </w:r>
      <w:r>
        <w:rPr>
          <w:rFonts w:ascii="Times New Roman" w:hAnsi="Times New Roman" w:cs="Times New Roman" w:eastAsia="Times New Roman" w:hint="default"/>
        </w:rPr>
        <w:t>GR201644000803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年度执行</w:t>
      </w:r>
      <w:r>
        <w:rPr>
          <w:spacing w:val="-70"/>
        </w:rPr>
        <w:t> </w:t>
      </w:r>
      <w:r>
        <w:rPr>
          <w:rFonts w:ascii="Times New Roman" w:hAnsi="Times New Roman" w:cs="Times New Roman" w:eastAsia="Times New Roman" w:hint="default"/>
        </w:rPr>
        <w:t>15%</w:t>
      </w:r>
      <w:r>
        <w:rPr/>
        <w:t>的所得 税率。</w:t>
      </w:r>
    </w:p>
    <w:p>
      <w:pPr>
        <w:pStyle w:val="BodyText"/>
        <w:spacing w:line="307" w:lineRule="auto" w:before="70"/>
        <w:ind w:left="174" w:right="1117" w:firstLine="360"/>
        <w:jc w:val="left"/>
      </w:pPr>
      <w:r>
        <w:rPr>
          <w:spacing w:val="-2"/>
        </w:rPr>
        <w:t>方欣科技下属公司广州金财互联子公司广东浪潮创新计算机科技服务有限公司根据《国务院进一步鼓励软件产业和集成</w:t>
      </w:r>
      <w:r>
        <w:rPr/>
        <w:t> </w:t>
      </w:r>
      <w:r>
        <w:rPr>
          <w:spacing w:val="-5"/>
        </w:rPr>
        <w:t>电路产业发展的若干政策》（国发</w:t>
      </w:r>
      <w:r>
        <w:rPr>
          <w:rFonts w:ascii="Times New Roman" w:hAnsi="Times New Roman" w:cs="Times New Roman" w:eastAsia="Times New Roman" w:hint="default"/>
          <w:spacing w:val="-5"/>
        </w:rPr>
        <w:t>[2011]4</w:t>
      </w:r>
      <w:r>
        <w:rPr>
          <w:rFonts w:ascii="Times New Roman" w:hAnsi="Times New Roman" w:cs="Times New Roman" w:eastAsia="Times New Roman" w:hint="default"/>
        </w:rPr>
        <w:t> </w:t>
      </w:r>
      <w:r>
        <w:rPr>
          <w:spacing w:val="-3"/>
        </w:rPr>
        <w:t>号）和《关于软件和集成电路产业企业所得税优惠政策有关问题的通知》（财税</w:t>
      </w:r>
      <w:r>
        <w:rPr>
          <w:spacing w:val="-63"/>
        </w:rPr>
        <w:t> </w:t>
      </w:r>
      <w:r>
        <w:rPr>
          <w:spacing w:val="-63"/>
        </w:rPr>
      </w:r>
      <w:r>
        <w:rPr>
          <w:rFonts w:ascii="Times New Roman" w:hAnsi="Times New Roman" w:cs="Times New Roman" w:eastAsia="Times New Roman" w:hint="default"/>
        </w:rPr>
        <w:t>[2016]49</w:t>
      </w:r>
      <w:r>
        <w:rPr>
          <w:rFonts w:ascii="Times New Roman" w:hAnsi="Times New Roman" w:cs="Times New Roman" w:eastAsia="Times New Roman" w:hint="default"/>
          <w:spacing w:val="-14"/>
        </w:rPr>
        <w:t> </w:t>
      </w:r>
      <w:r>
        <w:rPr/>
        <w:t>号）相关规定，享受企业所得税“两免三减半”的税收优惠政策。</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年度及</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年度免征企业所得税，</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 度至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年度企业所得税税率为</w:t>
      </w:r>
      <w:r>
        <w:rPr>
          <w:spacing w:val="-46"/>
        </w:rPr>
        <w:t> </w:t>
      </w:r>
      <w:r>
        <w:rPr>
          <w:rFonts w:ascii="Times New Roman" w:hAnsi="Times New Roman" w:cs="Times New Roman" w:eastAsia="Times New Roman" w:hint="default"/>
        </w:rPr>
        <w:t>12.5%</w:t>
      </w:r>
      <w:r>
        <w:rPr/>
        <w:t>。</w:t>
      </w:r>
    </w:p>
    <w:p>
      <w:pPr>
        <w:pStyle w:val="BodyText"/>
        <w:spacing w:line="307" w:lineRule="auto" w:before="45"/>
        <w:ind w:left="174" w:right="1130" w:firstLine="360"/>
        <w:jc w:val="both"/>
      </w:pPr>
      <w:r>
        <w:rPr/>
        <w:t>方欣科技下属公司方欣智慧财税服务有限公司根据《财政部 国家税务总局关于新疆喀什霍尔果斯两个特殊经济开发区 </w:t>
      </w:r>
      <w:r>
        <w:rPr>
          <w:spacing w:val="-5"/>
        </w:rPr>
        <w:t>企业所得税优惠政策的通知》（财税</w:t>
      </w:r>
      <w:r>
        <w:rPr>
          <w:rFonts w:ascii="Times New Roman" w:hAnsi="Times New Roman" w:cs="Times New Roman" w:eastAsia="Times New Roman" w:hint="default"/>
          <w:spacing w:val="-5"/>
        </w:rPr>
        <w:t>[2011]112</w:t>
      </w:r>
      <w:r>
        <w:rPr>
          <w:rFonts w:ascii="Times New Roman" w:hAnsi="Times New Roman" w:cs="Times New Roman" w:eastAsia="Times New Roman" w:hint="default"/>
          <w:spacing w:val="23"/>
        </w:rPr>
        <w:t> </w:t>
      </w:r>
      <w:r>
        <w:rPr>
          <w:spacing w:val="-2"/>
        </w:rPr>
        <w:t>号）及《财政部、国家税务总局、国家发展改革委、工业和信息化部关于公布</w:t>
      </w:r>
      <w:r>
        <w:rPr>
          <w:spacing w:val="-83"/>
        </w:rPr>
        <w:t> </w:t>
      </w:r>
      <w:r>
        <w:rPr>
          <w:spacing w:val="-83"/>
        </w:rPr>
      </w:r>
      <w:r>
        <w:rPr>
          <w:spacing w:val="-3"/>
        </w:rPr>
        <w:t>新疆困难地区重点鼓励发展产业企业所得税优惠目录（试行）的通知》（财税</w:t>
      </w:r>
      <w:r>
        <w:rPr>
          <w:rFonts w:ascii="Times New Roman" w:hAnsi="Times New Roman" w:cs="Times New Roman" w:eastAsia="Times New Roman" w:hint="default"/>
          <w:spacing w:val="-3"/>
        </w:rPr>
        <w:t>[2016]85</w:t>
      </w:r>
      <w:r>
        <w:rPr>
          <w:rFonts w:ascii="Times New Roman" w:hAnsi="Times New Roman" w:cs="Times New Roman" w:eastAsia="Times New Roman" w:hint="default"/>
          <w:spacing w:val="9"/>
        </w:rPr>
        <w:t> </w:t>
      </w:r>
      <w:r>
        <w:rPr>
          <w:spacing w:val="-1"/>
        </w:rPr>
        <w:t>号）相关规定，</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9"/>
        </w:rPr>
        <w:t> </w:t>
      </w:r>
      <w:r>
        <w:rPr/>
        <w:t>年度免征企业所</w:t>
      </w:r>
      <w:r>
        <w:rPr>
          <w:spacing w:val="-88"/>
        </w:rPr>
        <w:t> </w:t>
      </w:r>
      <w:r>
        <w:rPr>
          <w:spacing w:val="-88"/>
        </w:rPr>
      </w:r>
      <w:r>
        <w:rPr/>
        <w:t>得税。</w:t>
      </w:r>
    </w:p>
    <w:p>
      <w:pPr>
        <w:pStyle w:val="BodyText"/>
        <w:spacing w:line="309" w:lineRule="auto" w:before="65"/>
        <w:ind w:left="174" w:right="1131" w:firstLine="360"/>
        <w:jc w:val="both"/>
      </w:pPr>
      <w:r>
        <w:rPr>
          <w:spacing w:val="-2"/>
        </w:rPr>
        <w:t>方欣科技下属公司浙江金财立信之友科技有限公司根据《财政部国家税务总局关于进一步鼓励软件产业和集成电路产业</w:t>
      </w:r>
      <w:r>
        <w:rPr/>
        <w:t> </w:t>
      </w:r>
      <w:r>
        <w:rPr>
          <w:spacing w:val="-4"/>
        </w:rPr>
        <w:t>发展企业所得税政策的通知》（财税</w:t>
      </w:r>
      <w:r>
        <w:rPr>
          <w:rFonts w:ascii="Times New Roman" w:hAnsi="Times New Roman" w:cs="Times New Roman" w:eastAsia="Times New Roman" w:hint="default"/>
          <w:spacing w:val="-4"/>
        </w:rPr>
        <w:t>[2012]27</w:t>
      </w:r>
      <w:r>
        <w:rPr>
          <w:rFonts w:ascii="Times New Roman" w:hAnsi="Times New Roman" w:cs="Times New Roman" w:eastAsia="Times New Roman" w:hint="default"/>
        </w:rPr>
        <w:t> </w:t>
      </w:r>
      <w:r>
        <w:rPr>
          <w:spacing w:val="-1"/>
        </w:rPr>
        <w:t>号）相关规定，享受企业所得税“两免三减半”的税收优惠政策。</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0"/>
        </w:rPr>
        <w:t> </w:t>
      </w:r>
      <w:r>
        <w:rPr/>
        <w:t>年度及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年度免征企业所得税，</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年度企业所得税税率为</w:t>
      </w:r>
      <w:r>
        <w:rPr>
          <w:spacing w:val="-46"/>
        </w:rPr>
        <w:t> </w:t>
      </w:r>
      <w:r>
        <w:rPr>
          <w:rFonts w:ascii="Times New Roman" w:hAnsi="Times New Roman" w:cs="Times New Roman" w:eastAsia="Times New Roman" w:hint="default"/>
        </w:rPr>
        <w:t>12.5%</w:t>
      </w:r>
      <w:r>
        <w:rPr/>
        <w:t>。</w:t>
      </w:r>
    </w:p>
    <w:p>
      <w:pPr>
        <w:pStyle w:val="BodyText"/>
        <w:spacing w:line="316" w:lineRule="auto" w:before="43"/>
        <w:ind w:left="174" w:right="1131" w:firstLine="360"/>
        <w:jc w:val="both"/>
      </w:pPr>
      <w:r>
        <w:rPr/>
        <w:t>方欣科技下属公司青岛高新金财信息科技有限公司根</w:t>
      </w:r>
      <w:r>
        <w:rPr>
          <w:spacing w:val="-82"/>
        </w:rPr>
        <w:t>据</w:t>
      </w:r>
      <w:r>
        <w:rPr/>
        <w:t>《财政部国家税务总局关于进一步鼓励软件产业和集成电路产业</w:t>
      </w:r>
      <w:r>
        <w:rPr/>
        <w:t> 发展企业所得税政策的通知</w:t>
      </w:r>
      <w:r>
        <w:rPr>
          <w:spacing w:val="-94"/>
        </w:rPr>
        <w:t>》</w:t>
      </w:r>
      <w:r>
        <w:rPr/>
        <w:t>（财税</w:t>
      </w:r>
      <w:r>
        <w:rPr>
          <w:rFonts w:ascii="Times New Roman" w:hAnsi="Times New Roman" w:cs="Times New Roman" w:eastAsia="Times New Roman" w:hint="default"/>
        </w:rPr>
        <w:t>[2012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spacing w:val="-4"/>
        </w:rPr>
        <w:t>）</w:t>
      </w:r>
      <w:r>
        <w:rPr/>
        <w:t>相关规定</w:t>
      </w:r>
      <w:r>
        <w:rPr>
          <w:spacing w:val="-4"/>
        </w:rPr>
        <w:t>，</w:t>
      </w:r>
      <w:r>
        <w:rPr/>
        <w:t>享受企业所得</w:t>
      </w:r>
      <w:r>
        <w:rPr>
          <w:spacing w:val="-4"/>
        </w:rPr>
        <w:t>税</w:t>
      </w:r>
      <w:r>
        <w:rPr/>
        <w:t>“两免三减半</w:t>
      </w:r>
      <w:r>
        <w:rPr>
          <w:spacing w:val="-4"/>
        </w:rPr>
        <w:t>”</w:t>
      </w:r>
      <w:r>
        <w:rPr/>
        <w:t>的税收优惠政策</w:t>
      </w:r>
      <w:r>
        <w:rPr>
          <w:spacing w:val="-4"/>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年度及</w:t>
      </w:r>
    </w:p>
    <w:p>
      <w:pPr>
        <w:spacing w:after="0" w:line="316" w:lineRule="auto"/>
        <w:jc w:val="both"/>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left="17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年度免征企业所得税，</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年度企业所得税税率为</w:t>
      </w:r>
      <w:r>
        <w:rPr>
          <w:spacing w:val="-46"/>
        </w:rPr>
        <w:t> </w:t>
      </w:r>
      <w:r>
        <w:rPr>
          <w:rFonts w:ascii="Times New Roman" w:hAnsi="Times New Roman" w:cs="Times New Roman" w:eastAsia="Times New Roman" w:hint="default"/>
        </w:rPr>
        <w:t>12.5%</w:t>
      </w:r>
      <w:r>
        <w:rPr/>
        <w:t>。</w:t>
      </w:r>
    </w:p>
    <w:p>
      <w:pPr>
        <w:pStyle w:val="BodyText"/>
        <w:spacing w:line="300" w:lineRule="auto" w:before="101"/>
        <w:ind w:left="174" w:right="1130" w:firstLine="360"/>
        <w:jc w:val="both"/>
      </w:pPr>
      <w:r>
        <w:rPr/>
        <w:t>方欣科技下属公司北京方欣恒利科技有限公司于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日获得由北京市科学技术委员会、北京市财政局、北 京市国家税务局、北京市地方税务局共同颁发的高新技术企业证书，证书编号为</w:t>
      </w:r>
      <w:r>
        <w:rPr>
          <w:spacing w:val="-70"/>
        </w:rPr>
        <w:t> </w:t>
      </w:r>
      <w:r>
        <w:rPr>
          <w:rFonts w:ascii="Times New Roman" w:hAnsi="Times New Roman" w:cs="Times New Roman" w:eastAsia="Times New Roman" w:hint="default"/>
        </w:rPr>
        <w:t>GR201711003947</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年度执行</w:t>
      </w:r>
      <w:r>
        <w:rPr>
          <w:spacing w:val="-70"/>
        </w:rPr>
        <w:t> </w:t>
      </w:r>
      <w:r>
        <w:rPr>
          <w:rFonts w:ascii="Times New Roman" w:hAnsi="Times New Roman" w:cs="Times New Roman" w:eastAsia="Times New Roman" w:hint="default"/>
        </w:rPr>
        <w:t>15%</w:t>
      </w:r>
      <w:r>
        <w:rPr/>
        <w:t>的所</w:t>
      </w:r>
      <w:r>
        <w:rPr>
          <w:spacing w:val="1"/>
        </w:rPr>
        <w:t> </w:t>
      </w:r>
      <w:r>
        <w:rPr/>
        <w:t>得税率。</w:t>
      </w:r>
    </w:p>
    <w:p>
      <w:pPr>
        <w:pStyle w:val="BodyText"/>
        <w:spacing w:line="300" w:lineRule="auto" w:before="71"/>
        <w:ind w:left="174" w:right="1132" w:firstLine="360"/>
        <w:jc w:val="both"/>
      </w:pPr>
      <w:r>
        <w:rPr/>
        <w:t>方欣下属公司青岛百旺金赋信息科技有限公司于</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4"/>
        </w:rPr>
        <w:t>日获得由青岛市科学技术局、青岛市财政局、青岛市国</w:t>
      </w:r>
      <w:r>
        <w:rPr/>
        <w:t> 家税务局、青岛市地方税务局共同颁发的高新技术企业证书，证书编号为 </w:t>
      </w:r>
      <w:r>
        <w:rPr>
          <w:rFonts w:ascii="Times New Roman" w:hAnsi="Times New Roman" w:cs="Times New Roman" w:eastAsia="Times New Roman" w:hint="default"/>
        </w:rPr>
        <w:t>GR201737100637</w:t>
      </w:r>
      <w:r>
        <w:rPr/>
        <w:t>，</w:t>
      </w:r>
      <w:r>
        <w:rPr>
          <w:rFonts w:ascii="Times New Roman" w:hAnsi="Times New Roman" w:cs="Times New Roman" w:eastAsia="Times New Roman" w:hint="default"/>
        </w:rPr>
        <w:t>2018 </w:t>
      </w:r>
      <w:r>
        <w:rPr/>
        <w:t>年度执行</w:t>
      </w:r>
      <w:r>
        <w:rPr>
          <w:spacing w:val="-47"/>
        </w:rPr>
        <w:t> </w:t>
      </w:r>
      <w:r>
        <w:rPr>
          <w:rFonts w:ascii="Times New Roman" w:hAnsi="Times New Roman" w:cs="Times New Roman" w:eastAsia="Times New Roman" w:hint="default"/>
        </w:rPr>
        <w:t>15%</w:t>
      </w:r>
      <w:r>
        <w:rPr/>
        <w:t>的所得税 率。</w:t>
      </w:r>
    </w:p>
    <w:p>
      <w:pPr>
        <w:pStyle w:val="BodyText"/>
        <w:spacing w:line="309" w:lineRule="auto" w:before="70"/>
        <w:ind w:left="174" w:right="1026" w:firstLine="360"/>
        <w:jc w:val="left"/>
      </w:pPr>
      <w:r>
        <w:rPr/>
        <w:t>方欣下属公司金财互联数据服务有限公司根据《国务院进一步鼓励软件产业和集成电路产业发展的若干政策</w:t>
      </w:r>
      <w:r>
        <w:rPr>
          <w:spacing w:val="-90"/>
        </w:rPr>
        <w:t>》</w:t>
      </w:r>
      <w:r>
        <w:rPr/>
        <w:t>（国发</w:t>
      </w:r>
      <w:r>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号</w:t>
      </w:r>
      <w:r>
        <w:rPr>
          <w:spacing w:val="-10"/>
        </w:rPr>
        <w:t>）</w:t>
      </w:r>
      <w:r>
        <w:rPr>
          <w:spacing w:val="-9"/>
        </w:rPr>
        <w:t>和</w:t>
      </w:r>
      <w:r>
        <w:rPr/>
        <w:t>《关于软件和集成电路产业企业所得税优惠政策有关问题的通知</w:t>
      </w:r>
      <w:r>
        <w:rPr>
          <w:spacing w:val="-100"/>
        </w:rPr>
        <w:t>》</w:t>
      </w:r>
      <w:r>
        <w:rPr/>
        <w:t>（财税</w:t>
      </w:r>
      <w:r>
        <w:rPr>
          <w:rFonts w:ascii="Times New Roman" w:hAnsi="Times New Roman" w:cs="Times New Roman" w:eastAsia="Times New Roman" w:hint="default"/>
        </w:rPr>
        <w:t>[2016</w:t>
      </w:r>
      <w:r>
        <w:rPr>
          <w:rFonts w:ascii="Times New Roman" w:hAnsi="Times New Roman" w:cs="Times New Roman" w:eastAsia="Times New Roman" w:hint="default"/>
          <w:spacing w:val="-2"/>
        </w:rPr>
        <w:t>]</w:t>
      </w:r>
      <w:r>
        <w:rPr>
          <w:rFonts w:ascii="Times New Roman" w:hAnsi="Times New Roman" w:cs="Times New Roman" w:eastAsia="Times New Roman" w:hint="default"/>
        </w:rPr>
        <w:t>49</w:t>
      </w:r>
      <w:r>
        <w:rPr>
          <w:rFonts w:ascii="Times New Roman" w:hAnsi="Times New Roman" w:cs="Times New Roman" w:eastAsia="Times New Roman" w:hint="default"/>
          <w:spacing w:val="-1"/>
        </w:rPr>
        <w:t> </w:t>
      </w:r>
      <w:r>
        <w:rPr>
          <w:spacing w:val="1"/>
        </w:rPr>
        <w:t>号</w:t>
      </w:r>
      <w:r>
        <w:rPr>
          <w:spacing w:val="-10"/>
        </w:rPr>
        <w:t>）</w:t>
      </w:r>
      <w:r>
        <w:rPr/>
        <w:t>相关规定</w:t>
      </w:r>
      <w:r>
        <w:rPr>
          <w:spacing w:val="-9"/>
        </w:rPr>
        <w:t>，</w:t>
      </w:r>
      <w:r>
        <w:rPr/>
        <w:t>享受企</w:t>
      </w:r>
      <w:r>
        <w:rPr>
          <w:spacing w:val="1"/>
        </w:rPr>
        <w:t>业</w:t>
      </w:r>
      <w:r>
        <w:rPr/>
        <w:t>所</w:t>
      </w:r>
      <w:r>
        <w:rPr/>
        <w:t> 得</w:t>
      </w:r>
      <w:r>
        <w:rPr>
          <w:spacing w:val="-90"/>
        </w:rPr>
        <w:t>税</w:t>
      </w:r>
      <w:r>
        <w:rPr/>
        <w:t>“两免三减半</w:t>
      </w:r>
      <w:r>
        <w:rPr>
          <w:spacing w:val="-90"/>
        </w:rPr>
        <w:t>”</w:t>
      </w:r>
      <w:r>
        <w:rPr/>
        <w:t>的税收优惠政策</w:t>
      </w:r>
      <w:r>
        <w:rPr>
          <w:spacing w:val="-90"/>
        </w:rPr>
        <w:t>。</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年度及</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年度</w:t>
      </w:r>
      <w:r>
        <w:rPr>
          <w:spacing w:val="1"/>
        </w:rPr>
        <w:t>免</w:t>
      </w:r>
      <w:r>
        <w:rPr/>
        <w:t>征企业所得税</w:t>
      </w:r>
      <w:r>
        <w:rPr>
          <w:spacing w:val="-90"/>
        </w:rPr>
        <w:t>，</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年度至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年度企业所得税税率为</w:t>
      </w:r>
      <w:r>
        <w:rPr>
          <w:spacing w:val="-53"/>
        </w:rPr>
        <w:t> </w:t>
      </w:r>
      <w:r>
        <w:rPr>
          <w:rFonts w:ascii="Times New Roman" w:hAnsi="Times New Roman" w:cs="Times New Roman" w:eastAsia="Times New Roman" w:hint="default"/>
        </w:rPr>
        <w:t>12.5%</w:t>
      </w:r>
      <w:r>
        <w:rPr/>
        <w:t>。</w:t>
      </w:r>
    </w:p>
    <w:p>
      <w:pPr>
        <w:pStyle w:val="BodyText"/>
        <w:spacing w:line="307" w:lineRule="auto" w:before="43"/>
        <w:ind w:left="174" w:right="1130" w:firstLine="360"/>
        <w:jc w:val="both"/>
      </w:pPr>
      <w:r>
        <w:rPr/>
        <w:t>方欣科技下属公司新疆金财立信财务管理有限公司根据《财政部 国家税务总局关于新疆喀什霍尔果斯两个特殊经济开 </w:t>
      </w:r>
      <w:r>
        <w:rPr>
          <w:spacing w:val="-5"/>
        </w:rPr>
        <w:t>发区企业所得税优惠政策的通知》（财税</w:t>
      </w:r>
      <w:r>
        <w:rPr>
          <w:rFonts w:ascii="Times New Roman" w:hAnsi="Times New Roman" w:cs="Times New Roman" w:eastAsia="Times New Roman" w:hint="default"/>
          <w:spacing w:val="-5"/>
        </w:rPr>
        <w:t>[2011]112</w:t>
      </w:r>
      <w:r>
        <w:rPr>
          <w:rFonts w:ascii="Times New Roman" w:hAnsi="Times New Roman" w:cs="Times New Roman" w:eastAsia="Times New Roman" w:hint="default"/>
          <w:spacing w:val="25"/>
        </w:rPr>
        <w:t> </w:t>
      </w:r>
      <w:r>
        <w:rPr>
          <w:spacing w:val="-2"/>
        </w:rPr>
        <w:t>号）及《财政部、国家税务总局、国家发展改革委、工业和信息化部关于</w:t>
      </w:r>
      <w:r>
        <w:rPr>
          <w:spacing w:val="-81"/>
        </w:rPr>
        <w:t> </w:t>
      </w:r>
      <w:r>
        <w:rPr>
          <w:spacing w:val="-81"/>
        </w:rPr>
      </w:r>
      <w:r>
        <w:rPr>
          <w:spacing w:val="-3"/>
        </w:rPr>
        <w:t>公布新疆困难地区重点鼓励发展产业企业所得税优惠目录（试行）的通知》（财税</w:t>
      </w:r>
      <w:r>
        <w:rPr>
          <w:rFonts w:ascii="Times New Roman" w:hAnsi="Times New Roman" w:cs="Times New Roman" w:eastAsia="Times New Roman" w:hint="default"/>
          <w:spacing w:val="-3"/>
        </w:rPr>
        <w:t>[2016]85</w:t>
      </w:r>
      <w:r>
        <w:rPr>
          <w:rFonts w:ascii="Times New Roman" w:hAnsi="Times New Roman" w:cs="Times New Roman" w:eastAsia="Times New Roman" w:hint="default"/>
          <w:spacing w:val="12"/>
        </w:rPr>
        <w:t> </w:t>
      </w:r>
      <w:r>
        <w:rPr>
          <w:spacing w:val="-1"/>
        </w:rPr>
        <w:t>号）相关规定，</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2"/>
        </w:rPr>
        <w:t> </w:t>
      </w:r>
      <w:r>
        <w:rPr/>
        <w:t>年度免征企</w:t>
      </w:r>
      <w:r>
        <w:rPr>
          <w:spacing w:val="-87"/>
        </w:rPr>
        <w:t> </w:t>
      </w:r>
      <w:r>
        <w:rPr>
          <w:spacing w:val="-87"/>
        </w:rPr>
      </w:r>
      <w:r>
        <w:rPr/>
        <w:t>业所得税。</w:t>
      </w:r>
    </w:p>
    <w:p>
      <w:pPr>
        <w:pStyle w:val="BodyText"/>
        <w:spacing w:line="302" w:lineRule="auto" w:before="65"/>
        <w:ind w:left="174" w:right="1131" w:firstLine="360"/>
        <w:jc w:val="both"/>
      </w:pPr>
      <w:r>
        <w:rPr/>
        <w:t>公司子公司丰东热技术</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日取得由江苏省科学技术厅、江苏省财政厅、国家税务总局江苏省税务局颁发的</w:t>
      </w:r>
      <w:r>
        <w:rPr/>
        <w:t> 高新技术企业证书，证书编号为：</w:t>
      </w:r>
      <w:r>
        <w:rPr>
          <w:rFonts w:ascii="Times New Roman" w:hAnsi="Times New Roman" w:cs="Times New Roman" w:eastAsia="Times New Roman" w:hint="default"/>
        </w:rPr>
        <w:t>GR201832007676</w:t>
      </w:r>
      <w:r>
        <w:rPr/>
        <w:t>，</w:t>
      </w:r>
      <w:r>
        <w:rPr>
          <w:rFonts w:ascii="Times New Roman" w:hAnsi="Times New Roman" w:cs="Times New Roman" w:eastAsia="Times New Roman" w:hint="default"/>
        </w:rPr>
        <w:t>2018 </w:t>
      </w:r>
      <w:r>
        <w:rPr/>
        <w:t>年度执行</w:t>
      </w:r>
      <w:r>
        <w:rPr>
          <w:spacing w:val="-47"/>
        </w:rPr>
        <w:t> </w:t>
      </w:r>
      <w:r>
        <w:rPr>
          <w:rFonts w:ascii="Times New Roman" w:hAnsi="Times New Roman" w:cs="Times New Roman" w:eastAsia="Times New Roman" w:hint="default"/>
        </w:rPr>
        <w:t>15%</w:t>
      </w:r>
      <w:r>
        <w:rPr/>
        <w:t>的所得税率。</w:t>
      </w:r>
    </w:p>
    <w:p>
      <w:pPr>
        <w:pStyle w:val="BodyText"/>
        <w:spacing w:line="300" w:lineRule="auto" w:before="49"/>
        <w:ind w:left="174" w:right="1121" w:firstLine="360"/>
        <w:jc w:val="left"/>
      </w:pPr>
      <w:r>
        <w:rPr/>
        <w:t>丰东热技术下属公司青岛丰东</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日通过高新技术企业复审，获得由青岛市科学技术局、青岛市财政局、山</w:t>
      </w:r>
      <w:r>
        <w:rPr/>
        <w:t> 东省青岛市国家税务局、青岛市地方税务局共同颁发的高新技术企业证书，证书编号为</w:t>
      </w:r>
      <w:r>
        <w:rPr>
          <w:spacing w:val="-45"/>
        </w:rPr>
        <w:t> </w:t>
      </w:r>
      <w:r>
        <w:rPr>
          <w:rFonts w:ascii="Times New Roman" w:hAnsi="Times New Roman" w:cs="Times New Roman" w:eastAsia="Times New Roman" w:hint="default"/>
        </w:rPr>
        <w:t>GR201737100496</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年度执行 </w:t>
      </w:r>
      <w:r>
        <w:rPr>
          <w:rFonts w:ascii="Times New Roman" w:hAnsi="Times New Roman" w:cs="Times New Roman" w:eastAsia="Times New Roman" w:hint="default"/>
        </w:rPr>
        <w:t>15%</w:t>
      </w:r>
      <w:r>
        <w:rPr/>
        <w:t>的所得税率。</w:t>
      </w:r>
    </w:p>
    <w:p>
      <w:pPr>
        <w:pStyle w:val="BodyText"/>
        <w:spacing w:line="302" w:lineRule="auto" w:before="51"/>
        <w:ind w:left="174" w:right="1132" w:firstLine="360"/>
        <w:jc w:val="both"/>
      </w:pPr>
      <w:r>
        <w:rPr/>
        <w:t>丰东热技术下属公司特种炉业</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日通过高新技术企业复审，获得由江苏省科学技术厅、江苏省财政厅、 江苏省国家税务局、江苏省地方税务局共同颁发的高新技术企业证书，证书编号为</w:t>
      </w:r>
      <w:r>
        <w:rPr>
          <w:spacing w:val="-70"/>
        </w:rPr>
        <w:t> </w:t>
      </w:r>
      <w:r>
        <w:rPr>
          <w:rFonts w:ascii="Times New Roman" w:hAnsi="Times New Roman" w:cs="Times New Roman" w:eastAsia="Times New Roman" w:hint="default"/>
        </w:rPr>
        <w:t>GR201632001107</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年度执行</w:t>
      </w:r>
      <w:r>
        <w:rPr>
          <w:spacing w:val="-71"/>
        </w:rPr>
        <w:t> </w:t>
      </w:r>
      <w:r>
        <w:rPr>
          <w:rFonts w:ascii="Times New Roman" w:hAnsi="Times New Roman" w:cs="Times New Roman" w:eastAsia="Times New Roman" w:hint="default"/>
        </w:rPr>
        <w:t>15%</w:t>
      </w:r>
      <w:r>
        <w:rPr/>
        <w:t>的 所得税率。</w:t>
      </w:r>
    </w:p>
    <w:p>
      <w:pPr>
        <w:pStyle w:val="BodyText"/>
        <w:spacing w:line="309" w:lineRule="auto" w:before="69"/>
        <w:ind w:left="174" w:right="1112" w:firstLine="360"/>
        <w:jc w:val="left"/>
      </w:pPr>
      <w:r>
        <w:rPr/>
        <w:t>丰东热技术下属公司重庆丰东热处理工程有限公司，系重庆市民政局发证的社会福利企业，证号为福企证字第 </w:t>
      </w:r>
      <w:r>
        <w:rPr>
          <w:rFonts w:ascii="Times New Roman" w:hAnsi="Times New Roman" w:cs="Times New Roman" w:eastAsia="Times New Roman" w:hint="default"/>
        </w:rPr>
        <w:t>500059990636</w:t>
      </w:r>
      <w:r>
        <w:rPr>
          <w:rFonts w:ascii="Times New Roman" w:hAnsi="Times New Roman" w:cs="Times New Roman" w:eastAsia="Times New Roman" w:hint="default"/>
          <w:spacing w:val="-25"/>
        </w:rPr>
        <w:t> </w:t>
      </w:r>
      <w:r>
        <w:rPr/>
        <w:t>号，按照《财政部、国家税务总局关于促进残疾人就业税收优惠政策的通知》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[2007]92</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，享受有关税 收优惠政策。</w:t>
      </w:r>
    </w:p>
    <w:p>
      <w:pPr>
        <w:pStyle w:val="BodyText"/>
        <w:spacing w:line="302" w:lineRule="auto" w:before="62"/>
        <w:ind w:left="174" w:right="1146" w:firstLine="360"/>
        <w:jc w:val="both"/>
      </w:pPr>
      <w:r>
        <w:rPr/>
        <w:t>丰东热技术下属公司上海丰东</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日获得由上海市科学技术委员会、上海市财政局、上海市国家税务局、 上海市地方税务局共同颁发的高新技术企业证书，证书编号为</w:t>
      </w:r>
      <w:r>
        <w:rPr>
          <w:spacing w:val="-45"/>
        </w:rPr>
        <w:t> </w:t>
      </w:r>
      <w:r>
        <w:rPr>
          <w:rFonts w:ascii="Times New Roman" w:hAnsi="Times New Roman" w:cs="Times New Roman" w:eastAsia="Times New Roman" w:hint="default"/>
        </w:rPr>
        <w:t>GR201731002623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年度执行</w:t>
      </w:r>
      <w:r>
        <w:rPr>
          <w:spacing w:val="-46"/>
        </w:rPr>
        <w:t> </w:t>
      </w:r>
      <w:r>
        <w:rPr>
          <w:rFonts w:ascii="Times New Roman" w:hAnsi="Times New Roman" w:cs="Times New Roman" w:eastAsia="Times New Roman" w:hint="default"/>
        </w:rPr>
        <w:t>15%</w:t>
      </w:r>
      <w:r>
        <w:rPr/>
        <w:t>的所得税率。</w:t>
      </w:r>
    </w:p>
    <w:p>
      <w:pPr>
        <w:pStyle w:val="BodyText"/>
        <w:spacing w:line="300" w:lineRule="auto" w:before="49"/>
        <w:ind w:left="174" w:right="1133" w:firstLine="360"/>
        <w:jc w:val="both"/>
      </w:pPr>
      <w:r>
        <w:rPr/>
        <w:t>丰东热技术下属公司江苏丰东热处理及表面改性工程技术研究有限公司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日取得由江苏省科学技术厅、 江苏省财政厅、江苏省国家税务局、江苏省地方税务局颁发的高新技术企业证书，证书编号为：</w:t>
      </w:r>
      <w:r>
        <w:rPr>
          <w:rFonts w:ascii="Times New Roman" w:hAnsi="Times New Roman" w:cs="Times New Roman" w:eastAsia="Times New Roman" w:hint="default"/>
        </w:rPr>
        <w:t>GR201732000882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 度执行</w:t>
      </w:r>
      <w:r>
        <w:rPr>
          <w:spacing w:val="-46"/>
        </w:rPr>
        <w:t> </w:t>
      </w:r>
      <w:r>
        <w:rPr>
          <w:rFonts w:ascii="Times New Roman" w:hAnsi="Times New Roman" w:cs="Times New Roman" w:eastAsia="Times New Roman" w:hint="default"/>
        </w:rPr>
        <w:t>15%</w:t>
      </w:r>
      <w:r>
        <w:rPr/>
        <w:t>的所得税率。</w:t>
      </w:r>
    </w:p>
    <w:p>
      <w:pPr>
        <w:pStyle w:val="BodyText"/>
        <w:spacing w:line="340" w:lineRule="auto" w:before="133"/>
        <w:ind w:right="148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参见上述税收优惠中关于方欣科技及其下属公司关于优惠政策的描述部分。</w:t>
      </w:r>
    </w:p>
    <w:p>
      <w:pPr>
        <w:pStyle w:val="Heading3"/>
        <w:spacing w:line="240" w:lineRule="auto" w:before="150"/>
        <w:ind w:right="0"/>
        <w:jc w:val="left"/>
        <w:rPr>
          <w:b w:val="0"/>
          <w:bCs w:val="0"/>
        </w:rPr>
      </w:pPr>
      <w:bookmarkStart w:name="3、其他" w:id="241"/>
      <w:bookmarkEnd w:id="241"/>
      <w:r>
        <w:rPr>
          <w:b w:val="0"/>
          <w:bCs w:val="0"/>
        </w:rPr>
      </w:r>
      <w:r>
        <w:rPr>
          <w:rFonts w:ascii="Times New Roman" w:hAnsi="Times New Roman" w:cs="Times New Roman" w:eastAsia="Times New Roman" w:hint="default"/>
        </w:rPr>
        <w:t>3</w:t>
      </w:r>
      <w:r>
        <w:rPr/>
        <w:t>、其他</w:t>
      </w:r>
      <w:r>
        <w:rPr>
          <w:b w:val="0"/>
          <w:bCs w:val="0"/>
        </w:rPr>
      </w:r>
    </w:p>
    <w:p>
      <w:pPr>
        <w:pStyle w:val="BodyText"/>
        <w:spacing w:line="240" w:lineRule="auto" w:before="158"/>
        <w:ind w:right="0"/>
        <w:jc w:val="left"/>
      </w:pPr>
      <w:r>
        <w:rPr/>
        <w:t>无</w:t>
      </w:r>
    </w:p>
    <w:p>
      <w:pPr>
        <w:spacing w:line="240" w:lineRule="auto" w:before="0"/>
        <w:rPr>
          <w:rFonts w:ascii="宋体" w:hAnsi="宋体" w:cs="宋体" w:eastAsia="宋体" w:hint="default"/>
          <w:sz w:val="18"/>
          <w:szCs w:val="18"/>
        </w:rPr>
      </w:pPr>
    </w:p>
    <w:p>
      <w:pPr>
        <w:pStyle w:val="Heading2"/>
        <w:spacing w:line="240" w:lineRule="auto" w:before="138"/>
        <w:ind w:right="0"/>
        <w:jc w:val="left"/>
        <w:rPr>
          <w:b w:val="0"/>
          <w:bCs w:val="0"/>
        </w:rPr>
      </w:pPr>
      <w:bookmarkStart w:name="七、合并财务报表项目注释" w:id="242"/>
      <w:bookmarkEnd w:id="242"/>
      <w:r>
        <w:rPr>
          <w:b w:val="0"/>
          <w:bCs w:val="0"/>
        </w:rPr>
      </w:r>
      <w:r>
        <w:rPr/>
        <w:t>七、合并财务报表项目注释</w:t>
      </w:r>
      <w:r>
        <w:rPr>
          <w:b w:val="0"/>
          <w:bCs w:val="0"/>
        </w:rPr>
      </w:r>
    </w:p>
    <w:p>
      <w:pPr>
        <w:spacing w:line="240" w:lineRule="auto" w:before="2"/>
        <w:rPr>
          <w:rFonts w:ascii="宋体" w:hAnsi="宋体" w:cs="宋体" w:eastAsia="宋体" w:hint="default"/>
          <w:b/>
          <w:bCs/>
          <w:sz w:val="29"/>
          <w:szCs w:val="29"/>
        </w:rPr>
      </w:pPr>
    </w:p>
    <w:p>
      <w:pPr>
        <w:pStyle w:val="Heading3"/>
        <w:spacing w:line="240" w:lineRule="auto" w:before="0"/>
        <w:ind w:right="0"/>
        <w:jc w:val="left"/>
        <w:rPr>
          <w:b w:val="0"/>
          <w:bCs w:val="0"/>
        </w:rPr>
      </w:pPr>
      <w:bookmarkStart w:name="1、货币资金" w:id="243"/>
      <w:bookmarkEnd w:id="243"/>
      <w:r>
        <w:rPr>
          <w:b w:val="0"/>
          <w:bCs w:val="0"/>
        </w:rPr>
      </w:r>
      <w:r>
        <w:rPr>
          <w:rFonts w:ascii="Times New Roman" w:hAnsi="Times New Roman" w:cs="Times New Roman" w:eastAsia="Times New Roman" w:hint="default"/>
        </w:rPr>
        <w:t>1</w:t>
      </w:r>
      <w:r>
        <w:rPr/>
        <w:t>、货币资金</w:t>
      </w:r>
      <w:r>
        <w:rPr>
          <w:b w:val="0"/>
          <w:bCs w:val="0"/>
        </w:rPr>
      </w:r>
    </w:p>
    <w:p>
      <w:pPr>
        <w:pStyle w:val="BodyText"/>
        <w:spacing w:line="240" w:lineRule="auto" w:before="15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1,511,309.52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1,791,138.58</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3189"/>
        <w:gridCol w:w="3191"/>
        <w:gridCol w:w="3190"/>
      </w:tblGrid>
      <w:tr>
        <w:trPr>
          <w:trHeight w:val="33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789,334,682.04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721,590,947.13</w:t>
            </w:r>
          </w:p>
        </w:tc>
      </w:tr>
      <w:tr>
        <w:trPr>
          <w:trHeight w:val="33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50,047,550.71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3,596,775.10</w:t>
            </w:r>
          </w:p>
        </w:tc>
      </w:tr>
      <w:tr>
        <w:trPr>
          <w:trHeight w:val="33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840,893,542.27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726,978,860.81</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衍生金融资产" w:id="244"/>
      <w:bookmarkEnd w:id="244"/>
      <w:r>
        <w:rPr>
          <w:b w:val="0"/>
          <w:bCs w:val="0"/>
        </w:rPr>
      </w:r>
      <w:r>
        <w:rPr>
          <w:rFonts w:ascii="Times New Roman" w:hAnsi="Times New Roman" w:cs="Times New Roman" w:eastAsia="Times New Roman" w:hint="default"/>
        </w:rPr>
        <w:t>2</w:t>
      </w:r>
      <w:r>
        <w:rPr/>
        <w:t>、衍生金融资产</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3、应收票据及应收账款" w:id="245"/>
      <w:bookmarkEnd w:id="245"/>
      <w:r>
        <w:rPr>
          <w:b w:val="0"/>
          <w:bCs w:val="0"/>
        </w:rPr>
      </w:r>
      <w:r>
        <w:rPr>
          <w:rFonts w:ascii="Times New Roman" w:hAnsi="Times New Roman" w:cs="Times New Roman" w:eastAsia="Times New Roman" w:hint="default"/>
        </w:rPr>
        <w:t>3</w:t>
      </w:r>
      <w:r>
        <w:rPr/>
        <w:t>、应收票据及应收账款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36,062,369.74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52,204,084.17</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508,910,455.32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370,991,271.13</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544,972,825.06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423,195,355.30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应收票据" w:id="246"/>
      <w:bookmarkEnd w:id="24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33,961,369.74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45,337,684.17</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2,101,000.00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6,866,400.00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36,062,369.74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52,204,084.17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应收账款" w:id="247"/>
      <w:bookmarkEnd w:id="24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325"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30"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5"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20" w:hRule="exact"/>
        </w:trPr>
        <w:tc>
          <w:tcPr>
            <w:tcW w:w="1623"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9" w:space="0" w:color="D2D2D2"/>
            </w:tcBorders>
          </w:tcPr>
          <w:p>
            <w:pPr>
              <w:pStyle w:val="TableParagraph"/>
              <w:spacing w:line="156"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6"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0"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10"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8" w:space="0" w:color="D2D2D2"/>
              <w:left w:val="single" w:sz="13" w:space="0" w:color="D2D2D2"/>
              <w:bottom w:val="single" w:sz="4" w:space="0" w:color="000000"/>
              <w:right w:val="single" w:sz="4" w:space="0" w:color="000000"/>
            </w:tcBorders>
          </w:tcPr>
          <w:p>
            <w:pPr/>
          </w:p>
        </w:tc>
        <w:tc>
          <w:tcPr>
            <w:tcW w:w="762" w:type="dxa"/>
            <w:tcBorders>
              <w:top w:val="single" w:sz="48" w:space="0" w:color="D2D2D2"/>
              <w:left w:val="single" w:sz="4" w:space="0" w:color="000000"/>
              <w:bottom w:val="single" w:sz="4" w:space="0" w:color="000000"/>
              <w:right w:val="single" w:sz="4" w:space="0" w:color="000000"/>
            </w:tcBorders>
          </w:tcPr>
          <w:p>
            <w:pPr/>
          </w:p>
        </w:tc>
        <w:tc>
          <w:tcPr>
            <w:tcW w:w="762" w:type="dxa"/>
            <w:tcBorders>
              <w:top w:val="single" w:sz="48" w:space="0" w:color="D2D2D2"/>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8"/>
              <w:ind w:left="57" w:right="0"/>
              <w:jc w:val="center"/>
              <w:rPr>
                <w:rFonts w:ascii="Times New Roman" w:hAnsi="Times New Roman" w:cs="Times New Roman" w:eastAsia="Times New Roman" w:hint="default"/>
                <w:sz w:val="18"/>
                <w:szCs w:val="18"/>
              </w:rPr>
            </w:pPr>
            <w:r>
              <w:rPr>
                <w:rFonts w:ascii="Times New Roman"/>
                <w:sz w:val="18"/>
              </w:rPr>
              <w:t>3,803,7</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59.00</w:t>
            </w:r>
          </w:p>
        </w:tc>
        <w:tc>
          <w:tcPr>
            <w:tcW w:w="76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813"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3,803,759</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554,398,</w:t>
            </w:r>
          </w:p>
          <w:p>
            <w:pPr>
              <w:pStyle w:val="TableParagraph"/>
              <w:spacing w:line="240" w:lineRule="auto" w:before="33"/>
              <w:ind w:left="212" w:right="0"/>
              <w:jc w:val="center"/>
              <w:rPr>
                <w:rFonts w:ascii="Times New Roman" w:hAnsi="Times New Roman" w:cs="Times New Roman" w:eastAsia="Times New Roman" w:hint="default"/>
                <w:sz w:val="18"/>
                <w:szCs w:val="18"/>
              </w:rPr>
            </w:pPr>
            <w:r>
              <w:rPr>
                <w:rFonts w:ascii="Times New Roman"/>
                <w:sz w:val="18"/>
              </w:rPr>
              <w:t>082.01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45,487,6</w:t>
            </w:r>
          </w:p>
          <w:p>
            <w:pPr>
              <w:pStyle w:val="TableParagraph"/>
              <w:spacing w:line="240" w:lineRule="auto" w:before="33"/>
              <w:ind w:left="323" w:right="0"/>
              <w:jc w:val="left"/>
              <w:rPr>
                <w:rFonts w:ascii="Times New Roman" w:hAnsi="Times New Roman" w:cs="Times New Roman" w:eastAsia="Times New Roman" w:hint="default"/>
                <w:sz w:val="18"/>
                <w:szCs w:val="18"/>
              </w:rPr>
            </w:pPr>
            <w:r>
              <w:rPr>
                <w:rFonts w:ascii="Times New Roman"/>
                <w:sz w:val="18"/>
              </w:rPr>
              <w:t>26.69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508,910,4</w:t>
            </w:r>
          </w:p>
          <w:p>
            <w:pPr>
              <w:pStyle w:val="TableParagraph"/>
              <w:spacing w:line="240" w:lineRule="auto" w:before="33"/>
              <w:ind w:left="352" w:right="0"/>
              <w:jc w:val="left"/>
              <w:rPr>
                <w:rFonts w:ascii="Times New Roman" w:hAnsi="Times New Roman" w:cs="Times New Roman" w:eastAsia="Times New Roman" w:hint="default"/>
                <w:sz w:val="18"/>
                <w:szCs w:val="18"/>
              </w:rPr>
            </w:pPr>
            <w:r>
              <w:rPr>
                <w:rFonts w:ascii="Times New Roman"/>
                <w:sz w:val="18"/>
              </w:rPr>
              <w:t>55.32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402,517</w:t>
            </w:r>
          </w:p>
          <w:p>
            <w:pPr>
              <w:pStyle w:val="TableParagraph"/>
              <w:spacing w:line="240" w:lineRule="auto" w:before="33"/>
              <w:ind w:left="80" w:right="0"/>
              <w:jc w:val="left"/>
              <w:rPr>
                <w:rFonts w:ascii="Times New Roman" w:hAnsi="Times New Roman" w:cs="Times New Roman" w:eastAsia="Times New Roman" w:hint="default"/>
                <w:sz w:val="18"/>
                <w:szCs w:val="18"/>
              </w:rPr>
            </w:pPr>
            <w:r>
              <w:rPr>
                <w:rFonts w:ascii="Times New Roman"/>
                <w:sz w:val="18"/>
              </w:rPr>
              <w:t>,822.66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31,526,55</w:t>
            </w:r>
          </w:p>
          <w:p>
            <w:pPr>
              <w:pStyle w:val="TableParagraph"/>
              <w:spacing w:line="240" w:lineRule="auto" w:before="33"/>
              <w:ind w:left="465" w:right="0"/>
              <w:jc w:val="left"/>
              <w:rPr>
                <w:rFonts w:ascii="Times New Roman" w:hAnsi="Times New Roman" w:cs="Times New Roman" w:eastAsia="Times New Roman" w:hint="default"/>
                <w:sz w:val="18"/>
                <w:szCs w:val="18"/>
              </w:rPr>
            </w:pPr>
            <w:r>
              <w:rPr>
                <w:rFonts w:ascii="Times New Roman"/>
                <w:sz w:val="18"/>
              </w:rPr>
              <w:t>1.53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370,991,27</w:t>
            </w:r>
          </w:p>
          <w:p>
            <w:pPr>
              <w:pStyle w:val="TableParagraph"/>
              <w:spacing w:line="240" w:lineRule="auto" w:before="33"/>
              <w:ind w:left="584" w:right="0"/>
              <w:jc w:val="left"/>
              <w:rPr>
                <w:rFonts w:ascii="Times New Roman" w:hAnsi="Times New Roman" w:cs="Times New Roman" w:eastAsia="Times New Roman" w:hint="default"/>
                <w:sz w:val="18"/>
                <w:szCs w:val="18"/>
              </w:rPr>
            </w:pPr>
            <w:r>
              <w:rPr>
                <w:rFonts w:ascii="Times New Roman"/>
                <w:sz w:val="18"/>
              </w:rPr>
              <w:t>1.13</w:t>
            </w:r>
          </w:p>
        </w:tc>
      </w:tr>
      <w:tr>
        <w:trPr>
          <w:trHeight w:val="810"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1,015,6</w:t>
            </w:r>
          </w:p>
          <w:p>
            <w:pPr>
              <w:pStyle w:val="TableParagraph"/>
              <w:spacing w:line="240" w:lineRule="auto" w:before="33"/>
              <w:ind w:left="192" w:right="0"/>
              <w:jc w:val="center"/>
              <w:rPr>
                <w:rFonts w:ascii="Times New Roman" w:hAnsi="Times New Roman" w:cs="Times New Roman" w:eastAsia="Times New Roman" w:hint="default"/>
                <w:sz w:val="18"/>
                <w:szCs w:val="18"/>
              </w:rPr>
            </w:pPr>
            <w:r>
              <w:rPr>
                <w:rFonts w:ascii="Times New Roman"/>
                <w:sz w:val="18"/>
              </w:rPr>
              <w:t>68.00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1,015,668</w:t>
            </w:r>
          </w:p>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40" w:lineRule="auto" w:before="63"/>
              <w:ind w:left="75" w:right="0"/>
              <w:jc w:val="center"/>
              <w:rPr>
                <w:rFonts w:ascii="Times New Roman" w:hAnsi="Times New Roman" w:cs="Times New Roman" w:eastAsia="Times New Roman" w:hint="default"/>
                <w:sz w:val="18"/>
                <w:szCs w:val="18"/>
              </w:rPr>
            </w:pPr>
            <w:r>
              <w:rPr>
                <w:rFonts w:ascii="Times New Roman"/>
                <w:sz w:val="18"/>
              </w:rPr>
              <w:t>554,398,</w:t>
            </w:r>
          </w:p>
          <w:p>
            <w:pPr>
              <w:pStyle w:val="TableParagraph"/>
              <w:spacing w:line="240" w:lineRule="auto" w:before="33"/>
              <w:ind w:left="212" w:right="0"/>
              <w:jc w:val="center"/>
              <w:rPr>
                <w:rFonts w:ascii="Times New Roman" w:hAnsi="Times New Roman" w:cs="Times New Roman" w:eastAsia="Times New Roman" w:hint="default"/>
                <w:sz w:val="18"/>
                <w:szCs w:val="18"/>
              </w:rPr>
            </w:pPr>
            <w:r>
              <w:rPr>
                <w:rFonts w:ascii="Times New Roman"/>
                <w:sz w:val="18"/>
              </w:rPr>
              <w:t>082.01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45,487,6</w:t>
            </w:r>
          </w:p>
          <w:p>
            <w:pPr>
              <w:pStyle w:val="TableParagraph"/>
              <w:spacing w:line="240" w:lineRule="auto" w:before="33"/>
              <w:ind w:left="323" w:right="0"/>
              <w:jc w:val="left"/>
              <w:rPr>
                <w:rFonts w:ascii="Times New Roman" w:hAnsi="Times New Roman" w:cs="Times New Roman" w:eastAsia="Times New Roman" w:hint="default"/>
                <w:sz w:val="18"/>
                <w:szCs w:val="18"/>
              </w:rPr>
            </w:pPr>
            <w:r>
              <w:rPr>
                <w:rFonts w:ascii="Times New Roman"/>
                <w:sz w:val="18"/>
              </w:rPr>
              <w:t>26.69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3"/>
              <w:ind w:left="37" w:right="0"/>
              <w:jc w:val="left"/>
              <w:rPr>
                <w:rFonts w:ascii="Times New Roman" w:hAnsi="Times New Roman" w:cs="Times New Roman" w:eastAsia="Times New Roman" w:hint="default"/>
                <w:sz w:val="18"/>
                <w:szCs w:val="18"/>
              </w:rPr>
            </w:pPr>
            <w:r>
              <w:rPr>
                <w:rFonts w:ascii="Times New Roman"/>
                <w:sz w:val="18"/>
              </w:rPr>
              <w:t>508,910,4</w:t>
            </w:r>
          </w:p>
          <w:p>
            <w:pPr>
              <w:pStyle w:val="TableParagraph"/>
              <w:spacing w:line="240" w:lineRule="auto" w:before="33"/>
              <w:ind w:left="352" w:right="0"/>
              <w:jc w:val="left"/>
              <w:rPr>
                <w:rFonts w:ascii="Times New Roman" w:hAnsi="Times New Roman" w:cs="Times New Roman" w:eastAsia="Times New Roman" w:hint="default"/>
                <w:sz w:val="18"/>
                <w:szCs w:val="18"/>
              </w:rPr>
            </w:pPr>
            <w:r>
              <w:rPr>
                <w:rFonts w:ascii="Times New Roman"/>
                <w:sz w:val="18"/>
              </w:rPr>
              <w:t>55.32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3"/>
              <w:ind w:left="36" w:right="0"/>
              <w:jc w:val="left"/>
              <w:rPr>
                <w:rFonts w:ascii="Times New Roman" w:hAnsi="Times New Roman" w:cs="Times New Roman" w:eastAsia="Times New Roman" w:hint="default"/>
                <w:sz w:val="18"/>
                <w:szCs w:val="18"/>
              </w:rPr>
            </w:pPr>
            <w:r>
              <w:rPr>
                <w:rFonts w:ascii="Times New Roman"/>
                <w:sz w:val="18"/>
              </w:rPr>
              <w:t>407,337</w:t>
            </w:r>
          </w:p>
          <w:p>
            <w:pPr>
              <w:pStyle w:val="TableParagraph"/>
              <w:spacing w:line="240" w:lineRule="auto" w:before="33"/>
              <w:ind w:left="80" w:right="0"/>
              <w:jc w:val="left"/>
              <w:rPr>
                <w:rFonts w:ascii="Times New Roman" w:hAnsi="Times New Roman" w:cs="Times New Roman" w:eastAsia="Times New Roman" w:hint="default"/>
                <w:sz w:val="18"/>
                <w:szCs w:val="18"/>
              </w:rPr>
            </w:pPr>
            <w:r>
              <w:rPr>
                <w:rFonts w:ascii="Times New Roman"/>
                <w:sz w:val="18"/>
              </w:rPr>
              <w:t>,249.66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63"/>
              <w:ind w:left="59" w:right="0"/>
              <w:jc w:val="left"/>
              <w:rPr>
                <w:rFonts w:ascii="Times New Roman" w:hAnsi="Times New Roman" w:cs="Times New Roman" w:eastAsia="Times New Roman" w:hint="default"/>
                <w:sz w:val="18"/>
                <w:szCs w:val="18"/>
              </w:rPr>
            </w:pPr>
            <w:r>
              <w:rPr>
                <w:rFonts w:ascii="Times New Roman"/>
                <w:sz w:val="18"/>
              </w:rPr>
              <w:t>36,345,97</w:t>
            </w:r>
          </w:p>
          <w:p>
            <w:pPr>
              <w:pStyle w:val="TableParagraph"/>
              <w:spacing w:line="240" w:lineRule="auto" w:before="33"/>
              <w:ind w:left="465" w:right="0"/>
              <w:jc w:val="left"/>
              <w:rPr>
                <w:rFonts w:ascii="Times New Roman" w:hAnsi="Times New Roman" w:cs="Times New Roman" w:eastAsia="Times New Roman" w:hint="default"/>
                <w:sz w:val="18"/>
                <w:szCs w:val="18"/>
              </w:rPr>
            </w:pPr>
            <w:r>
              <w:rPr>
                <w:rFonts w:ascii="Times New Roman"/>
                <w:sz w:val="18"/>
              </w:rPr>
              <w:t>8.53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3"/>
              <w:ind w:left="88" w:right="0"/>
              <w:jc w:val="left"/>
              <w:rPr>
                <w:rFonts w:ascii="Times New Roman" w:hAnsi="Times New Roman" w:cs="Times New Roman" w:eastAsia="Times New Roman" w:hint="default"/>
                <w:sz w:val="18"/>
                <w:szCs w:val="18"/>
              </w:rPr>
            </w:pPr>
            <w:r>
              <w:rPr>
                <w:rFonts w:ascii="Times New Roman"/>
                <w:sz w:val="18"/>
              </w:rPr>
              <w:t>370,991,27</w:t>
            </w:r>
          </w:p>
          <w:p>
            <w:pPr>
              <w:pStyle w:val="TableParagraph"/>
              <w:spacing w:line="240" w:lineRule="auto" w:before="33"/>
              <w:ind w:left="584" w:right="0"/>
              <w:jc w:val="left"/>
              <w:rPr>
                <w:rFonts w:ascii="Times New Roman" w:hAnsi="Times New Roman" w:cs="Times New Roman" w:eastAsia="Times New Roman" w:hint="default"/>
                <w:sz w:val="18"/>
                <w:szCs w:val="18"/>
              </w:rPr>
            </w:pPr>
            <w:r>
              <w:rPr>
                <w:rFonts w:ascii="Times New Roman"/>
                <w:sz w:val="18"/>
              </w:rPr>
              <w:t>1.13</w:t>
            </w:r>
          </w:p>
        </w:tc>
      </w:tr>
      <w:tr>
        <w:trPr>
          <w:trHeight w:val="445"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期末单项金额重大并单项计提坏账准备的应收账款：</w:t>
      </w:r>
    </w:p>
    <w:p>
      <w:pPr>
        <w:pStyle w:val="BodyText"/>
        <w:spacing w:line="415" w:lineRule="auto" w:before="116"/>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35" w:lineRule="exact"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35" w:lineRule="exact"/>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381"/>
        <w:gridCol w:w="2393"/>
        <w:gridCol w:w="2392"/>
        <w:gridCol w:w="2392"/>
      </w:tblGrid>
      <w:tr>
        <w:trPr>
          <w:trHeight w:val="170"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0"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5"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3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431,105,835.56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16,119,089.90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18"/>
                <w:szCs w:val="18"/>
              </w:rPr>
            </w:pPr>
            <w:r>
              <w:rPr>
                <w:rFonts w:ascii="Times New Roman"/>
                <w:sz w:val="18"/>
              </w:rPr>
              <w:t>3.74%</w:t>
            </w:r>
          </w:p>
        </w:tc>
      </w:tr>
      <w:tr>
        <w:trPr>
          <w:trHeight w:val="33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71,533,783.59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5,880,658.85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8.22%</w:t>
            </w:r>
          </w:p>
        </w:tc>
      </w:tr>
      <w:tr>
        <w:trPr>
          <w:trHeight w:val="33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17,986,285.64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3,291,589.54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18.30%</w:t>
            </w:r>
          </w:p>
        </w:tc>
      </w:tr>
      <w:tr>
        <w:trPr>
          <w:trHeight w:val="33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14,217,877.36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4,908,699.70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34.52%</w:t>
            </w:r>
          </w:p>
        </w:tc>
      </w:tr>
      <w:tr>
        <w:trPr>
          <w:trHeight w:val="33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4,875,345.95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2,925,745.87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60.01%</w:t>
            </w:r>
          </w:p>
        </w:tc>
      </w:tr>
      <w:tr>
        <w:trPr>
          <w:trHeight w:val="33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12,361,842.83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12,361,842.83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3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552,080,970.93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45,487,626.69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8.24%</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组合中，采用余额百分比法计提坏账准备的应收账款：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551" w:footer="979" w:top="1120" w:bottom="1160" w:left="960" w:right="0"/>
        </w:sectPr>
      </w:pPr>
    </w:p>
    <w:p>
      <w:pPr>
        <w:pStyle w:val="BodyText"/>
        <w:spacing w:line="360" w:lineRule="auto"/>
        <w:ind w:right="-20"/>
        <w:jc w:val="left"/>
      </w:pPr>
      <w:r>
        <w:rPr/>
        <w:t>组合中，采用其他方法计提坏账准备的应收账款： 关联方的组合：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left="533" w:right="0"/>
        <w:jc w:val="left"/>
      </w:pPr>
      <w:r>
        <w:rPr/>
        <w:t>单位：元</w:t>
      </w:r>
    </w:p>
    <w:p>
      <w:pPr>
        <w:spacing w:after="0" w:line="240" w:lineRule="auto"/>
        <w:jc w:val="left"/>
        <w:sectPr>
          <w:type w:val="continuous"/>
          <w:pgSz w:w="11910" w:h="16840"/>
          <w:pgMar w:top="1060" w:bottom="1160" w:left="960" w:right="0"/>
          <w:cols w:num="2" w:equalWidth="0">
            <w:col w:w="4495" w:space="4065"/>
            <w:col w:w="2390"/>
          </w:cols>
        </w:sectPr>
      </w:pP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844"/>
        <w:gridCol w:w="1985"/>
        <w:gridCol w:w="1842"/>
        <w:gridCol w:w="1844"/>
        <w:gridCol w:w="2056"/>
      </w:tblGrid>
      <w:tr>
        <w:trPr>
          <w:trHeight w:val="37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37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z w:val="18"/>
              </w:rPr>
              <w:t>847,542.57</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sz w:val="18"/>
              </w:rPr>
              <w:t>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合营公司</w:t>
            </w:r>
          </w:p>
        </w:tc>
      </w:tr>
      <w:tr>
        <w:trPr>
          <w:trHeight w:val="37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pacing w:val="-1"/>
                <w:sz w:val="18"/>
              </w:rPr>
              <w:t>1,237,282.90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合营公司</w:t>
            </w:r>
          </w:p>
        </w:tc>
      </w:tr>
      <w:tr>
        <w:trPr>
          <w:trHeight w:val="37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z w:val="18"/>
              </w:rPr>
              <w:t>232,285.61</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联营公司</w:t>
            </w:r>
          </w:p>
        </w:tc>
      </w:tr>
      <w:tr>
        <w:trPr>
          <w:trHeight w:val="37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pacing w:val="-1"/>
                <w:sz w:val="18"/>
              </w:rPr>
              <w:t>2,317,111.08</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2"/>
        <w:rPr>
          <w:rFonts w:ascii="宋体" w:hAnsi="宋体" w:cs="宋体" w:eastAsia="宋体" w:hint="default"/>
          <w:sz w:val="13"/>
          <w:szCs w:val="13"/>
        </w:rPr>
      </w:pPr>
    </w:p>
    <w:p>
      <w:pPr>
        <w:pStyle w:val="BodyText"/>
        <w:spacing w:line="240" w:lineRule="auto" w:before="0"/>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0"/>
        <w:jc w:val="left"/>
      </w:pPr>
      <w:r>
        <w:rPr/>
        <w:t>本期计提坏账准备金额</w:t>
      </w:r>
      <w:r>
        <w:rPr>
          <w:spacing w:val="-49"/>
        </w:rPr>
        <w:t> </w:t>
      </w:r>
      <w:r>
        <w:rPr>
          <w:rFonts w:ascii="Times New Roman" w:hAnsi="Times New Roman" w:cs="Times New Roman" w:eastAsia="Times New Roman" w:hint="default"/>
        </w:rPr>
        <w:t>9,246,112.65</w:t>
      </w:r>
      <w:r>
        <w:rPr>
          <w:rFonts w:ascii="Times New Roman" w:hAnsi="Times New Roman" w:cs="Times New Roman" w:eastAsia="Times New Roman" w:hint="default"/>
          <w:spacing w:val="-4"/>
        </w:rPr>
        <w:t> </w:t>
      </w:r>
      <w:r>
        <w:rPr/>
        <w:t>元；增加合并单位转入坏账准备金额</w:t>
      </w:r>
      <w:r>
        <w:rPr>
          <w:spacing w:val="-49"/>
        </w:rPr>
        <w:t> </w:t>
      </w:r>
      <w:r>
        <w:rPr>
          <w:rFonts w:ascii="Times New Roman" w:hAnsi="Times New Roman" w:cs="Times New Roman" w:eastAsia="Times New Roman" w:hint="default"/>
        </w:rPr>
        <w:t>251,053.06</w:t>
      </w:r>
      <w:r>
        <w:rPr>
          <w:rFonts w:ascii="Times New Roman" w:hAnsi="Times New Roman" w:cs="Times New Roman" w:eastAsia="Times New Roman" w:hint="default"/>
          <w:spacing w:val="-4"/>
        </w:rPr>
        <w:t> </w:t>
      </w:r>
      <w:r>
        <w:rPr/>
        <w:t>元。</w:t>
      </w:r>
    </w:p>
    <w:p>
      <w:pPr>
        <w:spacing w:line="240" w:lineRule="auto" w:before="13"/>
        <w:rPr>
          <w:rFonts w:ascii="宋体" w:hAnsi="宋体" w:cs="宋体" w:eastAsia="宋体" w:hint="default"/>
          <w:sz w:val="13"/>
          <w:szCs w:val="13"/>
        </w:rPr>
      </w:pPr>
    </w:p>
    <w:p>
      <w:pPr>
        <w:pStyle w:val="BodyText"/>
        <w:spacing w:line="340" w:lineRule="auto" w:before="0"/>
        <w:ind w:right="6615"/>
        <w:jc w:val="left"/>
      </w:pPr>
      <w:r>
        <w:rPr>
          <w:rFonts w:ascii="Times New Roman" w:hAnsi="Times New Roman" w:cs="Times New Roman" w:eastAsia="Times New Roman" w:hint="default"/>
        </w:rPr>
        <w:t>3</w:t>
      </w:r>
      <w:r>
        <w:rPr/>
        <w:t>）本期实际核销的应收账款情况 本年实际核销的应收账款金额为</w:t>
      </w:r>
      <w:r>
        <w:rPr>
          <w:spacing w:val="-47"/>
        </w:rPr>
        <w:t> </w:t>
      </w:r>
      <w:r>
        <w:rPr>
          <w:rFonts w:ascii="Times New Roman" w:hAnsi="Times New Roman" w:cs="Times New Roman" w:eastAsia="Times New Roman" w:hint="default"/>
        </w:rPr>
        <w:t>355,517.55</w:t>
      </w:r>
      <w:r>
        <w:rPr>
          <w:rFonts w:ascii="Times New Roman" w:hAnsi="Times New Roman" w:cs="Times New Roman" w:eastAsia="Times New Roman" w:hint="default"/>
          <w:spacing w:val="-1"/>
        </w:rPr>
        <w:t> </w:t>
      </w:r>
      <w:r>
        <w:rPr/>
        <w:t>元。</w:t>
      </w:r>
    </w:p>
    <w:p>
      <w:pPr>
        <w:pStyle w:val="BodyText"/>
        <w:spacing w:line="240" w:lineRule="auto" w:before="98"/>
        <w:ind w:right="0"/>
        <w:jc w:val="left"/>
      </w:pPr>
      <w:r>
        <w:rPr>
          <w:rFonts w:ascii="Times New Roman" w:hAnsi="Times New Roman" w:cs="Times New Roman" w:eastAsia="Times New Roman" w:hint="default"/>
        </w:rPr>
        <w:t>4</w:t>
      </w:r>
      <w:r>
        <w:rPr/>
        <w:t>）按欠款方归集的期末余额前五名的应收账款情况</w:t>
      </w:r>
    </w:p>
    <w:p>
      <w:pPr>
        <w:pStyle w:val="BodyText"/>
        <w:spacing w:line="240" w:lineRule="auto" w:before="103"/>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844"/>
        <w:gridCol w:w="1985"/>
        <w:gridCol w:w="1842"/>
        <w:gridCol w:w="1844"/>
        <w:gridCol w:w="2056"/>
      </w:tblGrid>
      <w:tr>
        <w:trPr>
          <w:trHeight w:val="32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3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29,219,966.73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年内及</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5.27%</w:t>
            </w:r>
          </w:p>
        </w:tc>
      </w:tr>
      <w:tr>
        <w:trPr>
          <w:trHeight w:val="3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26,049,793.52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4.70%</w:t>
            </w:r>
          </w:p>
        </w:tc>
      </w:tr>
      <w:tr>
        <w:trPr>
          <w:trHeight w:val="3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8,869,173.24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1.60%</w:t>
            </w:r>
          </w:p>
        </w:tc>
      </w:tr>
      <w:tr>
        <w:trPr>
          <w:trHeight w:val="3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8,168,667.79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1.47%</w:t>
            </w:r>
          </w:p>
        </w:tc>
      </w:tr>
      <w:tr>
        <w:trPr>
          <w:trHeight w:val="33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7,579,489.25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年内及</w:t>
            </w: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1.37%</w:t>
            </w:r>
          </w:p>
        </w:tc>
      </w:tr>
      <w:tr>
        <w:trPr>
          <w:trHeight w:val="33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79,887,090.53</w:t>
            </w:r>
          </w:p>
        </w:tc>
        <w:tc>
          <w:tcPr>
            <w:tcW w:w="184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14.41%</w:t>
            </w:r>
          </w:p>
        </w:tc>
      </w:tr>
    </w:tbl>
    <w:p>
      <w:pPr>
        <w:spacing w:line="240" w:lineRule="auto" w:before="8"/>
        <w:rPr>
          <w:rFonts w:ascii="宋体" w:hAnsi="宋体" w:cs="宋体" w:eastAsia="宋体" w:hint="default"/>
          <w:sz w:val="6"/>
          <w:szCs w:val="6"/>
        </w:rPr>
      </w:pPr>
    </w:p>
    <w:p>
      <w:pPr>
        <w:pStyle w:val="BodyText"/>
        <w:spacing w:line="302" w:lineRule="auto"/>
        <w:ind w:left="174" w:right="1202" w:firstLine="360"/>
        <w:jc w:val="left"/>
      </w:pPr>
      <w:r>
        <w:rPr/>
        <w:t>其他说明：应收账款年末数比年初数增加</w:t>
      </w:r>
      <w:r>
        <w:rPr>
          <w:spacing w:val="-47"/>
        </w:rPr>
        <w:t> </w:t>
      </w:r>
      <w:r>
        <w:rPr>
          <w:rFonts w:ascii="Times New Roman" w:hAnsi="Times New Roman" w:cs="Times New Roman" w:eastAsia="Times New Roman" w:hint="default"/>
        </w:rPr>
        <w:t>137,919,184.19</w:t>
      </w:r>
      <w:r>
        <w:rPr>
          <w:rFonts w:ascii="Times New Roman" w:hAnsi="Times New Roman" w:cs="Times New Roman" w:eastAsia="Times New Roman" w:hint="default"/>
          <w:spacing w:val="-1"/>
        </w:rPr>
        <w:t> </w:t>
      </w:r>
      <w:r>
        <w:rPr/>
        <w:t>元，增长比例为</w:t>
      </w:r>
      <w:r>
        <w:rPr>
          <w:spacing w:val="-47"/>
        </w:rPr>
        <w:t> </w:t>
      </w:r>
      <w:r>
        <w:rPr>
          <w:rFonts w:ascii="Times New Roman" w:hAnsi="Times New Roman" w:cs="Times New Roman" w:eastAsia="Times New Roman" w:hint="default"/>
        </w:rPr>
        <w:t>37.18%</w:t>
      </w:r>
      <w:r>
        <w:rPr/>
        <w:t>，主要系受宏观经济形势影响，部分 客户经营困难，以及部分客户为政府或国有控股单位，付款审批流程较长，回款相对缓慢所致。</w:t>
      </w:r>
    </w:p>
    <w:p>
      <w:pPr>
        <w:spacing w:after="0" w:line="302" w:lineRule="auto"/>
        <w:jc w:val="left"/>
        <w:sectPr>
          <w:type w:val="continuous"/>
          <w:pgSz w:w="11910" w:h="16840"/>
          <w:pgMar w:top="1060" w:bottom="1160" w:left="960" w:right="0"/>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4、预付款项" w:id="248"/>
      <w:bookmarkEnd w:id="248"/>
      <w:r>
        <w:rPr>
          <w:b w:val="0"/>
          <w:bCs w:val="0"/>
        </w:rPr>
      </w:r>
      <w:r>
        <w:rPr>
          <w:rFonts w:ascii="Times New Roman" w:hAnsi="Times New Roman" w:cs="Times New Roman" w:eastAsia="Times New Roman" w:hint="default"/>
        </w:rPr>
        <w:t>4</w:t>
      </w:r>
      <w:r>
        <w:rPr/>
        <w:t>、预付款项</w:t>
      </w:r>
      <w:r>
        <w:rPr>
          <w:b w:val="0"/>
          <w:bCs w:val="0"/>
        </w:rPr>
      </w:r>
    </w:p>
    <w:p>
      <w:pPr>
        <w:pStyle w:val="Heading3"/>
        <w:spacing w:line="240" w:lineRule="auto" w:before="190"/>
        <w:ind w:right="0"/>
        <w:jc w:val="left"/>
        <w:rPr>
          <w:b w:val="0"/>
          <w:bCs w:val="0"/>
        </w:rPr>
      </w:pPr>
      <w:bookmarkStart w:name="（1）预付款项按账龄列示" w:id="249"/>
      <w:bookmarkEnd w:id="24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17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9"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166,453,230.58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94.91%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155,556,552.54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99.56%</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8,909,894.79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284,046.62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0.18%</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23,759.00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409,817.51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0.26%</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4"/>
              <w:ind w:right="9"/>
              <w:jc w:val="right"/>
              <w:rPr>
                <w:rFonts w:ascii="Times New Roman" w:hAnsi="Times New Roman" w:cs="Times New Roman" w:eastAsia="Times New Roman" w:hint="default"/>
                <w:sz w:val="18"/>
                <w:szCs w:val="18"/>
              </w:rPr>
            </w:pPr>
            <w:r>
              <w:rPr>
                <w:rFonts w:ascii="Times New Roman"/>
                <w:spacing w:val="-1"/>
                <w:sz w:val="18"/>
              </w:rPr>
              <w:t>175,386,884.37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156,250,416.67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按预付对象归集的期末余额前五名的预付款情况" w:id="250"/>
      <w:bookmarkEnd w:id="25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844"/>
        <w:gridCol w:w="1985"/>
        <w:gridCol w:w="1842"/>
        <w:gridCol w:w="1844"/>
        <w:gridCol w:w="2056"/>
      </w:tblGrid>
      <w:tr>
        <w:trPr>
          <w:trHeight w:val="42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12"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39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合作方</w:t>
            </w:r>
            <w:r>
              <w:rPr>
                <w:rFonts w:ascii="Times New Roman" w:hAnsi="Times New Roman" w:cs="Times New Roman" w:eastAsia="Times New Roman" w:hint="default"/>
                <w:sz w:val="18"/>
                <w:szCs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拟合作方</w:t>
            </w:r>
            <w:r>
              <w:rPr>
                <w:rFonts w:ascii="Times New Roman" w:hAnsi="Times New Roman" w:cs="Times New Roman" w:eastAsia="Times New Roman" w:hint="default"/>
                <w:sz w:val="18"/>
                <w:szCs w:val="18"/>
              </w:rPr>
              <w:t>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73" w:right="0"/>
              <w:jc w:val="left"/>
              <w:rPr>
                <w:rFonts w:ascii="Times New Roman" w:hAnsi="Times New Roman" w:cs="Times New Roman" w:eastAsia="Times New Roman" w:hint="default"/>
                <w:sz w:val="18"/>
                <w:szCs w:val="18"/>
              </w:rPr>
            </w:pPr>
            <w:r>
              <w:rPr>
                <w:rFonts w:ascii="Times New Roman"/>
                <w:sz w:val="18"/>
              </w:rPr>
              <w:t>30,000,000.00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17.11%</w:t>
            </w:r>
          </w:p>
        </w:tc>
      </w:tr>
      <w:tr>
        <w:trPr>
          <w:trHeight w:val="39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73" w:right="0"/>
              <w:jc w:val="left"/>
              <w:rPr>
                <w:rFonts w:ascii="Times New Roman" w:hAnsi="Times New Roman" w:cs="Times New Roman" w:eastAsia="Times New Roman" w:hint="default"/>
                <w:sz w:val="18"/>
                <w:szCs w:val="18"/>
              </w:rPr>
            </w:pPr>
            <w:r>
              <w:rPr>
                <w:rFonts w:ascii="Times New Roman"/>
                <w:sz w:val="18"/>
              </w:rPr>
              <w:t>20,000,000.00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11.40%</w:t>
            </w:r>
          </w:p>
        </w:tc>
      </w:tr>
      <w:tr>
        <w:trPr>
          <w:trHeight w:val="39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73" w:right="0"/>
              <w:jc w:val="left"/>
              <w:rPr>
                <w:rFonts w:ascii="Times New Roman" w:hAnsi="Times New Roman" w:cs="Times New Roman" w:eastAsia="Times New Roman" w:hint="default"/>
                <w:sz w:val="18"/>
                <w:szCs w:val="18"/>
              </w:rPr>
            </w:pPr>
            <w:r>
              <w:rPr>
                <w:rFonts w:ascii="Times New Roman"/>
                <w:sz w:val="18"/>
              </w:rPr>
              <w:t>17,626,134.81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10.05%</w:t>
            </w:r>
          </w:p>
        </w:tc>
      </w:tr>
      <w:tr>
        <w:trPr>
          <w:trHeight w:val="39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73" w:right="0"/>
              <w:jc w:val="left"/>
              <w:rPr>
                <w:rFonts w:ascii="Times New Roman" w:hAnsi="Times New Roman" w:cs="Times New Roman" w:eastAsia="Times New Roman" w:hint="default"/>
                <w:sz w:val="18"/>
                <w:szCs w:val="18"/>
              </w:rPr>
            </w:pPr>
            <w:r>
              <w:rPr>
                <w:rFonts w:ascii="Times New Roman"/>
                <w:sz w:val="18"/>
              </w:rPr>
              <w:t>15,585,655.95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8.89%</w:t>
            </w:r>
          </w:p>
        </w:tc>
      </w:tr>
      <w:tr>
        <w:trPr>
          <w:trHeight w:val="39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73" w:right="0"/>
              <w:jc w:val="left"/>
              <w:rPr>
                <w:rFonts w:ascii="Times New Roman" w:hAnsi="Times New Roman" w:cs="Times New Roman" w:eastAsia="Times New Roman" w:hint="default"/>
                <w:sz w:val="18"/>
                <w:szCs w:val="18"/>
              </w:rPr>
            </w:pPr>
            <w:r>
              <w:rPr>
                <w:rFonts w:ascii="Times New Roman"/>
                <w:sz w:val="18"/>
              </w:rPr>
              <w:t>11,965,691.30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6.82%</w:t>
            </w:r>
          </w:p>
        </w:tc>
      </w:tr>
      <w:tr>
        <w:trPr>
          <w:trHeight w:val="33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73" w:right="0"/>
              <w:jc w:val="left"/>
              <w:rPr>
                <w:rFonts w:ascii="Times New Roman" w:hAnsi="Times New Roman" w:cs="Times New Roman" w:eastAsia="Times New Roman" w:hint="default"/>
                <w:sz w:val="18"/>
                <w:szCs w:val="18"/>
              </w:rPr>
            </w:pPr>
            <w:r>
              <w:rPr>
                <w:rFonts w:ascii="Times New Roman"/>
                <w:sz w:val="18"/>
              </w:rPr>
              <w:t>95,177,482.06</w:t>
            </w:r>
          </w:p>
        </w:tc>
        <w:tc>
          <w:tcPr>
            <w:tcW w:w="184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54.27%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5、其他应收款" w:id="251"/>
      <w:bookmarkEnd w:id="25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39,089,199.67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22,496,152.89</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39,089,199.67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22,496,152.89</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其他应收款" w:id="252"/>
      <w:bookmarkEnd w:id="252"/>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25"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0"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185"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43"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195" w:right="194"/>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90" w:type="dxa"/>
            <w:vMerge w:val="restart"/>
            <w:tcBorders>
              <w:top w:val="nil" w:sz="6" w:space="0" w:color="auto"/>
              <w:left w:val="single" w:sz="23" w:space="0" w:color="D2D2D2"/>
              <w:right w:val="single" w:sz="9" w:space="0" w:color="D2D2D2"/>
            </w:tcBorders>
          </w:tcPr>
          <w:p>
            <w:pPr>
              <w:pStyle w:val="TableParagraph"/>
              <w:spacing w:line="240" w:lineRule="auto" w:before="1"/>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23" w:space="0" w:color="D2D2D2"/>
              <w:bottom w:val="nil" w:sz="6" w:space="0" w:color="auto"/>
              <w:right w:val="single" w:sz="9" w:space="0" w:color="D2D2D2"/>
            </w:tcBorders>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4"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4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44,384,2</w:t>
            </w:r>
          </w:p>
          <w:p>
            <w:pPr>
              <w:pStyle w:val="TableParagraph"/>
              <w:spacing w:line="240" w:lineRule="auto" w:before="34"/>
              <w:ind w:left="313" w:right="0"/>
              <w:jc w:val="left"/>
              <w:rPr>
                <w:rFonts w:ascii="Times New Roman" w:hAnsi="Times New Roman" w:cs="Times New Roman" w:eastAsia="Times New Roman" w:hint="default"/>
                <w:sz w:val="18"/>
                <w:szCs w:val="18"/>
              </w:rPr>
            </w:pPr>
            <w:r>
              <w:rPr>
                <w:rFonts w:ascii="Times New Roman"/>
                <w:sz w:val="18"/>
              </w:rPr>
              <w:t>10.14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5,295,01</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0.47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39,089,19</w:t>
            </w:r>
          </w:p>
          <w:p>
            <w:pPr>
              <w:pStyle w:val="TableParagraph"/>
              <w:spacing w:line="240" w:lineRule="auto" w:before="34"/>
              <w:ind w:left="442" w:right="0"/>
              <w:jc w:val="left"/>
              <w:rPr>
                <w:rFonts w:ascii="Times New Roman" w:hAnsi="Times New Roman" w:cs="Times New Roman" w:eastAsia="Times New Roman" w:hint="default"/>
                <w:sz w:val="18"/>
                <w:szCs w:val="18"/>
              </w:rPr>
            </w:pPr>
            <w:r>
              <w:rPr>
                <w:rFonts w:ascii="Times New Roman"/>
                <w:sz w:val="18"/>
              </w:rPr>
              <w:t>9.67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26,957,</w:t>
            </w:r>
          </w:p>
          <w:p>
            <w:pPr>
              <w:pStyle w:val="TableParagraph"/>
              <w:spacing w:line="240" w:lineRule="auto" w:before="34"/>
              <w:ind w:left="126" w:right="0"/>
              <w:jc w:val="left"/>
              <w:rPr>
                <w:rFonts w:ascii="Times New Roman" w:hAnsi="Times New Roman" w:cs="Times New Roman" w:eastAsia="Times New Roman" w:hint="default"/>
                <w:sz w:val="18"/>
                <w:szCs w:val="18"/>
              </w:rPr>
            </w:pPr>
            <w:r>
              <w:rPr>
                <w:rFonts w:ascii="Times New Roman"/>
                <w:sz w:val="18"/>
              </w:rPr>
              <w:t>507.16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4,461,354</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22,496,152.</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89</w:t>
            </w: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705,565.</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705,565.</w:t>
            </w:r>
          </w:p>
          <w:p>
            <w:pPr>
              <w:pStyle w:val="TableParagraph"/>
              <w:spacing w:line="240" w:lineRule="auto" w:before="34"/>
              <w:ind w:right="22"/>
              <w:jc w:val="right"/>
              <w:rPr>
                <w:rFonts w:ascii="Times New Roman" w:hAnsi="Times New Roman" w:cs="Times New Roman" w:eastAsia="Times New Roman" w:hint="default"/>
                <w:sz w:val="18"/>
                <w:szCs w:val="18"/>
              </w:rPr>
            </w:pPr>
            <w:r>
              <w:rPr>
                <w:rFonts w:ascii="Times New Roman"/>
                <w:sz w:val="18"/>
              </w:rPr>
              <w:t>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1,021,6</w:t>
            </w:r>
          </w:p>
          <w:p>
            <w:pPr>
              <w:pStyle w:val="TableParagraph"/>
              <w:spacing w:line="240" w:lineRule="auto" w:before="34"/>
              <w:ind w:left="192" w:right="0"/>
              <w:jc w:val="center"/>
              <w:rPr>
                <w:rFonts w:ascii="Times New Roman" w:hAnsi="Times New Roman" w:cs="Times New Roman" w:eastAsia="Times New Roman" w:hint="default"/>
                <w:sz w:val="18"/>
                <w:szCs w:val="18"/>
              </w:rPr>
            </w:pPr>
            <w:r>
              <w:rPr>
                <w:rFonts w:ascii="Times New Roman"/>
                <w:sz w:val="18"/>
              </w:rPr>
              <w:t>58.01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1,021,658</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13" w:space="0" w:color="D2D2D2"/>
              <w:right w:val="single" w:sz="4" w:space="0" w:color="000000"/>
            </w:tcBorders>
          </w:tcPr>
          <w:p>
            <w:pPr>
              <w:pStyle w:val="TableParagraph"/>
              <w:spacing w:line="240" w:lineRule="auto" w:before="63"/>
              <w:ind w:left="87" w:right="0"/>
              <w:jc w:val="left"/>
              <w:rPr>
                <w:rFonts w:ascii="Times New Roman" w:hAnsi="Times New Roman" w:cs="Times New Roman" w:eastAsia="Times New Roman" w:hint="default"/>
                <w:sz w:val="18"/>
                <w:szCs w:val="18"/>
              </w:rPr>
            </w:pPr>
            <w:r>
              <w:rPr>
                <w:rFonts w:ascii="Times New Roman"/>
                <w:sz w:val="18"/>
              </w:rPr>
              <w:t>45,089,7</w:t>
            </w:r>
          </w:p>
          <w:p>
            <w:pPr>
              <w:pStyle w:val="TableParagraph"/>
              <w:spacing w:line="240" w:lineRule="auto" w:before="34"/>
              <w:ind w:left="313" w:right="0"/>
              <w:jc w:val="left"/>
              <w:rPr>
                <w:rFonts w:ascii="Times New Roman" w:hAnsi="Times New Roman" w:cs="Times New Roman" w:eastAsia="Times New Roman" w:hint="default"/>
                <w:sz w:val="18"/>
                <w:szCs w:val="18"/>
              </w:rPr>
            </w:pPr>
            <w:r>
              <w:rPr>
                <w:rFonts w:ascii="Times New Roman"/>
                <w:sz w:val="18"/>
              </w:rPr>
              <w:t>75.23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6,000,57</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5.56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13.31%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3"/>
              <w:ind w:left="37" w:right="0"/>
              <w:jc w:val="left"/>
              <w:rPr>
                <w:rFonts w:ascii="Times New Roman" w:hAnsi="Times New Roman" w:cs="Times New Roman" w:eastAsia="Times New Roman" w:hint="default"/>
                <w:sz w:val="18"/>
                <w:szCs w:val="18"/>
              </w:rPr>
            </w:pPr>
            <w:r>
              <w:rPr>
                <w:rFonts w:ascii="Times New Roman"/>
                <w:sz w:val="18"/>
              </w:rPr>
              <w:t>39,089,19</w:t>
            </w:r>
          </w:p>
          <w:p>
            <w:pPr>
              <w:pStyle w:val="TableParagraph"/>
              <w:spacing w:line="240" w:lineRule="auto" w:before="34"/>
              <w:ind w:left="442" w:right="0"/>
              <w:jc w:val="left"/>
              <w:rPr>
                <w:rFonts w:ascii="Times New Roman" w:hAnsi="Times New Roman" w:cs="Times New Roman" w:eastAsia="Times New Roman" w:hint="default"/>
                <w:sz w:val="18"/>
                <w:szCs w:val="18"/>
              </w:rPr>
            </w:pPr>
            <w:r>
              <w:rPr>
                <w:rFonts w:ascii="Times New Roman"/>
                <w:sz w:val="18"/>
              </w:rPr>
              <w:t>9.67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3"/>
              <w:ind w:left="80" w:right="0"/>
              <w:jc w:val="left"/>
              <w:rPr>
                <w:rFonts w:ascii="Times New Roman" w:hAnsi="Times New Roman" w:cs="Times New Roman" w:eastAsia="Times New Roman" w:hint="default"/>
                <w:sz w:val="18"/>
                <w:szCs w:val="18"/>
              </w:rPr>
            </w:pPr>
            <w:r>
              <w:rPr>
                <w:rFonts w:ascii="Times New Roman"/>
                <w:sz w:val="18"/>
              </w:rPr>
              <w:t>27,979,</w:t>
            </w:r>
          </w:p>
          <w:p>
            <w:pPr>
              <w:pStyle w:val="TableParagraph"/>
              <w:spacing w:line="240" w:lineRule="auto" w:before="34"/>
              <w:ind w:left="126" w:right="0"/>
              <w:jc w:val="left"/>
              <w:rPr>
                <w:rFonts w:ascii="Times New Roman" w:hAnsi="Times New Roman" w:cs="Times New Roman" w:eastAsia="Times New Roman" w:hint="default"/>
                <w:sz w:val="18"/>
                <w:szCs w:val="18"/>
              </w:rPr>
            </w:pPr>
            <w:r>
              <w:rPr>
                <w:rFonts w:ascii="Times New Roman"/>
                <w:sz w:val="18"/>
              </w:rPr>
              <w:t>165.17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5,483,012</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19.60%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22,496,152.</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89</w:t>
            </w:r>
          </w:p>
        </w:tc>
      </w:tr>
      <w:tr>
        <w:trPr>
          <w:trHeight w:val="44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t>期末单项金额重大并单项计提坏账准备的其他应收款：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551" w:footer="979" w:top="1120" w:bottom="1160" w:left="960" w:right="0"/>
        </w:sectPr>
      </w:pPr>
    </w:p>
    <w:p>
      <w:pPr>
        <w:pStyle w:val="BodyText"/>
        <w:spacing w:line="240" w:lineRule="auto"/>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533" w:right="0"/>
        <w:jc w:val="left"/>
      </w:pPr>
      <w:r>
        <w:rPr/>
        <w:t>单位： 元</w:t>
      </w:r>
    </w:p>
    <w:p>
      <w:pPr>
        <w:spacing w:after="0" w:line="240" w:lineRule="auto"/>
        <w:jc w:val="left"/>
        <w:sectPr>
          <w:type w:val="continuous"/>
          <w:pgSz w:w="11910" w:h="16840"/>
          <w:pgMar w:top="1060" w:bottom="1160" w:left="960" w:right="0"/>
          <w:cols w:num="2" w:equalWidth="0">
            <w:col w:w="4675" w:space="3795"/>
            <w:col w:w="2480"/>
          </w:cols>
        </w:sectPr>
      </w:pPr>
    </w:p>
    <w:p>
      <w:pPr>
        <w:spacing w:line="240" w:lineRule="auto" w:before="0"/>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380"/>
        <w:gridCol w:w="2393"/>
        <w:gridCol w:w="2392"/>
        <w:gridCol w:w="2392"/>
      </w:tblGrid>
      <w:tr>
        <w:trPr>
          <w:trHeight w:val="170"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0"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5"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3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10,375,624.54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517,161.23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4.98%</w:t>
            </w:r>
          </w:p>
        </w:tc>
      </w:tr>
      <w:tr>
        <w:trPr>
          <w:trHeight w:val="33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3,287,752.00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328,775.20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10.00%</w:t>
            </w:r>
          </w:p>
        </w:tc>
      </w:tr>
      <w:tr>
        <w:trPr>
          <w:trHeight w:val="33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1,112,453.86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325,470.38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29.26%</w:t>
            </w:r>
          </w:p>
        </w:tc>
      </w:tr>
      <w:tr>
        <w:trPr>
          <w:trHeight w:val="33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3,144,770.84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1,465,860.02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46.61%</w:t>
            </w:r>
          </w:p>
        </w:tc>
      </w:tr>
      <w:tr>
        <w:trPr>
          <w:trHeight w:val="33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74,760.15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51,984.42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69.53%</w:t>
            </w:r>
          </w:p>
        </w:tc>
      </w:tr>
      <w:tr>
        <w:trPr>
          <w:trHeight w:val="330"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2,605,759.22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2,605,759.22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3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20,601,120.61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5,295,010.47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25.70%</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组合中，采用余额百分比法计提坏账准备的其他应收款：</w:t>
      </w:r>
    </w:p>
    <w:p>
      <w:pPr>
        <w:pStyle w:val="BodyText"/>
        <w:spacing w:line="415" w:lineRule="auto" w:before="116"/>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35" w:lineRule="exact"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10"/>
          <w:szCs w:val="10"/>
        </w:rPr>
      </w:pPr>
    </w:p>
    <w:p>
      <w:pPr>
        <w:pStyle w:val="BodyText"/>
        <w:spacing w:line="240" w:lineRule="auto"/>
        <w:ind w:right="0"/>
        <w:jc w:val="left"/>
      </w:pPr>
      <w:r>
        <w:rPr/>
        <w:t>关联方、押金备用金的组合</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844"/>
        <w:gridCol w:w="1985"/>
        <w:gridCol w:w="1842"/>
        <w:gridCol w:w="1844"/>
        <w:gridCol w:w="2056"/>
      </w:tblGrid>
      <w:tr>
        <w:trPr>
          <w:trHeight w:val="42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8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39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10,110,812.87</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员工借款</w:t>
            </w:r>
          </w:p>
        </w:tc>
      </w:tr>
      <w:tr>
        <w:trPr>
          <w:trHeight w:val="39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13,672,276.66</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33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23,783,089.53</w:t>
            </w:r>
          </w:p>
        </w:tc>
        <w:tc>
          <w:tcPr>
            <w:tcW w:w="184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0"/>
        <w:jc w:val="left"/>
      </w:pPr>
      <w:r>
        <w:rPr/>
        <w:t>本期计提坏账准备金额</w:t>
      </w:r>
      <w:r>
        <w:rPr>
          <w:spacing w:val="-46"/>
        </w:rPr>
        <w:t> </w:t>
      </w:r>
      <w:r>
        <w:rPr>
          <w:rFonts w:ascii="Times New Roman" w:hAnsi="Times New Roman" w:cs="Times New Roman" w:eastAsia="Times New Roman" w:hint="default"/>
        </w:rPr>
        <w:t>280,385.28</w:t>
      </w:r>
      <w:r>
        <w:rPr>
          <w:rFonts w:ascii="Times New Roman" w:hAnsi="Times New Roman" w:cs="Times New Roman" w:eastAsia="Times New Roman" w:hint="default"/>
          <w:spacing w:val="-1"/>
        </w:rPr>
        <w:t> </w:t>
      </w:r>
      <w:r>
        <w:rPr/>
        <w:t>元；新增合并单位转入坏账准备金额</w:t>
      </w:r>
      <w:r>
        <w:rPr>
          <w:spacing w:val="-46"/>
        </w:rPr>
        <w:t> </w:t>
      </w:r>
      <w:r>
        <w:rPr>
          <w:rFonts w:ascii="Times New Roman" w:hAnsi="Times New Roman" w:cs="Times New Roman" w:eastAsia="Times New Roman" w:hint="default"/>
        </w:rPr>
        <w:t>237,968.00</w:t>
      </w:r>
      <w:r>
        <w:rPr>
          <w:rFonts w:ascii="Times New Roman" w:hAnsi="Times New Roman" w:cs="Times New Roman" w:eastAsia="Times New Roman" w:hint="default"/>
          <w:spacing w:val="-1"/>
        </w:rPr>
        <w:t> </w:t>
      </w:r>
      <w:r>
        <w:rPr/>
        <w:t>元</w:t>
      </w:r>
      <w:r>
        <w:rPr>
          <w:spacing w:val="-90"/>
        </w:rPr>
        <w:t>。</w:t>
      </w:r>
      <w:r>
        <w:rPr/>
        <w:t>。</w:t>
      </w:r>
    </w:p>
    <w:p>
      <w:pPr>
        <w:spacing w:line="240" w:lineRule="auto" w:before="13"/>
        <w:rPr>
          <w:rFonts w:ascii="宋体" w:hAnsi="宋体" w:cs="宋体" w:eastAsia="宋体" w:hint="default"/>
          <w:sz w:val="13"/>
          <w:szCs w:val="13"/>
        </w:rPr>
      </w:pPr>
    </w:p>
    <w:p>
      <w:pPr>
        <w:pStyle w:val="BodyText"/>
        <w:spacing w:line="340" w:lineRule="auto" w:before="0"/>
        <w:ind w:right="6749"/>
        <w:jc w:val="left"/>
      </w:pPr>
      <w:r>
        <w:rPr>
          <w:rFonts w:ascii="Times New Roman" w:hAnsi="Times New Roman" w:cs="Times New Roman" w:eastAsia="Times New Roman" w:hint="default"/>
        </w:rPr>
        <w:t>3</w:t>
      </w:r>
      <w:r>
        <w:rPr/>
        <w:t>）本期实际核销的其他应收款情况 本年实际核销的其他应收款金额为</w:t>
      </w:r>
      <w:r>
        <w:rPr>
          <w:spacing w:val="-46"/>
        </w:rPr>
        <w:t> </w:t>
      </w:r>
      <w:r>
        <w:rPr>
          <w:rFonts w:ascii="Times New Roman" w:hAnsi="Times New Roman" w:cs="Times New Roman" w:eastAsia="Times New Roman" w:hint="default"/>
        </w:rPr>
        <w:t>790.00</w:t>
      </w:r>
      <w:r>
        <w:rPr>
          <w:rFonts w:ascii="Times New Roman" w:hAnsi="Times New Roman" w:cs="Times New Roman" w:eastAsia="Times New Roman" w:hint="default"/>
          <w:spacing w:val="-1"/>
        </w:rPr>
        <w:t> </w:t>
      </w:r>
      <w:r>
        <w:rPr/>
        <w:t>元。</w:t>
      </w:r>
    </w:p>
    <w:p>
      <w:pPr>
        <w:pStyle w:val="BodyText"/>
        <w:spacing w:line="240" w:lineRule="auto" w:before="98"/>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1"/>
        <w:gridCol w:w="3191"/>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10,110,812.87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6,269,277.94</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13,672,276.66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6,309,659.09</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21,306,685.70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15,400,228.14</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45,089,775.23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27,979,165.17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6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7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3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1,991,000.00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4.42%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1,737,580.00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173,758.00</w:t>
            </w:r>
          </w:p>
        </w:tc>
      </w:tr>
      <w:tr>
        <w:trPr>
          <w:trHeight w:val="3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778,768.69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pacing w:val="-1"/>
                <w:sz w:val="18"/>
              </w:rPr>
              <w:t>15,307,348.69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673,758.00</w:t>
            </w:r>
          </w:p>
        </w:tc>
      </w:tr>
    </w:tbl>
    <w:p>
      <w:pPr>
        <w:spacing w:line="240" w:lineRule="auto" w:before="8"/>
        <w:rPr>
          <w:rFonts w:ascii="宋体" w:hAnsi="宋体" w:cs="宋体" w:eastAsia="宋体" w:hint="default"/>
          <w:sz w:val="6"/>
          <w:szCs w:val="6"/>
        </w:rPr>
      </w:pPr>
    </w:p>
    <w:p>
      <w:pPr>
        <w:pStyle w:val="BodyText"/>
        <w:spacing w:line="302" w:lineRule="auto"/>
        <w:ind w:left="174" w:right="1121" w:firstLine="360"/>
        <w:jc w:val="left"/>
      </w:pPr>
      <w:r>
        <w:rPr/>
        <w:t>其他说明：其他应收款年末数比年初数增加</w:t>
      </w:r>
      <w:r>
        <w:rPr>
          <w:spacing w:val="-50"/>
        </w:rPr>
        <w:t> </w:t>
      </w:r>
      <w:r>
        <w:rPr>
          <w:rFonts w:ascii="Times New Roman" w:hAnsi="Times New Roman" w:cs="Times New Roman" w:eastAsia="Times New Roman" w:hint="default"/>
        </w:rPr>
        <w:t>16,593,046.78</w:t>
      </w:r>
      <w:r>
        <w:rPr>
          <w:rFonts w:ascii="Times New Roman" w:hAnsi="Times New Roman" w:cs="Times New Roman" w:eastAsia="Times New Roman" w:hint="default"/>
          <w:spacing w:val="-4"/>
        </w:rPr>
        <w:t> </w:t>
      </w:r>
      <w:r>
        <w:rPr/>
        <w:t>元，增长比例为</w:t>
      </w:r>
      <w:r>
        <w:rPr>
          <w:spacing w:val="-50"/>
        </w:rPr>
        <w:t> </w:t>
      </w:r>
      <w:r>
        <w:rPr>
          <w:rFonts w:ascii="Times New Roman" w:hAnsi="Times New Roman" w:cs="Times New Roman" w:eastAsia="Times New Roman" w:hint="default"/>
        </w:rPr>
        <w:t>73.76%</w:t>
      </w:r>
      <w:r>
        <w:rPr/>
        <w:t>，主要系生产经营扩大，经营性垫付 款及备用金往来款增加所致。</w:t>
      </w:r>
    </w:p>
    <w:p>
      <w:pPr>
        <w:spacing w:line="240" w:lineRule="auto" w:before="9"/>
        <w:rPr>
          <w:rFonts w:ascii="宋体" w:hAnsi="宋体" w:cs="宋体" w:eastAsia="宋体" w:hint="default"/>
          <w:sz w:val="13"/>
          <w:szCs w:val="13"/>
        </w:rPr>
      </w:pPr>
    </w:p>
    <w:p>
      <w:pPr>
        <w:pStyle w:val="BodyText"/>
        <w:spacing w:line="364" w:lineRule="auto" w:before="0"/>
        <w:ind w:right="7152" w:firstLine="62"/>
        <w:jc w:val="left"/>
      </w:pPr>
      <w:bookmarkStart w:name="6、存货" w:id="253"/>
      <w:bookmarkEnd w:id="25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b/>
          <w:bCs/>
          <w:spacing w:val="1"/>
          <w:w w:val="99"/>
          <w:sz w:val="21"/>
          <w:szCs w:val="21"/>
        </w:rPr>
        <w:t> </w:t>
      </w:r>
      <w:r>
        <w:rPr/>
        <w:t>公司是否需要遵守房地产行业的披露要求 否</w:t>
      </w:r>
    </w:p>
    <w:p>
      <w:pPr>
        <w:pStyle w:val="Heading3"/>
        <w:spacing w:line="240" w:lineRule="auto" w:before="134"/>
        <w:ind w:right="0"/>
        <w:jc w:val="left"/>
        <w:rPr>
          <w:b w:val="0"/>
          <w:bCs w:val="0"/>
        </w:rPr>
      </w:pPr>
      <w:bookmarkStart w:name="（1）存货分类" w:id="254"/>
      <w:bookmarkEnd w:id="254"/>
      <w:r>
        <w:rPr>
          <w:b w:val="0"/>
          <w:bCs w:val="0"/>
        </w:rPr>
      </w:r>
      <w:r>
        <w:rPr/>
        <w:t>（</w:t>
      </w:r>
      <w:r>
        <w:rPr>
          <w:rFonts w:ascii="Times New Roman" w:hAnsi="Times New Roman" w:cs="Times New Roman" w:eastAsia="Times New Roman" w:hint="default"/>
        </w:rPr>
        <w:t>1</w:t>
      </w:r>
      <w:r>
        <w:rPr/>
        <w:t>）存货分类</w:t>
      </w:r>
      <w:r>
        <w:rPr>
          <w:b w:val="0"/>
          <w:bCs w:val="0"/>
        </w:rPr>
      </w:r>
    </w:p>
    <w:p>
      <w:pPr>
        <w:pStyle w:val="BodyText"/>
        <w:spacing w:line="240" w:lineRule="auto" w:before="15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16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4"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58,351,471.96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2,044,156.60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56,307,315.36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58,512,631.37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1,895,762.98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56,616,868.39</w:t>
            </w: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60,573,980.92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8,172,989.68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52,400,991.24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64,601,281.84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2,657,374.36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61,943,907.48</w:t>
            </w: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8,586,368.57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2,150,381.43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6,435,987.14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6,450,131.55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91,476.49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6,358,655.06</w:t>
            </w: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5,731,927.19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5,731,927.19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1,892,826.23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1,892,826.23</w:t>
            </w: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163,700,389.07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163,700,389.07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72,624,046.21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72,624,046.21</w:t>
            </w: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296,944,137.71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12,367,527.71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284,576,610.00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204,080,917.20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4,644,613.83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199,436,303.37</w:t>
            </w:r>
          </w:p>
        </w:tc>
      </w:tr>
    </w:tbl>
    <w:p>
      <w:pPr>
        <w:spacing w:line="240" w:lineRule="auto" w:before="9"/>
        <w:rPr>
          <w:rFonts w:ascii="宋体" w:hAnsi="宋体" w:cs="宋体" w:eastAsia="宋体" w:hint="default"/>
          <w:sz w:val="6"/>
          <w:szCs w:val="6"/>
        </w:rPr>
      </w:pPr>
    </w:p>
    <w:p>
      <w:pPr>
        <w:pStyle w:val="BodyText"/>
        <w:spacing w:line="338" w:lineRule="auto"/>
        <w:ind w:right="211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122"/>
        <w:ind w:right="239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pStyle w:val="Heading3"/>
        <w:spacing w:line="240" w:lineRule="auto" w:before="150"/>
        <w:ind w:right="0"/>
        <w:jc w:val="left"/>
        <w:rPr>
          <w:b w:val="0"/>
          <w:bCs w:val="0"/>
        </w:rPr>
      </w:pPr>
      <w:bookmarkStart w:name="（2）存货跌价准备" w:id="255"/>
      <w:bookmarkEnd w:id="25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170"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5"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4"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170"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1,895,762.98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148,393.62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2,044,156.60</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2,657,374.36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5,515,615.32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8,172,989.68</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91,476.49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2,059,084.43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179.49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2,150,381.43</w:t>
            </w:r>
          </w:p>
        </w:tc>
      </w:tr>
      <w:tr>
        <w:trPr>
          <w:trHeight w:val="330"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4,644,613.83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7,723,093.37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179.49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12,367,527.71</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其他说明：存货年末数比年初数增加</w:t>
      </w:r>
      <w:r>
        <w:rPr>
          <w:spacing w:val="-47"/>
        </w:rPr>
        <w:t> </w:t>
      </w:r>
      <w:r>
        <w:rPr>
          <w:rFonts w:ascii="Times New Roman" w:hAnsi="Times New Roman" w:cs="Times New Roman" w:eastAsia="Times New Roman" w:hint="default"/>
        </w:rPr>
        <w:t>85,140,306.63</w:t>
      </w:r>
      <w:r>
        <w:rPr>
          <w:rFonts w:ascii="Times New Roman" w:hAnsi="Times New Roman" w:cs="Times New Roman" w:eastAsia="Times New Roman" w:hint="default"/>
          <w:spacing w:val="-1"/>
        </w:rPr>
        <w:t> </w:t>
      </w:r>
      <w:r>
        <w:rPr/>
        <w:t>元，增加比例为</w:t>
      </w:r>
      <w:r>
        <w:rPr>
          <w:spacing w:val="-47"/>
        </w:rPr>
        <w:t> </w:t>
      </w:r>
      <w:r>
        <w:rPr>
          <w:rFonts w:ascii="Times New Roman" w:hAnsi="Times New Roman" w:cs="Times New Roman" w:eastAsia="Times New Roman" w:hint="default"/>
        </w:rPr>
        <w:t>42.69%</w:t>
      </w:r>
      <w:r>
        <w:rPr/>
        <w:t>，主要系经营扩大，存货相应增加所致。</w:t>
      </w:r>
    </w:p>
    <w:p>
      <w:pPr>
        <w:spacing w:after="0" w:line="240" w:lineRule="auto"/>
        <w:jc w:val="left"/>
        <w:sectPr>
          <w:footerReference w:type="default" r:id="rId20"/>
          <w:pgSz w:w="11910" w:h="16840"/>
          <w:pgMar w:footer="979" w:header="551" w:top="1120" w:bottom="1160" w:left="960" w:right="0"/>
          <w:pgNumType w:start="115"/>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3）存货期末余额含有借款费用资本化金额的说明" w:id="256"/>
      <w:bookmarkEnd w:id="25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pStyle w:val="BodyText"/>
        <w:spacing w:line="240" w:lineRule="auto" w:before="15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7、其他流动资产" w:id="257"/>
      <w:bookmarkEnd w:id="257"/>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11"/>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1"/>
        <w:gridCol w:w="3191"/>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待抵扣税费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13,936,163.95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11,856,167.45</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524,030.94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488,013.53</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329,150,000.00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935,500,000.00</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343,610,194.89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947,844,180.98</w:t>
            </w:r>
          </w:p>
        </w:tc>
      </w:tr>
    </w:tbl>
    <w:p>
      <w:pPr>
        <w:spacing w:line="240" w:lineRule="auto" w:before="8"/>
        <w:rPr>
          <w:rFonts w:ascii="宋体" w:hAnsi="宋体" w:cs="宋体" w:eastAsia="宋体" w:hint="default"/>
          <w:sz w:val="6"/>
          <w:szCs w:val="6"/>
        </w:rPr>
      </w:pPr>
    </w:p>
    <w:p>
      <w:pPr>
        <w:pStyle w:val="BodyText"/>
        <w:spacing w:line="302" w:lineRule="auto"/>
        <w:ind w:left="174" w:right="1201" w:firstLine="360"/>
        <w:jc w:val="left"/>
      </w:pPr>
      <w:r>
        <w:rPr/>
        <w:t>其他说明：其他流动资产年末数比年初数减少</w:t>
      </w:r>
      <w:r>
        <w:rPr>
          <w:spacing w:val="-46"/>
        </w:rPr>
        <w:t> </w:t>
      </w:r>
      <w:r>
        <w:rPr>
          <w:rFonts w:ascii="Times New Roman" w:hAnsi="Times New Roman" w:cs="Times New Roman" w:eastAsia="Times New Roman" w:hint="default"/>
        </w:rPr>
        <w:t>604,233,986.09</w:t>
      </w:r>
      <w:r>
        <w:rPr>
          <w:rFonts w:ascii="Times New Roman" w:hAnsi="Times New Roman" w:cs="Times New Roman" w:eastAsia="Times New Roman" w:hint="default"/>
          <w:spacing w:val="-1"/>
        </w:rPr>
        <w:t> </w:t>
      </w:r>
      <w:r>
        <w:rPr/>
        <w:t>元，减少比例为</w:t>
      </w:r>
      <w:r>
        <w:rPr>
          <w:spacing w:val="-47"/>
        </w:rPr>
        <w:t> </w:t>
      </w:r>
      <w:r>
        <w:rPr>
          <w:rFonts w:ascii="Times New Roman" w:hAnsi="Times New Roman" w:cs="Times New Roman" w:eastAsia="Times New Roman" w:hint="default"/>
        </w:rPr>
        <w:t>63.75%</w:t>
      </w:r>
      <w:r>
        <w:rPr/>
        <w:t>，主要系部分理财产品到期赎回 所致。</w:t>
      </w:r>
    </w:p>
    <w:p>
      <w:pPr>
        <w:spacing w:line="240" w:lineRule="auto" w:before="9"/>
        <w:rPr>
          <w:rFonts w:ascii="宋体" w:hAnsi="宋体" w:cs="宋体" w:eastAsia="宋体" w:hint="default"/>
          <w:sz w:val="13"/>
          <w:szCs w:val="13"/>
        </w:rPr>
      </w:pPr>
    </w:p>
    <w:p>
      <w:pPr>
        <w:pStyle w:val="Heading3"/>
        <w:spacing w:line="240" w:lineRule="auto" w:before="0"/>
        <w:ind w:right="0"/>
        <w:jc w:val="left"/>
        <w:rPr>
          <w:b w:val="0"/>
          <w:bCs w:val="0"/>
        </w:rPr>
      </w:pPr>
      <w:bookmarkStart w:name="8、可供出售金融资产" w:id="258"/>
      <w:bookmarkEnd w:id="258"/>
      <w:r>
        <w:rPr>
          <w:b w:val="0"/>
          <w:bCs w:val="0"/>
        </w:rPr>
      </w:r>
      <w:r>
        <w:rPr>
          <w:rFonts w:ascii="Times New Roman" w:hAnsi="Times New Roman" w:cs="Times New Roman" w:eastAsia="Times New Roman" w:hint="default"/>
        </w:rPr>
        <w:t>8</w:t>
      </w:r>
      <w:r>
        <w:rPr/>
        <w:t>、可供出售金融资产</w:t>
      </w:r>
      <w:r>
        <w:rPr>
          <w:b w:val="0"/>
          <w:bCs w:val="0"/>
        </w:rPr>
      </w:r>
    </w:p>
    <w:p>
      <w:pPr>
        <w:pStyle w:val="Heading3"/>
        <w:spacing w:line="240" w:lineRule="auto" w:before="190"/>
        <w:ind w:right="0"/>
        <w:jc w:val="left"/>
        <w:rPr>
          <w:b w:val="0"/>
          <w:bCs w:val="0"/>
        </w:rPr>
      </w:pPr>
      <w:bookmarkStart w:name="（1）可供出售金融资产情况" w:id="259"/>
      <w:bookmarkEnd w:id="259"/>
      <w:r>
        <w:rPr>
          <w:b w:val="0"/>
          <w:bCs w:val="0"/>
        </w:rPr>
      </w:r>
      <w:r>
        <w:rPr/>
        <w:t>（</w:t>
      </w:r>
      <w:r>
        <w:rPr>
          <w:rFonts w:ascii="Times New Roman" w:hAnsi="Times New Roman" w:cs="Times New Roman" w:eastAsia="Times New Roman" w:hint="default"/>
        </w:rPr>
        <w:t>1</w:t>
      </w:r>
      <w:r>
        <w:rPr/>
        <w:t>）可供出售金融资产情况</w:t>
      </w:r>
      <w:r>
        <w:rPr>
          <w:b w:val="0"/>
          <w:bCs w:val="0"/>
        </w:rPr>
      </w:r>
    </w:p>
    <w:p>
      <w:pPr>
        <w:pStyle w:val="BodyText"/>
        <w:spacing w:line="240" w:lineRule="auto" w:before="15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690"/>
        <w:gridCol w:w="1315"/>
        <w:gridCol w:w="1305"/>
        <w:gridCol w:w="1304"/>
        <w:gridCol w:w="1303"/>
        <w:gridCol w:w="1305"/>
        <w:gridCol w:w="1304"/>
      </w:tblGrid>
      <w:tr>
        <w:trPr>
          <w:trHeight w:val="170"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2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5" w:hRule="exact"/>
        </w:trPr>
        <w:tc>
          <w:tcPr>
            <w:tcW w:w="1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24" w:type="dxa"/>
            <w:gridSpan w:val="3"/>
            <w:vMerge/>
            <w:tcBorders>
              <w:left w:val="single" w:sz="4" w:space="0" w:color="000000"/>
              <w:bottom w:val="single" w:sz="4" w:space="0" w:color="000000"/>
              <w:right w:val="single" w:sz="4" w:space="0" w:color="000000"/>
            </w:tcBorders>
            <w:shd w:val="clear" w:color="auto" w:fill="D2D2D2"/>
          </w:tcPr>
          <w:p>
            <w:pPr/>
          </w:p>
        </w:tc>
        <w:tc>
          <w:tcPr>
            <w:tcW w:w="3912" w:type="dxa"/>
            <w:gridSpan w:val="3"/>
            <w:vMerge/>
            <w:tcBorders>
              <w:left w:val="single" w:sz="4" w:space="0" w:color="000000"/>
              <w:bottom w:val="single" w:sz="4" w:space="0" w:color="000000"/>
              <w:right w:val="single" w:sz="4" w:space="0" w:color="000000"/>
            </w:tcBorders>
            <w:shd w:val="clear" w:color="auto" w:fill="D2D2D2"/>
          </w:tcPr>
          <w:p>
            <w:pPr/>
          </w:p>
        </w:tc>
      </w:tr>
      <w:tr>
        <w:trPr>
          <w:trHeight w:val="164" w:hRule="exact"/>
        </w:trPr>
        <w:tc>
          <w:tcPr>
            <w:tcW w:w="1690"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8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0"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303"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97,829,374.50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7,510,000.00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90,319,374.50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95,554,374.50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7,510,000.00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88,044,374.50</w:t>
            </w:r>
          </w:p>
        </w:tc>
      </w:tr>
      <w:tr>
        <w:trPr>
          <w:trHeight w:val="330"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97,829,374.50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7,510,000.00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90,319,374.50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95,554,374.50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7,510,000.00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88,044,374.50</w:t>
            </w:r>
          </w:p>
        </w:tc>
      </w:tr>
      <w:tr>
        <w:trPr>
          <w:trHeight w:val="330"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97,829,374.50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7,510,000.00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90,319,374.50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95,554,374.50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7,510,000.00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88,044,374.50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期末按成本计量的可供出售金融资产" w:id="260"/>
      <w:bookmarkEnd w:id="26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45"/>
        <w:gridCol w:w="895"/>
        <w:gridCol w:w="870"/>
      </w:tblGrid>
      <w:tr>
        <w:trPr>
          <w:trHeight w:val="367"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121"/>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34" w:space="0" w:color="FFFFFF"/>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55" w:type="dxa"/>
            <w:gridSpan w:val="4"/>
            <w:tcBorders>
              <w:top w:val="single" w:sz="4" w:space="0" w:color="000000"/>
              <w:left w:val="single" w:sz="4" w:space="0" w:color="000000"/>
              <w:bottom w:val="single" w:sz="34" w:space="0" w:color="FFFFFF"/>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82" w:right="80"/>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141"/>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4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45"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236"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95"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江苏大丰 农村商业 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143,960.38</w:t>
            </w:r>
          </w:p>
        </w:tc>
      </w:tr>
      <w:tr>
        <w:trPr>
          <w:trHeight w:val="57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株式会社</w:t>
            </w:r>
          </w:p>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ISI</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17,060,243</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17,060,243</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上海企盈 信息技术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杭州金才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34,020,000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34,020,000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广州湛蓝 数据科技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2,850,000.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4,750,000.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苏州方泽 投资合伙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33"/>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45"/>
        <w:gridCol w:w="895"/>
        <w:gridCol w:w="870"/>
      </w:tblGrid>
      <w:tr>
        <w:trPr>
          <w:trHeight w:val="10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广东中创 万顺信息 技术有限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1,425,000.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广州联合 软件有限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四川方欣 晟源科技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10,000.00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95,554,374</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4,275,000.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97,829,374</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7,510,000.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7,510,000.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143,960.38</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9、长期应收款" w:id="261"/>
      <w:bookmarkEnd w:id="261"/>
      <w:r>
        <w:rPr>
          <w:b w:val="0"/>
          <w:bCs w:val="0"/>
        </w:rPr>
      </w:r>
      <w:r>
        <w:rPr>
          <w:rFonts w:ascii="Times New Roman" w:hAnsi="Times New Roman" w:cs="Times New Roman" w:eastAsia="Times New Roman" w:hint="default"/>
        </w:rPr>
        <w:t>9</w:t>
      </w:r>
      <w:r>
        <w:rPr/>
        <w:t>、长期应收款</w:t>
      </w:r>
      <w:r>
        <w:rPr>
          <w:b w:val="0"/>
          <w:bCs w:val="0"/>
        </w:rPr>
      </w:r>
    </w:p>
    <w:p>
      <w:pPr>
        <w:pStyle w:val="Heading3"/>
        <w:spacing w:line="240" w:lineRule="auto" w:before="189"/>
        <w:ind w:right="0"/>
        <w:jc w:val="left"/>
        <w:rPr>
          <w:b w:val="0"/>
          <w:bCs w:val="0"/>
        </w:rPr>
      </w:pPr>
      <w:bookmarkStart w:name="（1）长期应收款情况" w:id="262"/>
      <w:bookmarkEnd w:id="26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549"/>
        <w:gridCol w:w="1134"/>
        <w:gridCol w:w="1134"/>
        <w:gridCol w:w="1134"/>
        <w:gridCol w:w="1134"/>
        <w:gridCol w:w="1134"/>
        <w:gridCol w:w="1134"/>
        <w:gridCol w:w="1134"/>
      </w:tblGrid>
      <w:tr>
        <w:trPr>
          <w:trHeight w:val="190"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75" w:hRule="exact"/>
        </w:trPr>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3"/>
            <w:vMerge/>
            <w:tcBorders>
              <w:left w:val="single" w:sz="4" w:space="0" w:color="000000"/>
              <w:bottom w:val="single" w:sz="4" w:space="0" w:color="000000"/>
              <w:right w:val="single" w:sz="4" w:space="0" w:color="000000"/>
            </w:tcBorders>
            <w:shd w:val="clear" w:color="auto" w:fill="D2D2D2"/>
          </w:tcPr>
          <w:p>
            <w:pPr/>
          </w:p>
        </w:tc>
        <w:tc>
          <w:tcPr>
            <w:tcW w:w="3402" w:type="dxa"/>
            <w:gridSpan w:val="3"/>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r>
      <w:tr>
        <w:trPr>
          <w:trHeight w:val="185"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vMerge/>
            <w:tcBorders>
              <w:left w:val="single" w:sz="4" w:space="0" w:color="000000"/>
              <w:right w:val="single" w:sz="4" w:space="0" w:color="000000"/>
            </w:tcBorders>
            <w:shd w:val="clear" w:color="auto" w:fill="D2D2D2"/>
          </w:tcPr>
          <w:p>
            <w:pPr/>
          </w:p>
        </w:tc>
      </w:tr>
      <w:tr>
        <w:trPr>
          <w:trHeight w:val="190"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371"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508,200.00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5,621,116.24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508,200.00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5,621,116.24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0、长期股权投资" w:id="263"/>
      <w:bookmarkEnd w:id="263"/>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30"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85"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4"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810"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63,950,76</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6.85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1,193,911</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62,644,67</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796" w:type="dxa"/>
            <w:tcBorders>
              <w:top w:val="single" w:sz="4" w:space="0" w:color="000000"/>
              <w:left w:val="single" w:sz="4" w:space="0" w:color="000000"/>
              <w:bottom w:val="single" w:sz="52" w:space="0" w:color="D2D2D2"/>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15,377,76</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8.98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2,682,916</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18,060,68</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5.92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13" w:space="0" w:color="D2D2D2"/>
              <w:right w:val="single" w:sz="4" w:space="0" w:color="000000"/>
            </w:tcBorders>
          </w:tcPr>
          <w:p>
            <w:pPr>
              <w:pStyle w:val="TableParagraph"/>
              <w:spacing w:line="240" w:lineRule="auto" w:before="63"/>
              <w:ind w:left="34" w:right="0"/>
              <w:jc w:val="left"/>
              <w:rPr>
                <w:rFonts w:ascii="Times New Roman" w:hAnsi="Times New Roman" w:cs="Times New Roman" w:eastAsia="Times New Roman" w:hint="default"/>
                <w:sz w:val="18"/>
                <w:szCs w:val="18"/>
              </w:rPr>
            </w:pPr>
            <w:r>
              <w:rPr>
                <w:rFonts w:ascii="Times New Roman"/>
                <w:sz w:val="18"/>
              </w:rPr>
              <w:t>79,328,53</w:t>
            </w:r>
          </w:p>
          <w:p>
            <w:pPr>
              <w:pStyle w:val="TableParagraph"/>
              <w:spacing w:line="240" w:lineRule="auto" w:before="33"/>
              <w:ind w:left="439" w:right="0"/>
              <w:jc w:val="left"/>
              <w:rPr>
                <w:rFonts w:ascii="Times New Roman" w:hAnsi="Times New Roman" w:cs="Times New Roman" w:eastAsia="Times New Roman" w:hint="default"/>
                <w:sz w:val="18"/>
                <w:szCs w:val="18"/>
              </w:rPr>
            </w:pPr>
            <w:r>
              <w:rPr>
                <w:rFonts w:ascii="Times New Roman"/>
                <w:sz w:val="18"/>
              </w:rPr>
              <w:t>5.83</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3,876,828</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.44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80,705,36</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4.27</w:t>
            </w:r>
          </w:p>
        </w:tc>
        <w:tc>
          <w:tcPr>
            <w:tcW w:w="798" w:type="dxa"/>
            <w:vMerge w:val="restart"/>
            <w:tcBorders>
              <w:top w:val="single" w:sz="4" w:space="0" w:color="000000"/>
              <w:left w:val="single" w:sz="4" w:space="0" w:color="000000"/>
              <w:right w:val="single" w:sz="4" w:space="0" w:color="000000"/>
            </w:tcBorders>
          </w:tcPr>
          <w:p>
            <w:pPr/>
          </w:p>
        </w:tc>
      </w:tr>
      <w:tr>
        <w:trPr>
          <w:trHeight w:val="445"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13"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30"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20,713,46</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7.34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6,759,461</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23,472,92</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20,713,46</w:t>
            </w:r>
          </w:p>
          <w:p>
            <w:pPr>
              <w:pStyle w:val="TableParagraph"/>
              <w:spacing w:line="240" w:lineRule="auto" w:before="33"/>
              <w:ind w:left="451" w:right="0"/>
              <w:jc w:val="left"/>
              <w:rPr>
                <w:rFonts w:ascii="Times New Roman" w:hAnsi="Times New Roman" w:cs="Times New Roman" w:eastAsia="Times New Roman" w:hint="default"/>
                <w:sz w:val="18"/>
                <w:szCs w:val="18"/>
              </w:rPr>
            </w:pPr>
            <w:r>
              <w:rPr>
                <w:rFonts w:ascii="Times New Roman"/>
                <w:sz w:val="18"/>
              </w:rPr>
              <w:t>7.34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6,759,461</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23,472,92</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8.82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100,042,0</w:t>
            </w:r>
          </w:p>
          <w:p>
            <w:pPr>
              <w:pStyle w:val="TableParagraph"/>
              <w:spacing w:line="240" w:lineRule="auto" w:before="33"/>
              <w:ind w:left="361" w:right="0"/>
              <w:jc w:val="left"/>
              <w:rPr>
                <w:rFonts w:ascii="Times New Roman" w:hAnsi="Times New Roman" w:cs="Times New Roman" w:eastAsia="Times New Roman" w:hint="default"/>
                <w:sz w:val="18"/>
                <w:szCs w:val="18"/>
              </w:rPr>
            </w:pPr>
            <w:r>
              <w:rPr>
                <w:rFonts w:ascii="Times New Roman"/>
                <w:sz w:val="18"/>
              </w:rPr>
              <w:t>03.17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10,636,28</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9.92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6,500,000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104,178,2</w:t>
            </w:r>
          </w:p>
          <w:p>
            <w:pPr>
              <w:pStyle w:val="TableParagraph"/>
              <w:spacing w:line="240" w:lineRule="auto" w:before="33"/>
              <w:ind w:left="360" w:right="0"/>
              <w:jc w:val="left"/>
              <w:rPr>
                <w:rFonts w:ascii="Times New Roman" w:hAnsi="Times New Roman" w:cs="Times New Roman" w:eastAsia="Times New Roman" w:hint="default"/>
                <w:sz w:val="18"/>
                <w:szCs w:val="18"/>
              </w:rPr>
            </w:pPr>
            <w:r>
              <w:rPr>
                <w:rFonts w:ascii="Times New Roman"/>
                <w:sz w:val="18"/>
              </w:rPr>
              <w:t>93.09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51"/>
        <w:ind w:left="174" w:right="1122" w:firstLine="360"/>
        <w:jc w:val="left"/>
      </w:pPr>
      <w:r>
        <w:rPr/>
        <w:t>其他说明：</w:t>
      </w:r>
      <w:r>
        <w:rPr>
          <w:rFonts w:ascii="Times New Roman" w:hAnsi="Times New Roman" w:cs="Times New Roman" w:eastAsia="Times New Roman" w:hint="default"/>
        </w:rPr>
        <w:t>*</w:t>
      </w:r>
      <w:r>
        <w:rPr/>
        <w:t>四川方欣科技有限公司及方欣（北京）科技有限公司系子公司方欣科技的子公司，两家公司无实际业务经 营，营业执照处于被吊销状态，故未纳入合并报表范围。</w:t>
      </w:r>
    </w:p>
    <w:p>
      <w:pPr>
        <w:spacing w:after="0" w:line="300"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t>除上述事项外，其余长期股权投资单位无向投资企业转移资金的能力受到限制的情况。</w:t>
      </w:r>
    </w:p>
    <w:p>
      <w:pPr>
        <w:spacing w:line="240" w:lineRule="auto" w:before="4"/>
        <w:rPr>
          <w:rFonts w:ascii="宋体" w:hAnsi="宋体" w:cs="宋体" w:eastAsia="宋体" w:hint="default"/>
          <w:sz w:val="17"/>
          <w:szCs w:val="17"/>
        </w:rPr>
      </w:pPr>
    </w:p>
    <w:p>
      <w:pPr>
        <w:pStyle w:val="Heading3"/>
        <w:spacing w:line="240" w:lineRule="auto" w:before="0"/>
        <w:ind w:right="0"/>
        <w:jc w:val="left"/>
        <w:rPr>
          <w:b w:val="0"/>
          <w:bCs w:val="0"/>
        </w:rPr>
      </w:pPr>
      <w:bookmarkStart w:name="11、投资性房地产" w:id="264"/>
      <w:bookmarkEnd w:id="264"/>
      <w:r>
        <w:rPr>
          <w:b w:val="0"/>
          <w:bCs w:val="0"/>
        </w:rPr>
      </w:r>
      <w:r>
        <w:rPr>
          <w:rFonts w:ascii="Times New Roman" w:hAnsi="Times New Roman" w:cs="Times New Roman" w:eastAsia="Times New Roman" w:hint="default"/>
        </w:rPr>
        <w:t>11</w:t>
      </w:r>
      <w:r>
        <w:rPr/>
        <w:t>、投资性房地产</w:t>
      </w:r>
      <w:r>
        <w:rPr>
          <w:b w:val="0"/>
          <w:bCs w:val="0"/>
        </w:rPr>
      </w:r>
    </w:p>
    <w:p>
      <w:pPr>
        <w:pStyle w:val="Heading3"/>
        <w:spacing w:line="240" w:lineRule="auto" w:before="190"/>
        <w:ind w:right="0"/>
        <w:jc w:val="left"/>
        <w:rPr>
          <w:b w:val="0"/>
          <w:bCs w:val="0"/>
        </w:rPr>
      </w:pPr>
      <w:bookmarkStart w:name="（1）采用成本计量模式的投资性房地产" w:id="265"/>
      <w:bookmarkEnd w:id="26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239"/>
        <w:gridCol w:w="1600"/>
        <w:gridCol w:w="1588"/>
        <w:gridCol w:w="1589"/>
        <w:gridCol w:w="1588"/>
      </w:tblGrid>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6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2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34,142,245.17</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34,142,245.17</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34,142,245.17</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34,142,245.17</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34,142,245.17</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34,142,245.17</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1,024,267.20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1,024,267.20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320,083.50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320,083.50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704,183.70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704,183.70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1,024,267.20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1,024,267.20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33,117,977.97</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33,117,977.97</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采用公允价值计量模式的投资性房地产" w:id="266"/>
      <w:bookmarkEnd w:id="26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12、固定资产" w:id="267"/>
      <w:bookmarkEnd w:id="267"/>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71"/>
        <w:gridCol w:w="3200"/>
        <w:gridCol w:w="3188"/>
      </w:tblGrid>
      <w:tr>
        <w:trPr>
          <w:trHeight w:val="33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499,545,258.14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479,103,566.17</w:t>
            </w:r>
          </w:p>
        </w:tc>
      </w:tr>
      <w:tr>
        <w:trPr>
          <w:trHeight w:val="33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499,545,258.14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479,103,566.17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固定资产情况" w:id="268"/>
      <w:bookmarkEnd w:id="26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2410"/>
        <w:gridCol w:w="1419"/>
        <w:gridCol w:w="1418"/>
        <w:gridCol w:w="1417"/>
        <w:gridCol w:w="1419"/>
        <w:gridCol w:w="1418"/>
      </w:tblGrid>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办公及其他</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398,510,669.86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194,236,411.42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24,368,137.40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41,117,379.96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658,232,598.64</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20,056,704.65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47,159,812.52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5,356,582.98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21,941,444.95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94,514,545.10</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9,045,090.62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25,700,951.96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4,286,193.22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18,019,946.54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57,052,182.34</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2"/>
                <w:sz w:val="18"/>
              </w:rPr>
              <w:t>11,011,614.03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21,458,860.56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2,016,455.92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34,486,930.51</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1,070,389.76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1,905,042.49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2,975,432.25</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34,142,245.17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2,096,155.73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1,859,586.56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1,188,969.73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39,286,957.19</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2,096,155.73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1,859,586.56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1,188,969.73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5,144,712.02</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34,142,245.17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34,142,245.17</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384,425,129.34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239,300,068.21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27,865,133.82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61,869,855.18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713,460,186.55</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50,234,299.02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84,861,026.63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16,713,817.42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26,164,889.40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177,974,032.47</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13,071,240.65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16,932,269.96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3,232,440.31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6,801,873.25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40,037,824.17</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13,071,240.65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16,932,269.96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2,920,852.29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6,096,732.71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39,021,095.61</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48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311,588.02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705,140.54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1,016,728.56</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704,183.70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1,819,869.80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1,677,963.91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1,049,910.82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5,251,928.23</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1,819,869.80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1,677,963.91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1,049,910.82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4,547,744.53</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704,183.70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704,183.70</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62,601,355.97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99,973,426.79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18,268,293.82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31,916,851.83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212,759,928.41</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855,000.00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1,155,000.00</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855,000.00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1,155,000.00</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321,523,773.37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138,471,641.42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9,596,840.00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29,953,003.35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499,545,258.14</w:t>
            </w:r>
          </w:p>
        </w:tc>
      </w:tr>
      <w:tr>
        <w:trPr>
          <w:trHeight w:val="330"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347,976,370.84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108,520,384.79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7,654,319.98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14,952,490.56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479,103,566.17</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40" w:lineRule="auto" w:before="0"/>
        <w:ind w:right="0"/>
        <w:jc w:val="left"/>
        <w:rPr>
          <w:b w:val="0"/>
          <w:bCs w:val="0"/>
        </w:rPr>
      </w:pPr>
      <w:bookmarkStart w:name="13、在建工程" w:id="269"/>
      <w:bookmarkEnd w:id="269"/>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884"/>
        <w:gridCol w:w="3827"/>
        <w:gridCol w:w="3858"/>
      </w:tblGrid>
      <w:tr>
        <w:trPr>
          <w:trHeight w:val="329"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37,570,308.24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22,248,087.03</w:t>
            </w:r>
          </w:p>
        </w:tc>
      </w:tr>
      <w:tr>
        <w:trPr>
          <w:trHeight w:val="33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37,570,308.24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22,248,087.03</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在建工程情况" w:id="270"/>
      <w:bookmarkEnd w:id="27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30"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无人化智能工厂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242,174.76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242,174.76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7,144,118.73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7,144,118.73</w:t>
            </w: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37,328,133.48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37,328,133.48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15,103,968.30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15,103,968.30</w:t>
            </w: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37,570,308.24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37,570,308.24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22,248,087.03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22,248,087.03</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重要在建工程项目本期变动情况" w:id="271"/>
      <w:bookmarkEnd w:id="27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85" w:lineRule="auto"/>
              <w:ind w:left="180"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85"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81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9"/>
              <w:jc w:val="both"/>
              <w:rPr>
                <w:rFonts w:ascii="宋体" w:hAnsi="宋体" w:cs="宋体" w:eastAsia="宋体" w:hint="default"/>
                <w:sz w:val="18"/>
                <w:szCs w:val="18"/>
              </w:rPr>
            </w:pPr>
            <w:r>
              <w:rPr>
                <w:rFonts w:ascii="宋体" w:hAnsi="宋体" w:cs="宋体" w:eastAsia="宋体" w:hint="default"/>
                <w:sz w:val="18"/>
                <w:szCs w:val="18"/>
              </w:rPr>
              <w:t>无人化 智能工 厂项目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7,144,11</w:t>
            </w:r>
          </w:p>
          <w:p>
            <w:pPr>
              <w:pStyle w:val="TableParagraph"/>
              <w:spacing w:line="240" w:lineRule="auto" w:before="33"/>
              <w:ind w:left="389" w:right="0"/>
              <w:jc w:val="left"/>
              <w:rPr>
                <w:rFonts w:ascii="Times New Roman" w:hAnsi="Times New Roman" w:cs="Times New Roman" w:eastAsia="Times New Roman" w:hint="default"/>
                <w:sz w:val="18"/>
                <w:szCs w:val="18"/>
              </w:rPr>
            </w:pPr>
            <w:r>
              <w:rPr>
                <w:rFonts w:ascii="Times New Roman"/>
                <w:sz w:val="18"/>
              </w:rPr>
              <w:t>8.73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1,055,72</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4.94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5,186,39</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9.08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2,771,26</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9.83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242,174.</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76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5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9"/>
              <w:jc w:val="left"/>
              <w:rPr>
                <w:rFonts w:ascii="宋体" w:hAnsi="宋体" w:cs="宋体" w:eastAsia="宋体" w:hint="default"/>
                <w:sz w:val="18"/>
                <w:szCs w:val="18"/>
              </w:rPr>
            </w:pPr>
            <w:r>
              <w:rPr>
                <w:rFonts w:ascii="宋体" w:hAnsi="宋体" w:cs="宋体" w:eastAsia="宋体" w:hint="default"/>
                <w:sz w:val="18"/>
                <w:szCs w:val="18"/>
              </w:rPr>
              <w:t>设备安 装工程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15,103,9</w:t>
            </w:r>
          </w:p>
          <w:p>
            <w:pPr>
              <w:pStyle w:val="TableParagraph"/>
              <w:spacing w:line="240" w:lineRule="auto" w:before="33"/>
              <w:ind w:left="299" w:right="0"/>
              <w:jc w:val="left"/>
              <w:rPr>
                <w:rFonts w:ascii="Times New Roman" w:hAnsi="Times New Roman" w:cs="Times New Roman" w:eastAsia="Times New Roman" w:hint="default"/>
                <w:sz w:val="18"/>
                <w:szCs w:val="18"/>
              </w:rPr>
            </w:pPr>
            <w:r>
              <w:rPr>
                <w:rFonts w:ascii="Times New Roman"/>
                <w:sz w:val="18"/>
              </w:rPr>
              <w:t>68.30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53,840,3</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93.17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29,300,5</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31.43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2,315,69</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6.56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37,328,1</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33.48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41"/>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57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22,248,0</w:t>
            </w:r>
          </w:p>
          <w:p>
            <w:pPr>
              <w:pStyle w:val="TableParagraph"/>
              <w:spacing w:line="240" w:lineRule="auto" w:before="33"/>
              <w:ind w:left="299" w:right="0"/>
              <w:jc w:val="left"/>
              <w:rPr>
                <w:rFonts w:ascii="Times New Roman" w:hAnsi="Times New Roman" w:cs="Times New Roman" w:eastAsia="Times New Roman" w:hint="default"/>
                <w:sz w:val="18"/>
                <w:szCs w:val="18"/>
              </w:rPr>
            </w:pPr>
            <w:r>
              <w:rPr>
                <w:rFonts w:ascii="Times New Roman"/>
                <w:sz w:val="18"/>
              </w:rPr>
              <w:t>87.03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0" w:right="0"/>
              <w:jc w:val="left"/>
              <w:rPr>
                <w:rFonts w:ascii="Times New Roman" w:hAnsi="Times New Roman" w:cs="Times New Roman" w:eastAsia="Times New Roman" w:hint="default"/>
                <w:sz w:val="18"/>
                <w:szCs w:val="18"/>
              </w:rPr>
            </w:pPr>
            <w:r>
              <w:rPr>
                <w:rFonts w:ascii="Times New Roman"/>
                <w:sz w:val="18"/>
              </w:rPr>
              <w:t>54,896,1</w:t>
            </w:r>
          </w:p>
          <w:p>
            <w:pPr>
              <w:pStyle w:val="TableParagraph"/>
              <w:spacing w:line="240" w:lineRule="auto" w:before="33"/>
              <w:ind w:left="304" w:right="0"/>
              <w:jc w:val="left"/>
              <w:rPr>
                <w:rFonts w:ascii="Times New Roman" w:hAnsi="Times New Roman" w:cs="Times New Roman" w:eastAsia="Times New Roman" w:hint="default"/>
                <w:sz w:val="18"/>
                <w:szCs w:val="18"/>
              </w:rPr>
            </w:pPr>
            <w:r>
              <w:rPr>
                <w:rFonts w:ascii="Times New Roman"/>
                <w:sz w:val="18"/>
              </w:rPr>
              <w:t>18.11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34,486,9</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30.51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5,086,96</w:t>
            </w:r>
          </w:p>
          <w:p>
            <w:pPr>
              <w:pStyle w:val="TableParagraph"/>
              <w:spacing w:line="240" w:lineRule="auto" w:before="33"/>
              <w:ind w:left="390" w:right="0"/>
              <w:jc w:val="left"/>
              <w:rPr>
                <w:rFonts w:ascii="Times New Roman" w:hAnsi="Times New Roman" w:cs="Times New Roman" w:eastAsia="Times New Roman" w:hint="default"/>
                <w:sz w:val="18"/>
                <w:szCs w:val="18"/>
              </w:rPr>
            </w:pPr>
            <w:r>
              <w:rPr>
                <w:rFonts w:ascii="Times New Roman"/>
                <w:sz w:val="18"/>
              </w:rPr>
              <w:t>6.39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37,570,3</w:t>
            </w:r>
          </w:p>
          <w:p>
            <w:pPr>
              <w:pStyle w:val="TableParagraph"/>
              <w:spacing w:line="240" w:lineRule="auto" w:before="33"/>
              <w:ind w:left="298" w:right="0"/>
              <w:jc w:val="left"/>
              <w:rPr>
                <w:rFonts w:ascii="Times New Roman" w:hAnsi="Times New Roman" w:cs="Times New Roman" w:eastAsia="Times New Roman" w:hint="default"/>
                <w:sz w:val="18"/>
                <w:szCs w:val="18"/>
              </w:rPr>
            </w:pPr>
            <w:r>
              <w:rPr>
                <w:rFonts w:ascii="Times New Roman"/>
                <w:sz w:val="18"/>
              </w:rPr>
              <w:t>08.24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4、无形资产" w:id="272"/>
      <w:bookmarkEnd w:id="272"/>
      <w:r>
        <w:rPr>
          <w:b w:val="0"/>
          <w:bCs w:val="0"/>
        </w:rPr>
      </w:r>
      <w:r>
        <w:rPr>
          <w:rFonts w:ascii="Times New Roman" w:hAnsi="Times New Roman" w:cs="Times New Roman" w:eastAsia="Times New Roman" w:hint="default"/>
        </w:rPr>
        <w:t>14</w:t>
      </w:r>
      <w:r>
        <w:rPr/>
        <w:t>、无形资产</w:t>
      </w:r>
      <w:r>
        <w:rPr>
          <w:b w:val="0"/>
          <w:bCs w:val="0"/>
        </w:rPr>
      </w:r>
    </w:p>
    <w:p>
      <w:pPr>
        <w:pStyle w:val="Heading3"/>
        <w:spacing w:line="240" w:lineRule="auto" w:before="189"/>
        <w:ind w:right="0"/>
        <w:jc w:val="left"/>
        <w:rPr>
          <w:b w:val="0"/>
          <w:bCs w:val="0"/>
        </w:rPr>
      </w:pPr>
      <w:bookmarkStart w:name="（1）无形资产情况" w:id="273"/>
      <w:bookmarkEnd w:id="27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105"/>
        <w:gridCol w:w="1286"/>
        <w:gridCol w:w="710"/>
        <w:gridCol w:w="709"/>
        <w:gridCol w:w="1276"/>
        <w:gridCol w:w="1134"/>
        <w:gridCol w:w="1142"/>
        <w:gridCol w:w="1195"/>
      </w:tblGrid>
      <w:tr>
        <w:trPr>
          <w:trHeight w:val="126" w:hRule="exact"/>
        </w:trPr>
        <w:tc>
          <w:tcPr>
            <w:tcW w:w="2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2"/>
              <w:ind w:left="169" w:right="78"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276" w:type="dxa"/>
            <w:vMerge w:val="restart"/>
            <w:tcBorders>
              <w:top w:val="single" w:sz="4" w:space="0" w:color="000000"/>
              <w:left w:val="single" w:sz="13" w:space="0" w:color="D2D2D2"/>
              <w:right w:val="single" w:sz="4" w:space="0" w:color="000000"/>
            </w:tcBorders>
            <w:shd w:val="clear" w:color="auto" w:fill="D9D9D9"/>
          </w:tcPr>
          <w:p>
            <w:pPr>
              <w:pStyle w:val="TableParagraph"/>
              <w:spacing w:line="244" w:lineRule="auto" w:before="22"/>
              <w:ind w:left="440" w:right="91" w:hanging="360"/>
              <w:jc w:val="left"/>
              <w:rPr>
                <w:rFonts w:ascii="宋体" w:hAnsi="宋体" w:cs="宋体" w:eastAsia="宋体" w:hint="default"/>
                <w:sz w:val="18"/>
                <w:szCs w:val="18"/>
              </w:rPr>
            </w:pPr>
            <w:r>
              <w:rPr>
                <w:rFonts w:ascii="宋体" w:hAnsi="宋体" w:cs="宋体" w:eastAsia="宋体" w:hint="default"/>
                <w:sz w:val="18"/>
                <w:szCs w:val="18"/>
              </w:rPr>
              <w:t>商标及软件著 作权</w:t>
            </w:r>
          </w:p>
        </w:tc>
        <w:tc>
          <w:tcPr>
            <w:tcW w:w="11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2"/>
              <w:ind w:left="111"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1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44" w:hRule="exact"/>
        </w:trPr>
        <w:tc>
          <w:tcPr>
            <w:tcW w:w="21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13" w:space="0" w:color="D2D2D2"/>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1142" w:type="dxa"/>
            <w:vMerge/>
            <w:tcBorders>
              <w:left w:val="single" w:sz="4" w:space="0" w:color="000000"/>
              <w:bottom w:val="single" w:sz="4" w:space="0" w:color="000000"/>
              <w:right w:val="single" w:sz="4" w:space="0" w:color="000000"/>
            </w:tcBorders>
            <w:shd w:val="clear" w:color="auto" w:fill="D9D9D9"/>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6" w:type="dxa"/>
            <w:tcBorders>
              <w:top w:val="single" w:sz="52" w:space="0" w:color="D2D2D2"/>
              <w:left w:val="single" w:sz="13" w:space="0" w:color="D2D2D2"/>
              <w:bottom w:val="single" w:sz="4" w:space="0" w:color="000000"/>
              <w:right w:val="single" w:sz="4" w:space="0" w:color="000000"/>
            </w:tcBorders>
          </w:tcPr>
          <w:p>
            <w:pPr/>
          </w:p>
        </w:tc>
        <w:tc>
          <w:tcPr>
            <w:tcW w:w="710" w:type="dxa"/>
            <w:tcBorders>
              <w:top w:val="single" w:sz="52" w:space="0" w:color="D2D2D2"/>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41,707,493.64</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93,712,530.60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2,854,406.65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5,904,315.10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144,178,745.99</w:t>
            </w: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25,067,854.05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126,598,220.24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230,169.00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4,813,348.74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156,709,592.03</w:t>
            </w: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25,059,929.52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4,537,097.50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230,169.00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2,021,103.17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31,848,299.19</w:t>
            </w: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122,061,122.74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122,061,122.74</w:t>
            </w: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20,975.74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20,975.74</w:t>
            </w: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）其他转入</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z w:val="18"/>
              </w:rPr>
              <w:t>7,924.53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2,771,269.83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2,779,194.36</w:t>
            </w: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6" w:type="dxa"/>
            <w:tcBorders>
              <w:top w:val="single" w:sz="4" w:space="0" w:color="000000"/>
              <w:left w:val="single" w:sz="13"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66,775,347.69</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220,310,750.84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3,084,575.65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10,717,663.84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300,888,338.02</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2127"/>
        <w:gridCol w:w="1275"/>
        <w:gridCol w:w="710"/>
        <w:gridCol w:w="709"/>
        <w:gridCol w:w="1276"/>
        <w:gridCol w:w="1134"/>
        <w:gridCol w:w="1142"/>
        <w:gridCol w:w="1195"/>
      </w:tblGrid>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6,697,925.76</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13,377,233.15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1,645,913.70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2,047,167.66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23,768,240.27</w:t>
            </w: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1,120,360.32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19,055,679.65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305,592.06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807,864.25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21,289,496.28</w:t>
            </w: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1,120,360.32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19,055,679.65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305,592.06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795,008.09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21,276,640.12</w:t>
            </w: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12,856.16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12,856.16</w:t>
            </w: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7,818,286.08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32,432,912.80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1,951,505.76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2,855,031.91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45,057,736.55</w:t>
            </w: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58,957,061.61</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187,877,838.04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1,133,069.89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7,862,631.93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255,830,601.47</w:t>
            </w:r>
          </w:p>
        </w:tc>
      </w:tr>
      <w:tr>
        <w:trPr>
          <w:trHeight w:val="33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35,009,567.88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80,335,297.45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1,208,492.95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3,857,147.44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120,410,505.72</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46.80%</w:t>
      </w:r>
      <w:r>
        <w:rPr/>
        <w:t>。</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15、开发支出" w:id="274"/>
      <w:bookmarkEnd w:id="274"/>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128"/>
        <w:gridCol w:w="1247"/>
        <w:gridCol w:w="1247"/>
        <w:gridCol w:w="1049"/>
        <w:gridCol w:w="1445"/>
        <w:gridCol w:w="1247"/>
        <w:gridCol w:w="1248"/>
      </w:tblGrid>
      <w:tr>
        <w:trPr>
          <w:trHeight w:val="330" w:hRule="exact"/>
        </w:trPr>
        <w:tc>
          <w:tcPr>
            <w:tcW w:w="2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0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0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2128" w:type="dxa"/>
            <w:vMerge/>
            <w:tcBorders>
              <w:left w:val="single" w:sz="4" w:space="0" w:color="000000"/>
              <w:bottom w:val="single" w:sz="4" w:space="0" w:color="000000"/>
              <w:right w:val="single" w:sz="4" w:space="0" w:color="000000"/>
            </w:tcBorders>
            <w:shd w:val="clear" w:color="auto" w:fill="D2D2D2"/>
          </w:tcPr>
          <w:p>
            <w:pPr/>
          </w:p>
        </w:tc>
        <w:tc>
          <w:tcPr>
            <w:tcW w:w="1247" w:type="dxa"/>
            <w:vMerge/>
            <w:tcBorders>
              <w:left w:val="single" w:sz="4" w:space="0" w:color="000000"/>
              <w:bottom w:val="single" w:sz="4" w:space="0" w:color="000000"/>
              <w:right w:val="single" w:sz="4" w:space="0" w:color="000000"/>
            </w:tcBorders>
            <w:shd w:val="clear" w:color="auto" w:fill="D2D2D2"/>
          </w:tcPr>
          <w:p>
            <w:pPr/>
          </w:p>
        </w:tc>
        <w:tc>
          <w:tcPr>
            <w:tcW w:w="1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86"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7"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48"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智慧财税服务互联平台</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23,509,047.92</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101,565,641.24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112,391,682.76</w:t>
            </w:r>
          </w:p>
        </w:tc>
        <w:tc>
          <w:tcPr>
            <w:tcW w:w="124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12,683,006.40</w:t>
            </w:r>
          </w:p>
        </w:tc>
      </w:tr>
      <w:tr>
        <w:trPr>
          <w:trHeight w:val="330"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企业大数据创新服务平台</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3,768,091.79</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22,972,060.53</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9,669,439.98</w:t>
            </w:r>
          </w:p>
        </w:tc>
        <w:tc>
          <w:tcPr>
            <w:tcW w:w="124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17,070,712.34</w:t>
            </w:r>
          </w:p>
        </w:tc>
      </w:tr>
      <w:tr>
        <w:trPr>
          <w:trHeight w:val="330"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27,277,139.71</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124,537,701.77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122,061,122.74</w:t>
            </w:r>
          </w:p>
        </w:tc>
        <w:tc>
          <w:tcPr>
            <w:tcW w:w="1247"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29,753,718.74</w:t>
            </w:r>
          </w:p>
        </w:tc>
      </w:tr>
    </w:tbl>
    <w:p>
      <w:pPr>
        <w:spacing w:line="240" w:lineRule="auto" w:before="9"/>
        <w:rPr>
          <w:rFonts w:ascii="宋体" w:hAnsi="宋体" w:cs="宋体" w:eastAsia="宋体" w:hint="default"/>
          <w:sz w:val="11"/>
          <w:szCs w:val="11"/>
        </w:rPr>
      </w:pPr>
    </w:p>
    <w:p>
      <w:pPr>
        <w:pStyle w:val="Heading4"/>
        <w:spacing w:line="240" w:lineRule="auto" w:before="44"/>
        <w:ind w:right="0"/>
        <w:jc w:val="left"/>
        <w:rPr>
          <w:b w:val="0"/>
          <w:bCs w:val="0"/>
        </w:rPr>
      </w:pPr>
      <w:bookmarkStart w:name="16、商誉" w:id="275"/>
      <w:bookmarkEnd w:id="275"/>
      <w:r>
        <w:rPr>
          <w:b w:val="0"/>
          <w:bCs w:val="0"/>
        </w:rPr>
      </w:r>
      <w:r>
        <w:rPr>
          <w:rFonts w:ascii="Times New Roman" w:hAnsi="Times New Roman" w:cs="Times New Roman" w:eastAsia="Times New Roman" w:hint="default"/>
        </w:rPr>
        <w:t>16</w:t>
      </w:r>
      <w:r>
        <w:rPr/>
        <w:t>、商誉</w:t>
      </w:r>
      <w:r>
        <w:rPr>
          <w:b w:val="0"/>
          <w:bCs w:val="0"/>
        </w:rPr>
      </w:r>
    </w:p>
    <w:p>
      <w:pPr>
        <w:spacing w:line="240" w:lineRule="auto" w:before="13"/>
        <w:rPr>
          <w:rFonts w:ascii="宋体" w:hAnsi="宋体" w:cs="宋体" w:eastAsia="宋体" w:hint="default"/>
          <w:b/>
          <w:bCs/>
          <w:sz w:val="14"/>
          <w:szCs w:val="14"/>
        </w:rPr>
      </w:pPr>
    </w:p>
    <w:p>
      <w:pPr>
        <w:pStyle w:val="Heading3"/>
        <w:spacing w:line="240" w:lineRule="auto" w:before="0"/>
        <w:ind w:right="0"/>
        <w:jc w:val="left"/>
        <w:rPr>
          <w:b w:val="0"/>
          <w:bCs w:val="0"/>
        </w:rPr>
      </w:pPr>
      <w:bookmarkStart w:name="（1）商誉账面原值" w:id="276"/>
      <w:bookmarkEnd w:id="27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367"/>
        <w:gridCol w:w="1610"/>
        <w:gridCol w:w="1419"/>
        <w:gridCol w:w="1073"/>
        <w:gridCol w:w="1195"/>
        <w:gridCol w:w="1275"/>
        <w:gridCol w:w="1631"/>
      </w:tblGrid>
      <w:tr>
        <w:trPr>
          <w:trHeight w:val="8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方欣科技</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1,518,423,769.33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1,518,423,769.33</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浙江金财</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71,998,929.76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71,998,929.76</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方欣恒利</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86,430,489.31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86,430,489.31</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上海宝华威</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3,676,692.55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3,676,692.55</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4,833,418.62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4,833,418.62</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15,475.33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15,475.33</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216,477.98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216,477.98</w:t>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853,922.04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853,922.04</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367"/>
        <w:gridCol w:w="1610"/>
        <w:gridCol w:w="1419"/>
        <w:gridCol w:w="1073"/>
        <w:gridCol w:w="1195"/>
        <w:gridCol w:w="1275"/>
        <w:gridCol w:w="1631"/>
      </w:tblGrid>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1,056,547.35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1,056,547.35</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青岛金财</w:t>
            </w:r>
          </w:p>
        </w:tc>
        <w:tc>
          <w:tcPr>
            <w:tcW w:w="16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46,271,897.12</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46,271,897.12</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广东龙达</w:t>
            </w:r>
          </w:p>
        </w:tc>
        <w:tc>
          <w:tcPr>
            <w:tcW w:w="16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91,368,002.99</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91,368,002.99</w:t>
            </w:r>
          </w:p>
        </w:tc>
      </w:tr>
      <w:tr>
        <w:trPr>
          <w:trHeight w:val="33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1"/>
                <w:sz w:val="18"/>
              </w:rPr>
              <w:t>1,687,505,722.27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137,639,900.11</w:t>
            </w:r>
          </w:p>
        </w:tc>
        <w:tc>
          <w:tcPr>
            <w:tcW w:w="107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1,825,145,622.38</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商誉减值准备" w:id="277"/>
      <w:bookmarkEnd w:id="27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702"/>
        <w:gridCol w:w="1303"/>
        <w:gridCol w:w="1305"/>
        <w:gridCol w:w="1304"/>
        <w:gridCol w:w="1303"/>
        <w:gridCol w:w="1305"/>
        <w:gridCol w:w="1304"/>
      </w:tblGrid>
      <w:tr>
        <w:trPr>
          <w:trHeight w:val="57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04" w:right="35" w:hanging="270"/>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8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420,000.00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420,000.00</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方欣科技</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420,000.00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8,420,000.00</w:t>
            </w:r>
          </w:p>
        </w:tc>
      </w:tr>
    </w:tbl>
    <w:p>
      <w:pPr>
        <w:spacing w:line="240" w:lineRule="auto" w:before="9"/>
        <w:rPr>
          <w:rFonts w:ascii="宋体" w:hAnsi="宋体" w:cs="宋体" w:eastAsia="宋体" w:hint="default"/>
          <w:sz w:val="6"/>
          <w:szCs w:val="6"/>
        </w:rPr>
      </w:pPr>
    </w:p>
    <w:p>
      <w:pPr>
        <w:pStyle w:val="BodyText"/>
        <w:spacing w:line="357" w:lineRule="auto"/>
        <w:ind w:right="0"/>
        <w:jc w:val="left"/>
      </w:pPr>
      <w:r>
        <w:rPr/>
        <w:t>商誉所在资产组或资产组组合的相关信息 </w:t>
      </w:r>
      <w:r>
        <w:rPr>
          <w:spacing w:val="-2"/>
        </w:rPr>
        <w:t>收购日将商誉分摊至各资产组，资产组为收购时对应的各公司。本年除方欣恒利及青岛金财外，其他商誉所在资产组与</w:t>
      </w:r>
    </w:p>
    <w:p>
      <w:pPr>
        <w:pStyle w:val="BodyText"/>
        <w:spacing w:line="224" w:lineRule="exact" w:before="0"/>
        <w:ind w:left="174" w:right="0"/>
        <w:jc w:val="left"/>
      </w:pPr>
      <w:r>
        <w:rPr/>
        <w:t>收购日形成商誉时所确定的资产组一致，其构成未发生变化。本年度内由于方欣恒利及青岛金财已将主要局端业务转移至方</w:t>
      </w:r>
    </w:p>
    <w:p>
      <w:pPr>
        <w:pStyle w:val="BodyText"/>
        <w:spacing w:line="240" w:lineRule="auto" w:before="77"/>
        <w:ind w:left="174" w:right="0"/>
        <w:jc w:val="left"/>
      </w:pPr>
      <w:r>
        <w:rPr/>
        <w:t>欣科技，本公司将方欣恒利及青岛金财的商誉分摊至方欣科技。</w:t>
      </w:r>
    </w:p>
    <w:p>
      <w:pPr>
        <w:spacing w:line="240" w:lineRule="auto" w:before="0"/>
        <w:rPr>
          <w:rFonts w:ascii="宋体" w:hAnsi="宋体" w:cs="宋体" w:eastAsia="宋体" w:hint="default"/>
          <w:sz w:val="15"/>
          <w:szCs w:val="15"/>
        </w:rPr>
      </w:pPr>
    </w:p>
    <w:p>
      <w:pPr>
        <w:pStyle w:val="BodyText"/>
        <w:spacing w:line="316" w:lineRule="auto" w:before="0"/>
        <w:ind w:left="174" w:right="0" w:firstLine="360"/>
        <w:jc w:val="left"/>
      </w:pPr>
      <w:r>
        <w:rPr>
          <w:spacing w:val="-2"/>
        </w:rPr>
        <w:t>说明商誉减值测试过程、关键参数（如预计未来现金流量现值时的预测期增长率、稳定期增长率、利润率、折现率、预</w:t>
      </w:r>
      <w:r>
        <w:rPr/>
        <w:t> 测期等）及商誉减值损失的确认方法：</w:t>
      </w:r>
    </w:p>
    <w:p>
      <w:pPr>
        <w:pStyle w:val="BodyText"/>
        <w:spacing w:line="300" w:lineRule="auto" w:before="58"/>
        <w:ind w:left="174" w:right="1120" w:firstLine="360"/>
        <w:jc w:val="left"/>
      </w:pPr>
      <w:r>
        <w:rPr/>
        <w:t>按照资产组的预计未来现金流量的现值确定。根据管理层批准的上述资产组</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年期的财务预算为基础预计未来现金流 量，未来</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年营业收入的年化增长率为</w:t>
      </w:r>
      <w:r>
        <w:rPr>
          <w:spacing w:val="-52"/>
        </w:rPr>
        <w:t> </w:t>
      </w:r>
      <w:r>
        <w:rPr>
          <w:rFonts w:ascii="Times New Roman" w:hAnsi="Times New Roman" w:cs="Times New Roman" w:eastAsia="Times New Roman" w:hint="default"/>
        </w:rPr>
        <w:t>5.84%</w:t>
      </w:r>
      <w:r>
        <w:rPr/>
        <w:t>－</w:t>
      </w:r>
      <w:r>
        <w:rPr>
          <w:rFonts w:ascii="Times New Roman" w:hAnsi="Times New Roman" w:cs="Times New Roman" w:eastAsia="Times New Roman" w:hint="default"/>
        </w:rPr>
        <w:t>11.01%</w:t>
      </w:r>
      <w:r>
        <w:rPr/>
        <w:t>不等，</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年以后的永续现金流量按照详细预测期最后一年的水平，并 结合行业发展趋势等因素后确定。计算现值的折现率为</w:t>
      </w:r>
      <w:r>
        <w:rPr>
          <w:spacing w:val="-46"/>
        </w:rPr>
        <w:t> </w:t>
      </w:r>
      <w:r>
        <w:rPr>
          <w:rFonts w:ascii="Times New Roman" w:hAnsi="Times New Roman" w:cs="Times New Roman" w:eastAsia="Times New Roman" w:hint="default"/>
        </w:rPr>
        <w:t>13.9%-15.9</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不等，为反映相关资产组特定风险的税前折现率。</w:t>
      </w:r>
    </w:p>
    <w:p>
      <w:pPr>
        <w:pStyle w:val="BodyText"/>
        <w:spacing w:line="240" w:lineRule="auto" w:before="132"/>
        <w:ind w:right="0"/>
        <w:jc w:val="left"/>
      </w:pPr>
      <w:r>
        <w:rPr/>
        <w:t>商誉减值测试的影响</w:t>
      </w:r>
    </w:p>
    <w:p>
      <w:pPr>
        <w:pStyle w:val="BodyText"/>
        <w:spacing w:line="240" w:lineRule="auto" w:before="116"/>
        <w:ind w:right="0"/>
        <w:jc w:val="left"/>
      </w:pPr>
      <w:r>
        <w:rPr/>
        <w:t>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日为商誉减值测试基准日，本公司持有的方欣科技与商誉相关的资产组可回收金额为</w:t>
      </w:r>
      <w:r>
        <w:rPr>
          <w:spacing w:val="-45"/>
        </w:rPr>
        <w:t> </w:t>
      </w:r>
      <w:r>
        <w:rPr>
          <w:rFonts w:ascii="Times New Roman" w:hAnsi="Times New Roman" w:cs="Times New Roman" w:eastAsia="Times New Roman" w:hint="default"/>
        </w:rPr>
        <w:t>213,514.51</w:t>
      </w:r>
      <w:r>
        <w:rPr>
          <w:rFonts w:ascii="Times New Roman" w:hAnsi="Times New Roman" w:cs="Times New Roman" w:eastAsia="Times New Roman" w:hint="default"/>
          <w:spacing w:val="-1"/>
        </w:rPr>
        <w:t> </w:t>
      </w:r>
      <w:r>
        <w:rPr/>
        <w:t>万</w:t>
      </w:r>
    </w:p>
    <w:p>
      <w:pPr>
        <w:pStyle w:val="BodyText"/>
        <w:spacing w:line="240" w:lineRule="auto" w:before="63"/>
        <w:ind w:left="174" w:right="0"/>
        <w:jc w:val="left"/>
        <w:rPr>
          <w:rFonts w:ascii="Times New Roman" w:hAnsi="Times New Roman" w:cs="Times New Roman" w:eastAsia="Times New Roman" w:hint="default"/>
        </w:rPr>
      </w:pPr>
      <w:r>
        <w:rPr/>
        <w:t>元，本公司持有的方欣科技资产组账面价值为</w:t>
      </w:r>
      <w:r>
        <w:rPr>
          <w:spacing w:val="-48"/>
        </w:rPr>
        <w:t> </w:t>
      </w:r>
      <w:r>
        <w:rPr>
          <w:rFonts w:ascii="Times New Roman" w:hAnsi="Times New Roman" w:cs="Times New Roman" w:eastAsia="Times New Roman" w:hint="default"/>
        </w:rPr>
        <w:t>49,194.25</w:t>
      </w:r>
      <w:r>
        <w:rPr>
          <w:rFonts w:ascii="Times New Roman" w:hAnsi="Times New Roman" w:cs="Times New Roman" w:eastAsia="Times New Roman" w:hint="default"/>
          <w:spacing w:val="-2"/>
        </w:rPr>
        <w:t> </w:t>
      </w:r>
      <w:r>
        <w:rPr/>
        <w:t>万元，商誉的账面原值为</w:t>
      </w:r>
      <w:r>
        <w:rPr>
          <w:spacing w:val="-48"/>
        </w:rPr>
        <w:t> </w:t>
      </w:r>
      <w:r>
        <w:rPr>
          <w:rFonts w:ascii="Times New Roman" w:hAnsi="Times New Roman" w:cs="Times New Roman" w:eastAsia="Times New Roman" w:hint="default"/>
        </w:rPr>
        <w:t>165,112.62</w:t>
      </w:r>
      <w:r>
        <w:rPr>
          <w:rFonts w:ascii="Times New Roman" w:hAnsi="Times New Roman" w:cs="Times New Roman" w:eastAsia="Times New Roman" w:hint="default"/>
          <w:spacing w:val="41"/>
        </w:rPr>
        <w:t> </w:t>
      </w:r>
      <w:r>
        <w:rPr/>
        <w:t>万元，形成商誉减值</w:t>
      </w:r>
      <w:r>
        <w:rPr>
          <w:spacing w:val="-48"/>
        </w:rPr>
        <w:t> </w:t>
      </w:r>
      <w:r>
        <w:rPr>
          <w:rFonts w:ascii="Times New Roman" w:hAnsi="Times New Roman" w:cs="Times New Roman" w:eastAsia="Times New Roman" w:hint="default"/>
        </w:rPr>
        <w:t>792.34</w:t>
      </w:r>
    </w:p>
    <w:p>
      <w:pPr>
        <w:pStyle w:val="BodyText"/>
        <w:spacing w:line="338" w:lineRule="auto" w:before="64"/>
        <w:ind w:right="4632" w:hanging="360"/>
        <w:jc w:val="left"/>
      </w:pPr>
      <w:r>
        <w:rPr/>
        <w:t>万元，本公司根据谨慎性计提商誉减值准备</w:t>
      </w:r>
      <w:r>
        <w:rPr>
          <w:spacing w:val="-46"/>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万元。 其他商誉资产组本期测试未发生新的商誉减值情况，无需计提减值准备。</w:t>
      </w:r>
    </w:p>
    <w:p>
      <w:pPr>
        <w:pStyle w:val="BodyText"/>
        <w:spacing w:line="439" w:lineRule="auto" w:before="122"/>
        <w:ind w:right="9312"/>
        <w:jc w:val="left"/>
      </w:pPr>
      <w:r>
        <w:rPr/>
        <w:t>其他说明 商誉的形成：</w:t>
      </w:r>
    </w:p>
    <w:p>
      <w:pPr>
        <w:pStyle w:val="BodyText"/>
        <w:spacing w:line="216" w:lineRule="exact" w:before="0"/>
        <w:ind w:right="0"/>
        <w:jc w:val="left"/>
      </w:pPr>
      <w:r>
        <w:rPr>
          <w:rFonts w:ascii="Times New Roman" w:hAnsi="Times New Roman" w:cs="Times New Roman" w:eastAsia="Times New Roman" w:hint="default"/>
        </w:rPr>
        <w:t>a.2016</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3"/>
        </w:rPr>
        <w:t>月，公司以</w:t>
      </w:r>
      <w:r>
        <w:rPr>
          <w:spacing w:val="-51"/>
        </w:rPr>
        <w:t> </w:t>
      </w:r>
      <w:r>
        <w:rPr>
          <w:rFonts w:ascii="Times New Roman" w:hAnsi="Times New Roman" w:cs="Times New Roman" w:eastAsia="Times New Roman" w:hint="default"/>
        </w:rPr>
        <w:t>180,000</w:t>
      </w:r>
      <w:r>
        <w:rPr>
          <w:rFonts w:ascii="Times New Roman" w:hAnsi="Times New Roman" w:cs="Times New Roman" w:eastAsia="Times New Roman" w:hint="default"/>
          <w:spacing w:val="-6"/>
        </w:rPr>
        <w:t> </w:t>
      </w:r>
      <w:r>
        <w:rPr/>
        <w:t>万元定向增发收购方欣科技</w:t>
      </w:r>
      <w:r>
        <w:rPr>
          <w:spacing w:val="-51"/>
        </w:rPr>
        <w:t> </w:t>
      </w:r>
      <w:r>
        <w:rPr>
          <w:rFonts w:ascii="Times New Roman" w:hAnsi="Times New Roman" w:cs="Times New Roman" w:eastAsia="Times New Roman" w:hint="default"/>
        </w:rPr>
        <w:t>100%</w:t>
      </w:r>
      <w:r>
        <w:rPr/>
        <w:t>的股权，根据上海东洲资产评估有限公司出具的《企</w:t>
      </w:r>
    </w:p>
    <w:p>
      <w:pPr>
        <w:pStyle w:val="BodyText"/>
        <w:spacing w:line="240" w:lineRule="auto" w:before="63"/>
        <w:ind w:left="174" w:right="0"/>
        <w:jc w:val="left"/>
      </w:pPr>
      <w:r>
        <w:rPr/>
        <w:t>业价值评估报告书</w:t>
      </w:r>
      <w:r>
        <w:rPr>
          <w:spacing w:val="-90"/>
        </w:rPr>
        <w:t>》</w:t>
      </w:r>
      <w:r>
        <w:rPr/>
        <w:t>（沪东洲资评报字</w:t>
      </w:r>
      <w:r>
        <w:rPr>
          <w:rFonts w:ascii="Times New Roman" w:hAnsi="Times New Roman" w:cs="Times New Roman" w:eastAsia="Times New Roman" w:hint="default"/>
        </w:rPr>
        <w:t>[2016</w:t>
      </w:r>
      <w:r>
        <w:rPr>
          <w:rFonts w:ascii="Times New Roman" w:hAnsi="Times New Roman" w:cs="Times New Roman" w:eastAsia="Times New Roman" w:hint="default"/>
          <w:spacing w:val="-1"/>
        </w:rPr>
        <w:t>]</w:t>
      </w:r>
      <w:r>
        <w:rPr/>
        <w:t>第</w:t>
      </w:r>
      <w:r>
        <w:rPr>
          <w:spacing w:val="-46"/>
        </w:rPr>
        <w:t> </w:t>
      </w:r>
      <w:r>
        <w:rPr>
          <w:rFonts w:ascii="Times New Roman" w:hAnsi="Times New Roman" w:cs="Times New Roman" w:eastAsia="Times New Roman" w:hint="default"/>
        </w:rPr>
        <w:t>0067053</w:t>
      </w:r>
      <w:r>
        <w:rPr>
          <w:rFonts w:ascii="Times New Roman" w:hAnsi="Times New Roman" w:cs="Times New Roman" w:eastAsia="Times New Roman" w:hint="default"/>
          <w:spacing w:val="-1"/>
        </w:rPr>
        <w:t> </w:t>
      </w:r>
      <w:r>
        <w:rPr/>
        <w:t>号</w:t>
      </w:r>
      <w:r>
        <w:rPr>
          <w:spacing w:val="-89"/>
        </w:rPr>
        <w:t>）</w:t>
      </w:r>
      <w:r>
        <w:rPr/>
        <w:t>，截至评估基准日</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spacing w:val="1"/>
        </w:rPr>
        <w:t>方</w:t>
      </w:r>
      <w:r>
        <w:rPr/>
        <w:t>欣科技股东全部权益</w:t>
      </w:r>
    </w:p>
    <w:p>
      <w:pPr>
        <w:pStyle w:val="BodyText"/>
        <w:spacing w:line="240" w:lineRule="auto" w:before="63"/>
        <w:ind w:left="174" w:right="0"/>
        <w:jc w:val="left"/>
      </w:pPr>
      <w:r>
        <w:rPr/>
        <w:t>价值为</w:t>
      </w:r>
      <w:r>
        <w:rPr>
          <w:spacing w:val="-46"/>
        </w:rPr>
        <w:t> </w:t>
      </w:r>
      <w:r>
        <w:rPr>
          <w:rFonts w:ascii="Times New Roman" w:hAnsi="Times New Roman" w:cs="Times New Roman" w:eastAsia="Times New Roman" w:hint="default"/>
        </w:rPr>
        <w:t>180,100</w:t>
      </w:r>
      <w:r>
        <w:rPr>
          <w:rFonts w:ascii="Times New Roman" w:hAnsi="Times New Roman" w:cs="Times New Roman" w:eastAsia="Times New Roman" w:hint="default"/>
          <w:spacing w:val="-1"/>
        </w:rPr>
        <w:t> </w:t>
      </w:r>
      <w:r>
        <w:rPr/>
        <w:t>万元，方欣科技合并报表归属于母公司的所有者权益账面值</w:t>
      </w:r>
      <w:r>
        <w:rPr>
          <w:spacing w:val="-46"/>
        </w:rPr>
        <w:t> </w:t>
      </w:r>
      <w:r>
        <w:rPr>
          <w:rFonts w:ascii="Times New Roman" w:hAnsi="Times New Roman" w:cs="Times New Roman" w:eastAsia="Times New Roman" w:hint="default"/>
        </w:rPr>
        <w:t>14,530.65</w:t>
      </w:r>
      <w:r>
        <w:rPr>
          <w:rFonts w:ascii="Times New Roman" w:hAnsi="Times New Roman" w:cs="Times New Roman" w:eastAsia="Times New Roman" w:hint="default"/>
          <w:spacing w:val="-1"/>
        </w:rPr>
        <w:t> </w:t>
      </w:r>
      <w:r>
        <w:rPr/>
        <w:t>万元，其中无形资产</w:t>
      </w:r>
      <w:r>
        <w:rPr>
          <w:rFonts w:ascii="Times New Roman" w:hAnsi="Times New Roman" w:cs="Times New Roman" w:eastAsia="Times New Roman" w:hint="default"/>
        </w:rPr>
        <w:t>—</w:t>
      </w:r>
      <w:r>
        <w:rPr/>
        <w:t>软件著作权增</w:t>
      </w:r>
    </w:p>
    <w:p>
      <w:pPr>
        <w:pStyle w:val="BodyText"/>
        <w:spacing w:line="240" w:lineRule="auto" w:before="63"/>
        <w:ind w:left="174" w:right="0"/>
        <w:jc w:val="left"/>
      </w:pPr>
      <w:r>
        <w:rPr/>
        <w:t>值</w:t>
      </w:r>
      <w:r>
        <w:rPr>
          <w:spacing w:val="-47"/>
        </w:rPr>
        <w:t> </w:t>
      </w:r>
      <w:r>
        <w:rPr>
          <w:rFonts w:ascii="Times New Roman" w:hAnsi="Times New Roman" w:cs="Times New Roman" w:eastAsia="Times New Roman" w:hint="default"/>
        </w:rPr>
        <w:t>7,900</w:t>
      </w:r>
      <w:r>
        <w:rPr>
          <w:rFonts w:ascii="Times New Roman" w:hAnsi="Times New Roman" w:cs="Times New Roman" w:eastAsia="Times New Roman" w:hint="default"/>
          <w:spacing w:val="-1"/>
        </w:rPr>
        <w:t> </w:t>
      </w:r>
      <w:r>
        <w:rPr/>
        <w:t>万元。本公司以收购完成日方欣科技净资产并考虑无形资产评估增值后的金额</w:t>
      </w:r>
      <w:r>
        <w:rPr>
          <w:spacing w:val="-47"/>
        </w:rPr>
        <w:t> </w:t>
      </w:r>
      <w:r>
        <w:rPr>
          <w:rFonts w:ascii="Times New Roman" w:hAnsi="Times New Roman" w:cs="Times New Roman" w:eastAsia="Times New Roman" w:hint="default"/>
        </w:rPr>
        <w:t>281,576,230.67</w:t>
      </w:r>
      <w:r>
        <w:rPr>
          <w:rFonts w:ascii="Times New Roman" w:hAnsi="Times New Roman" w:cs="Times New Roman" w:eastAsia="Times New Roman" w:hint="default"/>
          <w:spacing w:val="-1"/>
        </w:rPr>
        <w:t> </w:t>
      </w:r>
      <w:r>
        <w:rPr/>
        <w:t>元为按持股比例享有</w:t>
      </w:r>
    </w:p>
    <w:p>
      <w:pPr>
        <w:pStyle w:val="BodyText"/>
        <w:spacing w:line="240" w:lineRule="auto" w:before="64"/>
        <w:ind w:left="174" w:right="0"/>
        <w:jc w:val="left"/>
      </w:pPr>
      <w:r>
        <w:rPr/>
        <w:t>的可辨认净资产公允价值，由此形成溢价差额</w:t>
      </w:r>
      <w:r>
        <w:rPr>
          <w:spacing w:val="-47"/>
        </w:rPr>
        <w:t> </w:t>
      </w:r>
      <w:r>
        <w:rPr>
          <w:rFonts w:ascii="Times New Roman" w:hAnsi="Times New Roman" w:cs="Times New Roman" w:eastAsia="Times New Roman" w:hint="default"/>
        </w:rPr>
        <w:t>1,518,423,769.33</w:t>
      </w:r>
      <w:r>
        <w:rPr>
          <w:rFonts w:ascii="Times New Roman" w:hAnsi="Times New Roman" w:cs="Times New Roman" w:eastAsia="Times New Roman" w:hint="default"/>
          <w:spacing w:val="-1"/>
        </w:rPr>
        <w:t> </w:t>
      </w:r>
      <w:r>
        <w:rPr/>
        <w:t>元。</w:t>
      </w:r>
    </w:p>
    <w:p>
      <w:pPr>
        <w:pStyle w:val="BodyText"/>
        <w:spacing w:line="309" w:lineRule="auto" w:before="101"/>
        <w:ind w:left="174" w:right="1131" w:firstLine="360"/>
        <w:jc w:val="both"/>
      </w:pPr>
      <w:r>
        <w:rPr>
          <w:rFonts w:ascii="Times New Roman" w:hAnsi="Times New Roman" w:cs="Times New Roman" w:eastAsia="Times New Roman" w:hint="default"/>
        </w:rPr>
        <w:t>b.2017</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月，公司子公司方欣科技出资</w:t>
      </w:r>
      <w:r>
        <w:rPr>
          <w:spacing w:val="-54"/>
        </w:rPr>
        <w:t> </w:t>
      </w:r>
      <w:r>
        <w:rPr>
          <w:rFonts w:ascii="Times New Roman" w:hAnsi="Times New Roman" w:cs="Times New Roman" w:eastAsia="Times New Roman" w:hint="default"/>
        </w:rPr>
        <w:t>76,500,000.00</w:t>
      </w:r>
      <w:r>
        <w:rPr>
          <w:rFonts w:ascii="Times New Roman" w:hAnsi="Times New Roman" w:cs="Times New Roman" w:eastAsia="Times New Roman" w:hint="default"/>
          <w:spacing w:val="-8"/>
        </w:rPr>
        <w:t> </w:t>
      </w:r>
      <w:r>
        <w:rPr/>
        <w:t>元收购浙江金财立信财务管理有限公司</w:t>
      </w:r>
      <w:r>
        <w:rPr>
          <w:spacing w:val="-54"/>
        </w:rPr>
        <w:t> </w:t>
      </w:r>
      <w:r>
        <w:rPr>
          <w:rFonts w:ascii="Times New Roman" w:hAnsi="Times New Roman" w:cs="Times New Roman" w:eastAsia="Times New Roman" w:hint="default"/>
        </w:rPr>
        <w:t>51%</w:t>
      </w:r>
      <w:r>
        <w:rPr/>
        <w:t>的股权。根据北京 </w:t>
      </w:r>
      <w:r>
        <w:rPr>
          <w:spacing w:val="-2"/>
        </w:rPr>
        <w:t>中企华资产评估有限责任公司出具的《方欣科技有限公司拟购买股权涉及的浙江金财立信财务管理有限公司股东全部权益价</w:t>
      </w:r>
      <w:r>
        <w:rPr>
          <w:spacing w:val="-64"/>
        </w:rPr>
        <w:t> </w:t>
      </w:r>
      <w:r>
        <w:rPr>
          <w:spacing w:val="-64"/>
        </w:rPr>
      </w:r>
      <w:r>
        <w:rPr>
          <w:spacing w:val="-5"/>
        </w:rPr>
        <w:t>值项目估值报告》（中企华估字（</w:t>
      </w:r>
      <w:r>
        <w:rPr>
          <w:rFonts w:ascii="Times New Roman" w:hAnsi="Times New Roman" w:cs="Times New Roman" w:eastAsia="Times New Roman" w:hint="default"/>
          <w:spacing w:val="-5"/>
        </w:rPr>
        <w:t>2017</w:t>
      </w:r>
      <w:r>
        <w:rPr>
          <w:spacing w:val="-5"/>
        </w:rPr>
        <w:t>）第</w:t>
      </w:r>
      <w:r>
        <w:rPr>
          <w:spacing w:val="-45"/>
        </w:rPr>
        <w:t> </w:t>
      </w:r>
      <w:r>
        <w:rPr>
          <w:rFonts w:ascii="Times New Roman" w:hAnsi="Times New Roman" w:cs="Times New Roman" w:eastAsia="Times New Roman" w:hint="default"/>
        </w:rPr>
        <w:t>4533 </w:t>
      </w:r>
      <w:r>
        <w:rPr>
          <w:spacing w:val="-18"/>
        </w:rPr>
        <w:t>号），截止</w:t>
      </w:r>
      <w:r>
        <w:rPr>
          <w:spacing w:val="-44"/>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t>日，浙江金财股东全部价值为</w:t>
      </w:r>
      <w:r>
        <w:rPr>
          <w:spacing w:val="-45"/>
        </w:rPr>
        <w:t> </w:t>
      </w:r>
      <w:r>
        <w:rPr>
          <w:rFonts w:ascii="Times New Roman" w:hAnsi="Times New Roman" w:cs="Times New Roman" w:eastAsia="Times New Roman" w:hint="default"/>
        </w:rPr>
        <w:t>15,208.52 </w:t>
      </w:r>
      <w:r>
        <w:rPr/>
        <w:t>万元。</w:t>
      </w:r>
    </w:p>
    <w:p>
      <w:pPr>
        <w:pStyle w:val="BodyText"/>
        <w:spacing w:line="240" w:lineRule="auto" w:before="6"/>
        <w:ind w:left="174" w:right="0"/>
        <w:jc w:val="left"/>
      </w:pPr>
      <w:r>
        <w:rPr/>
        <w:t>截止收购完成日</w:t>
      </w:r>
      <w:r>
        <w:rPr>
          <w:rFonts w:ascii="Times New Roman" w:hAnsi="Times New Roman" w:cs="Times New Roman" w:eastAsia="Times New Roman" w:hint="default"/>
        </w:rPr>
        <w:t>,</w:t>
      </w:r>
      <w:r>
        <w:rPr/>
        <w:t>按持股比例享有的可辨认净资产公允价值为</w:t>
      </w:r>
      <w:r>
        <w:rPr>
          <w:spacing w:val="-47"/>
        </w:rPr>
        <w:t> </w:t>
      </w:r>
      <w:r>
        <w:rPr>
          <w:rFonts w:ascii="Times New Roman" w:hAnsi="Times New Roman" w:cs="Times New Roman" w:eastAsia="Times New Roman" w:hint="default"/>
        </w:rPr>
        <w:t>4,501,070.24</w:t>
      </w:r>
      <w:r>
        <w:rPr>
          <w:rFonts w:ascii="Times New Roman" w:hAnsi="Times New Roman" w:cs="Times New Roman" w:eastAsia="Times New Roman" w:hint="default"/>
          <w:spacing w:val="-2"/>
        </w:rPr>
        <w:t> </w:t>
      </w:r>
      <w:r>
        <w:rPr/>
        <w:t>元，由此形成溢价差额</w:t>
      </w:r>
      <w:r>
        <w:rPr>
          <w:spacing w:val="-47"/>
        </w:rPr>
        <w:t> </w:t>
      </w:r>
      <w:r>
        <w:rPr>
          <w:rFonts w:ascii="Times New Roman" w:hAnsi="Times New Roman" w:cs="Times New Roman" w:eastAsia="Times New Roman" w:hint="default"/>
        </w:rPr>
        <w:t>71,998,929.76</w:t>
      </w:r>
      <w:r>
        <w:rPr>
          <w:rFonts w:ascii="Times New Roman" w:hAnsi="Times New Roman" w:cs="Times New Roman" w:eastAsia="Times New Roman" w:hint="default"/>
          <w:spacing w:val="-1"/>
        </w:rPr>
        <w:t> </w:t>
      </w:r>
      <w:r>
        <w:rPr/>
        <w:t>元。</w:t>
      </w:r>
    </w:p>
    <w:p>
      <w:pPr>
        <w:pStyle w:val="BodyText"/>
        <w:spacing w:line="309" w:lineRule="auto" w:before="101"/>
        <w:ind w:left="174" w:right="1130" w:firstLine="360"/>
        <w:jc w:val="both"/>
        <w:rPr>
          <w:rFonts w:ascii="Times New Roman" w:hAnsi="Times New Roman" w:cs="Times New Roman" w:eastAsia="Times New Roman" w:hint="default"/>
        </w:rPr>
      </w:pPr>
      <w:r>
        <w:rPr>
          <w:rFonts w:ascii="Times New Roman" w:hAnsi="Times New Roman" w:cs="Times New Roman" w:eastAsia="Times New Roman" w:hint="default"/>
        </w:rPr>
        <w:t>c.2007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月，公司子公司方欣科技出资</w:t>
      </w:r>
      <w:r>
        <w:rPr>
          <w:spacing w:val="-53"/>
        </w:rPr>
        <w:t> </w:t>
      </w:r>
      <w:r>
        <w:rPr>
          <w:rFonts w:ascii="Times New Roman" w:hAnsi="Times New Roman" w:cs="Times New Roman" w:eastAsia="Times New Roman" w:hint="default"/>
        </w:rPr>
        <w:t>91,000,000.00</w:t>
      </w:r>
      <w:r>
        <w:rPr>
          <w:rFonts w:ascii="Times New Roman" w:hAnsi="Times New Roman" w:cs="Times New Roman" w:eastAsia="Times New Roman" w:hint="default"/>
          <w:spacing w:val="-7"/>
        </w:rPr>
        <w:t> </w:t>
      </w:r>
      <w:r>
        <w:rPr/>
        <w:t>元收购北京方欣恒利科技有限公司</w:t>
      </w:r>
      <w:r>
        <w:rPr>
          <w:spacing w:val="-53"/>
        </w:rPr>
        <w:t> </w:t>
      </w:r>
      <w:r>
        <w:rPr>
          <w:rFonts w:ascii="Times New Roman" w:hAnsi="Times New Roman" w:cs="Times New Roman" w:eastAsia="Times New Roman" w:hint="default"/>
        </w:rPr>
        <w:t>70%</w:t>
      </w:r>
      <w:r>
        <w:rPr/>
        <w:t>的股权。根据北京中企 </w:t>
      </w:r>
      <w:r>
        <w:rPr>
          <w:spacing w:val="-2"/>
        </w:rPr>
        <w:t>华资产评估有限公司出具的《方欣科技有限公司拟购买股权涉及的北京中联恒利科技有限公司股东全部权益价值项目估值报</w:t>
      </w:r>
      <w:r>
        <w:rPr>
          <w:spacing w:val="-64"/>
        </w:rPr>
        <w:t> </w:t>
      </w:r>
      <w:r>
        <w:rPr>
          <w:spacing w:val="-64"/>
        </w:rPr>
      </w:r>
      <w:r>
        <w:rPr>
          <w:spacing w:val="-8"/>
        </w:rPr>
        <w:t>告》（中企华估字（</w:t>
      </w:r>
      <w:r>
        <w:rPr>
          <w:rFonts w:ascii="Times New Roman" w:hAnsi="Times New Roman" w:cs="Times New Roman" w:eastAsia="Times New Roman" w:hint="default"/>
          <w:spacing w:val="-8"/>
        </w:rPr>
        <w:t>2017</w:t>
      </w:r>
      <w:r>
        <w:rPr>
          <w:spacing w:val="-8"/>
        </w:rPr>
        <w:t>）第</w:t>
      </w:r>
      <w:r>
        <w:rPr>
          <w:spacing w:val="-44"/>
        </w:rPr>
        <w:t> </w:t>
      </w:r>
      <w:r>
        <w:rPr>
          <w:rFonts w:ascii="Times New Roman" w:hAnsi="Times New Roman" w:cs="Times New Roman" w:eastAsia="Times New Roman" w:hint="default"/>
        </w:rPr>
        <w:t>4556</w:t>
      </w:r>
      <w:r>
        <w:rPr>
          <w:rFonts w:ascii="Times New Roman" w:hAnsi="Times New Roman" w:cs="Times New Roman" w:eastAsia="Times New Roman" w:hint="default"/>
          <w:spacing w:val="1"/>
        </w:rPr>
        <w:t> </w:t>
      </w:r>
      <w:r>
        <w:rPr>
          <w:spacing w:val="-20"/>
        </w:rPr>
        <w:t>号），截止</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1"/>
        </w:rPr>
        <w:t>日，方欣恒利股东全部价值为</w:t>
      </w:r>
      <w:r>
        <w:rPr>
          <w:spacing w:val="-44"/>
        </w:rPr>
        <w:t> </w:t>
      </w:r>
      <w:r>
        <w:rPr>
          <w:rFonts w:ascii="Times New Roman" w:hAnsi="Times New Roman" w:cs="Times New Roman" w:eastAsia="Times New Roman" w:hint="default"/>
        </w:rPr>
        <w:t>13,097.43</w:t>
      </w:r>
      <w:r>
        <w:rPr>
          <w:rFonts w:ascii="Times New Roman" w:hAnsi="Times New Roman" w:cs="Times New Roman" w:eastAsia="Times New Roman" w:hint="default"/>
          <w:spacing w:val="1"/>
        </w:rPr>
        <w:t> </w:t>
      </w:r>
      <w:r>
        <w:rPr>
          <w:spacing w:val="-2"/>
        </w:rPr>
        <w:t>万元。截止</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12</w:t>
      </w:r>
    </w:p>
    <w:p>
      <w:pPr>
        <w:pStyle w:val="BodyText"/>
        <w:spacing w:line="240" w:lineRule="auto" w:before="5"/>
        <w:ind w:left="174" w:right="0"/>
        <w:jc w:val="left"/>
        <w:rPr>
          <w:rFonts w:ascii="Times New Roman" w:hAnsi="Times New Roman" w:cs="Times New Roman" w:eastAsia="Times New Roman" w:hint="default"/>
        </w:rPr>
      </w:pP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3"/>
        </w:rPr>
        <w:t>日，收购完成日按持股比例享有的方欣恒利可辨认净资产公允价值为</w:t>
      </w:r>
      <w:r>
        <w:rPr>
          <w:spacing w:val="-40"/>
        </w:rPr>
        <w:t> </w:t>
      </w:r>
      <w:r>
        <w:rPr>
          <w:rFonts w:ascii="Times New Roman" w:hAnsi="Times New Roman" w:cs="Times New Roman" w:eastAsia="Times New Roman" w:hint="default"/>
        </w:rPr>
        <w:t>4,569,510.69</w:t>
      </w:r>
      <w:r>
        <w:rPr>
          <w:rFonts w:ascii="Times New Roman" w:hAnsi="Times New Roman" w:cs="Times New Roman" w:eastAsia="Times New Roman" w:hint="default"/>
          <w:spacing w:val="5"/>
        </w:rPr>
        <w:t> </w:t>
      </w:r>
      <w:r>
        <w:rPr>
          <w:spacing w:val="-7"/>
        </w:rPr>
        <w:t>元，由此形成溢价差额</w:t>
      </w:r>
      <w:r>
        <w:rPr>
          <w:spacing w:val="-40"/>
        </w:rPr>
        <w:t> </w:t>
      </w:r>
      <w:r>
        <w:rPr>
          <w:rFonts w:ascii="Times New Roman" w:hAnsi="Times New Roman" w:cs="Times New Roman" w:eastAsia="Times New Roman" w:hint="default"/>
        </w:rPr>
        <w:t>86,430,489.31</w:t>
      </w:r>
    </w:p>
    <w:p>
      <w:pPr>
        <w:spacing w:after="0" w:line="240" w:lineRule="auto"/>
        <w:jc w:val="left"/>
        <w:rPr>
          <w:rFonts w:ascii="Times New Roman" w:hAnsi="Times New Roman" w:cs="Times New Roman" w:eastAsia="Times New Roman" w:hint="default"/>
        </w:rPr>
        <w:sectPr>
          <w:pgSz w:w="11910" w:h="16840"/>
          <w:pgMar w:header="551" w:footer="979" w:top="1120" w:bottom="1160" w:left="960" w:right="0"/>
        </w:sectPr>
      </w:pPr>
    </w:p>
    <w:p>
      <w:pPr>
        <w:spacing w:line="240" w:lineRule="auto" w:before="5"/>
        <w:rPr>
          <w:rFonts w:ascii="Times New Roman" w:hAnsi="Times New Roman" w:cs="Times New Roman" w:eastAsia="Times New Roman" w:hint="default"/>
          <w:sz w:val="24"/>
          <w:szCs w:val="24"/>
        </w:rPr>
      </w:pPr>
    </w:p>
    <w:p>
      <w:pPr>
        <w:pStyle w:val="BodyText"/>
        <w:spacing w:line="240" w:lineRule="auto"/>
        <w:ind w:left="174" w:right="0"/>
        <w:jc w:val="left"/>
      </w:pPr>
      <w:r>
        <w:rPr/>
        <w:t>元。</w:t>
      </w:r>
    </w:p>
    <w:p>
      <w:pPr>
        <w:pStyle w:val="BodyText"/>
        <w:spacing w:line="302" w:lineRule="auto" w:before="115"/>
        <w:ind w:left="174" w:right="1162" w:firstLine="360"/>
        <w:jc w:val="left"/>
      </w:pPr>
      <w:r>
        <w:rPr>
          <w:rFonts w:ascii="Times New Roman" w:hAnsi="Times New Roman" w:cs="Times New Roman" w:eastAsia="Times New Roman" w:hint="default"/>
        </w:rPr>
        <w:t>d.2017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月，公司出资</w:t>
      </w:r>
      <w:r>
        <w:rPr>
          <w:spacing w:val="-47"/>
        </w:rPr>
        <w:t> </w:t>
      </w:r>
      <w:r>
        <w:rPr>
          <w:rFonts w:ascii="Times New Roman" w:hAnsi="Times New Roman" w:cs="Times New Roman" w:eastAsia="Times New Roman" w:hint="default"/>
        </w:rPr>
        <w:t>27,940,000.00</w:t>
      </w:r>
      <w:r>
        <w:rPr>
          <w:rFonts w:ascii="Times New Roman" w:hAnsi="Times New Roman" w:cs="Times New Roman" w:eastAsia="Times New Roman" w:hint="default"/>
          <w:spacing w:val="-1"/>
        </w:rPr>
        <w:t> </w:t>
      </w:r>
      <w:r>
        <w:rPr/>
        <w:t>元收购上海宝华威热处理设备有限公司</w:t>
      </w:r>
      <w:r>
        <w:rPr>
          <w:spacing w:val="-47"/>
        </w:rPr>
        <w:t> </w:t>
      </w:r>
      <w:r>
        <w:rPr>
          <w:rFonts w:ascii="Times New Roman" w:hAnsi="Times New Roman" w:cs="Times New Roman" w:eastAsia="Times New Roman" w:hint="default"/>
        </w:rPr>
        <w:t>85%</w:t>
      </w:r>
      <w:r>
        <w:rPr/>
        <w:t>的股权。按持股比例享有的可辨认 净资产公允价值为</w:t>
      </w:r>
      <w:r>
        <w:rPr>
          <w:spacing w:val="-47"/>
        </w:rPr>
        <w:t> </w:t>
      </w:r>
      <w:r>
        <w:rPr>
          <w:rFonts w:ascii="Times New Roman" w:hAnsi="Times New Roman" w:cs="Times New Roman" w:eastAsia="Times New Roman" w:hint="default"/>
        </w:rPr>
        <w:t>24,263,307.45</w:t>
      </w:r>
      <w:r>
        <w:rPr>
          <w:rFonts w:ascii="Times New Roman" w:hAnsi="Times New Roman" w:cs="Times New Roman" w:eastAsia="Times New Roman" w:hint="default"/>
          <w:spacing w:val="-1"/>
        </w:rPr>
        <w:t> </w:t>
      </w:r>
      <w:r>
        <w:rPr/>
        <w:t>元，由此形成溢价差额</w:t>
      </w:r>
      <w:r>
        <w:rPr>
          <w:spacing w:val="-47"/>
        </w:rPr>
        <w:t> </w:t>
      </w:r>
      <w:r>
        <w:rPr>
          <w:rFonts w:ascii="Times New Roman" w:hAnsi="Times New Roman" w:cs="Times New Roman" w:eastAsia="Times New Roman" w:hint="default"/>
        </w:rPr>
        <w:t>3,676,692.55</w:t>
      </w:r>
      <w:r>
        <w:rPr>
          <w:rFonts w:ascii="Times New Roman" w:hAnsi="Times New Roman" w:cs="Times New Roman" w:eastAsia="Times New Roman" w:hint="default"/>
          <w:spacing w:val="-1"/>
        </w:rPr>
        <w:t> </w:t>
      </w:r>
      <w:r>
        <w:rPr/>
        <w:t>元。</w:t>
      </w:r>
    </w:p>
    <w:p>
      <w:pPr>
        <w:pStyle w:val="BodyText"/>
        <w:spacing w:line="240" w:lineRule="auto" w:before="50"/>
        <w:ind w:right="0"/>
        <w:jc w:val="left"/>
      </w:pPr>
      <w:r>
        <w:rPr>
          <w:rFonts w:ascii="Times New Roman" w:hAnsi="Times New Roman" w:cs="Times New Roman" w:eastAsia="Times New Roman" w:hint="default"/>
        </w:rPr>
        <w:t>e.2007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spacing w:val="-10"/>
        </w:rPr>
        <w:t>月，公司出资</w:t>
      </w:r>
      <w:r>
        <w:rPr>
          <w:spacing w:val="-58"/>
        </w:rPr>
        <w:t> </w:t>
      </w:r>
      <w:r>
        <w:rPr>
          <w:rFonts w:ascii="Times New Roman" w:hAnsi="Times New Roman" w:cs="Times New Roman" w:eastAsia="Times New Roman" w:hint="default"/>
        </w:rPr>
        <w:t>10,800,000.00</w:t>
      </w:r>
      <w:r>
        <w:rPr>
          <w:rFonts w:ascii="Times New Roman" w:hAnsi="Times New Roman" w:cs="Times New Roman" w:eastAsia="Times New Roman" w:hint="default"/>
          <w:spacing w:val="-12"/>
        </w:rPr>
        <w:t> </w:t>
      </w:r>
      <w:r>
        <w:rPr/>
        <w:t>元收购南京顺捷热处理加工有限公司（后更名为南京丰东热处理工程有限公司）</w:t>
      </w:r>
    </w:p>
    <w:p>
      <w:pPr>
        <w:pStyle w:val="BodyText"/>
        <w:spacing w:line="240" w:lineRule="auto" w:before="64"/>
        <w:ind w:left="174" w:right="0"/>
        <w:jc w:val="left"/>
      </w:pPr>
      <w:r>
        <w:rPr>
          <w:rFonts w:ascii="Times New Roman" w:hAnsi="Times New Roman" w:cs="Times New Roman" w:eastAsia="Times New Roman" w:hint="default"/>
        </w:rPr>
        <w:t>80%</w:t>
      </w:r>
      <w:r>
        <w:rPr/>
        <w:t>的股权，按持股比例享有的可辨认净资产公允价值为</w:t>
      </w:r>
      <w:r>
        <w:rPr>
          <w:spacing w:val="-46"/>
        </w:rPr>
        <w:t> </w:t>
      </w:r>
      <w:r>
        <w:rPr>
          <w:rFonts w:ascii="Times New Roman" w:hAnsi="Times New Roman" w:cs="Times New Roman" w:eastAsia="Times New Roman" w:hint="default"/>
        </w:rPr>
        <w:t>5,966,581.38</w:t>
      </w:r>
      <w:r>
        <w:rPr>
          <w:rFonts w:ascii="Times New Roman" w:hAnsi="Times New Roman" w:cs="Times New Roman" w:eastAsia="Times New Roman" w:hint="default"/>
          <w:spacing w:val="-3"/>
        </w:rPr>
        <w:t> </w:t>
      </w:r>
      <w:r>
        <w:rPr/>
        <w:t>元，由此形成溢价差额</w:t>
      </w:r>
      <w:r>
        <w:rPr>
          <w:spacing w:val="-47"/>
        </w:rPr>
        <w:t> </w:t>
      </w:r>
      <w:r>
        <w:rPr>
          <w:rFonts w:ascii="Times New Roman" w:hAnsi="Times New Roman" w:cs="Times New Roman" w:eastAsia="Times New Roman" w:hint="default"/>
        </w:rPr>
        <w:t>4,833,418.62</w:t>
      </w:r>
      <w:r>
        <w:rPr>
          <w:rFonts w:ascii="Times New Roman" w:hAnsi="Times New Roman" w:cs="Times New Roman" w:eastAsia="Times New Roman" w:hint="default"/>
          <w:spacing w:val="-2"/>
        </w:rPr>
        <w:t> </w:t>
      </w:r>
      <w:r>
        <w:rPr/>
        <w:t>元。</w:t>
      </w:r>
    </w:p>
    <w:p>
      <w:pPr>
        <w:pStyle w:val="BodyText"/>
        <w:spacing w:line="300" w:lineRule="auto" w:before="101"/>
        <w:ind w:left="174" w:right="1120" w:firstLine="360"/>
        <w:jc w:val="left"/>
      </w:pPr>
      <w:r>
        <w:rPr>
          <w:rFonts w:ascii="Times New Roman" w:hAnsi="Times New Roman" w:cs="Times New Roman" w:eastAsia="Times New Roman" w:hint="default"/>
        </w:rPr>
        <w:t>f.2007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月及</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月，公司分期出资</w:t>
      </w:r>
      <w:r>
        <w:rPr>
          <w:spacing w:val="-47"/>
        </w:rPr>
        <w:t> </w:t>
      </w:r>
      <w:r>
        <w:rPr>
          <w:rFonts w:ascii="Times New Roman" w:hAnsi="Times New Roman" w:cs="Times New Roman" w:eastAsia="Times New Roman" w:hint="default"/>
        </w:rPr>
        <w:t>4,856,800.00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7,200,000.00</w:t>
      </w:r>
      <w:r>
        <w:rPr>
          <w:rFonts w:ascii="Times New Roman" w:hAnsi="Times New Roman" w:cs="Times New Roman" w:eastAsia="Times New Roman" w:hint="default"/>
          <w:spacing w:val="-1"/>
        </w:rPr>
        <w:t> </w:t>
      </w:r>
      <w:r>
        <w:rPr/>
        <w:t>元与</w:t>
      </w:r>
      <w:r>
        <w:rPr>
          <w:spacing w:val="-47"/>
        </w:rPr>
        <w:t> </w:t>
      </w:r>
      <w:r>
        <w:rPr>
          <w:rFonts w:ascii="Times New Roman" w:hAnsi="Times New Roman" w:cs="Times New Roman" w:eastAsia="Times New Roman" w:hint="default"/>
        </w:rPr>
        <w:t>6,216,000.00</w:t>
      </w:r>
      <w:r>
        <w:rPr>
          <w:rFonts w:ascii="Times New Roman" w:hAnsi="Times New Roman" w:cs="Times New Roman" w:eastAsia="Times New Roman" w:hint="default"/>
          <w:spacing w:val="-1"/>
        </w:rPr>
        <w:t> </w:t>
      </w:r>
      <w:r>
        <w:rPr/>
        <w:t>元，设立</w:t>
      </w:r>
      <w:r>
        <w:rPr>
          <w:w w:val="99"/>
        </w:rPr>
        <w:t> </w:t>
      </w:r>
      <w:r>
        <w:rPr>
          <w:spacing w:val="-3"/>
          <w:w w:val="99"/>
        </w:rPr>
        <w:t>天津丰东晨旭金属科技有限公司（后更名为天津丰东热处理有限公司），持股比例</w:t>
      </w:r>
      <w:r>
        <w:rPr>
          <w:spacing w:val="-21"/>
          <w:w w:val="99"/>
        </w:rPr>
        <w:t> </w:t>
      </w:r>
      <w:r>
        <w:rPr>
          <w:rFonts w:ascii="Times New Roman" w:hAnsi="Times New Roman" w:cs="Times New Roman" w:eastAsia="Times New Roman" w:hint="default"/>
          <w:spacing w:val="-1"/>
          <w:w w:val="99"/>
        </w:rPr>
        <w:t>65%</w:t>
      </w:r>
      <w:r>
        <w:rPr>
          <w:spacing w:val="-1"/>
          <w:w w:val="99"/>
        </w:rPr>
        <w:t>，按持股比例享有的可辨认净资产公</w:t>
      </w:r>
      <w:r>
        <w:rPr>
          <w:spacing w:val="-86"/>
          <w:w w:val="99"/>
        </w:rPr>
        <w:t> </w:t>
      </w:r>
      <w:r>
        <w:rPr>
          <w:spacing w:val="-86"/>
          <w:w w:val="99"/>
        </w:rPr>
      </w:r>
      <w:r>
        <w:rPr/>
        <w:t>允价值为</w:t>
      </w:r>
      <w:r>
        <w:rPr>
          <w:spacing w:val="-47"/>
        </w:rPr>
        <w:t> </w:t>
      </w:r>
      <w:r>
        <w:rPr>
          <w:rFonts w:ascii="Times New Roman" w:hAnsi="Times New Roman" w:cs="Times New Roman" w:eastAsia="Times New Roman" w:hint="default"/>
        </w:rPr>
        <w:t>18,257,324.67</w:t>
      </w:r>
      <w:r>
        <w:rPr>
          <w:rFonts w:ascii="Times New Roman" w:hAnsi="Times New Roman" w:cs="Times New Roman" w:eastAsia="Times New Roman" w:hint="default"/>
          <w:spacing w:val="-1"/>
        </w:rPr>
        <w:t> </w:t>
      </w:r>
      <w:r>
        <w:rPr/>
        <w:t>元，因汇率因素形成溢价差额</w:t>
      </w:r>
      <w:r>
        <w:rPr>
          <w:spacing w:val="-47"/>
        </w:rPr>
        <w:t> </w:t>
      </w:r>
      <w:r>
        <w:rPr>
          <w:rFonts w:ascii="Times New Roman" w:hAnsi="Times New Roman" w:cs="Times New Roman" w:eastAsia="Times New Roman" w:hint="default"/>
        </w:rPr>
        <w:t>15,475.33</w:t>
      </w:r>
      <w:r>
        <w:rPr>
          <w:rFonts w:ascii="Times New Roman" w:hAnsi="Times New Roman" w:cs="Times New Roman" w:eastAsia="Times New Roman" w:hint="default"/>
          <w:spacing w:val="-2"/>
        </w:rPr>
        <w:t> </w:t>
      </w:r>
      <w:r>
        <w:rPr/>
        <w:t>元。</w:t>
      </w:r>
    </w:p>
    <w:p>
      <w:pPr>
        <w:pStyle w:val="BodyText"/>
        <w:spacing w:line="302" w:lineRule="auto" w:before="51"/>
        <w:ind w:left="174" w:right="1214" w:firstLine="360"/>
        <w:jc w:val="left"/>
      </w:pPr>
      <w:r>
        <w:rPr>
          <w:rFonts w:ascii="Times New Roman" w:hAnsi="Times New Roman" w:cs="Times New Roman" w:eastAsia="Times New Roman" w:hint="default"/>
        </w:rPr>
        <w:t>g.2007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月，公司出资</w:t>
      </w:r>
      <w:r>
        <w:rPr>
          <w:spacing w:val="-48"/>
        </w:rPr>
        <w:t> </w:t>
      </w:r>
      <w:r>
        <w:rPr>
          <w:rFonts w:ascii="Times New Roman" w:hAnsi="Times New Roman" w:cs="Times New Roman" w:eastAsia="Times New Roman" w:hint="default"/>
        </w:rPr>
        <w:t>990,000.00</w:t>
      </w:r>
      <w:r>
        <w:rPr>
          <w:rFonts w:ascii="Times New Roman" w:hAnsi="Times New Roman" w:cs="Times New Roman" w:eastAsia="Times New Roman" w:hint="default"/>
          <w:spacing w:val="-3"/>
        </w:rPr>
        <w:t> </w:t>
      </w:r>
      <w:r>
        <w:rPr/>
        <w:t>元，增持盐城丰东特种炉业有限公司</w:t>
      </w:r>
      <w:r>
        <w:rPr>
          <w:spacing w:val="-48"/>
        </w:rPr>
        <w:t> </w:t>
      </w:r>
      <w:r>
        <w:rPr>
          <w:rFonts w:ascii="Times New Roman" w:hAnsi="Times New Roman" w:cs="Times New Roman" w:eastAsia="Times New Roman" w:hint="default"/>
        </w:rPr>
        <w:t>11%</w:t>
      </w:r>
      <w:r>
        <w:rPr/>
        <w:t>的股份，按持股比例享有的可辨认净资 产公允价值为</w:t>
      </w:r>
      <w:r>
        <w:rPr>
          <w:spacing w:val="-47"/>
        </w:rPr>
        <w:t> </w:t>
      </w:r>
      <w:r>
        <w:rPr>
          <w:rFonts w:ascii="Times New Roman" w:hAnsi="Times New Roman" w:cs="Times New Roman" w:eastAsia="Times New Roman" w:hint="default"/>
        </w:rPr>
        <w:t>773,522.02</w:t>
      </w:r>
      <w:r>
        <w:rPr>
          <w:rFonts w:ascii="Times New Roman" w:hAnsi="Times New Roman" w:cs="Times New Roman" w:eastAsia="Times New Roman" w:hint="default"/>
          <w:spacing w:val="-2"/>
        </w:rPr>
        <w:t> </w:t>
      </w:r>
      <w:r>
        <w:rPr/>
        <w:t>元，由此形成溢价差额</w:t>
      </w:r>
      <w:r>
        <w:rPr>
          <w:spacing w:val="-47"/>
        </w:rPr>
        <w:t> </w:t>
      </w:r>
      <w:r>
        <w:rPr>
          <w:rFonts w:ascii="Times New Roman" w:hAnsi="Times New Roman" w:cs="Times New Roman" w:eastAsia="Times New Roman" w:hint="default"/>
        </w:rPr>
        <w:t>216,477.98</w:t>
      </w:r>
      <w:r>
        <w:rPr>
          <w:rFonts w:ascii="Times New Roman" w:hAnsi="Times New Roman" w:cs="Times New Roman" w:eastAsia="Times New Roman" w:hint="default"/>
          <w:spacing w:val="-2"/>
        </w:rPr>
        <w:t> </w:t>
      </w:r>
      <w:r>
        <w:rPr/>
        <w:t>元。</w:t>
      </w:r>
    </w:p>
    <w:p>
      <w:pPr>
        <w:pStyle w:val="BodyText"/>
        <w:spacing w:line="300" w:lineRule="auto" w:before="50"/>
        <w:ind w:left="174" w:right="1162" w:firstLine="360"/>
        <w:jc w:val="left"/>
      </w:pPr>
      <w:r>
        <w:rPr>
          <w:rFonts w:ascii="Times New Roman" w:hAnsi="Times New Roman" w:cs="Times New Roman" w:eastAsia="Times New Roman" w:hint="default"/>
        </w:rPr>
        <w:t>h.2008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月，公司出资</w:t>
      </w:r>
      <w:r>
        <w:rPr>
          <w:spacing w:val="-47"/>
        </w:rPr>
        <w:t> </w:t>
      </w:r>
      <w:r>
        <w:rPr>
          <w:rFonts w:ascii="Times New Roman" w:hAnsi="Times New Roman" w:cs="Times New Roman" w:eastAsia="Times New Roman" w:hint="default"/>
        </w:rPr>
        <w:t>7,272,000.00</w:t>
      </w:r>
      <w:r>
        <w:rPr>
          <w:rFonts w:ascii="Times New Roman" w:hAnsi="Times New Roman" w:cs="Times New Roman" w:eastAsia="Times New Roman" w:hint="default"/>
          <w:spacing w:val="-1"/>
        </w:rPr>
        <w:t> </w:t>
      </w:r>
      <w:r>
        <w:rPr/>
        <w:t>元收购上海丰东热处理工程有限公司</w:t>
      </w:r>
      <w:r>
        <w:rPr>
          <w:spacing w:val="-47"/>
        </w:rPr>
        <w:t> </w:t>
      </w:r>
      <w:r>
        <w:rPr>
          <w:rFonts w:ascii="Times New Roman" w:hAnsi="Times New Roman" w:cs="Times New Roman" w:eastAsia="Times New Roman" w:hint="default"/>
        </w:rPr>
        <w:t>90%</w:t>
      </w:r>
      <w:r>
        <w:rPr/>
        <w:t>的股权，根据上海银信汇业资产评估 有限公司沪银信汇业评报字</w:t>
      </w:r>
      <w:r>
        <w:rPr>
          <w:rFonts w:ascii="Times New Roman" w:hAnsi="Times New Roman" w:cs="Times New Roman" w:eastAsia="Times New Roman" w:hint="default"/>
        </w:rPr>
        <w:t>[2008]</w:t>
      </w:r>
      <w:r>
        <w:rPr/>
        <w:t>第</w:t>
      </w:r>
      <w:r>
        <w:rPr>
          <w:spacing w:val="-47"/>
        </w:rPr>
        <w:t> </w:t>
      </w:r>
      <w:r>
        <w:rPr>
          <w:rFonts w:ascii="Times New Roman" w:hAnsi="Times New Roman" w:cs="Times New Roman" w:eastAsia="Times New Roman" w:hint="default"/>
        </w:rPr>
        <w:t>1124</w:t>
      </w:r>
      <w:r>
        <w:rPr>
          <w:rFonts w:ascii="Times New Roman" w:hAnsi="Times New Roman" w:cs="Times New Roman" w:eastAsia="Times New Roman" w:hint="default"/>
          <w:spacing w:val="-3"/>
        </w:rPr>
        <w:t> </w:t>
      </w:r>
      <w:r>
        <w:rPr/>
        <w:t>号评估报告，上海丰东热处理工程有限公司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日为评估基准日的净</w:t>
      </w:r>
    </w:p>
    <w:p>
      <w:pPr>
        <w:pStyle w:val="BodyText"/>
        <w:spacing w:line="240" w:lineRule="auto" w:before="13"/>
        <w:ind w:left="0" w:right="1140"/>
        <w:jc w:val="right"/>
      </w:pPr>
      <w:r>
        <w:rPr/>
        <w:t>资产为</w:t>
      </w:r>
      <w:r>
        <w:rPr>
          <w:spacing w:val="-47"/>
        </w:rPr>
        <w:t> </w:t>
      </w:r>
      <w:r>
        <w:rPr>
          <w:rFonts w:ascii="Times New Roman" w:hAnsi="Times New Roman" w:cs="Times New Roman" w:eastAsia="Times New Roman" w:hint="default"/>
        </w:rPr>
        <w:t>8,027,741.77</w:t>
      </w:r>
      <w:r>
        <w:rPr>
          <w:rFonts w:ascii="Times New Roman" w:hAnsi="Times New Roman" w:cs="Times New Roman" w:eastAsia="Times New Roman" w:hint="default"/>
          <w:spacing w:val="-1"/>
        </w:rPr>
        <w:t> </w:t>
      </w:r>
      <w:r>
        <w:rPr/>
        <w:t>元，其中无形资产</w:t>
      </w:r>
      <w:r>
        <w:rPr>
          <w:rFonts w:ascii="Times New Roman" w:hAnsi="Times New Roman" w:cs="Times New Roman" w:eastAsia="Times New Roman" w:hint="default"/>
        </w:rPr>
        <w:t>—</w:t>
      </w:r>
      <w:r>
        <w:rPr/>
        <w:t>土地使用权增值</w:t>
      </w:r>
      <w:r>
        <w:rPr>
          <w:spacing w:val="-47"/>
        </w:rPr>
        <w:t> </w:t>
      </w:r>
      <w:r>
        <w:rPr>
          <w:rFonts w:ascii="Times New Roman" w:hAnsi="Times New Roman" w:cs="Times New Roman" w:eastAsia="Times New Roman" w:hint="default"/>
        </w:rPr>
        <w:t>3,586,176.15</w:t>
      </w:r>
      <w:r>
        <w:rPr>
          <w:rFonts w:ascii="Times New Roman" w:hAnsi="Times New Roman" w:cs="Times New Roman" w:eastAsia="Times New Roman" w:hint="default"/>
          <w:spacing w:val="-1"/>
        </w:rPr>
        <w:t> </w:t>
      </w:r>
      <w:r>
        <w:rPr/>
        <w:t>元。本公司以该评估净资产扣除按无形资产增值额计</w:t>
      </w:r>
    </w:p>
    <w:p>
      <w:pPr>
        <w:pStyle w:val="BodyText"/>
        <w:spacing w:line="240" w:lineRule="auto" w:before="63"/>
        <w:ind w:left="174" w:right="0"/>
        <w:jc w:val="left"/>
      </w:pPr>
      <w:r>
        <w:rPr/>
        <w:t>提的递延所得税负债</w:t>
      </w:r>
      <w:r>
        <w:rPr>
          <w:spacing w:val="-47"/>
        </w:rPr>
        <w:t> </w:t>
      </w:r>
      <w:r>
        <w:rPr>
          <w:rFonts w:ascii="Times New Roman" w:hAnsi="Times New Roman" w:cs="Times New Roman" w:eastAsia="Times New Roman" w:hint="default"/>
        </w:rPr>
        <w:t>896,544.04</w:t>
      </w:r>
      <w:r>
        <w:rPr>
          <w:rFonts w:ascii="Times New Roman" w:hAnsi="Times New Roman" w:cs="Times New Roman" w:eastAsia="Times New Roman" w:hint="default"/>
          <w:spacing w:val="-2"/>
        </w:rPr>
        <w:t> </w:t>
      </w:r>
      <w:r>
        <w:rPr/>
        <w:t>元后的金额</w:t>
      </w:r>
      <w:r>
        <w:rPr>
          <w:spacing w:val="-46"/>
        </w:rPr>
        <w:t> </w:t>
      </w:r>
      <w:r>
        <w:rPr>
          <w:rFonts w:ascii="Times New Roman" w:hAnsi="Times New Roman" w:cs="Times New Roman" w:eastAsia="Times New Roman" w:hint="default"/>
        </w:rPr>
        <w:t>7,131,197.73</w:t>
      </w:r>
      <w:r>
        <w:rPr>
          <w:rFonts w:ascii="Times New Roman" w:hAnsi="Times New Roman" w:cs="Times New Roman" w:eastAsia="Times New Roman" w:hint="default"/>
          <w:spacing w:val="-1"/>
        </w:rPr>
        <w:t> </w:t>
      </w:r>
      <w:r>
        <w:rPr/>
        <w:t>为公允价值收购，按持股比例享有的可辨认净资产公允价值为</w:t>
      </w:r>
    </w:p>
    <w:p>
      <w:pPr>
        <w:pStyle w:val="BodyText"/>
        <w:spacing w:line="240" w:lineRule="auto" w:before="64"/>
        <w:ind w:left="174" w:right="0"/>
        <w:jc w:val="left"/>
      </w:pPr>
      <w:r>
        <w:rPr>
          <w:rFonts w:ascii="Times New Roman" w:hAnsi="Times New Roman" w:cs="Times New Roman" w:eastAsia="Times New Roman" w:hint="default"/>
        </w:rPr>
        <w:t>6,418,077.96</w:t>
      </w:r>
      <w:r>
        <w:rPr>
          <w:rFonts w:ascii="Times New Roman" w:hAnsi="Times New Roman" w:cs="Times New Roman" w:eastAsia="Times New Roman" w:hint="default"/>
          <w:spacing w:val="-1"/>
        </w:rPr>
        <w:t> </w:t>
      </w:r>
      <w:r>
        <w:rPr/>
        <w:t>元，由此形成溢价差额</w:t>
      </w:r>
      <w:r>
        <w:rPr>
          <w:spacing w:val="-47"/>
        </w:rPr>
        <w:t> </w:t>
      </w:r>
      <w:r>
        <w:rPr>
          <w:rFonts w:ascii="Times New Roman" w:hAnsi="Times New Roman" w:cs="Times New Roman" w:eastAsia="Times New Roman" w:hint="default"/>
        </w:rPr>
        <w:t>853,922.04</w:t>
      </w:r>
      <w:r>
        <w:rPr>
          <w:rFonts w:ascii="Times New Roman" w:hAnsi="Times New Roman" w:cs="Times New Roman" w:eastAsia="Times New Roman" w:hint="default"/>
          <w:spacing w:val="-2"/>
        </w:rPr>
        <w:t> </w:t>
      </w:r>
      <w:r>
        <w:rPr/>
        <w:t>元。</w:t>
      </w:r>
    </w:p>
    <w:p>
      <w:pPr>
        <w:pStyle w:val="BodyText"/>
        <w:spacing w:line="300" w:lineRule="auto" w:before="101"/>
        <w:ind w:left="174" w:right="1123" w:firstLine="360"/>
        <w:jc w:val="right"/>
      </w:pPr>
      <w:r>
        <w:rPr>
          <w:rFonts w:ascii="Times New Roman" w:hAnsi="Times New Roman" w:cs="Times New Roman" w:eastAsia="Times New Roman" w:hint="default"/>
        </w:rPr>
        <w:t>i.2015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月，公司出资</w:t>
      </w:r>
      <w:r>
        <w:rPr>
          <w:spacing w:val="-48"/>
        </w:rPr>
        <w:t> </w:t>
      </w:r>
      <w:r>
        <w:rPr>
          <w:rFonts w:ascii="Times New Roman" w:hAnsi="Times New Roman" w:cs="Times New Roman" w:eastAsia="Times New Roman" w:hint="default"/>
        </w:rPr>
        <w:t>5,700,000.00</w:t>
      </w:r>
      <w:r>
        <w:rPr>
          <w:rFonts w:ascii="Times New Roman" w:hAnsi="Times New Roman" w:cs="Times New Roman" w:eastAsia="Times New Roman" w:hint="default"/>
          <w:spacing w:val="-3"/>
        </w:rPr>
        <w:t> </w:t>
      </w:r>
      <w:r>
        <w:rPr/>
        <w:t>元收购常州鑫润丰东热处理工程有限公司</w:t>
      </w:r>
      <w:r>
        <w:rPr>
          <w:spacing w:val="-48"/>
        </w:rPr>
        <w:t> </w:t>
      </w:r>
      <w:r>
        <w:rPr>
          <w:rFonts w:ascii="Times New Roman" w:hAnsi="Times New Roman" w:cs="Times New Roman" w:eastAsia="Times New Roman" w:hint="default"/>
        </w:rPr>
        <w:t>30%</w:t>
      </w:r>
      <w:r>
        <w:rPr/>
        <w:t>的股权，由于常州鑫润丰东未完成 承诺业绩，</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月，公司与其原股东签订协议，以</w:t>
      </w:r>
      <w:r>
        <w:rPr>
          <w:spacing w:val="-46"/>
        </w:rPr>
        <w:t> </w:t>
      </w:r>
      <w:r>
        <w:rPr>
          <w:rFonts w:ascii="Times New Roman" w:hAnsi="Times New Roman" w:cs="Times New Roman" w:eastAsia="Times New Roman" w:hint="default"/>
        </w:rPr>
        <w:t>1 </w:t>
      </w:r>
      <w:r>
        <w:rPr/>
        <w:t>元的价格受让常州鑫润丰东</w:t>
      </w:r>
      <w:r>
        <w:rPr>
          <w:spacing w:val="-46"/>
        </w:rPr>
        <w:t> </w:t>
      </w:r>
      <w:r>
        <w:rPr>
          <w:rFonts w:ascii="Times New Roman" w:hAnsi="Times New Roman" w:cs="Times New Roman" w:eastAsia="Times New Roman" w:hint="default"/>
        </w:rPr>
        <w:t>21%</w:t>
      </w:r>
      <w:r>
        <w:rPr/>
        <w:t>的股权，受让完成后公司拥有常 州鑫润丰东</w:t>
      </w:r>
      <w:r>
        <w:rPr>
          <w:spacing w:val="-47"/>
        </w:rPr>
        <w:t> </w:t>
      </w:r>
      <w:r>
        <w:rPr>
          <w:rFonts w:ascii="Times New Roman" w:hAnsi="Times New Roman" w:cs="Times New Roman" w:eastAsia="Times New Roman" w:hint="default"/>
        </w:rPr>
        <w:t>51%</w:t>
      </w:r>
      <w:r>
        <w:rPr/>
        <w:t>的股权，按持股比例享有的可辨认净资产公允价值为</w:t>
      </w:r>
      <w:r>
        <w:rPr>
          <w:spacing w:val="-47"/>
        </w:rPr>
        <w:t> </w:t>
      </w:r>
      <w:r>
        <w:rPr>
          <w:rFonts w:ascii="Times New Roman" w:hAnsi="Times New Roman" w:cs="Times New Roman" w:eastAsia="Times New Roman" w:hint="default"/>
        </w:rPr>
        <w:t>5,089,253.65</w:t>
      </w:r>
      <w:r>
        <w:rPr>
          <w:rFonts w:ascii="Times New Roman" w:hAnsi="Times New Roman" w:cs="Times New Roman" w:eastAsia="Times New Roman" w:hint="default"/>
          <w:spacing w:val="-1"/>
        </w:rPr>
        <w:t> </w:t>
      </w:r>
      <w:r>
        <w:rPr/>
        <w:t>元，由此形成溢价差额</w:t>
      </w:r>
      <w:r>
        <w:rPr>
          <w:spacing w:val="-47"/>
        </w:rPr>
        <w:t> </w:t>
      </w:r>
      <w:r>
        <w:rPr>
          <w:rFonts w:ascii="Times New Roman" w:hAnsi="Times New Roman" w:cs="Times New Roman" w:eastAsia="Times New Roman" w:hint="default"/>
        </w:rPr>
        <w:t>1,056,547.35</w:t>
      </w:r>
      <w:r>
        <w:rPr>
          <w:rFonts w:ascii="Times New Roman" w:hAnsi="Times New Roman" w:cs="Times New Roman" w:eastAsia="Times New Roman" w:hint="default"/>
          <w:spacing w:val="-1"/>
        </w:rPr>
        <w:t> </w:t>
      </w:r>
      <w:r>
        <w:rPr/>
        <w:t>元。</w:t>
      </w:r>
    </w:p>
    <w:p>
      <w:pPr>
        <w:pStyle w:val="BodyText"/>
        <w:spacing w:line="302" w:lineRule="auto" w:before="51"/>
        <w:ind w:left="174" w:right="1124" w:firstLine="360"/>
        <w:jc w:val="left"/>
      </w:pPr>
      <w:r>
        <w:rPr>
          <w:rFonts w:ascii="Times New Roman" w:hAnsi="Times New Roman" w:cs="Times New Roman" w:eastAsia="Times New Roman" w:hint="default"/>
        </w:rPr>
        <w:t>j.2018</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月，公司子公司方欣科技出资</w:t>
      </w:r>
      <w:r>
        <w:rPr>
          <w:spacing w:val="-49"/>
        </w:rPr>
        <w:t> </w:t>
      </w:r>
      <w:r>
        <w:rPr>
          <w:rFonts w:ascii="Times New Roman" w:hAnsi="Times New Roman" w:cs="Times New Roman" w:eastAsia="Times New Roman" w:hint="default"/>
        </w:rPr>
        <w:t>57,300,000.00</w:t>
      </w:r>
      <w:r>
        <w:rPr>
          <w:rFonts w:ascii="Times New Roman" w:hAnsi="Times New Roman" w:cs="Times New Roman" w:eastAsia="Times New Roman" w:hint="default"/>
          <w:spacing w:val="-3"/>
        </w:rPr>
        <w:t> </w:t>
      </w:r>
      <w:r>
        <w:rPr/>
        <w:t>元收购青岛高新金财信息科技有限公司</w:t>
      </w:r>
      <w:r>
        <w:rPr>
          <w:spacing w:val="-49"/>
        </w:rPr>
        <w:t> </w:t>
      </w:r>
      <w:r>
        <w:rPr>
          <w:rFonts w:ascii="Times New Roman" w:hAnsi="Times New Roman" w:cs="Times New Roman" w:eastAsia="Times New Roman" w:hint="default"/>
        </w:rPr>
        <w:t>100%</w:t>
      </w:r>
      <w:r>
        <w:rPr/>
        <w:t>的股权。按持股比 例享有的可辨认净资产公允价值为</w:t>
      </w:r>
      <w:r>
        <w:rPr>
          <w:spacing w:val="-49"/>
        </w:rPr>
        <w:t> </w:t>
      </w:r>
      <w:r>
        <w:rPr>
          <w:rFonts w:ascii="Times New Roman" w:hAnsi="Times New Roman" w:cs="Times New Roman" w:eastAsia="Times New Roman" w:hint="default"/>
        </w:rPr>
        <w:t>11,028,102.88</w:t>
      </w:r>
      <w:r>
        <w:rPr>
          <w:rFonts w:ascii="Times New Roman" w:hAnsi="Times New Roman" w:cs="Times New Roman" w:eastAsia="Times New Roman" w:hint="default"/>
          <w:spacing w:val="-3"/>
        </w:rPr>
        <w:t> </w:t>
      </w:r>
      <w:r>
        <w:rPr/>
        <w:t>元，由此形成溢价差额</w:t>
      </w:r>
      <w:r>
        <w:rPr>
          <w:spacing w:val="-49"/>
        </w:rPr>
        <w:t> </w:t>
      </w:r>
      <w:r>
        <w:rPr>
          <w:rFonts w:ascii="Times New Roman" w:hAnsi="Times New Roman" w:cs="Times New Roman" w:eastAsia="Times New Roman" w:hint="default"/>
        </w:rPr>
        <w:t>46,271,897.12</w:t>
      </w:r>
      <w:r>
        <w:rPr>
          <w:rFonts w:ascii="Times New Roman" w:hAnsi="Times New Roman" w:cs="Times New Roman" w:eastAsia="Times New Roman" w:hint="default"/>
          <w:spacing w:val="-3"/>
        </w:rPr>
        <w:t> </w:t>
      </w:r>
      <w:r>
        <w:rPr/>
        <w:t>元。</w:t>
      </w:r>
    </w:p>
    <w:p>
      <w:pPr>
        <w:pStyle w:val="BodyText"/>
        <w:spacing w:line="302" w:lineRule="auto" w:before="50"/>
        <w:ind w:left="174" w:right="1120" w:firstLine="360"/>
        <w:jc w:val="left"/>
      </w:pPr>
      <w:r>
        <w:rPr>
          <w:rFonts w:ascii="Times New Roman" w:hAnsi="Times New Roman" w:cs="Times New Roman" w:eastAsia="Times New Roman" w:hint="default"/>
        </w:rPr>
        <w:t>k.2018</w:t>
      </w:r>
      <w:r>
        <w:rPr>
          <w:rFonts w:ascii="Times New Roman" w:hAnsi="Times New Roman" w:cs="Times New Roman" w:eastAsia="Times New Roman" w:hint="default"/>
          <w:spacing w:val="-9"/>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月，公司子公司方欣科技出资</w:t>
      </w:r>
      <w:r>
        <w:rPr>
          <w:spacing w:val="-55"/>
        </w:rPr>
        <w:t> </w:t>
      </w:r>
      <w:r>
        <w:rPr>
          <w:rFonts w:ascii="Times New Roman" w:hAnsi="Times New Roman" w:cs="Times New Roman" w:eastAsia="Times New Roman" w:hint="default"/>
        </w:rPr>
        <w:t>101,250,000.00</w:t>
      </w:r>
      <w:r>
        <w:rPr>
          <w:rFonts w:ascii="Times New Roman" w:hAnsi="Times New Roman" w:cs="Times New Roman" w:eastAsia="Times New Roman" w:hint="default"/>
          <w:spacing w:val="-9"/>
        </w:rPr>
        <w:t> </w:t>
      </w:r>
      <w:r>
        <w:rPr/>
        <w:t>元收购广东龙达财税服务有限公司</w:t>
      </w:r>
      <w:r>
        <w:rPr>
          <w:spacing w:val="-55"/>
        </w:rPr>
        <w:t> </w:t>
      </w:r>
      <w:r>
        <w:rPr>
          <w:rFonts w:ascii="Times New Roman" w:hAnsi="Times New Roman" w:cs="Times New Roman" w:eastAsia="Times New Roman" w:hint="default"/>
        </w:rPr>
        <w:t>75%</w:t>
      </w:r>
      <w:r>
        <w:rPr/>
        <w:t>的股权。按持股比例享 有的可辨认净资产公允价值为</w:t>
      </w:r>
      <w:r>
        <w:rPr>
          <w:spacing w:val="-46"/>
        </w:rPr>
        <w:t> </w:t>
      </w:r>
      <w:r>
        <w:rPr>
          <w:rFonts w:ascii="Times New Roman" w:hAnsi="Times New Roman" w:cs="Times New Roman" w:eastAsia="Times New Roman" w:hint="default"/>
        </w:rPr>
        <w:t>9,881,997.01</w:t>
      </w:r>
      <w:r>
        <w:rPr>
          <w:rFonts w:ascii="Times New Roman" w:hAnsi="Times New Roman" w:cs="Times New Roman" w:eastAsia="Times New Roman" w:hint="default"/>
          <w:spacing w:val="-2"/>
        </w:rPr>
        <w:t> </w:t>
      </w:r>
      <w:r>
        <w:rPr/>
        <w:t>元，由此形成溢价差额</w:t>
      </w:r>
      <w:r>
        <w:rPr>
          <w:spacing w:val="-46"/>
        </w:rPr>
        <w:t> </w:t>
      </w:r>
      <w:r>
        <w:rPr>
          <w:rFonts w:ascii="Times New Roman" w:hAnsi="Times New Roman" w:cs="Times New Roman" w:eastAsia="Times New Roman" w:hint="default"/>
        </w:rPr>
        <w:t>91,368,002.99 </w:t>
      </w:r>
      <w:r>
        <w:rPr/>
        <w:t>元。</w:t>
      </w:r>
    </w:p>
    <w:p>
      <w:pPr>
        <w:pStyle w:val="Heading3"/>
        <w:spacing w:line="240" w:lineRule="auto" w:before="160"/>
        <w:ind w:right="0"/>
        <w:jc w:val="left"/>
        <w:rPr>
          <w:b w:val="0"/>
          <w:bCs w:val="0"/>
        </w:rPr>
      </w:pPr>
      <w:bookmarkStart w:name="17、长期待摊费用" w:id="278"/>
      <w:bookmarkEnd w:id="278"/>
      <w:r>
        <w:rPr>
          <w:b w:val="0"/>
          <w:bCs w:val="0"/>
        </w:rPr>
      </w:r>
      <w:r>
        <w:rPr>
          <w:rFonts w:ascii="Times New Roman" w:hAnsi="Times New Roman" w:cs="Times New Roman" w:eastAsia="Times New Roman" w:hint="default"/>
        </w:rPr>
        <w:t>17</w:t>
      </w:r>
      <w:r>
        <w:rPr/>
        <w:t>、长期待摊费用</w:t>
      </w:r>
      <w:r>
        <w:rPr>
          <w:b w:val="0"/>
          <w:bCs w:val="0"/>
        </w:rPr>
      </w:r>
    </w:p>
    <w:p>
      <w:pPr>
        <w:pStyle w:val="BodyText"/>
        <w:spacing w:line="240" w:lineRule="auto" w:before="15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2268"/>
        <w:gridCol w:w="1474"/>
        <w:gridCol w:w="1475"/>
        <w:gridCol w:w="1474"/>
        <w:gridCol w:w="1474"/>
        <w:gridCol w:w="1475"/>
      </w:tblGrid>
      <w:tr>
        <w:trPr>
          <w:trHeight w:val="3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180,392.14</w:t>
            </w:r>
          </w:p>
        </w:tc>
        <w:tc>
          <w:tcPr>
            <w:tcW w:w="147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31,372.56</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149,019.58</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3,996,601.20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73,472,953.39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8,403,986.08</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69,065,568.51</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2,629,877.57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789,130.61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360,664.18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2,091,849.84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966,494.16</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6,806,870.91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74,262,084.00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8,796,022.82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2,091,849.84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70,181,082.25</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8、递延所得税资产/递延所得税负债" w:id="279"/>
      <w:bookmarkEnd w:id="279"/>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pStyle w:val="Heading3"/>
        <w:spacing w:line="240" w:lineRule="auto" w:before="189"/>
        <w:ind w:right="0"/>
        <w:jc w:val="left"/>
        <w:rPr>
          <w:b w:val="0"/>
          <w:bCs w:val="0"/>
        </w:rPr>
      </w:pPr>
      <w:bookmarkStart w:name="（1）未经抵销的递延所得税资产" w:id="280"/>
      <w:bookmarkEnd w:id="28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9"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4"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70"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71,648,992.99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10,342,601.14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53,875,121.67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7,382,244.02</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20,868,830.42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3,326,406.45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16,838,732.34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2,741,562.79</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2,108,334.96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527,083.74</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19,607,390.17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2,941,108.52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21,004,250.14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3,209,273.35</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112,125,213.58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16,610,116.11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93,826,439.11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13,860,163.90</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未经抵销的递延所得税负债" w:id="281"/>
      <w:bookmarkEnd w:id="28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2978"/>
        <w:gridCol w:w="1644"/>
        <w:gridCol w:w="1644"/>
        <w:gridCol w:w="1644"/>
        <w:gridCol w:w="1644"/>
      </w:tblGrid>
      <w:tr>
        <w:trPr>
          <w:trHeight w:val="170" w:hRule="exact"/>
        </w:trPr>
        <w:tc>
          <w:tcPr>
            <w:tcW w:w="2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0" w:hRule="exact"/>
        </w:trPr>
        <w:tc>
          <w:tcPr>
            <w:tcW w:w="29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gridSpan w:val="2"/>
            <w:vMerge/>
            <w:tcBorders>
              <w:left w:val="single" w:sz="4" w:space="0" w:color="000000"/>
              <w:bottom w:val="single" w:sz="4" w:space="0" w:color="000000"/>
              <w:right w:val="single" w:sz="4" w:space="0" w:color="000000"/>
            </w:tcBorders>
            <w:shd w:val="clear" w:color="auto" w:fill="D2D2D2"/>
          </w:tcPr>
          <w:p>
            <w:pPr/>
          </w:p>
        </w:tc>
        <w:tc>
          <w:tcPr>
            <w:tcW w:w="3288" w:type="dxa"/>
            <w:gridSpan w:val="2"/>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2978" w:type="dxa"/>
            <w:vMerge/>
            <w:tcBorders>
              <w:left w:val="single" w:sz="4" w:space="0" w:color="000000"/>
              <w:bottom w:val="nil" w:sz="6" w:space="0" w:color="auto"/>
              <w:right w:val="single" w:sz="4" w:space="0" w:color="000000"/>
            </w:tcBorders>
            <w:shd w:val="clear" w:color="auto" w:fill="D2D2D2"/>
          </w:tcPr>
          <w:p>
            <w:pPr/>
          </w:p>
        </w:tc>
        <w:tc>
          <w:tcPr>
            <w:tcW w:w="1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9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1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1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70" w:hRule="exact"/>
        </w:trPr>
        <w:tc>
          <w:tcPr>
            <w:tcW w:w="29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4" w:type="dxa"/>
            <w:vMerge/>
            <w:tcBorders>
              <w:left w:val="single" w:sz="4" w:space="0" w:color="000000"/>
              <w:bottom w:val="single" w:sz="4" w:space="0" w:color="000000"/>
              <w:right w:val="single" w:sz="4" w:space="0" w:color="000000"/>
            </w:tcBorders>
            <w:shd w:val="clear" w:color="auto" w:fill="D2D2D2"/>
          </w:tcPr>
          <w:p>
            <w:pPr/>
          </w:p>
        </w:tc>
        <w:tc>
          <w:tcPr>
            <w:tcW w:w="1644" w:type="dxa"/>
            <w:vMerge/>
            <w:tcBorders>
              <w:left w:val="single" w:sz="4" w:space="0" w:color="000000"/>
              <w:bottom w:val="single" w:sz="4" w:space="0" w:color="000000"/>
              <w:right w:val="single" w:sz="4" w:space="0" w:color="000000"/>
            </w:tcBorders>
            <w:shd w:val="clear" w:color="auto" w:fill="D2D2D2"/>
          </w:tcPr>
          <w:p>
            <w:pPr/>
          </w:p>
        </w:tc>
        <w:tc>
          <w:tcPr>
            <w:tcW w:w="1644" w:type="dxa"/>
            <w:vMerge/>
            <w:tcBorders>
              <w:left w:val="single" w:sz="4" w:space="0" w:color="000000"/>
              <w:bottom w:val="single" w:sz="4" w:space="0" w:color="000000"/>
              <w:right w:val="single" w:sz="4" w:space="0" w:color="000000"/>
            </w:tcBorders>
            <w:shd w:val="clear" w:color="auto" w:fill="D2D2D2"/>
          </w:tcPr>
          <w:p>
            <w:pPr/>
          </w:p>
        </w:tc>
        <w:tc>
          <w:tcPr>
            <w:tcW w:w="1644"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6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64,693,776.25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6,609,899.76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72,670,077.85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7,411,345.01</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分期收款销售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2,452,991.56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245,299.16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2,452,991.56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245,299.16</w:t>
            </w:r>
          </w:p>
        </w:tc>
      </w:tr>
      <w:tr>
        <w:trPr>
          <w:trHeight w:val="33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6,167,741.53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1,188,494.68</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73,314,509.34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8,043,693.60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75,123,069.41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7,656,644.17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以抵销后净额列示的递延所得税资产或负债" w:id="282"/>
      <w:bookmarkEnd w:id="28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2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4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16,610,116.11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13,860,163.90</w:t>
            </w:r>
          </w:p>
        </w:tc>
      </w:tr>
      <w:tr>
        <w:trPr>
          <w:trHeight w:val="33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8,043,693.60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7,656,644.17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未确认递延所得税资产明细" w:id="283"/>
      <w:bookmarkEnd w:id="28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32,899,071.41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23,514,226.14</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8,420,000.00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420,000.00</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1,370,000.00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1,370,000.00</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42,699,071.41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25,314,226.14</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5）未确认递延所得税资产的可抵扣亏损将于以下年度到期" w:id="284"/>
      <w:bookmarkEnd w:id="28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390"/>
        <w:gridCol w:w="2396"/>
        <w:gridCol w:w="2392"/>
        <w:gridCol w:w="2392"/>
      </w:tblGrid>
      <w:tr>
        <w:trPr>
          <w:trHeight w:val="329"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9,431,855.92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2,212,627.74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21,254,587.75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32,899,071.41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9、短期借款" w:id="285"/>
      <w:bookmarkEnd w:id="285"/>
      <w:r>
        <w:rPr>
          <w:b w:val="0"/>
          <w:bCs w:val="0"/>
        </w:rPr>
      </w:r>
      <w:r>
        <w:rPr>
          <w:rFonts w:ascii="Times New Roman" w:hAnsi="Times New Roman" w:cs="Times New Roman" w:eastAsia="Times New Roman" w:hint="default"/>
        </w:rPr>
        <w:t>19</w:t>
      </w:r>
      <w:r>
        <w:rPr/>
        <w:t>、短期借款</w:t>
      </w:r>
      <w:r>
        <w:rPr>
          <w:b w:val="0"/>
          <w:bCs w:val="0"/>
        </w:rPr>
      </w:r>
    </w:p>
    <w:p>
      <w:pPr>
        <w:pStyle w:val="Heading3"/>
        <w:spacing w:line="240" w:lineRule="auto" w:before="189"/>
        <w:ind w:right="0"/>
        <w:jc w:val="left"/>
        <w:rPr>
          <w:b w:val="0"/>
          <w:bCs w:val="0"/>
        </w:rPr>
      </w:pPr>
      <w:bookmarkStart w:name="（1）短期借款分类" w:id="286"/>
      <w:bookmarkEnd w:id="28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74,500,000.00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123,000,000.00</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94,100,000.00</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223,100,000.00</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短期借款分类的说明：</w:t>
      </w:r>
    </w:p>
    <w:p>
      <w:pPr>
        <w:pStyle w:val="BodyText"/>
        <w:spacing w:line="240" w:lineRule="auto" w:before="116"/>
        <w:ind w:right="0"/>
        <w:jc w:val="left"/>
      </w:pPr>
      <w:r>
        <w:rPr/>
        <w:t>上述年末保证借款中 </w:t>
      </w:r>
      <w:r>
        <w:rPr>
          <w:rFonts w:ascii="Times New Roman" w:hAnsi="Times New Roman" w:cs="Times New Roman" w:eastAsia="Times New Roman" w:hint="default"/>
        </w:rPr>
        <w:t>7,000</w:t>
      </w:r>
      <w:r>
        <w:rPr>
          <w:rFonts w:ascii="Times New Roman" w:hAnsi="Times New Roman" w:cs="Times New Roman" w:eastAsia="Times New Roman" w:hint="default"/>
          <w:spacing w:val="-11"/>
        </w:rPr>
        <w:t> </w:t>
      </w:r>
      <w:r>
        <w:rPr>
          <w:spacing w:val="-4"/>
        </w:rPr>
        <w:t>万元系金财互联借款，该借款由江苏德航工程机械装备有限公司、朱文明提供连带责任保证；</w:t>
      </w:r>
    </w:p>
    <w:p>
      <w:pPr>
        <w:pStyle w:val="BodyText"/>
        <w:spacing w:line="302" w:lineRule="auto" w:before="63"/>
        <w:ind w:left="174" w:right="1116"/>
        <w:jc w:val="left"/>
      </w:pPr>
      <w:r>
        <w:rPr>
          <w:rFonts w:ascii="Times New Roman" w:hAnsi="Times New Roman" w:cs="Times New Roman" w:eastAsia="Times New Roman" w:hint="default"/>
        </w:rPr>
        <w:t>450</w:t>
      </w:r>
      <w:r>
        <w:rPr>
          <w:rFonts w:ascii="Times New Roman" w:hAnsi="Times New Roman" w:cs="Times New Roman" w:eastAsia="Times New Roman" w:hint="default"/>
          <w:spacing w:val="-13"/>
        </w:rPr>
        <w:t> </w:t>
      </w:r>
      <w:r>
        <w:rPr/>
        <w:t>万元系孙公司特种炉业借款，该借款由江苏德航工程机械装备有限公司、韩志春提供保证；抵押保证借款</w:t>
      </w:r>
      <w:r>
        <w:rPr>
          <w:spacing w:val="-58"/>
        </w:rPr>
        <w:t> </w:t>
      </w:r>
      <w:r>
        <w:rPr>
          <w:rFonts w:ascii="Times New Roman" w:hAnsi="Times New Roman" w:cs="Times New Roman" w:eastAsia="Times New Roman" w:hint="default"/>
        </w:rPr>
        <w:t>650</w:t>
      </w:r>
      <w:r>
        <w:rPr>
          <w:rFonts w:ascii="Times New Roman" w:hAnsi="Times New Roman" w:cs="Times New Roman" w:eastAsia="Times New Roman" w:hint="default"/>
          <w:spacing w:val="-13"/>
        </w:rPr>
        <w:t> </w:t>
      </w:r>
      <w:r>
        <w:rPr/>
        <w:t>万元系孙 公司特种炉业借款，该借款由特种炉业以自有房产及土地使用权作抵押，并由韩志春提供保证担保。</w:t>
      </w:r>
    </w:p>
    <w:p>
      <w:pPr>
        <w:spacing w:line="240" w:lineRule="auto" w:before="9"/>
        <w:rPr>
          <w:rFonts w:ascii="宋体" w:hAnsi="宋体" w:cs="宋体" w:eastAsia="宋体" w:hint="default"/>
          <w:sz w:val="13"/>
          <w:szCs w:val="13"/>
        </w:rPr>
      </w:pPr>
    </w:p>
    <w:p>
      <w:pPr>
        <w:pStyle w:val="Heading3"/>
        <w:spacing w:line="240" w:lineRule="auto" w:before="0"/>
        <w:ind w:right="0"/>
        <w:jc w:val="left"/>
        <w:rPr>
          <w:b w:val="0"/>
          <w:bCs w:val="0"/>
        </w:rPr>
      </w:pPr>
      <w:bookmarkStart w:name="20、衍生金融负债" w:id="287"/>
      <w:bookmarkEnd w:id="287"/>
      <w:r>
        <w:rPr>
          <w:b w:val="0"/>
          <w:bCs w:val="0"/>
        </w:rPr>
      </w:r>
      <w:r>
        <w:rPr>
          <w:rFonts w:ascii="Times New Roman" w:hAnsi="Times New Roman" w:cs="Times New Roman" w:eastAsia="Times New Roman" w:hint="default"/>
        </w:rPr>
        <w:t>20</w:t>
      </w:r>
      <w:r>
        <w:rPr/>
        <w:t>、衍生金融负债</w:t>
      </w:r>
      <w:r>
        <w:rPr>
          <w:b w:val="0"/>
          <w:bCs w:val="0"/>
        </w:rPr>
      </w:r>
    </w:p>
    <w:p>
      <w:pPr>
        <w:pStyle w:val="BodyText"/>
        <w:spacing w:line="240" w:lineRule="auto" w:before="15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1、应付票据及应付账款" w:id="288"/>
      <w:bookmarkEnd w:id="288"/>
      <w:r>
        <w:rPr>
          <w:b w:val="0"/>
          <w:bCs w:val="0"/>
        </w:rPr>
      </w:r>
      <w:r>
        <w:rPr>
          <w:rFonts w:ascii="Times New Roman" w:hAnsi="Times New Roman" w:cs="Times New Roman" w:eastAsia="Times New Roman" w:hint="default"/>
        </w:rPr>
        <w:t>21</w:t>
      </w:r>
      <w:r>
        <w:rPr/>
        <w:t>、应付票据及应付账款</w:t>
      </w:r>
      <w:r>
        <w:rPr>
          <w:b w:val="0"/>
          <w:bCs w:val="0"/>
        </w:rPr>
      </w:r>
    </w:p>
    <w:p>
      <w:pPr>
        <w:pStyle w:val="BodyText"/>
        <w:spacing w:line="240" w:lineRule="auto" w:before="15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106,104,410.41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157,068,934.76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181,385,033.83</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263,173,345.17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181,685,033.83</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应付票据分类列示" w:id="289"/>
      <w:bookmarkEnd w:id="28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106,104,410.41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106,104,410.41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300,000.00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应付账款列示" w:id="290"/>
      <w:bookmarkEnd w:id="29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2"/>
                <w:sz w:val="18"/>
              </w:rPr>
              <w:t>111,159,568.43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158,776,555.60</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31,601,784.26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15,555,784.28</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9,076,014.22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1,023,095.98</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5,231,567.85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6,029,597.97</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157,068,934.76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181,385,033.83</w:t>
            </w:r>
          </w:p>
        </w:tc>
      </w:tr>
    </w:tbl>
    <w:p>
      <w:pPr>
        <w:pStyle w:val="BodyText"/>
        <w:spacing w:line="300" w:lineRule="auto" w:before="51"/>
        <w:ind w:left="174" w:right="1118" w:firstLine="360"/>
        <w:jc w:val="left"/>
      </w:pPr>
      <w:r>
        <w:rPr/>
        <w:t>其他说明：应付票据年末数比年初数增加</w:t>
      </w:r>
      <w:r>
        <w:rPr>
          <w:spacing w:val="-64"/>
        </w:rPr>
        <w:t> </w:t>
      </w:r>
      <w:r>
        <w:rPr>
          <w:rFonts w:ascii="Times New Roman" w:hAnsi="Times New Roman" w:cs="Times New Roman" w:eastAsia="Times New Roman" w:hint="default"/>
        </w:rPr>
        <w:t>105,804,410.41</w:t>
      </w:r>
      <w:r>
        <w:rPr>
          <w:rFonts w:ascii="Times New Roman" w:hAnsi="Times New Roman" w:cs="Times New Roman" w:eastAsia="Times New Roman" w:hint="default"/>
          <w:spacing w:val="-18"/>
        </w:rPr>
        <w:t> </w:t>
      </w:r>
      <w:r>
        <w:rPr/>
        <w:t>元，增加比例为</w:t>
      </w:r>
      <w:r>
        <w:rPr>
          <w:spacing w:val="-64"/>
        </w:rPr>
        <w:t> </w:t>
      </w:r>
      <w:r>
        <w:rPr>
          <w:rFonts w:ascii="Times New Roman" w:hAnsi="Times New Roman" w:cs="Times New Roman" w:eastAsia="Times New Roman" w:hint="default"/>
        </w:rPr>
        <w:t>35,268.14%</w:t>
      </w:r>
      <w:r>
        <w:rPr/>
        <w:t>，主要系经营扩大，相应的应付供 应商款项增加所致。</w:t>
      </w:r>
    </w:p>
    <w:p>
      <w:pPr>
        <w:spacing w:line="240" w:lineRule="auto" w:before="11"/>
        <w:rPr>
          <w:rFonts w:ascii="宋体" w:hAnsi="宋体" w:cs="宋体" w:eastAsia="宋体" w:hint="default"/>
          <w:sz w:val="13"/>
          <w:szCs w:val="13"/>
        </w:rPr>
      </w:pPr>
    </w:p>
    <w:p>
      <w:pPr>
        <w:pStyle w:val="Heading3"/>
        <w:spacing w:line="240" w:lineRule="auto" w:before="0"/>
        <w:ind w:right="0"/>
        <w:jc w:val="left"/>
        <w:rPr>
          <w:b w:val="0"/>
          <w:bCs w:val="0"/>
        </w:rPr>
      </w:pPr>
      <w:bookmarkStart w:name="22、预收款项" w:id="291"/>
      <w:bookmarkEnd w:id="291"/>
      <w:r>
        <w:rPr>
          <w:b w:val="0"/>
          <w:bCs w:val="0"/>
        </w:rPr>
      </w:r>
      <w:r>
        <w:rPr>
          <w:rFonts w:ascii="Times New Roman" w:hAnsi="Times New Roman" w:cs="Times New Roman" w:eastAsia="Times New Roman" w:hint="default"/>
        </w:rPr>
        <w:t>22</w:t>
      </w:r>
      <w:r>
        <w:rPr/>
        <w:t>、预收款项</w:t>
      </w:r>
      <w:r>
        <w:rPr>
          <w:b w:val="0"/>
          <w:bCs w:val="0"/>
        </w:rPr>
      </w:r>
    </w:p>
    <w:p>
      <w:pPr>
        <w:pStyle w:val="Heading3"/>
        <w:spacing w:line="240" w:lineRule="auto" w:before="190"/>
        <w:ind w:right="0"/>
        <w:jc w:val="left"/>
        <w:rPr>
          <w:b w:val="0"/>
          <w:bCs w:val="0"/>
        </w:rPr>
      </w:pPr>
      <w:bookmarkStart w:name="（1）预收款项列示" w:id="292"/>
      <w:bookmarkEnd w:id="292"/>
      <w:r>
        <w:rPr>
          <w:b w:val="0"/>
          <w:bCs w:val="0"/>
        </w:rPr>
      </w:r>
      <w:r>
        <w:rPr/>
        <w:t>（</w:t>
      </w:r>
      <w:r>
        <w:rPr>
          <w:rFonts w:ascii="Times New Roman" w:hAnsi="Times New Roman" w:cs="Times New Roman" w:eastAsia="Times New Roman" w:hint="default"/>
        </w:rPr>
        <w:t>1</w:t>
      </w:r>
      <w:r>
        <w:rPr/>
        <w:t>）预收款项列示</w:t>
      </w:r>
      <w:r>
        <w:rPr>
          <w:b w:val="0"/>
          <w:bCs w:val="0"/>
        </w:rPr>
      </w:r>
    </w:p>
    <w:p>
      <w:pPr>
        <w:pStyle w:val="BodyText"/>
        <w:spacing w:line="240" w:lineRule="auto" w:before="15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184,601,162.79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152,194,908.55</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36,695,387.94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17,188,775.67</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4,610,656.55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7,525,324.26</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6,320,640.09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4,276,320.35</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232,227,847.37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181,185,328.83</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账龄超过1年的重要预收款项" w:id="293"/>
      <w:bookmarkEnd w:id="29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553"/>
        <w:gridCol w:w="2410"/>
        <w:gridCol w:w="4607"/>
      </w:tblGrid>
      <w:tr>
        <w:trPr>
          <w:trHeight w:val="330"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48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5,899,145.28</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设备仍处于安装调试中</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客户原因项目中途停止，现已发货未调试完毕</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设备尚在生产中</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2,205,000.00</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客户进入破产程序，项目搁置</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2,150,897.44</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调试中，</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月已验收</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1,996,000.00</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设备尚在生产中</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19,651,042.72</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3、应付职工薪酬" w:id="294"/>
      <w:bookmarkEnd w:id="294"/>
      <w:r>
        <w:rPr>
          <w:b w:val="0"/>
          <w:bCs w:val="0"/>
        </w:rPr>
      </w:r>
      <w:r>
        <w:rPr>
          <w:rFonts w:ascii="Times New Roman" w:hAnsi="Times New Roman" w:cs="Times New Roman" w:eastAsia="Times New Roman" w:hint="default"/>
        </w:rPr>
        <w:t>23</w:t>
      </w:r>
      <w:r>
        <w:rPr/>
        <w:t>、应付职工薪酬</w:t>
      </w:r>
      <w:r>
        <w:rPr>
          <w:b w:val="0"/>
          <w:bCs w:val="0"/>
        </w:rPr>
      </w:r>
    </w:p>
    <w:p>
      <w:pPr>
        <w:pStyle w:val="Heading3"/>
        <w:spacing w:line="240" w:lineRule="auto" w:before="189"/>
        <w:ind w:right="0"/>
        <w:jc w:val="left"/>
        <w:rPr>
          <w:b w:val="0"/>
          <w:bCs w:val="0"/>
        </w:rPr>
      </w:pPr>
      <w:bookmarkStart w:name="（1）应付职工薪酬列示" w:id="295"/>
      <w:bookmarkEnd w:id="29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529"/>
        <w:gridCol w:w="1770"/>
        <w:gridCol w:w="1758"/>
        <w:gridCol w:w="1758"/>
        <w:gridCol w:w="1758"/>
      </w:tblGrid>
      <w:tr>
        <w:trPr>
          <w:trHeight w:val="330"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14,558,490.52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380,426,883.97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373,015,883.62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21,969,490.87</w:t>
            </w:r>
          </w:p>
        </w:tc>
      </w:tr>
      <w:tr>
        <w:trPr>
          <w:trHeight w:val="330"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37,913.44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22,159,395.51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22,161,446.20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35,862.75</w:t>
            </w:r>
          </w:p>
        </w:tc>
      </w:tr>
      <w:tr>
        <w:trPr>
          <w:trHeight w:val="33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14,596,403.96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402,586,279.48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395,177,329.82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22,005,353.62</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短期薪酬列示" w:id="296"/>
      <w:bookmarkEnd w:id="29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387"/>
        <w:gridCol w:w="1826"/>
        <w:gridCol w:w="1814"/>
        <w:gridCol w:w="1814"/>
        <w:gridCol w:w="1814"/>
      </w:tblGrid>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14,298,381.93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338,544,218.95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331,269,730.83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21,572,870.05</w:t>
            </w: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26" w:type="dxa"/>
            <w:tcBorders>
              <w:top w:val="single" w:sz="4" w:space="0" w:color="000000"/>
              <w:left w:val="single" w:sz="13"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10,524,622.20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10,524,622.20</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12,285.63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14,694,069.71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14,676,889.96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29,465.38</w:t>
            </w: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11,223.46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12,089,766.90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12,073,362.79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25,978.32</w:t>
            </w: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-645.51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647,259.91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647,364.54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518.41</w:t>
            </w: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1,707.68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1,146,668.76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1,145,788.49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2,968.65</w:t>
            </w: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93"/>
              <w:jc w:val="center"/>
              <w:rPr>
                <w:rFonts w:ascii="宋体" w:hAnsi="宋体" w:cs="宋体" w:eastAsia="宋体" w:hint="default"/>
                <w:sz w:val="18"/>
                <w:szCs w:val="18"/>
              </w:rPr>
            </w:pPr>
            <w:r>
              <w:rPr>
                <w:rFonts w:ascii="宋体" w:hAnsi="宋体" w:cs="宋体" w:eastAsia="宋体" w:hint="default"/>
                <w:sz w:val="18"/>
                <w:szCs w:val="18"/>
              </w:rPr>
              <w:t>其他</w:t>
            </w:r>
          </w:p>
        </w:tc>
        <w:tc>
          <w:tcPr>
            <w:tcW w:w="1826" w:type="dxa"/>
            <w:tcBorders>
              <w:top w:val="single" w:sz="4" w:space="0" w:color="000000"/>
              <w:left w:val="single" w:sz="13" w:space="0" w:color="D2D2D2"/>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810,374.14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810,374.14</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3,835.00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15,018,037.09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15,020,311.09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1,561.00</w:t>
            </w: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243,987.96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1,645,936.02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1,524,329.54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365,594.44</w:t>
            </w:r>
          </w:p>
        </w:tc>
      </w:tr>
      <w:tr>
        <w:trPr>
          <w:trHeight w:val="33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14,558,490.52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380,426,883.97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373,015,883.62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21,969,490.87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设定提存计划列示" w:id="297"/>
      <w:bookmarkEnd w:id="29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36,420.03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21,426,908.66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21,428,702.00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34,626.69</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1,493.41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732,486.85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732,744.20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1,236.06</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37,913.44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22,159,395.51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22,161,446.20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35,862.75</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24、应交税费" w:id="298"/>
      <w:bookmarkEnd w:id="298"/>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11,605,194.40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13,317,393.80</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13,068,047.37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14,190,215.42</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840,898.38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1,258,830.17</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832,898.99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1,041,055.58</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605,963.18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795,354.98</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234,158.04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158,693.18</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319,857.24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283,668.15</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其他税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282,052.64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482,207.01</w:t>
            </w:r>
          </w:p>
        </w:tc>
      </w:tr>
      <w:tr>
        <w:trPr>
          <w:trHeight w:val="33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27,789,070.24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31,527,418.29</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5、其他应付款" w:id="299"/>
      <w:bookmarkEnd w:id="299"/>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240,132.66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225,958.33</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97,333,967.20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119,708,574.03</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97,574,099.86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119,934,532.36</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应付利息" w:id="300"/>
      <w:bookmarkEnd w:id="30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240,132.66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225,958.33</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240,132.66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225,958.33</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应付股利" w:id="301"/>
      <w:bookmarkEnd w:id="301"/>
      <w:r>
        <w:rPr>
          <w:b w:val="0"/>
          <w:bCs w:val="0"/>
        </w:rPr>
      </w:r>
      <w:r>
        <w:rPr/>
        <w:t>（</w:t>
      </w:r>
      <w:r>
        <w:rPr>
          <w:rFonts w:ascii="Times New Roman" w:hAnsi="Times New Roman" w:cs="Times New Roman" w:eastAsia="Times New Roman" w:hint="default"/>
        </w:rPr>
        <w:t>2</w:t>
      </w:r>
      <w:r>
        <w:rPr/>
        <w:t>）应付股利</w:t>
      </w:r>
      <w:r>
        <w:rPr>
          <w:b w:val="0"/>
          <w:bCs w:val="0"/>
        </w:rPr>
      </w:r>
    </w:p>
    <w:p>
      <w:pPr>
        <w:pStyle w:val="Heading3"/>
        <w:spacing w:line="240" w:lineRule="auto" w:before="189"/>
        <w:ind w:right="0"/>
        <w:jc w:val="left"/>
        <w:rPr>
          <w:b w:val="0"/>
          <w:bCs w:val="0"/>
        </w:rPr>
      </w:pPr>
      <w:bookmarkStart w:name="（3）其他应付款" w:id="302"/>
      <w:bookmarkEnd w:id="30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43,490,130.52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115,287,968.66</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48,455,353.42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3,076,348.39</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3,962,792.25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526,519.90</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1,425,691.01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817,737.08</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97,333,967.20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119,708,574.03</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8,125,000.00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4,875,000.00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客户进入破产程序</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47,500,000.00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6、一年内到期的非流动负债" w:id="303"/>
      <w:bookmarkEnd w:id="303"/>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9,100,713.88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8,616,068.67</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9,100,713.88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8,616,068.67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7、长期借款" w:id="304"/>
      <w:bookmarkEnd w:id="304"/>
      <w:r>
        <w:rPr>
          <w:b w:val="0"/>
          <w:bCs w:val="0"/>
        </w:rPr>
      </w:r>
      <w:r>
        <w:rPr>
          <w:rFonts w:ascii="Times New Roman" w:hAnsi="Times New Roman" w:cs="Times New Roman" w:eastAsia="Times New Roman" w:hint="default"/>
        </w:rPr>
        <w:t>27</w:t>
      </w:r>
      <w:r>
        <w:rPr/>
        <w:t>、长期借款</w:t>
      </w:r>
      <w:r>
        <w:rPr>
          <w:b w:val="0"/>
          <w:bCs w:val="0"/>
        </w:rPr>
      </w:r>
    </w:p>
    <w:p>
      <w:pPr>
        <w:pStyle w:val="Heading3"/>
        <w:spacing w:line="240" w:lineRule="auto" w:before="189"/>
        <w:ind w:right="0"/>
        <w:jc w:val="left"/>
        <w:rPr>
          <w:b w:val="0"/>
          <w:bCs w:val="0"/>
        </w:rPr>
      </w:pPr>
      <w:bookmarkStart w:name="（1）长期借款分类" w:id="305"/>
      <w:bookmarkEnd w:id="30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86,722,807.17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95,823,521.05</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2,258,201.44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2,149,950.44</w:t>
            </w:r>
          </w:p>
        </w:tc>
      </w:tr>
      <w:tr>
        <w:trPr>
          <w:trHeight w:val="33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88,981,008.61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97,973,471.49</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8、递延收益" w:id="306"/>
      <w:bookmarkEnd w:id="306"/>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330"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30"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22,242,934.97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4,924,150.00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4,433,771.62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22,733,313.35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22,242,934.97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4,924,150.00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4,433,771.62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22,733,313.35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2268"/>
        <w:gridCol w:w="1134"/>
        <w:gridCol w:w="1134"/>
        <w:gridCol w:w="994"/>
        <w:gridCol w:w="708"/>
        <w:gridCol w:w="708"/>
        <w:gridCol w:w="426"/>
        <w:gridCol w:w="1134"/>
        <w:gridCol w:w="1063"/>
      </w:tblGrid>
      <w:tr>
        <w:trPr>
          <w:trHeight w:val="105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40" w:right="41"/>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7" w:right="78"/>
              <w:jc w:val="center"/>
              <w:rPr>
                <w:rFonts w:ascii="宋体" w:hAnsi="宋体" w:cs="宋体" w:eastAsia="宋体" w:hint="default"/>
                <w:sz w:val="18"/>
                <w:szCs w:val="18"/>
              </w:rPr>
            </w:pPr>
            <w:r>
              <w:rPr>
                <w:rFonts w:ascii="宋体" w:hAnsi="宋体" w:cs="宋体" w:eastAsia="宋体" w:hint="default"/>
                <w:sz w:val="18"/>
                <w:szCs w:val="18"/>
              </w:rPr>
              <w:t>本期计 入其他 收益金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9" w:right="77"/>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 w:right="27"/>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42" w:lineRule="exact"/>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5"/>
              <w:jc w:val="left"/>
              <w:rPr>
                <w:rFonts w:ascii="宋体" w:hAnsi="宋体" w:cs="宋体" w:eastAsia="宋体" w:hint="default"/>
                <w:sz w:val="18"/>
                <w:szCs w:val="18"/>
              </w:rPr>
            </w:pPr>
            <w:r>
              <w:rPr>
                <w:rFonts w:ascii="宋体" w:hAnsi="宋体" w:cs="宋体" w:eastAsia="宋体" w:hint="default"/>
                <w:sz w:val="18"/>
                <w:szCs w:val="18"/>
              </w:rPr>
              <w:t>智能化真空热处理设备的开 发及产业化项目省级拨款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5,180,934.97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460,524.00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4,720,410.97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智能制造专项项目补助资金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66,666.68</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1,933,333.32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5"/>
              <w:jc w:val="left"/>
              <w:rPr>
                <w:rFonts w:ascii="宋体" w:hAnsi="宋体" w:cs="宋体" w:eastAsia="宋体" w:hint="default"/>
                <w:sz w:val="18"/>
                <w:szCs w:val="18"/>
              </w:rPr>
            </w:pPr>
            <w:r>
              <w:rPr>
                <w:rFonts w:ascii="宋体" w:hAnsi="宋体" w:cs="宋体" w:eastAsia="宋体" w:hint="default"/>
                <w:sz w:val="18"/>
                <w:szCs w:val="18"/>
              </w:rPr>
              <w:t>柘林镇财政所土地减量搬迁 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2,813,350.00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2,813,350.0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5"/>
              <w:jc w:val="both"/>
              <w:rPr>
                <w:rFonts w:ascii="宋体" w:hAnsi="宋体" w:cs="宋体" w:eastAsia="宋体" w:hint="default"/>
                <w:sz w:val="18"/>
                <w:szCs w:val="18"/>
              </w:rPr>
            </w:pPr>
            <w:r>
              <w:rPr>
                <w:rFonts w:ascii="宋体" w:hAnsi="宋体" w:cs="宋体" w:eastAsia="宋体" w:hint="default"/>
                <w:sz w:val="18"/>
                <w:szCs w:val="18"/>
              </w:rPr>
              <w:t>精密模具及汽车零件高档热 处理专业化配套加工扩建项 目专项资金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5"/>
              <w:jc w:val="left"/>
              <w:rPr>
                <w:rFonts w:ascii="宋体" w:hAnsi="宋体" w:cs="宋体" w:eastAsia="宋体" w:hint="default"/>
                <w:sz w:val="18"/>
                <w:szCs w:val="18"/>
              </w:rPr>
            </w:pPr>
            <w:r>
              <w:rPr>
                <w:rFonts w:ascii="宋体" w:hAnsi="宋体" w:cs="宋体" w:eastAsia="宋体" w:hint="default"/>
                <w:sz w:val="18"/>
                <w:szCs w:val="18"/>
              </w:rPr>
              <w:t>青岛丰东科技型中小企业技 术创新基金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新能源汽车零部件热处理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1,152,000.00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128,000.00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2268"/>
        <w:gridCol w:w="1134"/>
        <w:gridCol w:w="1134"/>
        <w:gridCol w:w="994"/>
        <w:gridCol w:w="708"/>
        <w:gridCol w:w="708"/>
        <w:gridCol w:w="426"/>
        <w:gridCol w:w="1134"/>
        <w:gridCol w:w="1063"/>
      </w:tblGrid>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齿轮热处理应用研究补贴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90" w:right="0"/>
              <w:jc w:val="left"/>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用于购买设备的专项资金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110,800.00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11,080.00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99,720.00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5"/>
              <w:jc w:val="left"/>
              <w:rPr>
                <w:rFonts w:ascii="宋体" w:hAnsi="宋体" w:cs="宋体" w:eastAsia="宋体" w:hint="default"/>
                <w:sz w:val="18"/>
                <w:szCs w:val="18"/>
              </w:rPr>
            </w:pPr>
            <w:r>
              <w:rPr>
                <w:rFonts w:ascii="宋体" w:hAnsi="宋体" w:cs="宋体" w:eastAsia="宋体" w:hint="default"/>
                <w:sz w:val="18"/>
                <w:szCs w:val="18"/>
              </w:rPr>
              <w:t>金财财税共享智慧云服务平 台补助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264,150.94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1,735,849.06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9、股本" w:id="307"/>
      <w:bookmarkEnd w:id="307"/>
      <w:r>
        <w:rPr>
          <w:b w:val="0"/>
          <w:bCs w:val="0"/>
        </w:rPr>
      </w:r>
      <w:r>
        <w:rPr>
          <w:rFonts w:ascii="Times New Roman" w:hAnsi="Times New Roman" w:cs="Times New Roman" w:eastAsia="Times New Roman" w:hint="default"/>
        </w:rPr>
        <w:t>29</w:t>
      </w:r>
      <w:r>
        <w:rPr/>
        <w:t>、股本</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169"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4"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170"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30"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left="32" w:right="0"/>
              <w:jc w:val="left"/>
              <w:rPr>
                <w:rFonts w:ascii="Times New Roman" w:hAnsi="Times New Roman" w:cs="Times New Roman" w:eastAsia="Times New Roman" w:hint="default"/>
                <w:sz w:val="18"/>
                <w:szCs w:val="18"/>
              </w:rPr>
            </w:pPr>
            <w:r>
              <w:rPr>
                <w:rFonts w:ascii="Times New Roman"/>
                <w:sz w:val="18"/>
              </w:rPr>
              <w:t>490,741,853.00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294,445,111.00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1" w:right="0"/>
              <w:jc w:val="left"/>
              <w:rPr>
                <w:rFonts w:ascii="Times New Roman" w:hAnsi="Times New Roman" w:cs="Times New Roman" w:eastAsia="Times New Roman" w:hint="default"/>
                <w:sz w:val="18"/>
                <w:szCs w:val="18"/>
              </w:rPr>
            </w:pPr>
            <w:r>
              <w:rPr>
                <w:rFonts w:ascii="Times New Roman"/>
                <w:sz w:val="18"/>
              </w:rPr>
              <w:t>294,445,111.00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0" w:right="0"/>
              <w:jc w:val="left"/>
              <w:rPr>
                <w:rFonts w:ascii="Times New Roman" w:hAnsi="Times New Roman" w:cs="Times New Roman" w:eastAsia="Times New Roman" w:hint="default"/>
                <w:sz w:val="18"/>
                <w:szCs w:val="18"/>
              </w:rPr>
            </w:pPr>
            <w:r>
              <w:rPr>
                <w:rFonts w:ascii="Times New Roman"/>
                <w:sz w:val="18"/>
              </w:rPr>
              <w:t>785,186,964.00</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其他说明：</w:t>
      </w:r>
    </w:p>
    <w:p>
      <w:pPr>
        <w:pStyle w:val="BodyText"/>
        <w:spacing w:line="300" w:lineRule="auto" w:before="115"/>
        <w:ind w:left="174"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月，根据公司</w:t>
      </w:r>
      <w:r>
        <w:rPr>
          <w:rFonts w:ascii="Times New Roman" w:hAnsi="Times New Roman" w:cs="Times New Roman" w:eastAsia="Times New Roman" w:hint="default"/>
          <w:spacing w:val="-2"/>
        </w:rPr>
        <w:t>2017</w:t>
      </w:r>
      <w:r>
        <w:rPr>
          <w:spacing w:val="-2"/>
        </w:rPr>
        <w:t>年度股东大会决议，公司以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日的总股本</w:t>
      </w:r>
      <w:r>
        <w:rPr>
          <w:rFonts w:ascii="Times New Roman" w:hAnsi="Times New Roman" w:cs="Times New Roman" w:eastAsia="Times New Roman" w:hint="default"/>
          <w:spacing w:val="-2"/>
        </w:rPr>
        <w:t>490,741,853</w:t>
      </w:r>
      <w:r>
        <w:rPr>
          <w:spacing w:val="-2"/>
        </w:rPr>
        <w:t>股为基数，以资本公积转增股</w:t>
      </w:r>
      <w:r>
        <w:rPr/>
        <w:t> 本方式向全体股东每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股，转增后公司总股本为</w:t>
      </w:r>
      <w:r>
        <w:rPr>
          <w:rFonts w:ascii="Times New Roman" w:hAnsi="Times New Roman" w:cs="Times New Roman" w:eastAsia="Times New Roman" w:hint="default"/>
        </w:rPr>
        <w:t>785,186,964</w:t>
      </w:r>
      <w:r>
        <w:rPr/>
        <w:t>股，公司注册资本为人民币</w:t>
      </w:r>
      <w:r>
        <w:rPr>
          <w:rFonts w:ascii="Times New Roman" w:hAnsi="Times New Roman" w:cs="Times New Roman" w:eastAsia="Times New Roman" w:hint="default"/>
        </w:rPr>
        <w:t>785,186,964.00</w:t>
      </w:r>
      <w:r>
        <w:rPr/>
        <w:t>元。</w:t>
      </w:r>
    </w:p>
    <w:p>
      <w:pPr>
        <w:spacing w:line="240" w:lineRule="auto" w:before="8"/>
        <w:rPr>
          <w:rFonts w:ascii="宋体" w:hAnsi="宋体" w:cs="宋体" w:eastAsia="宋体" w:hint="default"/>
          <w:sz w:val="12"/>
          <w:szCs w:val="12"/>
        </w:rPr>
      </w:pPr>
    </w:p>
    <w:p>
      <w:pPr>
        <w:pStyle w:val="Heading3"/>
        <w:spacing w:line="240" w:lineRule="auto" w:before="0"/>
        <w:ind w:right="0"/>
        <w:jc w:val="left"/>
        <w:rPr>
          <w:b w:val="0"/>
          <w:bCs w:val="0"/>
        </w:rPr>
      </w:pPr>
      <w:bookmarkStart w:name="30、资本公积" w:id="308"/>
      <w:bookmarkEnd w:id="308"/>
      <w:r>
        <w:rPr>
          <w:b w:val="0"/>
          <w:bCs w:val="0"/>
        </w:rPr>
      </w:r>
      <w:r>
        <w:rPr>
          <w:rFonts w:ascii="Times New Roman" w:hAnsi="Times New Roman" w:cs="Times New Roman" w:eastAsia="Times New Roman" w:hint="default"/>
        </w:rPr>
        <w:t>30</w:t>
      </w:r>
      <w:r>
        <w:rPr/>
        <w:t>、资本公积</w:t>
      </w:r>
      <w:r>
        <w:rPr>
          <w:b w:val="0"/>
          <w:bCs w:val="0"/>
        </w:rPr>
      </w:r>
    </w:p>
    <w:p>
      <w:pPr>
        <w:pStyle w:val="BodyText"/>
        <w:spacing w:line="240" w:lineRule="auto" w:before="15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623" w:right="0"/>
              <w:jc w:val="left"/>
              <w:rPr>
                <w:rFonts w:ascii="Times New Roman" w:hAnsi="Times New Roman" w:cs="Times New Roman" w:eastAsia="Times New Roman" w:hint="default"/>
                <w:sz w:val="18"/>
                <w:szCs w:val="18"/>
              </w:rPr>
            </w:pPr>
            <w:r>
              <w:rPr>
                <w:rFonts w:ascii="Times New Roman"/>
                <w:sz w:val="18"/>
              </w:rPr>
              <w:t>3,053,847,327.45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564,458.71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409,445,111.00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0" w:right="0"/>
              <w:jc w:val="left"/>
              <w:rPr>
                <w:rFonts w:ascii="Times New Roman" w:hAnsi="Times New Roman" w:cs="Times New Roman" w:eastAsia="Times New Roman" w:hint="default"/>
                <w:sz w:val="18"/>
                <w:szCs w:val="18"/>
              </w:rPr>
            </w:pPr>
            <w:r>
              <w:rPr>
                <w:rFonts w:ascii="Times New Roman"/>
                <w:sz w:val="18"/>
              </w:rPr>
              <w:t>2,644,966,675.16</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623" w:right="0"/>
              <w:jc w:val="left"/>
              <w:rPr>
                <w:rFonts w:ascii="Times New Roman" w:hAnsi="Times New Roman" w:cs="Times New Roman" w:eastAsia="Times New Roman" w:hint="default"/>
                <w:sz w:val="18"/>
                <w:szCs w:val="18"/>
              </w:rPr>
            </w:pPr>
            <w:r>
              <w:rPr>
                <w:rFonts w:ascii="Times New Roman"/>
                <w:sz w:val="18"/>
              </w:rPr>
              <w:t>3,053,847,327.45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564,458.71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2"/>
                <w:sz w:val="18"/>
              </w:rPr>
              <w:t>409,445,111.00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0" w:right="0"/>
              <w:jc w:val="left"/>
              <w:rPr>
                <w:rFonts w:ascii="Times New Roman" w:hAnsi="Times New Roman" w:cs="Times New Roman" w:eastAsia="Times New Roman" w:hint="default"/>
                <w:sz w:val="18"/>
                <w:szCs w:val="18"/>
              </w:rPr>
            </w:pPr>
            <w:r>
              <w:rPr>
                <w:rFonts w:ascii="Times New Roman"/>
                <w:sz w:val="18"/>
              </w:rPr>
              <w:t>2,644,966,675.16</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其他说明，包括本期增减变动情况、变动原因说明：</w:t>
      </w:r>
    </w:p>
    <w:p>
      <w:pPr>
        <w:spacing w:line="240" w:lineRule="auto" w:before="12"/>
        <w:rPr>
          <w:rFonts w:ascii="宋体" w:hAnsi="宋体" w:cs="宋体" w:eastAsia="宋体" w:hint="default"/>
          <w:sz w:val="14"/>
          <w:szCs w:val="14"/>
        </w:rPr>
      </w:pPr>
    </w:p>
    <w:p>
      <w:pPr>
        <w:pStyle w:val="BodyText"/>
        <w:spacing w:line="300" w:lineRule="auto" w:before="0"/>
        <w:ind w:left="174" w:right="1124" w:firstLine="360"/>
        <w:jc w:val="left"/>
      </w:pPr>
      <w:r>
        <w:rPr/>
        <w:t>资本公积本年度增加</w:t>
      </w:r>
      <w:r>
        <w:rPr>
          <w:spacing w:val="-47"/>
        </w:rPr>
        <w:t> </w:t>
      </w:r>
      <w:r>
        <w:rPr>
          <w:rFonts w:ascii="Times New Roman" w:hAnsi="Times New Roman" w:cs="Times New Roman" w:eastAsia="Times New Roman" w:hint="default"/>
        </w:rPr>
        <w:t>564,458.71</w:t>
      </w:r>
      <w:r>
        <w:rPr>
          <w:rFonts w:ascii="Times New Roman" w:hAnsi="Times New Roman" w:cs="Times New Roman" w:eastAsia="Times New Roman" w:hint="default"/>
          <w:spacing w:val="-2"/>
        </w:rPr>
        <w:t> </w:t>
      </w:r>
      <w:r>
        <w:rPr/>
        <w:t>元，系收购少数股东持有的潍坊丰东</w:t>
      </w:r>
      <w:r>
        <w:rPr>
          <w:spacing w:val="-47"/>
        </w:rPr>
        <w:t> </w:t>
      </w:r>
      <w:r>
        <w:rPr>
          <w:rFonts w:ascii="Times New Roman" w:hAnsi="Times New Roman" w:cs="Times New Roman" w:eastAsia="Times New Roman" w:hint="default"/>
        </w:rPr>
        <w:t>14.00%</w:t>
      </w:r>
      <w:r>
        <w:rPr/>
        <w:t>的股权，支付对价与按净资产比例计算价 值之间的差额。资本公积本年度减少</w:t>
      </w:r>
      <w:r>
        <w:rPr>
          <w:spacing w:val="-56"/>
        </w:rPr>
        <w:t> </w:t>
      </w:r>
      <w:r>
        <w:rPr>
          <w:rFonts w:ascii="Times New Roman" w:hAnsi="Times New Roman" w:cs="Times New Roman" w:eastAsia="Times New Roman" w:hint="default"/>
        </w:rPr>
        <w:t>409,445,111.00</w:t>
      </w:r>
      <w:r>
        <w:rPr>
          <w:rFonts w:ascii="Times New Roman" w:hAnsi="Times New Roman" w:cs="Times New Roman" w:eastAsia="Times New Roman" w:hint="default"/>
          <w:spacing w:val="-10"/>
        </w:rPr>
        <w:t> </w:t>
      </w:r>
      <w:r>
        <w:rPr>
          <w:spacing w:val="-7"/>
        </w:rPr>
        <w:t>元，其中</w:t>
      </w:r>
      <w:r>
        <w:rPr>
          <w:spacing w:val="-56"/>
        </w:rPr>
        <w:t> </w:t>
      </w:r>
      <w:r>
        <w:rPr>
          <w:rFonts w:ascii="Times New Roman" w:hAnsi="Times New Roman" w:cs="Times New Roman" w:eastAsia="Times New Roman" w:hint="default"/>
        </w:rPr>
        <w:t>294,445,111.00</w:t>
      </w:r>
      <w:r>
        <w:rPr>
          <w:rFonts w:ascii="Times New Roman" w:hAnsi="Times New Roman" w:cs="Times New Roman" w:eastAsia="Times New Roman" w:hint="default"/>
          <w:spacing w:val="-10"/>
        </w:rPr>
        <w:t> </w:t>
      </w:r>
      <w:r>
        <w:rPr/>
        <w:t>元系本公司实施</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年度利润分配方案以资本</w:t>
      </w:r>
    </w:p>
    <w:p>
      <w:pPr>
        <w:pStyle w:val="BodyText"/>
        <w:spacing w:line="240" w:lineRule="auto" w:before="14"/>
        <w:ind w:left="0" w:right="1056"/>
        <w:jc w:val="right"/>
      </w:pPr>
      <w:r>
        <w:rPr/>
        <w:t>公积转增股本方式向全体股东每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股；</w:t>
      </w:r>
      <w:r>
        <w:rPr>
          <w:rFonts w:ascii="Times New Roman" w:hAnsi="Times New Roman" w:cs="Times New Roman" w:eastAsia="Times New Roman" w:hint="default"/>
        </w:rPr>
        <w:t>115,000,000.00</w:t>
      </w:r>
      <w:r>
        <w:rPr>
          <w:rFonts w:ascii="Times New Roman" w:hAnsi="Times New Roman" w:cs="Times New Roman" w:eastAsia="Times New Roman" w:hint="default"/>
          <w:spacing w:val="-2"/>
        </w:rPr>
        <w:t> </w:t>
      </w:r>
      <w:r>
        <w:rPr/>
        <w:t>元系增加同一控制下企业合并子公司益东金财支付的对价。</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31、盈余公积" w:id="309"/>
      <w:bookmarkEnd w:id="309"/>
      <w:r>
        <w:rPr>
          <w:b w:val="0"/>
          <w:bCs w:val="0"/>
        </w:rPr>
      </w:r>
      <w:r>
        <w:rPr>
          <w:rFonts w:ascii="Times New Roman" w:hAnsi="Times New Roman" w:cs="Times New Roman" w:eastAsia="Times New Roman" w:hint="default"/>
        </w:rPr>
        <w:t>31</w:t>
      </w:r>
      <w:r>
        <w:rPr/>
        <w:t>、盈余公积</w:t>
      </w:r>
      <w:r>
        <w:rPr>
          <w:b w:val="0"/>
          <w:bCs w:val="0"/>
        </w:rPr>
      </w:r>
    </w:p>
    <w:p>
      <w:pPr>
        <w:pStyle w:val="BodyText"/>
        <w:spacing w:line="240" w:lineRule="auto" w:before="15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30,259,050.34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3,320,121.32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33,579,171.66</w:t>
            </w:r>
          </w:p>
        </w:tc>
      </w:tr>
      <w:tr>
        <w:trPr>
          <w:trHeight w:val="33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30,259,050.34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3,320,121.32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33,579,171.66</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2、未分配利润" w:id="310"/>
      <w:bookmarkEnd w:id="310"/>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714"/>
        <w:gridCol w:w="2936"/>
        <w:gridCol w:w="2919"/>
      </w:tblGrid>
      <w:tr>
        <w:trPr>
          <w:trHeight w:val="33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3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456,904,107.97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228,160,267.55</w:t>
            </w:r>
          </w:p>
        </w:tc>
      </w:tr>
      <w:tr>
        <w:trPr>
          <w:trHeight w:val="33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-2,561,260.98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454,342,846.99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228,160,267.55</w:t>
            </w:r>
          </w:p>
        </w:tc>
      </w:tr>
      <w:tr>
        <w:trPr>
          <w:trHeight w:val="33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291,043,046.39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230,474,158.71</w:t>
            </w:r>
          </w:p>
        </w:tc>
      </w:tr>
      <w:tr>
        <w:trPr>
          <w:trHeight w:val="33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3,320,121.32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1,730,318.29</w:t>
            </w:r>
          </w:p>
        </w:tc>
      </w:tr>
      <w:tr>
        <w:trPr>
          <w:trHeight w:val="33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24,537,092.65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717,528,679.41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456,904,107.97</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spacing w:val="-90"/>
        </w:rPr>
        <w:t>）</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spacing w:after="0" w:line="240"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2</w:t>
      </w:r>
      <w:r>
        <w:rPr>
          <w:spacing w:val="-90"/>
        </w:rPr>
        <w:t>）</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spacing w:val="-90"/>
        </w:rPr>
        <w:t>）</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spacing w:val="-90"/>
        </w:rPr>
        <w:t>）</w:t>
      </w:r>
      <w:r>
        <w:rPr/>
        <w:t>、由于同一控制导致的合并范围变更，影响期初未分配利润</w:t>
      </w:r>
      <w:r>
        <w:rPr>
          <w:rFonts w:ascii="Times New Roman" w:hAnsi="Times New Roman" w:cs="Times New Roman" w:eastAsia="Times New Roman" w:hint="default"/>
        </w:rPr>
        <w:t>-2,561,</w:t>
      </w:r>
      <w:r>
        <w:rPr>
          <w:rFonts w:ascii="Times New Roman" w:hAnsi="Times New Roman" w:cs="Times New Roman" w:eastAsia="Times New Roman" w:hint="default"/>
          <w:spacing w:val="-2"/>
        </w:rPr>
        <w:t>2</w:t>
      </w:r>
      <w:r>
        <w:rPr>
          <w:rFonts w:ascii="Times New Roman" w:hAnsi="Times New Roman" w:cs="Times New Roman" w:eastAsia="Times New Roman" w:hint="default"/>
        </w:rPr>
        <w:t>60.98 </w:t>
      </w:r>
      <w:r>
        <w:rPr/>
        <w:t>元。</w:t>
      </w:r>
    </w:p>
    <w:p>
      <w:pPr>
        <w:pStyle w:val="BodyText"/>
        <w:spacing w:line="240" w:lineRule="auto" w:before="102"/>
        <w:ind w:right="0"/>
        <w:jc w:val="left"/>
      </w:pPr>
      <w:r>
        <w:rPr>
          <w:rFonts w:ascii="Times New Roman" w:hAnsi="Times New Roman" w:cs="Times New Roman" w:eastAsia="Times New Roman" w:hint="default"/>
        </w:rPr>
        <w:t>5</w:t>
      </w:r>
      <w:r>
        <w:rPr>
          <w:spacing w:val="-90"/>
        </w:rPr>
        <w:t>）</w:t>
      </w:r>
      <w:r>
        <w:rPr/>
        <w:t>、其他调整合计影响期初未分配利润</w:t>
      </w:r>
      <w:r>
        <w:rPr>
          <w:spacing w:val="-46"/>
        </w:rPr>
        <w:t> </w:t>
      </w:r>
      <w:r>
        <w:rPr>
          <w:rFonts w:ascii="Times New Roman" w:hAnsi="Times New Roman" w:cs="Times New Roman" w:eastAsia="Times New Roman" w:hint="default"/>
        </w:rPr>
        <w:t>0.00 </w:t>
      </w:r>
      <w:r>
        <w:rPr/>
        <w:t>元。</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33、营业收入和营业成本" w:id="311"/>
      <w:bookmarkEnd w:id="311"/>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70"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6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9"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1,196,334,499.10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614,751,643.87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940,874,270.52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508,177,386.31</w:t>
            </w:r>
          </w:p>
        </w:tc>
      </w:tr>
      <w:tr>
        <w:trPr>
          <w:trHeight w:val="33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67,755,334.10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40,747,544.69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56,867,996.95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34,320,174.17</w:t>
            </w:r>
          </w:p>
        </w:tc>
      </w:tr>
      <w:tr>
        <w:trPr>
          <w:trHeight w:val="33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1,264,089,833.20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655,499,188.56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997,742,267.47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542,497,560.48</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4、税金及附加" w:id="312"/>
      <w:bookmarkEnd w:id="312"/>
      <w:r>
        <w:rPr>
          <w:b w:val="0"/>
          <w:bCs w:val="0"/>
        </w:rPr>
      </w:r>
      <w:r>
        <w:rPr>
          <w:rFonts w:ascii="Times New Roman" w:hAnsi="Times New Roman" w:cs="Times New Roman" w:eastAsia="Times New Roman" w:hint="default"/>
        </w:rPr>
        <w:t>34</w:t>
      </w:r>
      <w:r>
        <w:rPr/>
        <w:t>、税金及附加</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3,918,452.33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3,393,340.37</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2,940,535.25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2,583,447.98</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2,200,536.76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1,794,884.26</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938,003.75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750,422.80</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其他税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871,971.44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1,547,684.17</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10,869,499.53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10,069,779.58</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5、销售费用" w:id="313"/>
      <w:bookmarkEnd w:id="313"/>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90"/>
        <w:gridCol w:w="3190"/>
        <w:gridCol w:w="3190"/>
      </w:tblGrid>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3,697,758.70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4,818,566.76</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包装运输费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6,747,770.71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6,163,486.89</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1,786,482.49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3,355,663.66</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26,762,636.49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12,597,528.85</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1,558,071.63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1,077,220.68</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产品维修及服务费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7,427,984.07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5,970,264.93</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4,849,607.70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3,933,998.67</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1,274,265.97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119,276.79</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1,319,736.03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2,197,347.30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1,451,147.00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57,621,661.09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39,487,154.23</w:t>
            </w:r>
          </w:p>
        </w:tc>
      </w:tr>
    </w:tbl>
    <w:p>
      <w:pPr>
        <w:spacing w:line="240" w:lineRule="auto" w:before="9"/>
        <w:rPr>
          <w:rFonts w:ascii="宋体" w:hAnsi="宋体" w:cs="宋体" w:eastAsia="宋体" w:hint="default"/>
          <w:sz w:val="6"/>
          <w:szCs w:val="6"/>
        </w:rPr>
      </w:pPr>
    </w:p>
    <w:p>
      <w:pPr>
        <w:pStyle w:val="BodyText"/>
        <w:spacing w:line="357" w:lineRule="auto"/>
        <w:ind w:right="1124"/>
        <w:jc w:val="left"/>
      </w:pPr>
      <w:r>
        <w:rPr/>
        <w:t>其他说明： </w:t>
      </w:r>
      <w:r>
        <w:rPr>
          <w:spacing w:val="-1"/>
        </w:rPr>
        <w:t>销售费用本年数比上年数增加</w:t>
      </w:r>
      <w:r>
        <w:rPr>
          <w:rFonts w:ascii="Times New Roman" w:hAnsi="Times New Roman" w:cs="Times New Roman" w:eastAsia="Times New Roman" w:hint="default"/>
          <w:spacing w:val="-1"/>
        </w:rPr>
        <w:t>18,134,506.86</w:t>
      </w:r>
      <w:r>
        <w:rPr>
          <w:spacing w:val="-1"/>
        </w:rPr>
        <w:t>元，增长比例为</w:t>
      </w:r>
      <w:r>
        <w:rPr>
          <w:rFonts w:ascii="Times New Roman" w:hAnsi="Times New Roman" w:cs="Times New Roman" w:eastAsia="Times New Roman" w:hint="default"/>
          <w:spacing w:val="-1"/>
        </w:rPr>
        <w:t>45.93%</w:t>
      </w:r>
      <w:r>
        <w:rPr>
          <w:spacing w:val="-1"/>
        </w:rPr>
        <w:t>，主要系互联网财税业务扩张、销售人员增加引起相</w:t>
      </w:r>
    </w:p>
    <w:p>
      <w:pPr>
        <w:pStyle w:val="BodyText"/>
        <w:spacing w:line="201" w:lineRule="exact" w:before="0"/>
        <w:ind w:left="174" w:right="0"/>
        <w:jc w:val="left"/>
      </w:pPr>
      <w:r>
        <w:rPr/>
        <w:t>关费用增加所致。</w:t>
      </w:r>
    </w:p>
    <w:p>
      <w:pPr>
        <w:spacing w:after="0" w:line="201" w:lineRule="exact"/>
        <w:jc w:val="left"/>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36、管理费用" w:id="314"/>
      <w:bookmarkEnd w:id="314"/>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90"/>
        <w:gridCol w:w="3190"/>
        <w:gridCol w:w="3190"/>
      </w:tblGrid>
      <w:tr>
        <w:trPr>
          <w:trHeight w:val="32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员工工资和福利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60,535,137.32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40,575,344.46</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9,361,439.67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6,953,084.98</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12,481,739.05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7,422,209.04</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7,918,395.32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8,162,220.19</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资产摊销、折旧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28,936,169.82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16,763,772.57</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12,217,207.32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10,597,480.81</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279,257.34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1,160,729.66</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7,942,719.14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3,993,936.14</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3,794,927.16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2,377,997.67</w:t>
            </w:r>
          </w:p>
        </w:tc>
      </w:tr>
      <w:tr>
        <w:trPr>
          <w:trHeight w:val="33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143,466,992.14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98,006,775.52</w:t>
            </w:r>
          </w:p>
        </w:tc>
      </w:tr>
    </w:tbl>
    <w:p>
      <w:pPr>
        <w:spacing w:line="240" w:lineRule="auto" w:before="9"/>
        <w:rPr>
          <w:rFonts w:ascii="宋体" w:hAnsi="宋体" w:cs="宋体" w:eastAsia="宋体" w:hint="default"/>
          <w:sz w:val="6"/>
          <w:szCs w:val="6"/>
        </w:rPr>
      </w:pPr>
    </w:p>
    <w:p>
      <w:pPr>
        <w:pStyle w:val="BodyText"/>
        <w:spacing w:line="357" w:lineRule="auto"/>
        <w:ind w:right="1124"/>
        <w:jc w:val="left"/>
      </w:pPr>
      <w:r>
        <w:rPr/>
        <w:t>其他说明： </w:t>
      </w:r>
      <w:r>
        <w:rPr>
          <w:spacing w:val="-1"/>
        </w:rPr>
        <w:t>管理费用本年数比上年数增加</w:t>
      </w:r>
      <w:r>
        <w:rPr>
          <w:rFonts w:ascii="Times New Roman" w:hAnsi="Times New Roman" w:cs="Times New Roman" w:eastAsia="Times New Roman" w:hint="default"/>
          <w:spacing w:val="-1"/>
        </w:rPr>
        <w:t>45,460,216.62</w:t>
      </w:r>
      <w:r>
        <w:rPr>
          <w:spacing w:val="-1"/>
        </w:rPr>
        <w:t>元，增长比例为</w:t>
      </w:r>
      <w:r>
        <w:rPr>
          <w:rFonts w:ascii="Times New Roman" w:hAnsi="Times New Roman" w:cs="Times New Roman" w:eastAsia="Times New Roman" w:hint="default"/>
          <w:spacing w:val="-1"/>
        </w:rPr>
        <w:t>46.38%</w:t>
      </w:r>
      <w:r>
        <w:rPr>
          <w:spacing w:val="-1"/>
        </w:rPr>
        <w:t>，主要系伴随着互联网财税业务的发展，管理人员发</w:t>
      </w:r>
    </w:p>
    <w:p>
      <w:pPr>
        <w:pStyle w:val="BodyText"/>
        <w:spacing w:line="201" w:lineRule="exact" w:before="0"/>
        <w:ind w:left="174" w:right="0"/>
        <w:jc w:val="left"/>
      </w:pPr>
      <w:r>
        <w:rPr/>
        <w:t>生的费用及房屋租赁费用增加所致。</w:t>
      </w:r>
    </w:p>
    <w:p>
      <w:pPr>
        <w:spacing w:line="240" w:lineRule="auto" w:before="6"/>
        <w:rPr>
          <w:rFonts w:ascii="宋体" w:hAnsi="宋体" w:cs="宋体" w:eastAsia="宋体" w:hint="default"/>
          <w:sz w:val="17"/>
          <w:szCs w:val="17"/>
        </w:rPr>
      </w:pPr>
    </w:p>
    <w:p>
      <w:pPr>
        <w:pStyle w:val="Heading3"/>
        <w:spacing w:line="240" w:lineRule="auto" w:before="0"/>
        <w:ind w:right="0"/>
        <w:jc w:val="left"/>
        <w:rPr>
          <w:b w:val="0"/>
          <w:bCs w:val="0"/>
        </w:rPr>
      </w:pPr>
      <w:bookmarkStart w:name="37、研发费用" w:id="315"/>
      <w:bookmarkEnd w:id="315"/>
      <w:r>
        <w:rPr>
          <w:b w:val="0"/>
          <w:bCs w:val="0"/>
        </w:rPr>
      </w:r>
      <w:r>
        <w:rPr>
          <w:rFonts w:ascii="Times New Roman" w:hAnsi="Times New Roman" w:cs="Times New Roman" w:eastAsia="Times New Roman" w:hint="default"/>
        </w:rPr>
        <w:t>37</w:t>
      </w:r>
      <w:r>
        <w:rPr/>
        <w:t>、研发费用</w:t>
      </w:r>
      <w:r>
        <w:rPr>
          <w:b w:val="0"/>
          <w:bCs w:val="0"/>
        </w:rPr>
      </w:r>
    </w:p>
    <w:p>
      <w:pPr>
        <w:pStyle w:val="BodyText"/>
        <w:spacing w:line="240" w:lineRule="auto" w:before="15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90"/>
        <w:gridCol w:w="3190"/>
        <w:gridCol w:w="3190"/>
      </w:tblGrid>
      <w:tr>
        <w:trPr>
          <w:trHeight w:val="32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员工工资和福利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51,048,312.70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46,181,055.68</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4,095,401.24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2,057,143.74</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2,336,178.16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1,166,193.49</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资产摊销、折旧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5,083,777.72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4,725,609.63</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4,312,492.06</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1,496,559.98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2,258,385.62</w:t>
            </w:r>
          </w:p>
        </w:tc>
      </w:tr>
      <w:tr>
        <w:trPr>
          <w:trHeight w:val="33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64,060,229.80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60,700,880.22</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8、财务费用" w:id="316"/>
      <w:bookmarkEnd w:id="316"/>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190"/>
        <w:gridCol w:w="3190"/>
        <w:gridCol w:w="3190"/>
      </w:tblGrid>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14,417,049.74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2,192,866.80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7,149,330.34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9,401,120.57</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7,267,719.40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-7,208,253.77</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加：汇兑净损失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-1,580,873.32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7,810.03</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440,401.23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225,469.76</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6,127,247.31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-6,974,973.98</w:t>
            </w:r>
          </w:p>
        </w:tc>
      </w:tr>
    </w:tbl>
    <w:p>
      <w:pPr>
        <w:pStyle w:val="BodyText"/>
        <w:spacing w:line="357" w:lineRule="auto" w:before="51"/>
        <w:ind w:right="1126"/>
        <w:jc w:val="left"/>
      </w:pPr>
      <w:r>
        <w:rPr/>
        <w:t>其他说明： </w:t>
      </w:r>
      <w:r>
        <w:rPr>
          <w:spacing w:val="-1"/>
        </w:rPr>
        <w:t>财务费用本年数比上年数增加</w:t>
      </w:r>
      <w:r>
        <w:rPr>
          <w:rFonts w:ascii="Times New Roman" w:hAnsi="Times New Roman" w:cs="Times New Roman" w:eastAsia="Times New Roman" w:hint="default"/>
          <w:spacing w:val="-1"/>
        </w:rPr>
        <w:t>13,102,221.29</w:t>
      </w:r>
      <w:r>
        <w:rPr>
          <w:spacing w:val="-1"/>
        </w:rPr>
        <w:t>元，增长比例为</w:t>
      </w:r>
      <w:r>
        <w:rPr>
          <w:rFonts w:ascii="Times New Roman" w:hAnsi="Times New Roman" w:cs="Times New Roman" w:eastAsia="Times New Roman" w:hint="default"/>
          <w:spacing w:val="-1"/>
        </w:rPr>
        <w:t>187.85%</w:t>
      </w:r>
      <w:r>
        <w:rPr>
          <w:spacing w:val="-1"/>
        </w:rPr>
        <w:t>，主要系上年收到财政贴息</w:t>
      </w:r>
      <w:r>
        <w:rPr>
          <w:rFonts w:ascii="Times New Roman" w:hAnsi="Times New Roman" w:cs="Times New Roman" w:eastAsia="Times New Roman" w:hint="default"/>
          <w:spacing w:val="-1"/>
        </w:rPr>
        <w:t>472</w:t>
      </w:r>
      <w:r>
        <w:rPr>
          <w:spacing w:val="-1"/>
        </w:rPr>
        <w:t>万元，本年使用部分</w:t>
      </w:r>
    </w:p>
    <w:p>
      <w:pPr>
        <w:pStyle w:val="BodyText"/>
        <w:spacing w:line="201" w:lineRule="exact" w:before="0"/>
        <w:ind w:left="174" w:right="0"/>
        <w:jc w:val="left"/>
      </w:pPr>
      <w:r>
        <w:rPr/>
        <w:t>暂时闲置募集资金及自有资金购买银行和券商保本、低风险理财产品，相应利息收入减少所致。</w:t>
      </w:r>
    </w:p>
    <w:p>
      <w:pPr>
        <w:spacing w:after="0" w:line="201" w:lineRule="exact"/>
        <w:jc w:val="left"/>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39、资产减值损失" w:id="317"/>
      <w:bookmarkEnd w:id="317"/>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10,034,697.93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14,554,242.49</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7,723,093.37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1,745,168.01</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25,757,791.30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16,299,410.50</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其他说明：</w:t>
      </w:r>
    </w:p>
    <w:p>
      <w:pPr>
        <w:pStyle w:val="BodyText"/>
        <w:spacing w:line="302" w:lineRule="auto" w:before="115"/>
        <w:ind w:left="174" w:right="1125" w:firstLine="360"/>
        <w:jc w:val="left"/>
      </w:pPr>
      <w:r>
        <w:rPr/>
        <w:t>资产减值损失本年数比上年数增加</w:t>
      </w:r>
      <w:r>
        <w:rPr>
          <w:spacing w:val="-50"/>
        </w:rPr>
        <w:t> </w:t>
      </w:r>
      <w:r>
        <w:rPr>
          <w:rFonts w:ascii="Times New Roman" w:hAnsi="Times New Roman" w:cs="Times New Roman" w:eastAsia="Times New Roman" w:hint="default"/>
        </w:rPr>
        <w:t>9,458,380.80</w:t>
      </w:r>
      <w:r>
        <w:rPr>
          <w:rFonts w:ascii="Times New Roman" w:hAnsi="Times New Roman" w:cs="Times New Roman" w:eastAsia="Times New Roman" w:hint="default"/>
          <w:spacing w:val="-4"/>
        </w:rPr>
        <w:t> </w:t>
      </w:r>
      <w:r>
        <w:rPr>
          <w:spacing w:val="-3"/>
        </w:rPr>
        <w:t>元，增长比例为</w:t>
      </w:r>
      <w:r>
        <w:rPr>
          <w:spacing w:val="-50"/>
        </w:rPr>
        <w:t> </w:t>
      </w:r>
      <w:r>
        <w:rPr>
          <w:rFonts w:ascii="Times New Roman" w:hAnsi="Times New Roman" w:cs="Times New Roman" w:eastAsia="Times New Roman" w:hint="default"/>
        </w:rPr>
        <w:t>58.03%</w:t>
      </w:r>
      <w:r>
        <w:rPr/>
        <w:t>，主要系计提商誉减值准备</w:t>
      </w:r>
      <w:r>
        <w:rPr>
          <w:spacing w:val="-50"/>
        </w:rPr>
        <w:t> </w:t>
      </w:r>
      <w:r>
        <w:rPr>
          <w:rFonts w:ascii="Times New Roman" w:hAnsi="Times New Roman" w:cs="Times New Roman" w:eastAsia="Times New Roman" w:hint="default"/>
        </w:rPr>
        <w:t>8,000,000.00</w:t>
      </w:r>
      <w:r>
        <w:rPr>
          <w:rFonts w:ascii="Times New Roman" w:hAnsi="Times New Roman" w:cs="Times New Roman" w:eastAsia="Times New Roman" w:hint="default"/>
          <w:spacing w:val="-5"/>
        </w:rPr>
        <w:t> </w:t>
      </w:r>
      <w:r>
        <w:rPr>
          <w:spacing w:val="-6"/>
        </w:rPr>
        <w:t>元，以</w:t>
      </w:r>
      <w:r>
        <w:rPr/>
        <w:t> 及收入增长引起应收账款增加坏账准备所致。</w:t>
      </w:r>
    </w:p>
    <w:p>
      <w:pPr>
        <w:spacing w:line="240" w:lineRule="auto" w:before="9"/>
        <w:rPr>
          <w:rFonts w:ascii="宋体" w:hAnsi="宋体" w:cs="宋体" w:eastAsia="宋体" w:hint="default"/>
          <w:sz w:val="13"/>
          <w:szCs w:val="13"/>
        </w:rPr>
      </w:pPr>
    </w:p>
    <w:p>
      <w:pPr>
        <w:pStyle w:val="Heading3"/>
        <w:spacing w:line="240" w:lineRule="auto" w:before="0"/>
        <w:ind w:right="0"/>
        <w:jc w:val="left"/>
        <w:rPr>
          <w:b w:val="0"/>
          <w:bCs w:val="0"/>
        </w:rPr>
      </w:pPr>
      <w:bookmarkStart w:name="40、其他收益" w:id="318"/>
      <w:bookmarkEnd w:id="318"/>
      <w:r>
        <w:rPr>
          <w:b w:val="0"/>
          <w:bCs w:val="0"/>
        </w:rPr>
      </w:r>
      <w:r>
        <w:rPr>
          <w:rFonts w:ascii="Times New Roman" w:hAnsi="Times New Roman" w:cs="Times New Roman" w:eastAsia="Times New Roman" w:hint="default"/>
        </w:rPr>
        <w:t>40</w:t>
      </w:r>
      <w:r>
        <w:rPr/>
        <w:t>、其他收益</w:t>
      </w:r>
      <w:r>
        <w:rPr>
          <w:b w:val="0"/>
          <w:bCs w:val="0"/>
        </w:rPr>
      </w:r>
    </w:p>
    <w:p>
      <w:pPr>
        <w:pStyle w:val="BodyText"/>
        <w:spacing w:line="240" w:lineRule="auto" w:before="159"/>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90"/>
        <w:gridCol w:w="3190"/>
        <w:gridCol w:w="3190"/>
      </w:tblGrid>
      <w:tr>
        <w:trPr>
          <w:trHeight w:val="32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6,131,211.77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4,201,346.38</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1,620,421.62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1,131,000.43</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与收益相关的政府补助转入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研发经费补助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1,460,600.00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2,856,500.00</w:t>
            </w:r>
          </w:p>
        </w:tc>
      </w:tr>
      <w:tr>
        <w:trPr>
          <w:trHeight w:val="33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602,862.55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328,362.60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1、投资收益" w:id="319"/>
      <w:bookmarkEnd w:id="319"/>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460"/>
        <w:gridCol w:w="3191"/>
        <w:gridCol w:w="2918"/>
      </w:tblGrid>
      <w:tr>
        <w:trPr>
          <w:trHeight w:val="330"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9,142,666.20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9,181,119.27</w:t>
            </w:r>
          </w:p>
        </w:tc>
      </w:tr>
      <w:tr>
        <w:trPr>
          <w:trHeight w:val="330"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-146,163.65</w:t>
            </w:r>
            <w:r>
              <w:rPr>
                <w:rFonts w:ascii="Times New Roman"/>
                <w:sz w:val="18"/>
              </w:rPr>
            </w:r>
          </w:p>
        </w:tc>
      </w:tr>
      <w:tr>
        <w:trPr>
          <w:trHeight w:val="330"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保本理财产品收益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26,544,933.59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9,531,199.36</w:t>
            </w:r>
          </w:p>
        </w:tc>
      </w:tr>
      <w:tr>
        <w:trPr>
          <w:trHeight w:val="330"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143,960.38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145,548.17</w:t>
            </w:r>
          </w:p>
        </w:tc>
      </w:tr>
      <w:tr>
        <w:trPr>
          <w:trHeight w:val="330"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35,831,560.17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18,711,703.15</w:t>
            </w:r>
          </w:p>
        </w:tc>
      </w:tr>
    </w:tbl>
    <w:p>
      <w:pPr>
        <w:spacing w:line="240" w:lineRule="auto" w:before="9"/>
        <w:rPr>
          <w:rFonts w:ascii="宋体" w:hAnsi="宋体" w:cs="宋体" w:eastAsia="宋体" w:hint="default"/>
          <w:sz w:val="6"/>
          <w:szCs w:val="6"/>
        </w:rPr>
      </w:pPr>
    </w:p>
    <w:p>
      <w:pPr>
        <w:pStyle w:val="BodyText"/>
        <w:spacing w:line="357" w:lineRule="auto"/>
        <w:ind w:right="1124"/>
        <w:jc w:val="left"/>
      </w:pPr>
      <w:r>
        <w:rPr/>
        <w:t>其他说明： </w:t>
      </w:r>
      <w:r>
        <w:rPr>
          <w:spacing w:val="-1"/>
        </w:rPr>
        <w:t>投资收益本年数比上年数增加</w:t>
      </w:r>
      <w:r>
        <w:rPr>
          <w:rFonts w:ascii="Times New Roman" w:hAnsi="Times New Roman" w:cs="Times New Roman" w:eastAsia="Times New Roman" w:hint="default"/>
          <w:spacing w:val="-1"/>
        </w:rPr>
        <w:t>17,119,857.02</w:t>
      </w:r>
      <w:r>
        <w:rPr>
          <w:spacing w:val="-1"/>
        </w:rPr>
        <w:t>元，增长比例为</w:t>
      </w:r>
      <w:r>
        <w:rPr>
          <w:rFonts w:ascii="Times New Roman" w:hAnsi="Times New Roman" w:cs="Times New Roman" w:eastAsia="Times New Roman" w:hint="default"/>
          <w:spacing w:val="-1"/>
        </w:rPr>
        <w:t>91.49%</w:t>
      </w:r>
      <w:r>
        <w:rPr>
          <w:spacing w:val="-1"/>
        </w:rPr>
        <w:t>，主要系使用暂时闲置的募集资金及自有资金理财产</w:t>
      </w:r>
    </w:p>
    <w:p>
      <w:pPr>
        <w:pStyle w:val="BodyText"/>
        <w:spacing w:line="201" w:lineRule="exact" w:before="0"/>
        <w:ind w:left="174" w:right="0"/>
        <w:jc w:val="left"/>
      </w:pPr>
      <w:r>
        <w:rPr/>
        <w:t>生的收益增加所致。</w:t>
      </w:r>
    </w:p>
    <w:p>
      <w:pPr>
        <w:spacing w:line="240" w:lineRule="auto" w:before="6"/>
        <w:rPr>
          <w:rFonts w:ascii="宋体" w:hAnsi="宋体" w:cs="宋体" w:eastAsia="宋体" w:hint="default"/>
          <w:sz w:val="17"/>
          <w:szCs w:val="17"/>
        </w:rPr>
      </w:pPr>
    </w:p>
    <w:p>
      <w:pPr>
        <w:pStyle w:val="Heading3"/>
        <w:spacing w:line="240" w:lineRule="auto" w:before="0"/>
        <w:ind w:right="0"/>
        <w:jc w:val="left"/>
        <w:rPr>
          <w:b w:val="0"/>
          <w:bCs w:val="0"/>
        </w:rPr>
      </w:pPr>
      <w:bookmarkStart w:name="42、资产处置收益" w:id="320"/>
      <w:bookmarkEnd w:id="320"/>
      <w:r>
        <w:rPr>
          <w:b w:val="0"/>
          <w:bCs w:val="0"/>
        </w:rPr>
      </w:r>
      <w:r>
        <w:rPr>
          <w:rFonts w:ascii="Times New Roman" w:hAnsi="Times New Roman" w:cs="Times New Roman" w:eastAsia="Times New Roman" w:hint="default"/>
        </w:rPr>
        <w:t>42</w:t>
      </w:r>
      <w:r>
        <w:rPr/>
        <w:t>、资产处置收益</w:t>
      </w:r>
      <w:r>
        <w:rPr>
          <w:b w:val="0"/>
          <w:bCs w:val="0"/>
        </w:rPr>
      </w:r>
    </w:p>
    <w:p>
      <w:pPr>
        <w:pStyle w:val="BodyText"/>
        <w:spacing w:line="240" w:lineRule="auto" w:before="15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190"/>
        <w:gridCol w:w="3190"/>
        <w:gridCol w:w="3190"/>
      </w:tblGrid>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-2,048,655.81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-1,959,650.01</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3、营业外收入" w:id="321"/>
      <w:bookmarkEnd w:id="321"/>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378"/>
        <w:gridCol w:w="2289"/>
        <w:gridCol w:w="2268"/>
        <w:gridCol w:w="2622"/>
      </w:tblGrid>
      <w:tr>
        <w:trPr>
          <w:trHeight w:val="330"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7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30"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1300" w:right="0"/>
              <w:jc w:val="left"/>
              <w:rPr>
                <w:rFonts w:ascii="Times New Roman" w:hAnsi="Times New Roman" w:cs="Times New Roman" w:eastAsia="Times New Roman" w:hint="default"/>
                <w:sz w:val="18"/>
                <w:szCs w:val="18"/>
              </w:rPr>
            </w:pPr>
            <w:r>
              <w:rPr>
                <w:rFonts w:ascii="Times New Roman"/>
                <w:sz w:val="18"/>
              </w:rPr>
              <w:t>9,790,830.00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291" w:right="0"/>
              <w:jc w:val="left"/>
              <w:rPr>
                <w:rFonts w:ascii="Times New Roman" w:hAnsi="Times New Roman" w:cs="Times New Roman" w:eastAsia="Times New Roman" w:hint="default"/>
                <w:sz w:val="18"/>
                <w:szCs w:val="18"/>
              </w:rPr>
            </w:pPr>
            <w:r>
              <w:rPr>
                <w:rFonts w:ascii="Times New Roman"/>
                <w:sz w:val="18"/>
              </w:rPr>
              <w:t>4,867,831.30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45" w:right="0"/>
              <w:jc w:val="left"/>
              <w:rPr>
                <w:rFonts w:ascii="Times New Roman" w:hAnsi="Times New Roman" w:cs="Times New Roman" w:eastAsia="Times New Roman" w:hint="default"/>
                <w:sz w:val="18"/>
                <w:szCs w:val="18"/>
              </w:rPr>
            </w:pPr>
            <w:r>
              <w:rPr>
                <w:rFonts w:ascii="Times New Roman"/>
                <w:sz w:val="18"/>
              </w:rPr>
              <w:t>9,790,830.00</w:t>
            </w:r>
          </w:p>
        </w:tc>
      </w:tr>
    </w:tbl>
    <w:p>
      <w:pPr>
        <w:spacing w:after="0" w:line="240" w:lineRule="auto"/>
        <w:jc w:val="lef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2390"/>
        <w:gridCol w:w="2289"/>
        <w:gridCol w:w="2268"/>
        <w:gridCol w:w="2622"/>
      </w:tblGrid>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15,220.01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988,425.59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15,220.01</w:t>
            </w: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9,806,050.01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5,856,256.89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9,806,050.01</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702"/>
        <w:gridCol w:w="2410"/>
        <w:gridCol w:w="425"/>
        <w:gridCol w:w="426"/>
        <w:gridCol w:w="850"/>
        <w:gridCol w:w="569"/>
        <w:gridCol w:w="1133"/>
        <w:gridCol w:w="992"/>
        <w:gridCol w:w="1063"/>
      </w:tblGrid>
      <w:tr>
        <w:trPr>
          <w:trHeight w:val="81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6" w:right="2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7" w:right="26"/>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0" w:right="59"/>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9" w:right="97"/>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471" w:right="111"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400" w:right="41"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58"/>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工贸科对外合作和投 资补贴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盐城市大丰区科技聚 力创新奖励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企业转型升级补助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35"/>
              <w:jc w:val="left"/>
              <w:rPr>
                <w:rFonts w:ascii="宋体" w:hAnsi="宋体" w:cs="宋体" w:eastAsia="宋体" w:hint="default"/>
                <w:sz w:val="18"/>
                <w:szCs w:val="18"/>
              </w:rPr>
            </w:pPr>
            <w:r>
              <w:rPr>
                <w:rFonts w:ascii="宋体" w:hAnsi="宋体" w:cs="宋体" w:eastAsia="宋体" w:hint="default"/>
                <w:sz w:val="18"/>
                <w:szCs w:val="18"/>
              </w:rPr>
              <w:t>盐城市大丰经济开发区管理委 员会</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210,000.00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47"/>
              <w:jc w:val="left"/>
              <w:rPr>
                <w:rFonts w:ascii="宋体" w:hAnsi="宋体" w:cs="宋体" w:eastAsia="宋体" w:hint="default"/>
                <w:sz w:val="18"/>
                <w:szCs w:val="18"/>
              </w:rPr>
            </w:pPr>
            <w:r>
              <w:rPr>
                <w:rFonts w:ascii="宋体" w:hAnsi="宋体" w:cs="宋体" w:eastAsia="宋体" w:hint="default"/>
                <w:sz w:val="18"/>
                <w:szCs w:val="18"/>
              </w:rPr>
              <w:t>促进现代服务业政策 经营贡献奖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35"/>
              <w:jc w:val="left"/>
              <w:rPr>
                <w:rFonts w:ascii="宋体" w:hAnsi="宋体" w:cs="宋体" w:eastAsia="宋体" w:hint="default"/>
                <w:sz w:val="18"/>
                <w:szCs w:val="18"/>
              </w:rPr>
            </w:pPr>
            <w:r>
              <w:rPr>
                <w:rFonts w:ascii="宋体" w:hAnsi="宋体" w:cs="宋体" w:eastAsia="宋体" w:hint="default"/>
                <w:sz w:val="18"/>
                <w:szCs w:val="18"/>
              </w:rPr>
              <w:t>广州开发区商务局（黄埔区商 务局）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1,770,000.00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年度高新企业认 定通过奖励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700,000.00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企业奖励基金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青岛市黄岛区工业和信息化局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柘林镇财政所土地减 量搬迁款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上海市奉贤区拓林镇人民政府</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2,813,350.00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工业和信息化转型专 项资金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国家级技术创新示范 企业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江苏省工业和信息化厅</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国家级实验室奖补资 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盐城市大丰区科学技术局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both"/>
              <w:rPr>
                <w:rFonts w:ascii="宋体" w:hAnsi="宋体" w:cs="宋体" w:eastAsia="宋体" w:hint="default"/>
                <w:sz w:val="18"/>
                <w:szCs w:val="18"/>
              </w:rPr>
            </w:pPr>
            <w:r>
              <w:rPr>
                <w:rFonts w:ascii="宋体" w:hAnsi="宋体" w:cs="宋体" w:eastAsia="宋体" w:hint="default"/>
                <w:sz w:val="18"/>
                <w:szCs w:val="18"/>
              </w:rPr>
              <w:t>江苏省战略性新兴产 业创新示范企业百强 工程试点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5"/>
              <w:jc w:val="left"/>
              <w:rPr>
                <w:rFonts w:ascii="宋体" w:hAnsi="宋体" w:cs="宋体" w:eastAsia="宋体" w:hint="default"/>
                <w:sz w:val="18"/>
                <w:szCs w:val="18"/>
              </w:rPr>
            </w:pPr>
            <w:r>
              <w:rPr>
                <w:rFonts w:ascii="宋体" w:hAnsi="宋体" w:cs="宋体" w:eastAsia="宋体" w:hint="default"/>
                <w:sz w:val="18"/>
                <w:szCs w:val="18"/>
              </w:rPr>
              <w:t>盐城市财政局和盐城市发展和 改革委员会</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盐城推进聚力创新十 条政策奖励资金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盐城市大丰区科学技术局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双创</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盐城市大丰区人才工作办公室</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江苏省服务型制造示 范企业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盐城市工业和信息化局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年度技术创新补 贴资金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上海奉贤区财政局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257,200.00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工贸科市级商务发展 参展品牌专项资金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省设服务型制造示范 企业补助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两化融合管理体系标 准达标企业补助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对外经贸专项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盐城市大丰区国库支付中心</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市级战略性新兴产业 发展专项资金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工贸科工业信息化转 型升级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“专精特新”奖励金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重庆市中小企业局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702"/>
        <w:gridCol w:w="2410"/>
        <w:gridCol w:w="425"/>
        <w:gridCol w:w="426"/>
        <w:gridCol w:w="850"/>
        <w:gridCol w:w="569"/>
        <w:gridCol w:w="1133"/>
        <w:gridCol w:w="992"/>
        <w:gridCol w:w="1063"/>
      </w:tblGrid>
      <w:tr>
        <w:trPr>
          <w:trHeight w:val="8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both"/>
              <w:rPr>
                <w:rFonts w:ascii="宋体" w:hAnsi="宋体" w:cs="宋体" w:eastAsia="宋体" w:hint="default"/>
                <w:sz w:val="18"/>
                <w:szCs w:val="18"/>
              </w:rPr>
            </w:pPr>
            <w:r>
              <w:rPr>
                <w:rFonts w:ascii="宋体" w:hAnsi="宋体" w:cs="宋体" w:eastAsia="宋体" w:hint="default"/>
                <w:sz w:val="18"/>
                <w:szCs w:val="18"/>
              </w:rPr>
              <w:t>广州开发区经济发展 局鼓励商贸服务业扩 大经营奖励金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广州开发区财政国库</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广东省著名商标，广 州市著名商标补助款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广州开发区市场和质量监督管 理局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著作权申请登记资助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广州开发区财政国库</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102,400.00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年度培育科技型 中小企业奖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盐城市大丰区国库集中支付中 心</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高新认定补贴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天河区财政局高新认 定补助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年高新认定补贴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广州市番禺区财政局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高新认定市级部分奖 励资金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广州市番禺区科技工业商务和 信息化局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高新技术企业培育资 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南京市溧水区科技局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高新技术企业培育资 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盐城市大丰区科学技术局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高新技术企业认定奖 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青岛市城阳区工业和信息化局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贯标认证企业奖励资 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青岛市城阳区科技技术局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专利</w:t>
            </w:r>
            <w:r>
              <w:rPr>
                <w:rFonts w:ascii="Times New Roman" w:hAnsi="Times New Roman" w:cs="Times New Roman" w:eastAsia="Times New Roman" w:hint="default"/>
                <w:sz w:val="18"/>
                <w:szCs w:val="18"/>
              </w:rPr>
              <w:t>/</w:t>
            </w:r>
            <w:r>
              <w:rPr>
                <w:rFonts w:ascii="宋体" w:hAnsi="宋体" w:cs="宋体" w:eastAsia="宋体" w:hint="default"/>
                <w:sz w:val="18"/>
                <w:szCs w:val="18"/>
              </w:rPr>
              <w:t>发明授权补助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盐城市大丰区科学技术局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116,500.00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专利技术补贴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上海奉贤区财政局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137"/>
              <w:jc w:val="left"/>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科学技 术奖励资金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江苏省科技局</w:t>
            </w: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其他与收益相关的政 府补助</w:t>
            </w:r>
          </w:p>
        </w:tc>
        <w:tc>
          <w:tcPr>
            <w:tcW w:w="2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205,780.00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7"/>
              <w:jc w:val="left"/>
              <w:rPr>
                <w:rFonts w:ascii="宋体" w:hAnsi="宋体" w:cs="宋体" w:eastAsia="宋体" w:hint="default"/>
                <w:sz w:val="18"/>
                <w:szCs w:val="18"/>
              </w:rPr>
            </w:pPr>
            <w:r>
              <w:rPr>
                <w:rFonts w:ascii="宋体" w:hAnsi="宋体" w:cs="宋体" w:eastAsia="宋体" w:hint="default"/>
                <w:sz w:val="18"/>
                <w:szCs w:val="18"/>
              </w:rPr>
              <w:t>其他与资产相关的政 府补助</w:t>
            </w:r>
          </w:p>
        </w:tc>
        <w:tc>
          <w:tcPr>
            <w:tcW w:w="2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331,431.30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8"/>
        <w:rPr>
          <w:rFonts w:ascii="宋体" w:hAnsi="宋体" w:cs="宋体" w:eastAsia="宋体" w:hint="default"/>
          <w:sz w:val="6"/>
          <w:szCs w:val="6"/>
        </w:rPr>
      </w:pPr>
    </w:p>
    <w:p>
      <w:pPr>
        <w:pStyle w:val="BodyText"/>
        <w:spacing w:line="302" w:lineRule="auto"/>
        <w:ind w:left="174" w:right="1200" w:firstLine="360"/>
        <w:jc w:val="left"/>
      </w:pPr>
      <w:r>
        <w:rPr/>
        <w:t>其他说明：营业外收入本年数比上年数增加</w:t>
      </w:r>
      <w:r>
        <w:rPr>
          <w:spacing w:val="-45"/>
        </w:rPr>
        <w:t> </w:t>
      </w:r>
      <w:r>
        <w:rPr>
          <w:rFonts w:ascii="Times New Roman" w:hAnsi="Times New Roman" w:cs="Times New Roman" w:eastAsia="Times New Roman" w:hint="default"/>
        </w:rPr>
        <w:t>3,949,793.12</w:t>
      </w:r>
      <w:r>
        <w:rPr>
          <w:rFonts w:ascii="Times New Roman" w:hAnsi="Times New Roman" w:cs="Times New Roman" w:eastAsia="Times New Roman" w:hint="default"/>
          <w:spacing w:val="-2"/>
        </w:rPr>
        <w:t> </w:t>
      </w:r>
      <w:r>
        <w:rPr/>
        <w:t>元，增长比例为</w:t>
      </w:r>
      <w:r>
        <w:rPr>
          <w:spacing w:val="-46"/>
        </w:rPr>
        <w:t> </w:t>
      </w:r>
      <w:r>
        <w:rPr>
          <w:rFonts w:ascii="Times New Roman" w:hAnsi="Times New Roman" w:cs="Times New Roman" w:eastAsia="Times New Roman" w:hint="default"/>
        </w:rPr>
        <w:t>67.45%</w:t>
      </w:r>
      <w:r>
        <w:rPr/>
        <w:t>，主要系本年互联网财税板块及热处 理板块收到相关政府补助较上年增加所致。</w:t>
      </w:r>
    </w:p>
    <w:p>
      <w:pPr>
        <w:spacing w:line="240" w:lineRule="auto" w:before="10"/>
        <w:rPr>
          <w:rFonts w:ascii="宋体" w:hAnsi="宋体" w:cs="宋体" w:eastAsia="宋体" w:hint="default"/>
          <w:sz w:val="13"/>
          <w:szCs w:val="13"/>
        </w:rPr>
      </w:pPr>
    </w:p>
    <w:p>
      <w:pPr>
        <w:pStyle w:val="Heading3"/>
        <w:spacing w:line="240" w:lineRule="auto" w:before="0"/>
        <w:ind w:right="0"/>
        <w:jc w:val="left"/>
        <w:rPr>
          <w:b w:val="0"/>
          <w:bCs w:val="0"/>
        </w:rPr>
      </w:pPr>
      <w:bookmarkStart w:name="44、营业外支出" w:id="322"/>
      <w:bookmarkEnd w:id="322"/>
      <w:r>
        <w:rPr>
          <w:b w:val="0"/>
          <w:bCs w:val="0"/>
        </w:rPr>
      </w:r>
      <w:r>
        <w:rPr>
          <w:rFonts w:ascii="Times New Roman" w:hAnsi="Times New Roman" w:cs="Times New Roman" w:eastAsia="Times New Roman" w:hint="default"/>
        </w:rPr>
        <w:t>44</w:t>
      </w:r>
      <w:r>
        <w:rPr/>
        <w:t>、营业外支出</w:t>
      </w:r>
      <w:r>
        <w:rPr>
          <w:b w:val="0"/>
          <w:bCs w:val="0"/>
        </w:rPr>
      </w:r>
    </w:p>
    <w:p>
      <w:pPr>
        <w:pStyle w:val="BodyText"/>
        <w:spacing w:line="240" w:lineRule="auto" w:before="15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390"/>
        <w:gridCol w:w="2289"/>
        <w:gridCol w:w="2268"/>
        <w:gridCol w:w="2622"/>
      </w:tblGrid>
      <w:tr>
        <w:trPr>
          <w:trHeight w:val="33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7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104,276.48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183,729.65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104,276.48</w:t>
            </w: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非公益性捐赠支出</w:t>
            </w:r>
          </w:p>
        </w:tc>
        <w:tc>
          <w:tcPr>
            <w:tcW w:w="228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42,000.00</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6,063,000.00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53,200.00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6,063,000.00</w:t>
            </w: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405,374.52</w:t>
            </w:r>
          </w:p>
        </w:tc>
        <w:tc>
          <w:tcPr>
            <w:tcW w:w="2268" w:type="dxa"/>
            <w:tcBorders>
              <w:top w:val="single" w:sz="4" w:space="0" w:color="000000"/>
              <w:left w:val="single" w:sz="4" w:space="0" w:color="000000"/>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405,374.52</w:t>
            </w: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126,453.68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83,527.26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126,453.68</w:t>
            </w: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357,568.57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2"/>
                <w:sz w:val="18"/>
              </w:rPr>
              <w:t>439,111.18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357,568.57</w:t>
            </w:r>
          </w:p>
        </w:tc>
      </w:tr>
      <w:tr>
        <w:trPr>
          <w:trHeight w:val="33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7,056,673.25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801,568.09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7,056,673.25</w:t>
            </w:r>
          </w:p>
        </w:tc>
      </w:tr>
    </w:tbl>
    <w:p>
      <w:pPr>
        <w:spacing w:line="240" w:lineRule="auto" w:before="8"/>
        <w:rPr>
          <w:rFonts w:ascii="宋体" w:hAnsi="宋体" w:cs="宋体" w:eastAsia="宋体" w:hint="default"/>
          <w:sz w:val="6"/>
          <w:szCs w:val="6"/>
        </w:rPr>
      </w:pPr>
    </w:p>
    <w:p>
      <w:pPr>
        <w:pStyle w:val="BodyText"/>
        <w:spacing w:line="302" w:lineRule="auto"/>
        <w:ind w:left="174" w:right="1120" w:firstLine="360"/>
        <w:jc w:val="left"/>
      </w:pPr>
      <w:r>
        <w:rPr/>
        <w:t>其他说明：营业外支出本年数比上年数增加</w:t>
      </w:r>
      <w:r>
        <w:rPr>
          <w:spacing w:val="-49"/>
        </w:rPr>
        <w:t> </w:t>
      </w:r>
      <w:r>
        <w:rPr>
          <w:rFonts w:ascii="Times New Roman" w:hAnsi="Times New Roman" w:cs="Times New Roman" w:eastAsia="Times New Roman" w:hint="default"/>
        </w:rPr>
        <w:t>6,255,105.16</w:t>
      </w:r>
      <w:r>
        <w:rPr>
          <w:rFonts w:ascii="Times New Roman" w:hAnsi="Times New Roman" w:cs="Times New Roman" w:eastAsia="Times New Roman" w:hint="default"/>
          <w:spacing w:val="-5"/>
        </w:rPr>
        <w:t> </w:t>
      </w:r>
      <w:r>
        <w:rPr/>
        <w:t>元，增长比例为</w:t>
      </w:r>
      <w:r>
        <w:rPr>
          <w:spacing w:val="-49"/>
        </w:rPr>
        <w:t> </w:t>
      </w:r>
      <w:r>
        <w:rPr>
          <w:rFonts w:ascii="Times New Roman" w:hAnsi="Times New Roman" w:cs="Times New Roman" w:eastAsia="Times New Roman" w:hint="default"/>
        </w:rPr>
        <w:t>780.36%</w:t>
      </w:r>
      <w:r>
        <w:rPr/>
        <w:t>，主要系向清华大学教育基金会五道 口金融科技发展基金捐赠</w:t>
      </w:r>
      <w:r>
        <w:rPr>
          <w:spacing w:val="-47"/>
        </w:rPr>
        <w:t> </w:t>
      </w:r>
      <w:r>
        <w:rPr>
          <w:rFonts w:ascii="Times New Roman" w:hAnsi="Times New Roman" w:cs="Times New Roman" w:eastAsia="Times New Roman" w:hint="default"/>
        </w:rPr>
        <w:t>6,000,000.00</w:t>
      </w:r>
      <w:r>
        <w:rPr>
          <w:rFonts w:ascii="Times New Roman" w:hAnsi="Times New Roman" w:cs="Times New Roman" w:eastAsia="Times New Roman" w:hint="default"/>
          <w:spacing w:val="-2"/>
        </w:rPr>
        <w:t> </w:t>
      </w:r>
      <w:r>
        <w:rPr/>
        <w:t>元所致。</w:t>
      </w:r>
    </w:p>
    <w:p>
      <w:pPr>
        <w:spacing w:after="0" w:line="302" w:lineRule="auto"/>
        <w:jc w:val="left"/>
        <w:sectPr>
          <w:pgSz w:w="11910" w:h="16840"/>
          <w:pgMar w:header="551" w:footer="979" w:top="1120" w:bottom="1160" w:left="960" w:right="0"/>
        </w:sect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bookmarkStart w:name="45、所得税费用" w:id="323"/>
      <w:bookmarkEnd w:id="323"/>
      <w:r>
        <w:rPr>
          <w:b w:val="0"/>
          <w:bCs w:val="0"/>
        </w:rPr>
      </w:r>
      <w:r>
        <w:rPr>
          <w:rFonts w:ascii="Times New Roman" w:hAnsi="Times New Roman" w:cs="Times New Roman" w:eastAsia="Times New Roman" w:hint="default"/>
        </w:rPr>
        <w:t>45</w:t>
      </w:r>
      <w:r>
        <w:rPr/>
        <w:t>、所得税费用</w:t>
      </w:r>
      <w:r>
        <w:rPr>
          <w:b w:val="0"/>
          <w:bCs w:val="0"/>
        </w:rPr>
      </w:r>
    </w:p>
    <w:p>
      <w:pPr>
        <w:pStyle w:val="Heading3"/>
        <w:spacing w:line="240" w:lineRule="auto" w:before="190"/>
        <w:ind w:right="0"/>
        <w:jc w:val="left"/>
        <w:rPr>
          <w:b w:val="0"/>
          <w:bCs w:val="0"/>
        </w:rPr>
      </w:pPr>
      <w:bookmarkStart w:name="（1）所得税费用表" w:id="324"/>
      <w:bookmarkEnd w:id="32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4"/>
        <w:gridCol w:w="3206"/>
        <w:gridCol w:w="3189"/>
      </w:tblGrid>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34,444,907.46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34,751,777.13</w:t>
            </w:r>
          </w:p>
        </w:tc>
      </w:tr>
      <w:tr>
        <w:trPr>
          <w:trHeight w:val="33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-2,243,445.90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-3,138,047.67</w:t>
            </w:r>
          </w:p>
        </w:tc>
      </w:tr>
      <w:tr>
        <w:trPr>
          <w:trHeight w:val="33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32,201,461.56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31,613,729.46</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会计利润与所得税费用调整过程" w:id="325"/>
      <w:bookmarkEnd w:id="32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4757"/>
        <w:gridCol w:w="4800"/>
      </w:tblGrid>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347,034,600.53</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86,758,650.13</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-51,924,620.70</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-759,389.23</w:t>
            </w:r>
            <w:r>
              <w:rPr>
                <w:rFonts w:ascii="Times New Roman"/>
                <w:sz w:val="18"/>
              </w:rPr>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-3,028,530.56</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1,573,373.39</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-472,856.77</w:t>
            </w:r>
            <w:r>
              <w:rPr>
                <w:rFonts w:ascii="Times New Roman"/>
                <w:sz w:val="18"/>
              </w:rPr>
            </w:r>
          </w:p>
        </w:tc>
      </w:tr>
      <w:tr>
        <w:trPr>
          <w:trHeight w:val="570"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4,927,489.82</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-4,331,117.72</w:t>
            </w:r>
          </w:p>
        </w:tc>
      </w:tr>
      <w:tr>
        <w:trPr>
          <w:trHeight w:val="330"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税法规定的额外可扣除项目</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-541,536.80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32,201,461.56</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6、现金流量表项目" w:id="326"/>
      <w:bookmarkEnd w:id="326"/>
      <w:r>
        <w:rPr>
          <w:b w:val="0"/>
          <w:bCs w:val="0"/>
        </w:rPr>
      </w:r>
      <w:r>
        <w:rPr>
          <w:rFonts w:ascii="Times New Roman" w:hAnsi="Times New Roman" w:cs="Times New Roman" w:eastAsia="Times New Roman" w:hint="default"/>
        </w:rPr>
        <w:t>46</w:t>
      </w:r>
      <w:r>
        <w:rPr/>
        <w:t>、现金流量表项目</w:t>
      </w:r>
      <w:r>
        <w:rPr>
          <w:b w:val="0"/>
          <w:bCs w:val="0"/>
        </w:rPr>
      </w:r>
    </w:p>
    <w:p>
      <w:pPr>
        <w:pStyle w:val="Heading3"/>
        <w:spacing w:line="240" w:lineRule="auto" w:before="189"/>
        <w:ind w:right="0"/>
        <w:jc w:val="left"/>
        <w:rPr>
          <w:b w:val="0"/>
          <w:bCs w:val="0"/>
        </w:rPr>
      </w:pPr>
      <w:bookmarkStart w:name="（1）收到的其他与经营活动有关的现金" w:id="327"/>
      <w:bookmarkEnd w:id="32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7,149,330.34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9,401,120.57</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9,790,830.00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16,974,040.28</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16,940,160.34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26,375,160.85</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支付的其他与经营活动有关的现金" w:id="328"/>
      <w:bookmarkEnd w:id="32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49,987,684.04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30,473,393.89</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27,458,657.52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29,470,348.59</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研发费用付现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7,928,139.38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9,794,214.91</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8,542,774.88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2,580,664.41</w:t>
            </w: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93,917,255.82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72,318,621.80</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4"/>
          <w:szCs w:val="24"/>
        </w:rPr>
      </w:pPr>
      <w:r>
        <w:rPr/>
        <w:pict>
          <v:group style="position:absolute;margin-left:334.600006pt;margin-top:743.039978pt;width:96.4pt;height:16.05pt;mso-position-horizontal-relative:page;mso-position-vertical-relative:page;z-index:-1027480" coordorigin="6692,14861" coordsize="1928,321">
            <v:shape style="position:absolute;left:6692;top:14861;width:1928;height:321" coordorigin="6692,14861" coordsize="1928,321" path="m6692,15181l8620,15181,8620,14861,6692,14861,6692,15181xe" filled="true" fillcolor="#ffffff" stroked="false">
              <v:path arrowok="t"/>
              <v:fill type="solid"/>
            </v:shape>
            <w10:wrap type="none"/>
          </v:group>
        </w:pict>
      </w:r>
    </w:p>
    <w:p>
      <w:pPr>
        <w:pStyle w:val="Heading3"/>
        <w:spacing w:line="240" w:lineRule="auto"/>
        <w:ind w:right="0"/>
        <w:jc w:val="left"/>
        <w:rPr>
          <w:b w:val="0"/>
          <w:bCs w:val="0"/>
        </w:rPr>
      </w:pPr>
      <w:bookmarkStart w:name="（3）收到的其他与投资活动有关的现金" w:id="329"/>
      <w:bookmarkEnd w:id="32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18"/>
                <w:szCs w:val="18"/>
              </w:rPr>
            </w:pPr>
            <w:r>
              <w:rPr>
                <w:rFonts w:ascii="Times New Roman"/>
                <w:spacing w:val="-1"/>
                <w:sz w:val="18"/>
              </w:rPr>
              <w:t>2,485,951,000.00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1,115,500,000.00</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22,920,000.00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2,508,871,000.00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1,115,500,000.00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支付的其他与投资活动有关的现金" w:id="330"/>
      <w:bookmarkEnd w:id="33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1,875,601,000.00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2,048,500,000.00</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1,917,601,000.00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2,048,500,000.00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5）收到的其他与筹资活动有关的现金" w:id="331"/>
      <w:bookmarkEnd w:id="33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4,924,150.00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1,680,000.00</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31,846,741.04</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4,924,150.00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33,526,741.04</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6）支付的其他与筹资活动有关的现金" w:id="332"/>
      <w:bookmarkEnd w:id="33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88"/>
        <w:gridCol w:w="3194"/>
        <w:gridCol w:w="3189"/>
      </w:tblGrid>
      <w:tr>
        <w:trPr>
          <w:trHeight w:val="32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支付以前年度股权收购尾款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28,500,000.00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46,038,181.37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支付同一控制下股权收购款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归还其他借款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31,846,741.04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221,384,922.41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7、现金流量表补充资料" w:id="333"/>
      <w:bookmarkEnd w:id="333"/>
      <w:r>
        <w:rPr>
          <w:b w:val="0"/>
          <w:bCs w:val="0"/>
        </w:rPr>
      </w:r>
      <w:r>
        <w:rPr>
          <w:rFonts w:ascii="Times New Roman" w:hAnsi="Times New Roman" w:cs="Times New Roman" w:eastAsia="Times New Roman" w:hint="default"/>
        </w:rPr>
        <w:t>47</w:t>
      </w:r>
      <w:r>
        <w:rPr/>
        <w:t>、现金流量表补充资料</w:t>
      </w:r>
      <w:r>
        <w:rPr>
          <w:b w:val="0"/>
          <w:bCs w:val="0"/>
        </w:rPr>
      </w:r>
    </w:p>
    <w:p>
      <w:pPr>
        <w:pStyle w:val="Heading3"/>
        <w:spacing w:line="240" w:lineRule="auto" w:before="189"/>
        <w:ind w:right="0"/>
        <w:jc w:val="left"/>
        <w:rPr>
          <w:b w:val="0"/>
          <w:bCs w:val="0"/>
        </w:rPr>
      </w:pPr>
      <w:bookmarkStart w:name="（1）现金流量表补充资料" w:id="334"/>
      <w:bookmarkEnd w:id="33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5507"/>
        <w:gridCol w:w="1996"/>
        <w:gridCol w:w="2054"/>
      </w:tblGrid>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314,833,138.97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238,165,902.81</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25,757,791.30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16,299,410.50</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39,341,179.11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31,444,557.07</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21,276,640.12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11,127,181.87</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8,796,022.82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10,412,800.19</w:t>
            </w:r>
          </w:p>
        </w:tc>
      </w:tr>
      <w:tr>
        <w:trPr>
          <w:trHeight w:val="330" w:hRule="exact"/>
        </w:trPr>
        <w:tc>
          <w:tcPr>
            <w:tcW w:w="550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23" w:space="0" w:color="FFFFFF"/>
              <w:bottom w:val="single" w:sz="4" w:space="0" w:color="000000"/>
              <w:right w:val="single" w:sz="4" w:space="0" w:color="000000"/>
            </w:tcBorders>
          </w:tcPr>
          <w:p>
            <w:pPr>
              <w:pStyle w:val="TableParagraph"/>
              <w:tabs>
                <w:tab w:pos="995" w:val="left" w:leader="none"/>
              </w:tabs>
              <w:spacing w:line="240" w:lineRule="auto" w:before="21"/>
              <w:ind w:left="-139"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2,048,655.81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1,978,058.14</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80" w:type="dxa"/>
        <w:tblLayout w:type="fixed"/>
        <w:tblCellMar>
          <w:top w:w="0" w:type="dxa"/>
          <w:left w:w="0" w:type="dxa"/>
          <w:bottom w:w="0" w:type="dxa"/>
          <w:right w:w="0" w:type="dxa"/>
        </w:tblCellMar>
        <w:tblLook w:val="01E0"/>
      </w:tblPr>
      <w:tblGrid>
        <w:gridCol w:w="5507"/>
        <w:gridCol w:w="1996"/>
        <w:gridCol w:w="2054"/>
      </w:tblGrid>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104,276.48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165,321.52</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13,267,381.45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6,920,676.83</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-35,831,560.17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-18,711,703.15</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-2,630,495.33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-2,285,597.18</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387,049.43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w w:val="95"/>
                <w:sz w:val="18"/>
              </w:rPr>
              <w:t>-852,450.49</w:t>
            </w:r>
            <w:r>
              <w:rPr>
                <w:rFonts w:ascii="Times New Roman"/>
                <w:sz w:val="18"/>
              </w:rPr>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-89,722,612.97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-9,877,447.06</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-269,885,133.34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-177,886,554.10</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96,139,661.45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88,880,173.08</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-4,433,921.62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-2,931,000.43</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119,448,073.51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192,849,329.60</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 w:right="0"/>
              <w:jc w:val="center"/>
              <w:rPr>
                <w:rFonts w:ascii="Times New Roman" w:hAnsi="Times New Roman" w:cs="Times New Roman" w:eastAsia="Times New Roman" w:hint="default"/>
                <w:sz w:val="18"/>
                <w:szCs w:val="18"/>
              </w:rPr>
            </w:pPr>
            <w:r>
              <w:rPr>
                <w:rFonts w:ascii="Times New Roman"/>
                <w:sz w:val="18"/>
              </w:rPr>
              <w:t>--</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792,219,178.54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724,342,678.45</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724,342,678.45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1,765,522,890.82</w:t>
            </w:r>
          </w:p>
        </w:tc>
      </w:tr>
      <w:tr>
        <w:trPr>
          <w:trHeight w:val="33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67,876,500.09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-1,041,180,212.37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本期支付的取得子公司的现金净额" w:id="335"/>
      <w:bookmarkEnd w:id="33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989"/>
        <w:gridCol w:w="4580"/>
      </w:tblGrid>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71,000,000.00</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青岛高新金财信息科技有限公司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广东龙达财税服务有限公司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71,000,000.00</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31,313,754.29</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青岛高新金财信息科技有限公司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20,803,482.78</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广东龙达财税服务有限公司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10,510,271.51</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39,686,245.71</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现金和现金等价物的构成" w:id="336"/>
      <w:bookmarkEnd w:id="336"/>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305"/>
        <w:gridCol w:w="3069"/>
        <w:gridCol w:w="3184"/>
      </w:tblGrid>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792,219,178.54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724,342,678.45</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1,511,309.52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991,438.58</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789,334,682.04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722,390,647.13</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1,373,186.98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960,592.74</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792,219,178.54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724,342,678.45</w:t>
            </w:r>
          </w:p>
        </w:tc>
      </w:tr>
    </w:tbl>
    <w:p>
      <w:pPr>
        <w:spacing w:line="240" w:lineRule="auto" w:before="10"/>
        <w:rPr>
          <w:rFonts w:ascii="宋体" w:hAnsi="宋体" w:cs="宋体" w:eastAsia="宋体" w:hint="default"/>
          <w:sz w:val="9"/>
          <w:szCs w:val="9"/>
        </w:rPr>
      </w:pPr>
    </w:p>
    <w:p>
      <w:pPr>
        <w:spacing w:line="355" w:lineRule="auto" w:before="35"/>
        <w:ind w:left="534" w:right="5012" w:firstLine="62"/>
        <w:jc w:val="left"/>
        <w:rPr>
          <w:rFonts w:ascii="宋体" w:hAnsi="宋体" w:cs="宋体" w:eastAsia="宋体" w:hint="default"/>
          <w:sz w:val="18"/>
          <w:szCs w:val="18"/>
        </w:rPr>
      </w:pPr>
      <w:bookmarkStart w:name="48、所有者权益变动表项目注释" w:id="337"/>
      <w:bookmarkEnd w:id="337"/>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不适用</w:t>
      </w:r>
    </w:p>
    <w:p>
      <w:pPr>
        <w:spacing w:after="0" w:line="355"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49、所有权或使用权受到限制的资产" w:id="338"/>
      <w:bookmarkEnd w:id="338"/>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328"/>
        <w:gridCol w:w="3057"/>
        <w:gridCol w:w="3184"/>
      </w:tblGrid>
      <w:tr>
        <w:trPr>
          <w:trHeight w:val="33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3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176,952,926.94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3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1,181,749.64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30"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48,674,363.73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履约保函及票据保证金</w:t>
            </w:r>
          </w:p>
        </w:tc>
      </w:tr>
      <w:tr>
        <w:trPr>
          <w:trHeight w:val="330"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33,117,977.97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3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259,927,018.28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50、外币货币性项目" w:id="339"/>
      <w:bookmarkEnd w:id="339"/>
      <w:r>
        <w:rPr>
          <w:b w:val="0"/>
          <w:bCs w:val="0"/>
        </w:rPr>
      </w:r>
      <w:r>
        <w:rPr>
          <w:rFonts w:ascii="Times New Roman" w:hAnsi="Times New Roman" w:cs="Times New Roman" w:eastAsia="Times New Roman" w:hint="default"/>
        </w:rPr>
        <w:t>50</w:t>
      </w:r>
      <w:r>
        <w:rPr/>
        <w:t>、外币货币性项目</w:t>
      </w:r>
      <w:r>
        <w:rPr>
          <w:b w:val="0"/>
          <w:bCs w:val="0"/>
        </w:rPr>
      </w:r>
    </w:p>
    <w:p>
      <w:pPr>
        <w:pStyle w:val="Heading3"/>
        <w:spacing w:line="240" w:lineRule="auto" w:before="189"/>
        <w:ind w:right="0"/>
        <w:jc w:val="left"/>
        <w:rPr>
          <w:b w:val="0"/>
          <w:bCs w:val="0"/>
        </w:rPr>
      </w:pPr>
      <w:bookmarkStart w:name="（1）外币货币性项目" w:id="340"/>
      <w:bookmarkEnd w:id="34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2484"/>
        <w:gridCol w:w="2305"/>
        <w:gridCol w:w="2391"/>
        <w:gridCol w:w="2389"/>
      </w:tblGrid>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3"/>
              <w:ind w:left="1326" w:right="0"/>
              <w:jc w:val="left"/>
              <w:rPr>
                <w:rFonts w:ascii="Times New Roman" w:hAnsi="Times New Roman" w:cs="Times New Roman" w:eastAsia="Times New Roman" w:hint="default"/>
                <w:sz w:val="18"/>
                <w:szCs w:val="18"/>
              </w:rPr>
            </w:pPr>
            <w:r>
              <w:rPr>
                <w:rFonts w:ascii="Times New Roman"/>
                <w:sz w:val="18"/>
              </w:rPr>
              <w:t>2,801,611.95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22" w:right="0"/>
              <w:jc w:val="left"/>
              <w:rPr>
                <w:rFonts w:ascii="Times New Roman" w:hAnsi="Times New Roman" w:cs="Times New Roman" w:eastAsia="Times New Roman" w:hint="default"/>
                <w:sz w:val="18"/>
                <w:szCs w:val="18"/>
              </w:rPr>
            </w:pPr>
            <w:r>
              <w:rPr>
                <w:rFonts w:ascii="Times New Roman"/>
                <w:sz w:val="18"/>
              </w:rPr>
              <w:t>19,228,023.14</w:t>
            </w: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97" w:lineRule="auto"/>
        <w:ind w:left="174" w:right="0" w:firstLine="422"/>
        <w:jc w:val="left"/>
        <w:rPr>
          <w:b w:val="0"/>
          <w:bCs w:val="0"/>
        </w:rPr>
      </w:pPr>
      <w:bookmarkStart w:name="（2）境外经营实体说明，包括对于重要的境外经营实体，应披露其境外主要经营地、记账" w:id="341"/>
      <w:bookmarkEnd w:id="34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w:t>
      </w:r>
      <w:r>
        <w:rPr>
          <w:w w:val="99"/>
        </w:rPr>
        <w:t> </w:t>
      </w:r>
      <w:r>
        <w:rPr/>
        <w:t>选择依据，记账本位币发生变化的还应披露原因。</w:t>
      </w:r>
      <w:r>
        <w:rPr>
          <w:b w:val="0"/>
          <w:bCs w:val="0"/>
        </w:rPr>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51、套期" w:id="342"/>
      <w:bookmarkEnd w:id="342"/>
      <w:r>
        <w:rPr>
          <w:b w:val="0"/>
          <w:bCs w:val="0"/>
        </w:rPr>
      </w:r>
      <w:r>
        <w:rPr>
          <w:rFonts w:ascii="Times New Roman" w:hAnsi="Times New Roman" w:cs="Times New Roman" w:eastAsia="Times New Roman" w:hint="default"/>
        </w:rPr>
        <w:t>51</w:t>
      </w:r>
      <w:r>
        <w:rPr/>
        <w:t>、套期</w:t>
      </w:r>
      <w:r>
        <w:rPr>
          <w:b w:val="0"/>
          <w:bCs w:val="0"/>
        </w:rPr>
      </w:r>
    </w:p>
    <w:p>
      <w:pPr>
        <w:pStyle w:val="BodyText"/>
        <w:spacing w:line="240" w:lineRule="auto" w:before="158"/>
        <w:ind w:right="0"/>
        <w:jc w:val="left"/>
      </w:pPr>
      <w:r>
        <w:rPr/>
        <w:t>按照套期类别披露套期项目及相关套期工具、被套期风险的定性和定量信息：</w:t>
      </w:r>
    </w:p>
    <w:p>
      <w:pPr>
        <w:spacing w:line="240" w:lineRule="auto" w:before="5"/>
        <w:rPr>
          <w:rFonts w:ascii="宋体" w:hAnsi="宋体" w:cs="宋体" w:eastAsia="宋体" w:hint="default"/>
          <w:sz w:val="17"/>
          <w:szCs w:val="17"/>
        </w:rPr>
      </w:pPr>
    </w:p>
    <w:p>
      <w:pPr>
        <w:pStyle w:val="Heading3"/>
        <w:spacing w:line="240" w:lineRule="auto" w:before="0"/>
        <w:ind w:right="0"/>
        <w:jc w:val="left"/>
        <w:rPr>
          <w:b w:val="0"/>
          <w:bCs w:val="0"/>
        </w:rPr>
      </w:pPr>
      <w:bookmarkStart w:name="52、政府补助" w:id="343"/>
      <w:bookmarkEnd w:id="343"/>
      <w:r>
        <w:rPr>
          <w:b w:val="0"/>
          <w:bCs w:val="0"/>
        </w:rPr>
      </w:r>
      <w:r>
        <w:rPr>
          <w:rFonts w:ascii="Times New Roman" w:hAnsi="Times New Roman" w:cs="Times New Roman" w:eastAsia="Times New Roman" w:hint="default"/>
        </w:rPr>
        <w:t>52</w:t>
      </w:r>
      <w:r>
        <w:rPr/>
        <w:t>、政府补助</w:t>
      </w:r>
      <w:r>
        <w:rPr>
          <w:b w:val="0"/>
          <w:bCs w:val="0"/>
        </w:rPr>
      </w:r>
    </w:p>
    <w:p>
      <w:pPr>
        <w:pStyle w:val="Heading3"/>
        <w:spacing w:line="240" w:lineRule="auto" w:before="189"/>
        <w:ind w:right="0"/>
        <w:jc w:val="left"/>
        <w:rPr>
          <w:b w:val="0"/>
          <w:bCs w:val="0"/>
        </w:rPr>
      </w:pPr>
      <w:bookmarkStart w:name="（1）政府补助基本情况" w:id="344"/>
      <w:bookmarkEnd w:id="344"/>
      <w:r>
        <w:rPr>
          <w:b w:val="0"/>
          <w:bCs w:val="0"/>
        </w:rPr>
      </w:r>
      <w:r>
        <w:rPr/>
        <w:t>（</w:t>
      </w:r>
      <w:r>
        <w:rPr>
          <w:rFonts w:ascii="Times New Roman" w:hAnsi="Times New Roman" w:cs="Times New Roman" w:eastAsia="Times New Roman" w:hint="default"/>
        </w:rPr>
        <w:t>1</w:t>
      </w:r>
      <w:r>
        <w:rPr/>
        <w:t>）政府补助基本情况</w:t>
      </w:r>
      <w:r>
        <w:rPr>
          <w:b w:val="0"/>
          <w:bCs w:val="0"/>
        </w:rPr>
      </w:r>
    </w:p>
    <w:p>
      <w:pPr>
        <w:pStyle w:val="BodyText"/>
        <w:spacing w:line="240" w:lineRule="auto" w:before="15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5530"/>
        <w:gridCol w:w="1361"/>
        <w:gridCol w:w="1361"/>
        <w:gridCol w:w="1361"/>
      </w:tblGrid>
      <w:tr>
        <w:trPr>
          <w:trHeight w:val="570"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1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495" w:right="43" w:hanging="450"/>
              <w:jc w:val="left"/>
              <w:rPr>
                <w:rFonts w:ascii="宋体" w:hAnsi="宋体" w:cs="宋体" w:eastAsia="宋体" w:hint="default"/>
                <w:sz w:val="18"/>
                <w:szCs w:val="18"/>
              </w:rPr>
            </w:pPr>
            <w:r>
              <w:rPr>
                <w:rFonts w:ascii="宋体" w:hAnsi="宋体" w:cs="宋体" w:eastAsia="宋体" w:hint="default"/>
                <w:sz w:val="18"/>
                <w:szCs w:val="18"/>
              </w:rPr>
              <w:t>计入当期损益的 金额</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基于国产基础软件的企业在线管理平台建设项目补贴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645,000.00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645,000.00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年研发加计扣除补贴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507,500.00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507,500.00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智能化真空热处理设备的开发及产业化项目省级拨款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8,750,000.00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460,524.00</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4"/>
        <w:rPr>
          <w:rFonts w:ascii="Times New Roman" w:hAnsi="Times New Roman" w:cs="Times New Roman" w:eastAsia="Times New Roman"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5530"/>
        <w:gridCol w:w="1361"/>
        <w:gridCol w:w="1361"/>
        <w:gridCol w:w="1361"/>
      </w:tblGrid>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金财财税共享智慧云服务平台补助</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264,150.94</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年广东省企业研究开发省级财政补助资金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246,500.00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246,500.00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216,530.68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216,530.68</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精密模具及汽车零件高档热处理专业化配套加工扩建项目专项资金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新能源汽车零部件热处理</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1,280,000.00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128,000.00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技术吸收及创新奖励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青岛丰东科技型中小企业技术创新基金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108,254.26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108,254.26</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 </w:t>
            </w:r>
            <w:r>
              <w:rPr>
                <w:rFonts w:ascii="宋体" w:hAnsi="宋体" w:cs="宋体" w:eastAsia="宋体" w:hint="default"/>
                <w:sz w:val="18"/>
                <w:szCs w:val="18"/>
              </w:rPr>
              <w:t>领军人才引进计划资助资金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智能制造专项项目补助资金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66,666.68</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广州市天河区财政局研发后补助</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61,600.00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61,600.00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58,077.61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58,077.61</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设备购买专项资金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110,800.00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11,080.00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柘林镇财政所土地减量搬迁款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2,813,350.00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2,813,350.00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促进现代服务业政策经营贡献奖</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1,770,000.00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1,770,000.00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年度高新企业认定通过奖励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国家级技术创新示范企业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国家级实验室奖补资金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高新认定补贴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年度技术创新补贴资金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257,200.00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257,200.00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专精特新</w:t>
            </w:r>
            <w:r>
              <w:rPr>
                <w:rFonts w:ascii="Times New Roman" w:hAnsi="Times New Roman" w:cs="Times New Roman" w:eastAsia="Times New Roman" w:hint="default"/>
                <w:sz w:val="18"/>
                <w:szCs w:val="18"/>
              </w:rPr>
              <w:t>”</w:t>
            </w:r>
            <w:r>
              <w:rPr>
                <w:rFonts w:ascii="宋体" w:hAnsi="宋体" w:cs="宋体" w:eastAsia="宋体" w:hint="default"/>
                <w:sz w:val="18"/>
                <w:szCs w:val="18"/>
              </w:rPr>
              <w:t>奖励金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盐城市大丰区科技聚力创新奖励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241,000.00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241,000.00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企业转型升级补助</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210,000.00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210,000.00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其他与收益相关的政府补助</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205,780.00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205,780.00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工贸科对外合作和投资补贴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江苏省战略性新兴产业创新示范企业百强工程试点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江苏省服务型制造示范企业</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高新认定市级部分奖励资金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160,000.00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160,000.00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盐城推进聚力创新十条政策奖励资金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154,000.00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154,000.00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双创</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年高新认定补贴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专利</w:t>
            </w:r>
            <w:r>
              <w:rPr>
                <w:rFonts w:ascii="Times New Roman" w:hAnsi="Times New Roman" w:cs="Times New Roman" w:eastAsia="Times New Roman" w:hint="default"/>
                <w:sz w:val="18"/>
                <w:szCs w:val="18"/>
              </w:rPr>
              <w:t>/</w:t>
            </w:r>
            <w:r>
              <w:rPr>
                <w:rFonts w:ascii="宋体" w:hAnsi="宋体" w:cs="宋体" w:eastAsia="宋体" w:hint="default"/>
                <w:sz w:val="18"/>
                <w:szCs w:val="18"/>
              </w:rPr>
              <w:t>发明授权补助</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116,500.00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116,500.00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企业奖励基金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高新技术企业培育资金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高新技术企业认定奖励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贯标认证企业奖励资金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专利技术补贴</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科学技术奖励资金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100,000.00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33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高新技术企业培育资金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43,000.00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43,000.00</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1"/>
        <w:rPr>
          <w:rFonts w:ascii="Times New Roman" w:hAnsi="Times New Roman" w:cs="Times New Roman" w:eastAsia="Times New Roman" w:hint="default"/>
          <w:sz w:val="27"/>
          <w:szCs w:val="27"/>
        </w:rPr>
      </w:pPr>
    </w:p>
    <w:p>
      <w:pPr>
        <w:pStyle w:val="Heading3"/>
        <w:spacing w:line="240" w:lineRule="auto"/>
        <w:ind w:right="0"/>
        <w:jc w:val="left"/>
        <w:rPr>
          <w:b w:val="0"/>
          <w:bCs w:val="0"/>
        </w:rPr>
      </w:pPr>
      <w:bookmarkStart w:name="（2）政府补助退回情况" w:id="345"/>
      <w:bookmarkEnd w:id="345"/>
      <w:r>
        <w:rPr>
          <w:b w:val="0"/>
          <w:bCs w:val="0"/>
        </w:rPr>
      </w:r>
      <w:r>
        <w:rPr/>
        <w:t>（</w:t>
      </w:r>
      <w:r>
        <w:rPr>
          <w:rFonts w:ascii="Times New Roman" w:hAnsi="Times New Roman" w:cs="Times New Roman" w:eastAsia="Times New Roman" w:hint="default"/>
        </w:rPr>
        <w:t>2</w:t>
      </w:r>
      <w:r>
        <w:rPr/>
        <w:t>）政府补助退回情况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53、其他" w:id="346"/>
      <w:bookmarkEnd w:id="346"/>
      <w:r>
        <w:rPr>
          <w:b w:val="0"/>
          <w:bCs w:val="0"/>
        </w:rPr>
      </w:r>
      <w:r>
        <w:rPr>
          <w:rFonts w:ascii="Times New Roman" w:hAnsi="Times New Roman" w:cs="Times New Roman" w:eastAsia="Times New Roman" w:hint="default"/>
        </w:rPr>
        <w:t>53</w:t>
      </w:r>
      <w:r>
        <w:rPr/>
        <w:t>、其他</w:t>
      </w:r>
      <w:r>
        <w:rPr>
          <w:b w:val="0"/>
          <w:bCs w:val="0"/>
        </w:rPr>
      </w:r>
    </w:p>
    <w:p>
      <w:pPr>
        <w:pStyle w:val="BodyText"/>
        <w:spacing w:line="240" w:lineRule="auto" w:before="158"/>
        <w:ind w:right="0"/>
        <w:jc w:val="left"/>
      </w:pPr>
      <w:r>
        <w:rPr/>
        <w:t>无</w:t>
      </w:r>
    </w:p>
    <w:p>
      <w:pPr>
        <w:spacing w:line="240" w:lineRule="auto" w:before="0"/>
        <w:rPr>
          <w:rFonts w:ascii="宋体" w:hAnsi="宋体" w:cs="宋体" w:eastAsia="宋体" w:hint="default"/>
          <w:sz w:val="18"/>
          <w:szCs w:val="18"/>
        </w:rPr>
      </w:pPr>
    </w:p>
    <w:p>
      <w:pPr>
        <w:pStyle w:val="Heading2"/>
        <w:spacing w:line="240" w:lineRule="auto" w:before="138"/>
        <w:ind w:left="0" w:right="8429"/>
        <w:jc w:val="center"/>
        <w:rPr>
          <w:b w:val="0"/>
          <w:bCs w:val="0"/>
        </w:rPr>
      </w:pPr>
      <w:bookmarkStart w:name="八、合并范围的变更" w:id="347"/>
      <w:bookmarkEnd w:id="347"/>
      <w:r>
        <w:rPr>
          <w:b w:val="0"/>
          <w:bCs w:val="0"/>
        </w:rPr>
      </w:r>
      <w:r>
        <w:rPr/>
        <w:t>八、合并范围的变更</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非同一控制下企业合并" w:id="348"/>
      <w:bookmarkEnd w:id="348"/>
      <w:r>
        <w:rPr>
          <w:b w:val="0"/>
          <w:bCs w:val="0"/>
        </w:rPr>
      </w:r>
      <w:r>
        <w:rPr>
          <w:rFonts w:ascii="Times New Roman" w:hAnsi="Times New Roman" w:cs="Times New Roman" w:eastAsia="Times New Roman" w:hint="default"/>
        </w:rPr>
        <w:t>1</w:t>
      </w:r>
      <w:r>
        <w:rPr/>
        <w:t>、非同一控制下企业合并</w:t>
      </w:r>
      <w:r>
        <w:rPr>
          <w:b w:val="0"/>
          <w:bCs w:val="0"/>
        </w:rPr>
      </w:r>
    </w:p>
    <w:p>
      <w:pPr>
        <w:pStyle w:val="Heading3"/>
        <w:spacing w:line="240" w:lineRule="auto" w:before="189"/>
        <w:ind w:right="0"/>
        <w:jc w:val="left"/>
        <w:rPr>
          <w:b w:val="0"/>
          <w:bCs w:val="0"/>
        </w:rPr>
      </w:pPr>
      <w:bookmarkStart w:name="（1）本期发生的非同一控制下企业合并" w:id="349"/>
      <w:bookmarkEnd w:id="34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276"/>
        <w:gridCol w:w="852"/>
        <w:gridCol w:w="1274"/>
        <w:gridCol w:w="854"/>
        <w:gridCol w:w="848"/>
        <w:gridCol w:w="1134"/>
        <w:gridCol w:w="993"/>
        <w:gridCol w:w="1134"/>
        <w:gridCol w:w="1205"/>
      </w:tblGrid>
      <w:tr>
        <w:trPr>
          <w:trHeight w:val="809"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41" w:right="59"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41" w:right="60"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38"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220" w:right="40"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1" w:right="110"/>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56" w:right="56"/>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both"/>
              <w:rPr>
                <w:rFonts w:ascii="宋体" w:hAnsi="宋体" w:cs="宋体" w:eastAsia="宋体" w:hint="default"/>
                <w:sz w:val="18"/>
                <w:szCs w:val="18"/>
              </w:rPr>
            </w:pPr>
            <w:r>
              <w:rPr>
                <w:rFonts w:ascii="宋体" w:hAnsi="宋体" w:cs="宋体" w:eastAsia="宋体" w:hint="default"/>
                <w:sz w:val="18"/>
                <w:szCs w:val="18"/>
              </w:rPr>
              <w:t>青岛高新金财 信息科技有限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57,300,000.00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59"/>
              <w:jc w:val="left"/>
              <w:rPr>
                <w:rFonts w:ascii="宋体" w:hAnsi="宋体" w:cs="宋体" w:eastAsia="宋体" w:hint="default"/>
                <w:sz w:val="18"/>
                <w:szCs w:val="18"/>
              </w:rPr>
            </w:pPr>
            <w:r>
              <w:rPr>
                <w:rFonts w:ascii="宋体" w:hAnsi="宋体" w:cs="宋体" w:eastAsia="宋体" w:hint="default"/>
                <w:sz w:val="18"/>
                <w:szCs w:val="18"/>
              </w:rPr>
              <w:t>股权转让协 议约定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21,799,541.49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3,240,492.77</w:t>
            </w:r>
          </w:p>
        </w:tc>
      </w:tr>
      <w:tr>
        <w:trPr>
          <w:trHeight w:val="57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left"/>
              <w:rPr>
                <w:rFonts w:ascii="宋体" w:hAnsi="宋体" w:cs="宋体" w:eastAsia="宋体" w:hint="default"/>
                <w:sz w:val="18"/>
                <w:szCs w:val="18"/>
              </w:rPr>
            </w:pPr>
            <w:r>
              <w:rPr>
                <w:rFonts w:ascii="宋体" w:hAnsi="宋体" w:cs="宋体" w:eastAsia="宋体" w:hint="default"/>
                <w:sz w:val="18"/>
                <w:szCs w:val="18"/>
              </w:rPr>
              <w:t>广东龙达财税 服务有限公司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101,250,000.00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71"/>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8"/>
              <w:jc w:val="left"/>
              <w:rPr>
                <w:rFonts w:ascii="宋体" w:hAnsi="宋体" w:cs="宋体" w:eastAsia="宋体" w:hint="default"/>
                <w:sz w:val="18"/>
                <w:szCs w:val="18"/>
              </w:rPr>
            </w:pPr>
            <w:r>
              <w:rPr>
                <w:rFonts w:ascii="宋体" w:hAnsi="宋体" w:cs="宋体" w:eastAsia="宋体" w:hint="default"/>
                <w:sz w:val="18"/>
                <w:szCs w:val="18"/>
              </w:rPr>
              <w:t>股权转让协 议约定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29,611,595.37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12,723,202.10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合并成本及商誉" w:id="350"/>
      <w:bookmarkEnd w:id="35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190"/>
        <w:gridCol w:w="3191"/>
        <w:gridCol w:w="3190"/>
      </w:tblGrid>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31" w:right="0"/>
              <w:jc w:val="left"/>
              <w:rPr>
                <w:rFonts w:ascii="宋体" w:hAnsi="宋体" w:cs="宋体" w:eastAsia="宋体" w:hint="default"/>
                <w:sz w:val="18"/>
                <w:szCs w:val="18"/>
              </w:rPr>
            </w:pPr>
            <w:r>
              <w:rPr>
                <w:rFonts w:ascii="宋体" w:hAnsi="宋体" w:cs="宋体" w:eastAsia="宋体" w:hint="default"/>
                <w:sz w:val="18"/>
                <w:szCs w:val="18"/>
              </w:rPr>
              <w:t>青岛高新金财信息科技有限公司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09" w:right="0"/>
              <w:jc w:val="left"/>
              <w:rPr>
                <w:rFonts w:ascii="宋体" w:hAnsi="宋体" w:cs="宋体" w:eastAsia="宋体" w:hint="default"/>
                <w:sz w:val="18"/>
                <w:szCs w:val="18"/>
              </w:rPr>
            </w:pPr>
            <w:r>
              <w:rPr>
                <w:rFonts w:ascii="宋体" w:hAnsi="宋体" w:cs="宋体" w:eastAsia="宋体" w:hint="default"/>
                <w:sz w:val="18"/>
                <w:szCs w:val="18"/>
              </w:rPr>
              <w:t>广东龙达财税服务有限公司</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57,300,000.00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101,250,000.00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11,028,102.88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9,881,997.01</w:t>
            </w:r>
          </w:p>
        </w:tc>
      </w:tr>
      <w:tr>
        <w:trPr>
          <w:trHeight w:val="57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46,271,897.12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91,368,002.99</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被购买方于购买日可辨认资产、负债" w:id="351"/>
      <w:bookmarkEnd w:id="35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903"/>
        <w:gridCol w:w="1926"/>
        <w:gridCol w:w="1914"/>
        <w:gridCol w:w="1914"/>
        <w:gridCol w:w="1914"/>
      </w:tblGrid>
      <w:tr>
        <w:trPr>
          <w:trHeight w:val="169" w:hRule="exact"/>
        </w:trPr>
        <w:tc>
          <w:tcPr>
            <w:tcW w:w="1903" w:type="dxa"/>
            <w:tcBorders>
              <w:top w:val="single" w:sz="4" w:space="0" w:color="000000"/>
              <w:left w:val="single" w:sz="4" w:space="0" w:color="000000"/>
              <w:bottom w:val="nil" w:sz="6" w:space="0" w:color="auto"/>
              <w:right w:val="single" w:sz="9" w:space="0" w:color="D9D9D9"/>
            </w:tcBorders>
            <w:shd w:val="clear" w:color="auto" w:fill="D2D2D2"/>
          </w:tcPr>
          <w:p>
            <w:pPr/>
          </w:p>
        </w:tc>
        <w:tc>
          <w:tcPr>
            <w:tcW w:w="3840" w:type="dxa"/>
            <w:gridSpan w:val="2"/>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21"/>
              <w:ind w:left="652" w:right="0"/>
              <w:jc w:val="left"/>
              <w:rPr>
                <w:rFonts w:ascii="宋体" w:hAnsi="宋体" w:cs="宋体" w:eastAsia="宋体" w:hint="default"/>
                <w:sz w:val="18"/>
                <w:szCs w:val="18"/>
              </w:rPr>
            </w:pPr>
            <w:r>
              <w:rPr>
                <w:rFonts w:ascii="宋体" w:hAnsi="宋体" w:cs="宋体" w:eastAsia="宋体" w:hint="default"/>
                <w:sz w:val="18"/>
                <w:szCs w:val="18"/>
              </w:rPr>
              <w:t>青岛高新金财信息科技有限公司</w:t>
            </w:r>
          </w:p>
        </w:tc>
        <w:tc>
          <w:tcPr>
            <w:tcW w:w="382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left="828" w:right="0"/>
              <w:jc w:val="left"/>
              <w:rPr>
                <w:rFonts w:ascii="宋体" w:hAnsi="宋体" w:cs="宋体" w:eastAsia="宋体" w:hint="default"/>
                <w:sz w:val="18"/>
                <w:szCs w:val="18"/>
              </w:rPr>
            </w:pPr>
            <w:r>
              <w:rPr>
                <w:rFonts w:ascii="宋体" w:hAnsi="宋体" w:cs="宋体" w:eastAsia="宋体" w:hint="default"/>
                <w:sz w:val="18"/>
                <w:szCs w:val="18"/>
              </w:rPr>
              <w:t>广东龙达财税服务有限公司</w:t>
            </w:r>
          </w:p>
        </w:tc>
      </w:tr>
      <w:tr>
        <w:trPr>
          <w:trHeight w:val="161" w:hRule="exact"/>
        </w:trPr>
        <w:tc>
          <w:tcPr>
            <w:tcW w:w="1903" w:type="dxa"/>
            <w:vMerge w:val="restart"/>
            <w:tcBorders>
              <w:top w:val="nil" w:sz="6" w:space="0" w:color="auto"/>
              <w:left w:val="single" w:sz="4" w:space="0" w:color="000000"/>
              <w:right w:val="single" w:sz="9" w:space="0" w:color="D9D9D9"/>
            </w:tcBorders>
            <w:shd w:val="clear" w:color="auto" w:fill="D2D2D2"/>
          </w:tcPr>
          <w:p>
            <w:pPr>
              <w:pStyle w:val="TableParagraph"/>
              <w:spacing w:line="240" w:lineRule="auto" w:before="21"/>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0" w:type="dxa"/>
            <w:gridSpan w:val="2"/>
            <w:vMerge/>
            <w:tcBorders>
              <w:left w:val="single" w:sz="9" w:space="0" w:color="D2D2D2"/>
              <w:bottom w:val="single" w:sz="4" w:space="0" w:color="000000"/>
              <w:right w:val="single" w:sz="4" w:space="0" w:color="000000"/>
            </w:tcBorders>
            <w:shd w:val="clear" w:color="auto" w:fill="D9D9D9"/>
          </w:tcPr>
          <w:p>
            <w:pPr/>
          </w:p>
        </w:tc>
        <w:tc>
          <w:tcPr>
            <w:tcW w:w="3828" w:type="dxa"/>
            <w:gridSpan w:val="2"/>
            <w:vMerge/>
            <w:tcBorders>
              <w:left w:val="single" w:sz="4" w:space="0" w:color="000000"/>
              <w:bottom w:val="single" w:sz="4" w:space="0" w:color="000000"/>
              <w:right w:val="single" w:sz="4" w:space="0" w:color="000000"/>
            </w:tcBorders>
            <w:shd w:val="clear" w:color="auto" w:fill="D9D9D9"/>
          </w:tcPr>
          <w:p>
            <w:pPr/>
          </w:p>
        </w:tc>
      </w:tr>
      <w:tr>
        <w:trPr>
          <w:trHeight w:val="160" w:hRule="exact"/>
        </w:trPr>
        <w:tc>
          <w:tcPr>
            <w:tcW w:w="1903" w:type="dxa"/>
            <w:vMerge/>
            <w:tcBorders>
              <w:left w:val="single" w:sz="4" w:space="0" w:color="000000"/>
              <w:bottom w:val="nil" w:sz="6" w:space="0" w:color="auto"/>
              <w:right w:val="single" w:sz="9" w:space="0" w:color="D9D9D9"/>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170"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27,755,457.48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27,755,457.48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19,747,848.22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19,747,848.22</w:t>
            </w: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20,803,482.78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20,803,482.78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10,510,271.51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10,510,271.51</w:t>
            </w: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1,252,110.50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1,252,110.50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3,048,920.87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3,048,920.87</w:t>
            </w: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665,656.35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665,656.35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836,504.04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836,504.04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1,122,199.65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1,122,199.65</w:t>
            </w: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w w:val="95"/>
                <w:sz w:val="18"/>
              </w:rPr>
              <w:t>8,119.58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w w:val="95"/>
                <w:sz w:val="18"/>
              </w:rPr>
              <w:t>8,119.58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702,142.30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702,142.30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612,236.00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612,236.00</w:t>
            </w: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3,171,845.10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3,171,845.10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399,058.47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399,058.47</w:t>
            </w: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236,257.33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236,257.33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4,015,044.34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4,015,044.34</w:t>
            </w: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79,339.50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79,339.50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40,117.38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40,117.38</w:t>
            </w:r>
          </w:p>
        </w:tc>
      </w:tr>
      <w:tr>
        <w:trPr>
          <w:trHeight w:val="330"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16,430,950.28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16,430,950.28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6,571,852.21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6,571,852.21</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992,792.34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992,792.34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16,595.00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16,595.00</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14,459,924.16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14,459,924.16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4,255,333.35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4,255,333.35</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391,160.27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391,160.27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1,016,999.45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1,016,999.45</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365,812.51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365,812.51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1,228,570.17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1,228,570.17</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221,261.00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221,261.00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54,354.24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54,354.24</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11,324,507.20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11,324,507.20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13,175,996.01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13,175,996.01</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296,404.32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296,404.32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3,293,999.00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3,293,999.00</w:t>
            </w:r>
          </w:p>
        </w:tc>
      </w:tr>
      <w:tr>
        <w:trPr>
          <w:trHeight w:val="330"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11,028,102.88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11,028,102.88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9,881,997.01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9,881,997.01</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购买日之前持有的股权按照公允价值重新计量产生的利得或损失" w:id="352"/>
      <w:bookmarkEnd w:id="35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pStyle w:val="BodyText"/>
        <w:spacing w:line="240" w:lineRule="auto" w:before="158"/>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同一控制下企业合并" w:id="353"/>
      <w:bookmarkEnd w:id="353"/>
      <w:r>
        <w:rPr>
          <w:b w:val="0"/>
          <w:bCs w:val="0"/>
        </w:rPr>
      </w:r>
      <w:r>
        <w:rPr>
          <w:rFonts w:ascii="Times New Roman" w:hAnsi="Times New Roman" w:cs="Times New Roman" w:eastAsia="Times New Roman" w:hint="default"/>
        </w:rPr>
        <w:t>2</w:t>
      </w:r>
      <w:r>
        <w:rPr/>
        <w:t>、同一控制下企业合并</w:t>
      </w:r>
      <w:r>
        <w:rPr>
          <w:b w:val="0"/>
          <w:bCs w:val="0"/>
        </w:rPr>
      </w:r>
    </w:p>
    <w:p>
      <w:pPr>
        <w:pStyle w:val="Heading3"/>
        <w:spacing w:line="240" w:lineRule="auto" w:before="190"/>
        <w:ind w:right="0"/>
        <w:jc w:val="left"/>
        <w:rPr>
          <w:b w:val="0"/>
          <w:bCs w:val="0"/>
        </w:rPr>
      </w:pPr>
      <w:bookmarkStart w:name="（1）本期发生的同一控制下企业合并" w:id="354"/>
      <w:bookmarkEnd w:id="35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0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2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1"/>
              <w:jc w:val="left"/>
              <w:rPr>
                <w:rFonts w:ascii="宋体" w:hAnsi="宋体" w:cs="宋体" w:eastAsia="宋体" w:hint="default"/>
                <w:sz w:val="18"/>
                <w:szCs w:val="18"/>
              </w:rPr>
            </w:pPr>
            <w:r>
              <w:rPr>
                <w:rFonts w:ascii="宋体" w:hAnsi="宋体" w:cs="宋体" w:eastAsia="宋体" w:hint="default"/>
                <w:sz w:val="18"/>
                <w:szCs w:val="18"/>
              </w:rPr>
              <w:t>广东益东金 财资产管理 </w:t>
            </w:r>
            <w:r>
              <w:rPr>
                <w:rFonts w:ascii="宋体" w:hAnsi="宋体" w:cs="宋体" w:eastAsia="宋体" w:hint="default"/>
                <w:spacing w:val="-13"/>
                <w:sz w:val="18"/>
                <w:szCs w:val="18"/>
              </w:rPr>
              <w:t>中心（有限合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20"/>
              <w:jc w:val="left"/>
              <w:rPr>
                <w:rFonts w:ascii="宋体" w:hAnsi="宋体" w:cs="宋体" w:eastAsia="宋体" w:hint="default"/>
                <w:sz w:val="18"/>
                <w:szCs w:val="18"/>
              </w:rPr>
            </w:pPr>
            <w:r>
              <w:rPr>
                <w:rFonts w:ascii="宋体" w:hAnsi="宋体" w:cs="宋体" w:eastAsia="宋体" w:hint="default"/>
                <w:sz w:val="18"/>
                <w:szCs w:val="18"/>
              </w:rPr>
              <w:t>公司董事长 </w:t>
            </w:r>
            <w:r>
              <w:rPr>
                <w:rFonts w:ascii="宋体" w:hAnsi="宋体" w:cs="宋体" w:eastAsia="宋体" w:hint="default"/>
                <w:spacing w:val="-13"/>
                <w:sz w:val="18"/>
                <w:szCs w:val="18"/>
              </w:rPr>
              <w:t>朱文明、副董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事长徐正军 为该合伙企 业合伙人</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5" w:lineRule="exact" w:before="1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31"/>
              <w:jc w:val="both"/>
              <w:rPr>
                <w:rFonts w:ascii="宋体" w:hAnsi="宋体" w:cs="宋体" w:eastAsia="宋体" w:hint="default"/>
                <w:sz w:val="18"/>
                <w:szCs w:val="18"/>
              </w:rPr>
            </w:pPr>
            <w:r>
              <w:rPr>
                <w:rFonts w:ascii="宋体" w:hAnsi="宋体" w:cs="宋体" w:eastAsia="宋体" w:hint="default"/>
                <w:sz w:val="18"/>
                <w:szCs w:val="18"/>
              </w:rPr>
              <w:t>完成股权交 割变更登记 手续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5,031,272.30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-3,814,589.33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1,029,625.46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-1,259,628.29</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合并成本" w:id="355"/>
      <w:bookmarkEnd w:id="35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4785"/>
        <w:gridCol w:w="4784"/>
      </w:tblGrid>
      <w:tr>
        <w:trPr>
          <w:trHeight w:val="33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67"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r>
      <w:tr>
        <w:trPr>
          <w:trHeight w:val="33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115,000,000.00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合并日被合并方资产、负债的账面价值" w:id="356"/>
      <w:bookmarkEnd w:id="35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90"/>
        <w:gridCol w:w="3191"/>
        <w:gridCol w:w="3190"/>
      </w:tblGrid>
      <w:tr>
        <w:trPr>
          <w:trHeight w:val="170"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1" w:type="dxa"/>
            <w:gridSpan w:val="2"/>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22"/>
              <w:ind w:left="1559"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r>
      <w:tr>
        <w:trPr>
          <w:trHeight w:val="155" w:hRule="exact"/>
        </w:trPr>
        <w:tc>
          <w:tcPr>
            <w:tcW w:w="3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81" w:type="dxa"/>
            <w:gridSpan w:val="2"/>
            <w:vMerge/>
            <w:tcBorders>
              <w:left w:val="single" w:sz="9" w:space="0" w:color="D2D2D2"/>
              <w:bottom w:val="single" w:sz="4" w:space="0" w:color="000000"/>
              <w:right w:val="single" w:sz="4" w:space="0" w:color="000000"/>
            </w:tcBorders>
            <w:shd w:val="clear" w:color="auto" w:fill="D9D9D9"/>
          </w:tcPr>
          <w:p>
            <w:pPr/>
          </w:p>
        </w:tc>
      </w:tr>
      <w:tr>
        <w:trPr>
          <w:trHeight w:val="166" w:hRule="exact"/>
        </w:trPr>
        <w:tc>
          <w:tcPr>
            <w:tcW w:w="3190" w:type="dxa"/>
            <w:vMerge/>
            <w:tcBorders>
              <w:left w:val="single" w:sz="4" w:space="0" w:color="000000"/>
              <w:bottom w:val="nil" w:sz="6" w:space="0" w:color="auto"/>
              <w:right w:val="single" w:sz="4" w:space="0" w:color="000000"/>
            </w:tcBorders>
            <w:shd w:val="clear" w:color="auto" w:fill="D2D2D2"/>
          </w:tcPr>
          <w:p>
            <w:pPr/>
          </w:p>
        </w:tc>
        <w:tc>
          <w:tcPr>
            <w:tcW w:w="31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16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1" w:type="dxa"/>
            <w:vMerge/>
            <w:tcBorders>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228,088,657.54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236,875,634.92</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14,620.15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3,777,769.81</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10,256,470.00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1,296.29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10,107,091.78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10,142,433.67</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217,957,649.32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212,698,961.44</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134,464,507.85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139,436,895.90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2,180,623.25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1,714,326.45</w:t>
            </w:r>
          </w:p>
        </w:tc>
      </w:tr>
      <w:tr>
        <w:trPr>
          <w:trHeight w:val="331"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81,040.84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64,777.53</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3190"/>
        <w:gridCol w:w="3191"/>
        <w:gridCol w:w="3190"/>
      </w:tblGrid>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34,180,902.42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33,218,202.20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8,977,054.95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8,616,068.67</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89,044,886.39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95,823,521.05</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93,624,149.69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97,438,739.02</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93,624,149.69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97,438,739.02</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处置子公司" w:id="357"/>
      <w:bookmarkEnd w:id="357"/>
      <w:r>
        <w:rPr>
          <w:b w:val="0"/>
          <w:bCs w:val="0"/>
        </w:rPr>
      </w:r>
      <w:r>
        <w:rPr>
          <w:rFonts w:ascii="Times New Roman" w:hAnsi="Times New Roman" w:cs="Times New Roman" w:eastAsia="Times New Roman" w:hint="default"/>
        </w:rPr>
        <w:t>3</w:t>
      </w:r>
      <w:r>
        <w:rPr/>
        <w:t>、处置子公司</w:t>
      </w:r>
      <w:r>
        <w:rPr>
          <w:b w:val="0"/>
          <w:bCs w:val="0"/>
        </w:rPr>
      </w:r>
    </w:p>
    <w:p>
      <w:pPr>
        <w:spacing w:line="240" w:lineRule="auto" w:before="9"/>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551" w:footer="979" w:top="1120" w:bottom="1160" w:left="960" w:right="0"/>
        </w:sectPr>
      </w:pPr>
    </w:p>
    <w:p>
      <w:pPr>
        <w:pStyle w:val="BodyText"/>
        <w:spacing w:line="240" w:lineRule="auto"/>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533" w:right="0"/>
        <w:jc w:val="left"/>
      </w:pPr>
      <w:r>
        <w:rPr/>
        <w:t>单位： 元</w:t>
      </w:r>
    </w:p>
    <w:p>
      <w:pPr>
        <w:spacing w:after="0" w:line="240" w:lineRule="auto"/>
        <w:jc w:val="left"/>
        <w:sectPr>
          <w:type w:val="continuous"/>
          <w:pgSz w:w="11910" w:h="16840"/>
          <w:pgMar w:top="1060" w:bottom="1160" w:left="960" w:right="0"/>
          <w:cols w:num="2" w:equalWidth="0">
            <w:col w:w="4675" w:space="3795"/>
            <w:col w:w="2480"/>
          </w:cols>
        </w:sectPr>
      </w:pP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710"/>
        <w:gridCol w:w="425"/>
        <w:gridCol w:w="709"/>
        <w:gridCol w:w="566"/>
        <w:gridCol w:w="709"/>
        <w:gridCol w:w="568"/>
        <w:gridCol w:w="992"/>
        <w:gridCol w:w="709"/>
        <w:gridCol w:w="709"/>
        <w:gridCol w:w="708"/>
        <w:gridCol w:w="994"/>
        <w:gridCol w:w="850"/>
        <w:gridCol w:w="905"/>
      </w:tblGrid>
      <w:tr>
        <w:trPr>
          <w:trHeight w:val="1690"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6" w:right="26"/>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79" w:right="7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98" w:right="96"/>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80" w:right="77"/>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98" w:right="97"/>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0" w:right="39"/>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 务报表层面 享有该子公 司净资产份 额的差额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80" w:right="77"/>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79" w:right="7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2"/>
              <w:ind w:left="77" w:right="7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40" w:right="41"/>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59" w:right="59"/>
              <w:jc w:val="center"/>
              <w:rPr>
                <w:rFonts w:ascii="宋体" w:hAnsi="宋体" w:cs="宋体" w:eastAsia="宋体" w:hint="default"/>
                <w:sz w:val="18"/>
                <w:szCs w:val="18"/>
              </w:rPr>
            </w:pPr>
            <w:r>
              <w:rPr>
                <w:rFonts w:ascii="宋体" w:hAnsi="宋体" w:cs="宋体" w:eastAsia="宋体" w:hint="default"/>
                <w:sz w:val="18"/>
                <w:szCs w:val="18"/>
              </w:rPr>
              <w:t>丧失控制 权之日剩 余股权公 允价值的 确定方法 及主要假 设</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3" w:right="80"/>
              <w:jc w:val="both"/>
              <w:rPr>
                <w:rFonts w:ascii="宋体" w:hAnsi="宋体" w:cs="宋体" w:eastAsia="宋体" w:hint="default"/>
                <w:sz w:val="18"/>
                <w:szCs w:val="18"/>
              </w:rPr>
            </w:pPr>
            <w:r>
              <w:rPr>
                <w:rFonts w:ascii="宋体" w:hAnsi="宋体" w:cs="宋体" w:eastAsia="宋体" w:hint="default"/>
                <w:sz w:val="18"/>
                <w:szCs w:val="18"/>
              </w:rPr>
              <w:t>与原子公 司股权投 资相关的 其他综合 收益转入 投资损益 的金额</w:t>
            </w:r>
          </w:p>
        </w:tc>
      </w:tr>
      <w:tr>
        <w:trPr>
          <w:trHeight w:val="97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35"/>
              <w:jc w:val="both"/>
              <w:rPr>
                <w:rFonts w:ascii="宋体" w:hAnsi="宋体" w:cs="宋体" w:eastAsia="宋体" w:hint="default"/>
                <w:sz w:val="18"/>
                <w:szCs w:val="18"/>
              </w:rPr>
            </w:pPr>
            <w:r>
              <w:rPr>
                <w:rFonts w:ascii="宋体" w:hAnsi="宋体" w:cs="宋体" w:eastAsia="宋体" w:hint="default"/>
                <w:sz w:val="18"/>
                <w:szCs w:val="18"/>
              </w:rPr>
              <w:t>上海灏 友企业 服务有 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6"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1" w:right="0"/>
              <w:jc w:val="lef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44"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2"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61"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59" w:right="0"/>
              <w:jc w:val="lef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45"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69"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9"/>
        <w:rPr>
          <w:rFonts w:ascii="宋体" w:hAnsi="宋体" w:cs="宋体" w:eastAsia="宋体" w:hint="default"/>
          <w:sz w:val="6"/>
          <w:szCs w:val="6"/>
        </w:rPr>
      </w:pPr>
    </w:p>
    <w:p>
      <w:pPr>
        <w:pStyle w:val="BodyText"/>
        <w:spacing w:line="360" w:lineRule="auto"/>
        <w:ind w:right="4632"/>
        <w:jc w:val="left"/>
      </w:pPr>
      <w:r>
        <w:rPr/>
        <w:t>其他说明： 是否存在通过多次交易分步处置对子公司投资且在本期丧失控制权的情形</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3"/>
        <w:rPr>
          <w:rFonts w:ascii="宋体" w:hAnsi="宋体" w:cs="宋体" w:eastAsia="宋体" w:hint="default"/>
          <w:sz w:val="16"/>
          <w:szCs w:val="16"/>
        </w:rPr>
      </w:pPr>
    </w:p>
    <w:p>
      <w:pPr>
        <w:spacing w:line="364" w:lineRule="auto" w:before="0"/>
        <w:ind w:left="534" w:right="3552" w:firstLine="62"/>
        <w:jc w:val="left"/>
        <w:rPr>
          <w:rFonts w:ascii="宋体" w:hAnsi="宋体" w:cs="宋体" w:eastAsia="宋体" w:hint="default"/>
          <w:sz w:val="18"/>
          <w:szCs w:val="18"/>
        </w:rPr>
      </w:pPr>
      <w:bookmarkStart w:name="4、其他原因的合并范围变动" w:id="358"/>
      <w:bookmarkEnd w:id="35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18"/>
          <w:szCs w:val="18"/>
        </w:rPr>
        <w:t>说明其他原因导致的合并范围变动（如，新设子公司、清算子公司等）及其相关情况： 无</w:t>
      </w:r>
    </w:p>
    <w:p>
      <w:pPr>
        <w:pStyle w:val="Heading3"/>
        <w:spacing w:line="240" w:lineRule="auto" w:before="135"/>
        <w:ind w:right="0"/>
        <w:jc w:val="left"/>
        <w:rPr>
          <w:b w:val="0"/>
          <w:bCs w:val="0"/>
        </w:rPr>
      </w:pPr>
      <w:bookmarkStart w:name="5、其他" w:id="359"/>
      <w:bookmarkEnd w:id="359"/>
      <w:r>
        <w:rPr>
          <w:b w:val="0"/>
          <w:bCs w:val="0"/>
        </w:rPr>
      </w:r>
      <w:r>
        <w:rPr>
          <w:rFonts w:ascii="Times New Roman" w:hAnsi="Times New Roman" w:cs="Times New Roman" w:eastAsia="Times New Roman" w:hint="default"/>
        </w:rPr>
        <w:t>5</w:t>
      </w:r>
      <w:r>
        <w:rPr/>
        <w:t>、其他</w:t>
      </w:r>
      <w:r>
        <w:rPr>
          <w:b w:val="0"/>
          <w:bCs w:val="0"/>
        </w:rPr>
      </w:r>
    </w:p>
    <w:p>
      <w:pPr>
        <w:pStyle w:val="BodyText"/>
        <w:spacing w:line="240" w:lineRule="auto" w:before="157"/>
        <w:ind w:right="0"/>
        <w:jc w:val="left"/>
      </w:pPr>
      <w:r>
        <w:rPr/>
        <w:t>无</w:t>
      </w:r>
    </w:p>
    <w:p>
      <w:pPr>
        <w:spacing w:line="240" w:lineRule="auto" w:before="0"/>
        <w:rPr>
          <w:rFonts w:ascii="宋体" w:hAnsi="宋体" w:cs="宋体" w:eastAsia="宋体" w:hint="default"/>
          <w:sz w:val="18"/>
          <w:szCs w:val="18"/>
        </w:rPr>
      </w:pPr>
    </w:p>
    <w:p>
      <w:pPr>
        <w:pStyle w:val="Heading2"/>
        <w:spacing w:line="240" w:lineRule="auto" w:before="138"/>
        <w:ind w:left="0" w:right="7948"/>
        <w:jc w:val="center"/>
        <w:rPr>
          <w:b w:val="0"/>
          <w:bCs w:val="0"/>
        </w:rPr>
      </w:pPr>
      <w:bookmarkStart w:name="九、在其他主体中的权益" w:id="360"/>
      <w:bookmarkEnd w:id="360"/>
      <w:r>
        <w:rPr>
          <w:b w:val="0"/>
          <w:bCs w:val="0"/>
        </w:rPr>
      </w:r>
      <w:r>
        <w:rPr/>
        <w:t>九、在其他主体中的权益</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在子公司中的权益" w:id="361"/>
      <w:bookmarkEnd w:id="361"/>
      <w:r>
        <w:rPr>
          <w:b w:val="0"/>
          <w:bCs w:val="0"/>
        </w:rPr>
      </w:r>
      <w:r>
        <w:rPr>
          <w:rFonts w:ascii="Times New Roman" w:hAnsi="Times New Roman" w:cs="Times New Roman" w:eastAsia="Times New Roman" w:hint="default"/>
        </w:rPr>
        <w:t>1</w:t>
      </w:r>
      <w:r>
        <w:rPr/>
        <w:t>、在子公司中的权益</w:t>
      </w:r>
      <w:r>
        <w:rPr>
          <w:b w:val="0"/>
          <w:bCs w:val="0"/>
        </w:rPr>
      </w:r>
    </w:p>
    <w:p>
      <w:pPr>
        <w:pStyle w:val="Heading3"/>
        <w:spacing w:line="240" w:lineRule="auto" w:before="189"/>
        <w:ind w:right="0"/>
        <w:jc w:val="left"/>
        <w:rPr>
          <w:b w:val="0"/>
          <w:bCs w:val="0"/>
        </w:rPr>
      </w:pPr>
      <w:bookmarkStart w:name="（1）企业集团的构成" w:id="362"/>
      <w:bookmarkEnd w:id="36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2128"/>
        <w:gridCol w:w="991"/>
        <w:gridCol w:w="987"/>
        <w:gridCol w:w="1140"/>
        <w:gridCol w:w="992"/>
        <w:gridCol w:w="993"/>
        <w:gridCol w:w="2341"/>
      </w:tblGrid>
      <w:tr>
        <w:trPr>
          <w:trHeight w:val="330" w:hRule="exact"/>
        </w:trPr>
        <w:tc>
          <w:tcPr>
            <w:tcW w:w="2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60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3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9" w:hRule="exact"/>
        </w:trPr>
        <w:tc>
          <w:tcPr>
            <w:tcW w:w="212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41"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热处理设备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3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Times New Roman" w:hAnsi="Times New Roman" w:cs="Times New Roman" w:eastAsia="Times New Roman" w:hint="default"/>
                <w:sz w:val="18"/>
                <w:szCs w:val="18"/>
              </w:rPr>
            </w:pPr>
            <w:r>
              <w:rPr>
                <w:rFonts w:ascii="Times New Roman"/>
                <w:sz w:val="18"/>
              </w:rPr>
              <w:t>100.00%</w:t>
            </w:r>
          </w:p>
        </w:tc>
        <w:tc>
          <w:tcPr>
            <w:tcW w:w="993"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left"/>
        <w:rPr>
          <w:rFonts w:ascii="宋体" w:hAnsi="宋体" w:cs="宋体" w:eastAsia="宋体" w:hint="default"/>
          <w:sz w:val="18"/>
          <w:szCs w:val="18"/>
        </w:rPr>
        <w:sectPr>
          <w:type w:val="continuous"/>
          <w:pgSz w:w="11910" w:h="16840"/>
          <w:pgMar w:top="1060" w:bottom="1160" w:left="960" w:right="0"/>
        </w:sectPr>
      </w:pP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在合营安排或联营企业中的权益" w:id="363"/>
      <w:bookmarkEnd w:id="363"/>
      <w:r>
        <w:rPr>
          <w:b w:val="0"/>
          <w:bCs w:val="0"/>
        </w:rPr>
      </w:r>
      <w:r>
        <w:rPr>
          <w:rFonts w:ascii="Times New Roman" w:hAnsi="Times New Roman" w:cs="Times New Roman" w:eastAsia="Times New Roman" w:hint="default"/>
        </w:rPr>
        <w:t>2</w:t>
      </w:r>
      <w:r>
        <w:rPr/>
        <w:t>、在合营安排或联营企业中的权益</w:t>
      </w:r>
      <w:r>
        <w:rPr>
          <w:b w:val="0"/>
          <w:bCs w:val="0"/>
        </w:rPr>
      </w:r>
    </w:p>
    <w:p>
      <w:pPr>
        <w:pStyle w:val="Heading3"/>
        <w:spacing w:line="240" w:lineRule="auto" w:before="189"/>
        <w:ind w:right="0"/>
        <w:jc w:val="left"/>
        <w:rPr>
          <w:b w:val="0"/>
          <w:bCs w:val="0"/>
        </w:rPr>
      </w:pPr>
      <w:bookmarkStart w:name="（1）重要的合营企业或联营企业" w:id="364"/>
      <w:bookmarkEnd w:id="36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2836"/>
        <w:gridCol w:w="1134"/>
        <w:gridCol w:w="1134"/>
        <w:gridCol w:w="1134"/>
        <w:gridCol w:w="993"/>
        <w:gridCol w:w="976"/>
        <w:gridCol w:w="1366"/>
      </w:tblGrid>
      <w:tr>
        <w:trPr>
          <w:trHeight w:val="36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8" w:type="dxa"/>
            <w:gridSpan w:val="2"/>
            <w:tcBorders>
              <w:top w:val="single" w:sz="4" w:space="0" w:color="000000"/>
              <w:left w:val="single" w:sz="4" w:space="0" w:color="000000"/>
              <w:bottom w:val="single" w:sz="34" w:space="0" w:color="FFFFFF"/>
              <w:right w:val="single" w:sz="4" w:space="0" w:color="000000"/>
            </w:tcBorders>
            <w:shd w:val="clear" w:color="auto" w:fill="D2D2D2"/>
          </w:tcPr>
          <w:p>
            <w:pPr>
              <w:pStyle w:val="TableParagraph"/>
              <w:spacing w:line="240" w:lineRule="auto" w:before="21"/>
              <w:ind w:left="61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4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6" w:type="dxa"/>
            <w:tcBorders>
              <w:top w:val="single" w:sz="3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10"/>
        <w:rPr>
          <w:rFonts w:ascii="宋体" w:hAnsi="宋体" w:cs="宋体" w:eastAsia="宋体" w:hint="default"/>
          <w:b/>
          <w:bCs/>
          <w:sz w:val="9"/>
          <w:szCs w:val="9"/>
        </w:rPr>
      </w:pPr>
    </w:p>
    <w:p>
      <w:pPr>
        <w:pStyle w:val="Heading3"/>
        <w:spacing w:line="240" w:lineRule="auto"/>
        <w:ind w:right="0"/>
        <w:jc w:val="left"/>
        <w:rPr>
          <w:b w:val="0"/>
          <w:bCs w:val="0"/>
        </w:rPr>
      </w:pPr>
      <w:bookmarkStart w:name="（2）重要合营企业的主要财务信息" w:id="365"/>
      <w:bookmarkEnd w:id="36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3239"/>
        <w:gridCol w:w="1600"/>
        <w:gridCol w:w="1588"/>
        <w:gridCol w:w="1589"/>
        <w:gridCol w:w="1588"/>
      </w:tblGrid>
      <w:tr>
        <w:trPr>
          <w:trHeight w:val="169" w:hRule="exact"/>
        </w:trPr>
        <w:tc>
          <w:tcPr>
            <w:tcW w:w="323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75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74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3239" w:type="dxa"/>
            <w:vMerge w:val="restart"/>
            <w:tcBorders>
              <w:top w:val="nil" w:sz="6" w:space="0" w:color="auto"/>
              <w:left w:val="single" w:sz="4" w:space="0" w:color="000000"/>
              <w:right w:val="single" w:sz="9" w:space="0" w:color="D9D9D9"/>
            </w:tcBorders>
            <w:shd w:val="clear" w:color="auto" w:fill="D2D2D2"/>
          </w:tcPr>
          <w:p>
            <w:pPr>
              <w:pStyle w:val="TableParagraph"/>
              <w:spacing w:line="240" w:lineRule="auto" w:before="2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3239" w:type="dxa"/>
            <w:vMerge/>
            <w:tcBorders>
              <w:left w:val="single" w:sz="4" w:space="0" w:color="000000"/>
              <w:bottom w:val="nil" w:sz="6" w:space="0" w:color="auto"/>
              <w:right w:val="single" w:sz="9" w:space="0" w:color="D9D9D9"/>
            </w:tcBorders>
            <w:shd w:val="clear" w:color="auto" w:fill="D2D2D2"/>
          </w:tcPr>
          <w:p>
            <w:pPr/>
          </w:p>
        </w:tc>
        <w:tc>
          <w:tcPr>
            <w:tcW w:w="1600"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58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15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58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石川岛丰东</w:t>
            </w:r>
          </w:p>
        </w:tc>
      </w:tr>
      <w:tr>
        <w:trPr>
          <w:trHeight w:val="170" w:hRule="exact"/>
        </w:trPr>
        <w:tc>
          <w:tcPr>
            <w:tcW w:w="3239" w:type="dxa"/>
            <w:tcBorders>
              <w:top w:val="nil" w:sz="6" w:space="0" w:color="auto"/>
              <w:left w:val="single" w:sz="4" w:space="0" w:color="000000"/>
              <w:bottom w:val="single" w:sz="4" w:space="0" w:color="000000"/>
              <w:right w:val="single" w:sz="9" w:space="0" w:color="D9D9D9"/>
            </w:tcBorders>
            <w:shd w:val="clear" w:color="auto" w:fill="D2D2D2"/>
          </w:tcPr>
          <w:p>
            <w:pPr/>
          </w:p>
        </w:tc>
        <w:tc>
          <w:tcPr>
            <w:tcW w:w="1600" w:type="dxa"/>
            <w:vMerge/>
            <w:tcBorders>
              <w:left w:val="single" w:sz="9" w:space="0" w:color="D2D2D2"/>
              <w:bottom w:val="single" w:sz="4" w:space="0" w:color="000000"/>
              <w:right w:val="single" w:sz="4" w:space="0" w:color="000000"/>
            </w:tcBorders>
            <w:shd w:val="clear" w:color="auto" w:fill="D9D9D9"/>
          </w:tcPr>
          <w:p>
            <w:pPr/>
          </w:p>
        </w:tc>
        <w:tc>
          <w:tcPr>
            <w:tcW w:w="1588" w:type="dxa"/>
            <w:vMerge/>
            <w:tcBorders>
              <w:left w:val="single" w:sz="4" w:space="0" w:color="000000"/>
              <w:bottom w:val="single" w:sz="4" w:space="0" w:color="000000"/>
              <w:right w:val="single" w:sz="4" w:space="0" w:color="000000"/>
            </w:tcBorders>
            <w:shd w:val="clear" w:color="auto" w:fill="D9D9D9"/>
          </w:tcPr>
          <w:p>
            <w:pPr/>
          </w:p>
        </w:tc>
        <w:tc>
          <w:tcPr>
            <w:tcW w:w="1589" w:type="dxa"/>
            <w:vMerge/>
            <w:tcBorders>
              <w:left w:val="single" w:sz="4" w:space="0" w:color="000000"/>
              <w:bottom w:val="single" w:sz="4" w:space="0" w:color="000000"/>
              <w:right w:val="single" w:sz="4" w:space="0" w:color="000000"/>
            </w:tcBorders>
            <w:shd w:val="clear" w:color="auto" w:fill="D9D9D9"/>
          </w:tcPr>
          <w:p>
            <w:pPr/>
          </w:p>
        </w:tc>
        <w:tc>
          <w:tcPr>
            <w:tcW w:w="1588" w:type="dxa"/>
            <w:vMerge/>
            <w:tcBorders>
              <w:left w:val="single" w:sz="4" w:space="0" w:color="000000"/>
              <w:bottom w:val="single" w:sz="4" w:space="0" w:color="000000"/>
              <w:right w:val="single" w:sz="4" w:space="0" w:color="000000"/>
            </w:tcBorders>
            <w:shd w:val="clear" w:color="auto" w:fill="D9D9D9"/>
          </w:tcPr>
          <w:p>
            <w:pP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84,651,914.75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61,309,446.46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89,201,336.20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51,343,869.06</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33,030,310.34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9,622,963.66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36,467,003.92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7,463,759.46</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73,072,550.22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13,760,348.12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77,663,374.92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14,266,972.68</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157,724,464.97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75,069,794.58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166,864,711.12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65,610,841.74</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32,435,108.28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36,309,266.50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38,963,177.42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31,994,968.18</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32,435,108.28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36,309,266.50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38,963,177.42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31,994,968.18</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125,289,356.69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38,760,528.08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127,901,533.70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33,615,873.56</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62,644,678.35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19,380,264.04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63,950,766.85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16,807,936.78</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600" w:type="dxa"/>
            <w:tcBorders>
              <w:top w:val="single" w:sz="4" w:space="0" w:color="000000"/>
              <w:left w:val="single" w:sz="13" w:space="0" w:color="D2D2D2"/>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-1,319,578.12</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-1,430,167.80</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62,644,678.35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18,060,685.92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63,950,766.85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15,377,768.98</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64,307,418.70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62,686,599.78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75,928,006.89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53,401,667.05</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520,928.17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20,540.26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679,999.44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-59,739.53</w:t>
            </w:r>
            <w:r>
              <w:rPr>
                <w:rFonts w:ascii="Times New Roman"/>
                <w:sz w:val="18"/>
              </w:rPr>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-109,331.11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974,586.14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-162,944.46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1,120,157.92</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2,387,822.99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5,144,654.52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6,441,182.64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3,100,554.96</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2,387,822.99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5,144,654.52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6,441,182.64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3,100,554.96</w:t>
            </w:r>
          </w:p>
        </w:tc>
      </w:tr>
      <w:tr>
        <w:trPr>
          <w:trHeight w:val="330"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重要联营企业的主要财务信息" w:id="366"/>
      <w:bookmarkEnd w:id="36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7"/>
        <w:gridCol w:w="3203"/>
        <w:gridCol w:w="3190"/>
      </w:tblGrid>
      <w:tr>
        <w:trPr>
          <w:trHeight w:val="170"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6" w:hRule="exact"/>
        </w:trPr>
        <w:tc>
          <w:tcPr>
            <w:tcW w:w="3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vMerge/>
            <w:tcBorders>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3167" w:type="dxa"/>
            <w:vMerge/>
            <w:tcBorders>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16"/>
              <w:ind w:left="6" w:right="0"/>
              <w:jc w:val="center"/>
              <w:rPr>
                <w:rFonts w:ascii="宋体" w:hAnsi="宋体" w:cs="宋体" w:eastAsia="宋体" w:hint="default"/>
                <w:sz w:val="18"/>
                <w:szCs w:val="18"/>
              </w:rPr>
            </w:pPr>
            <w:r>
              <w:rPr>
                <w:rFonts w:ascii="宋体" w:hAnsi="宋体" w:cs="宋体" w:eastAsia="宋体" w:hint="default"/>
                <w:sz w:val="18"/>
                <w:szCs w:val="18"/>
              </w:rPr>
              <w:t>广州丰东</w:t>
            </w:r>
          </w:p>
        </w:tc>
        <w:tc>
          <w:tcPr>
            <w:tcW w:w="31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广州丰东</w:t>
            </w:r>
          </w:p>
        </w:tc>
      </w:tr>
      <w:tr>
        <w:trPr>
          <w:trHeight w:val="169"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3" w:type="dxa"/>
            <w:vMerge/>
            <w:tcBorders>
              <w:left w:val="single" w:sz="9" w:space="0" w:color="D2D2D2"/>
              <w:bottom w:val="single" w:sz="4" w:space="0" w:color="000000"/>
              <w:right w:val="single" w:sz="4" w:space="0" w:color="000000"/>
            </w:tcBorders>
            <w:shd w:val="clear" w:color="auto" w:fill="D9D9D9"/>
          </w:tcPr>
          <w:p>
            <w:pPr/>
          </w:p>
        </w:tc>
        <w:tc>
          <w:tcPr>
            <w:tcW w:w="3190" w:type="dxa"/>
            <w:vMerge/>
            <w:tcBorders>
              <w:left w:val="single" w:sz="4" w:space="0" w:color="000000"/>
              <w:bottom w:val="single" w:sz="4" w:space="0" w:color="000000"/>
              <w:right w:val="single" w:sz="4" w:space="0" w:color="000000"/>
            </w:tcBorders>
            <w:shd w:val="clear" w:color="auto" w:fill="D9D9D9"/>
          </w:tcPr>
          <w:p>
            <w:pP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32,915,315.38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33,700,802.19</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37,674,631.69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31,695,068.69</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70,589,947.07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65,395,870.88</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6,736,682.34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8,008,043.06</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2,400,334.59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2,508,093.73</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9,137,016.93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10,516,136.79</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61,452,930.14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54,879,734.09</w:t>
            </w:r>
          </w:p>
        </w:tc>
      </w:tr>
      <w:tr>
        <w:trPr>
          <w:trHeight w:val="33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24,581,172.06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21,951,893.64</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3190"/>
        <w:gridCol w:w="3191"/>
        <w:gridCol w:w="3190"/>
      </w:tblGrid>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-1,108,243.24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-1,238,426.30</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23,472,928.82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20,713,467.34</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73,878,302.30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64,506,498.21</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16,573,196.05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11,301,624.74</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16,573,196.05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11,301,624.74</w:t>
            </w:r>
          </w:p>
        </w:tc>
      </w:tr>
      <w:tr>
        <w:trPr>
          <w:trHeight w:val="33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1,600,000.00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其他" w:id="367"/>
      <w:bookmarkEnd w:id="367"/>
      <w:r>
        <w:rPr>
          <w:b w:val="0"/>
          <w:bCs w:val="0"/>
        </w:rPr>
      </w:r>
      <w:r>
        <w:rPr>
          <w:rFonts w:ascii="Times New Roman" w:hAnsi="Times New Roman" w:cs="Times New Roman" w:eastAsia="Times New Roman" w:hint="default"/>
        </w:rPr>
        <w:t>3</w:t>
      </w:r>
      <w:r>
        <w:rPr/>
        <w:t>、其他</w:t>
      </w:r>
      <w:r>
        <w:rPr>
          <w:b w:val="0"/>
          <w:bCs w:val="0"/>
        </w:rPr>
      </w:r>
    </w:p>
    <w:p>
      <w:pPr>
        <w:pStyle w:val="BodyText"/>
        <w:spacing w:line="240" w:lineRule="auto" w:before="157"/>
        <w:ind w:right="0"/>
        <w:jc w:val="left"/>
      </w:pPr>
      <w:r>
        <w:rPr/>
        <w:t>无</w:t>
      </w:r>
    </w:p>
    <w:p>
      <w:pPr>
        <w:spacing w:line="240" w:lineRule="auto" w:before="0"/>
        <w:rPr>
          <w:rFonts w:ascii="宋体" w:hAnsi="宋体" w:cs="宋体" w:eastAsia="宋体" w:hint="default"/>
          <w:sz w:val="18"/>
          <w:szCs w:val="18"/>
        </w:rPr>
      </w:pPr>
    </w:p>
    <w:p>
      <w:pPr>
        <w:pStyle w:val="Heading2"/>
        <w:spacing w:line="240" w:lineRule="auto" w:before="138"/>
        <w:ind w:right="0"/>
        <w:jc w:val="left"/>
        <w:rPr>
          <w:b w:val="0"/>
          <w:bCs w:val="0"/>
        </w:rPr>
      </w:pPr>
      <w:bookmarkStart w:name="十、与金融工具相关的风险" w:id="368"/>
      <w:bookmarkEnd w:id="368"/>
      <w:r>
        <w:rPr>
          <w:b w:val="0"/>
          <w:bCs w:val="0"/>
        </w:rPr>
      </w:r>
      <w:r>
        <w:rPr/>
        <w:t>十、与金融工具相关的风险</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left="174" w:right="1132" w:firstLine="360"/>
        <w:jc w:val="both"/>
      </w:pPr>
      <w:r>
        <w:rPr>
          <w:spacing w:val="-2"/>
        </w:rPr>
        <w:t>本公司风险管理的目标是在风险与收益间取得平衡，采取有效措施将风险对公司经营业绩的影响降至最低水平，使股东</w:t>
      </w:r>
      <w:r>
        <w:rPr/>
        <w:t> </w:t>
      </w:r>
      <w:r>
        <w:rPr>
          <w:spacing w:val="-2"/>
        </w:rPr>
        <w:t>及其他利益相关者的利益最大化。基于这样的目的，本公司的风险管理策略是通过对各种不确定因素进行分析与确认，建立</w:t>
      </w:r>
      <w:r>
        <w:rPr>
          <w:spacing w:val="-66"/>
        </w:rPr>
        <w:t> </w:t>
      </w:r>
      <w:r>
        <w:rPr>
          <w:spacing w:val="-66"/>
        </w:rPr>
      </w:r>
      <w:r>
        <w:rPr/>
        <w:t>健全全面风险管理体系，培育良好的风险管理文化，及对各种风险进行跟踪监督，将风险控制在限定的范围内。</w:t>
      </w:r>
    </w:p>
    <w:p>
      <w:pPr>
        <w:pStyle w:val="BodyText"/>
        <w:spacing w:line="319" w:lineRule="auto" w:before="56"/>
        <w:ind w:left="174" w:right="1140" w:firstLine="360"/>
        <w:jc w:val="both"/>
      </w:pPr>
      <w:r>
        <w:rPr>
          <w:spacing w:val="-2"/>
        </w:rPr>
        <w:t>本公司金融工具产生的风险主要包括信用风险、流动风险及市场风险。本公司董事会已审议并批准《风险管理办法》，</w:t>
      </w:r>
      <w:r>
        <w:rPr/>
        <w:t> 确保及时有效地进行风险管理。</w:t>
      </w:r>
    </w:p>
    <w:p>
      <w:pPr>
        <w:pStyle w:val="BodyText"/>
        <w:spacing w:line="352" w:lineRule="auto" w:before="56"/>
        <w:ind w:right="4092"/>
        <w:jc w:val="left"/>
      </w:pPr>
      <w:r>
        <w:rPr/>
        <w:t>本公司的金融工具包括：应收款项、应付款项、可供出售金融资产等。 </w:t>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信用风险，是指金融工具的一方不履行义务，造成另一方发生财务损失的风险。 本公司对信用风险的管理目标、政策和程序、计量风险的方法：</w:t>
      </w:r>
    </w:p>
    <w:p>
      <w:pPr>
        <w:pStyle w:val="BodyText"/>
        <w:spacing w:line="319" w:lineRule="auto" w:before="30"/>
        <w:ind w:left="174" w:right="1133" w:firstLine="360"/>
        <w:jc w:val="both"/>
      </w:pPr>
      <w:r>
        <w:rPr>
          <w:spacing w:val="-2"/>
        </w:rPr>
        <w:t>本公司的信用风险主要来源于银行存款、应收账款。本公司的银行存款基本存放于信用评级较高的银行，不存在重大风</w:t>
      </w:r>
      <w:r>
        <w:rPr/>
        <w:t> </w:t>
      </w:r>
      <w:r>
        <w:rPr>
          <w:spacing w:val="-2"/>
        </w:rPr>
        <w:t>险。公司客户主要为信用等级较高的客户，故由于赊销引起的信用风险也较低。本公司营销与财务部门定期与不定期对应收</w:t>
      </w:r>
      <w:r>
        <w:rPr>
          <w:spacing w:val="-66"/>
        </w:rPr>
        <w:t> </w:t>
      </w:r>
      <w:r>
        <w:rPr>
          <w:spacing w:val="-66"/>
        </w:rPr>
      </w:r>
      <w:r>
        <w:rPr/>
        <w:t>款余额进行监控，以确保本公司不面临重大坏账风险。</w:t>
      </w:r>
    </w:p>
    <w:p>
      <w:pPr>
        <w:pStyle w:val="BodyText"/>
        <w:spacing w:line="348" w:lineRule="auto" w:before="58"/>
        <w:ind w:right="2832" w:firstLine="1"/>
        <w:jc w:val="left"/>
      </w:pP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w w:val="99"/>
        </w:rPr>
        <w:t> </w:t>
      </w:r>
      <w:r>
        <w:rPr/>
        <w:t>流动性风险，是指在履行以交付现金或其他金融资产的方式结算的义务时发生资金短缺的风险。 本公司对流动性风险的管理目标、政策和程序、计量风险的方法：</w:t>
      </w:r>
    </w:p>
    <w:p>
      <w:pPr>
        <w:pStyle w:val="BodyText"/>
        <w:spacing w:line="319" w:lineRule="auto" w:before="35"/>
        <w:ind w:left="174" w:right="1132" w:firstLine="360"/>
        <w:jc w:val="both"/>
      </w:pPr>
      <w:r>
        <w:rPr>
          <w:spacing w:val="-2"/>
        </w:rPr>
        <w:t>为控制该项风险，本公司优化融资结构，采用长、短期借款，保持融资持续性与灵活性间的平衡。本公司总部财务部持</w:t>
      </w:r>
      <w:r>
        <w:rPr/>
        <w:t> </w:t>
      </w:r>
      <w:r>
        <w:rPr>
          <w:spacing w:val="-2"/>
        </w:rPr>
        <w:t>续监控各子公司的现金流，协调集团内各子公司的资金储备，同时本公司与多家银行取得授信客户以满足各期资金需求和资</w:t>
      </w:r>
      <w:r>
        <w:rPr>
          <w:spacing w:val="-64"/>
        </w:rPr>
        <w:t> </w:t>
      </w:r>
      <w:r>
        <w:rPr>
          <w:spacing w:val="-64"/>
        </w:rPr>
      </w:r>
      <w:r>
        <w:rPr/>
        <w:t>本开支。</w:t>
      </w:r>
    </w:p>
    <w:p>
      <w:pPr>
        <w:pStyle w:val="BodyText"/>
        <w:spacing w:line="338" w:lineRule="auto" w:before="56"/>
        <w:ind w:right="1117" w:firstLine="1"/>
        <w:jc w:val="left"/>
      </w:pPr>
      <w:r>
        <w:rPr>
          <w:rFonts w:ascii="Times New Roman" w:hAnsi="Times New Roman" w:cs="Times New Roman" w:eastAsia="Times New Roman" w:hint="default"/>
          <w:b/>
          <w:bCs/>
        </w:rPr>
        <w:t>3</w:t>
      </w:r>
      <w:r>
        <w:rPr>
          <w:rFonts w:ascii="宋体" w:hAnsi="宋体" w:cs="宋体" w:eastAsia="宋体" w:hint="default"/>
          <w:b/>
          <w:bCs/>
        </w:rPr>
        <w:t>、市场风险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360" w:lineRule="auto" w:before="4"/>
        <w:ind w:right="5352" w:hanging="360"/>
        <w:jc w:val="left"/>
      </w:pPr>
      <w:r>
        <w:rPr/>
        <w:t>率风险和其他价格风险。 本公司对市场风险的管理目标、政策和程序、计量风险的方法：</w:t>
      </w:r>
    </w:p>
    <w:p>
      <w:pPr>
        <w:pStyle w:val="BodyText"/>
        <w:spacing w:line="309" w:lineRule="auto" w:before="25"/>
        <w:ind w:left="174" w:right="1130" w:firstLine="360"/>
        <w:jc w:val="both"/>
      </w:pPr>
      <w:r>
        <w:rPr>
          <w:spacing w:val="-1"/>
        </w:rPr>
        <w:t>本公司对市场风险的管理目标为通过将市场风险控制在企业可以</w:t>
      </w:r>
      <w:r>
        <w:rPr>
          <w:rFonts w:ascii="Times New Roman" w:hAnsi="Times New Roman" w:cs="Times New Roman" w:eastAsia="Times New Roman" w:hint="default"/>
          <w:spacing w:val="-1"/>
        </w:rPr>
        <w:t>(</w:t>
      </w:r>
      <w:r>
        <w:rPr>
          <w:spacing w:val="-1"/>
        </w:rPr>
        <w:t>或愿意</w:t>
      </w:r>
      <w:r>
        <w:rPr>
          <w:rFonts w:ascii="Times New Roman" w:hAnsi="Times New Roman" w:cs="Times New Roman" w:eastAsia="Times New Roman" w:hint="default"/>
          <w:spacing w:val="-1"/>
        </w:rPr>
        <w:t>)</w:t>
      </w:r>
      <w:r>
        <w:rPr>
          <w:spacing w:val="-1"/>
        </w:rPr>
        <w:t>承受的合理范围内，</w:t>
      </w:r>
      <w:hyperlink r:id="rId21">
        <w:r>
          <w:rPr>
            <w:spacing w:val="-1"/>
          </w:rPr>
          <w:t>实现经风险调整的收益率</w:t>
        </w:r>
      </w:hyperlink>
      <w:r>
        <w:rPr/>
        <w:t> </w:t>
      </w:r>
      <w:r>
        <w:rPr>
          <w:spacing w:val="-2"/>
        </w:rPr>
        <w:t>的最大化。在确认对公司有显著影响的市场风险因素以后，对各种风险因素进行度量，并运用多种手段和工具对各种市场风</w:t>
      </w:r>
      <w:r>
        <w:rPr>
          <w:spacing w:val="-66"/>
        </w:rPr>
        <w:t> </w:t>
      </w:r>
      <w:r>
        <w:rPr>
          <w:spacing w:val="-66"/>
        </w:rPr>
      </w:r>
      <w:r>
        <w:rPr/>
        <w:t>险加以定量管理。</w:t>
      </w:r>
    </w:p>
    <w:p>
      <w:pPr>
        <w:pStyle w:val="BodyText"/>
        <w:spacing w:line="338" w:lineRule="auto" w:before="64"/>
        <w:ind w:right="1117"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）汇率风险</w:t>
      </w:r>
      <w:r>
        <w:rPr>
          <w:rFonts w:ascii="宋体" w:hAnsi="宋体" w:cs="宋体" w:eastAsia="宋体" w:hint="default"/>
          <w:b/>
          <w:bCs/>
          <w:w w:val="99"/>
        </w:rPr>
        <w:t> </w:t>
      </w:r>
      <w:r>
        <w:rPr>
          <w:spacing w:val="-2"/>
        </w:rPr>
        <w:t>汇率风险，是指金融工具的公允价值或未来现金流量因外汇汇率变动而发生波动的风险。汇率风险可源于以记账本位币</w:t>
      </w:r>
    </w:p>
    <w:p>
      <w:pPr>
        <w:pStyle w:val="BodyText"/>
        <w:spacing w:line="240" w:lineRule="auto" w:before="4"/>
        <w:ind w:left="174" w:right="0"/>
        <w:jc w:val="left"/>
      </w:pPr>
      <w:r>
        <w:rPr/>
        <w:t>之外的外币进行计价的金融工具。</w:t>
      </w:r>
    </w:p>
    <w:p>
      <w:pPr>
        <w:pStyle w:val="BodyText"/>
        <w:spacing w:line="240" w:lineRule="auto" w:before="116"/>
        <w:ind w:right="0"/>
        <w:jc w:val="left"/>
      </w:pPr>
      <w:r>
        <w:rPr/>
        <w:t>假设在其他条件不变的情况下，美元对人民币汇率上升或下降</w:t>
      </w:r>
      <w:r>
        <w:rPr>
          <w:spacing w:val="-45"/>
        </w:rPr>
        <w:t> </w:t>
      </w:r>
      <w:r>
        <w:rPr>
          <w:rFonts w:ascii="Times New Roman" w:hAnsi="Times New Roman" w:cs="Times New Roman" w:eastAsia="Times New Roman" w:hint="default"/>
        </w:rPr>
        <w:t>10%</w:t>
      </w:r>
      <w:r>
        <w:rPr/>
        <w:t>，则可能影响本公司本期的净利润</w:t>
      </w:r>
      <w:r>
        <w:rPr>
          <w:spacing w:val="-46"/>
        </w:rPr>
        <w:t> </w:t>
      </w:r>
      <w:r>
        <w:rPr>
          <w:rFonts w:ascii="Times New Roman" w:hAnsi="Times New Roman" w:cs="Times New Roman" w:eastAsia="Times New Roman" w:hint="default"/>
        </w:rPr>
        <w:t>15.81</w:t>
      </w:r>
      <w:r>
        <w:rPr>
          <w:rFonts w:ascii="Times New Roman" w:hAnsi="Times New Roman" w:cs="Times New Roman" w:eastAsia="Times New Roman" w:hint="default"/>
          <w:spacing w:val="-1"/>
        </w:rPr>
        <w:t> </w:t>
      </w:r>
      <w:r>
        <w:rPr/>
        <w:t>万元。</w:t>
      </w:r>
    </w:p>
    <w:p>
      <w:pPr>
        <w:pStyle w:val="Heading4"/>
        <w:spacing w:line="240" w:lineRule="auto" w:before="102"/>
        <w:ind w:right="0"/>
        <w:jc w:val="left"/>
        <w:rPr>
          <w:b w:val="0"/>
          <w:bCs w:val="0"/>
        </w:rPr>
      </w:pPr>
      <w:r>
        <w:rPr/>
        <w:t>（</w:t>
      </w:r>
      <w:r>
        <w:rPr>
          <w:rFonts w:ascii="Times New Roman" w:hAnsi="Times New Roman" w:cs="Times New Roman" w:eastAsia="Times New Roman" w:hint="default"/>
        </w:rPr>
        <w:t>2</w:t>
      </w:r>
      <w:r>
        <w:rPr/>
        <w:t>）利率风险</w:t>
      </w:r>
      <w:r>
        <w:rPr>
          <w:b w:val="0"/>
          <w:bCs w:val="0"/>
        </w:rPr>
      </w:r>
    </w:p>
    <w:p>
      <w:pPr>
        <w:spacing w:after="0" w:line="240" w:lineRule="auto"/>
        <w:jc w:val="left"/>
        <w:sectPr>
          <w:pgSz w:w="11910" w:h="16840"/>
          <w:pgMar w:header="551" w:footer="979" w:top="1120" w:bottom="1160" w:left="960" w:right="0"/>
        </w:sectPr>
      </w:pPr>
    </w:p>
    <w:p>
      <w:pPr>
        <w:spacing w:line="240" w:lineRule="auto" w:before="5"/>
        <w:rPr>
          <w:rFonts w:ascii="宋体" w:hAnsi="宋体" w:cs="宋体" w:eastAsia="宋体" w:hint="default"/>
          <w:b/>
          <w:bCs/>
          <w:sz w:val="21"/>
          <w:szCs w:val="21"/>
        </w:rPr>
      </w:pPr>
    </w:p>
    <w:p>
      <w:pPr>
        <w:pStyle w:val="BodyText"/>
        <w:spacing w:line="319" w:lineRule="auto"/>
        <w:ind w:left="174" w:right="0" w:firstLine="360"/>
        <w:jc w:val="left"/>
      </w:pPr>
      <w:r>
        <w:rPr>
          <w:spacing w:val="-2"/>
        </w:rPr>
        <w:t>利率风险，是指金融工具的公允价值或未来现金流量因市场利率变动而发生波动的风险。利率风险可源于已确认的计息</w:t>
      </w:r>
      <w:r>
        <w:rPr/>
        <w:t> </w:t>
      </w:r>
      <w:r>
        <w:rPr>
          <w:spacing w:val="-4"/>
        </w:rPr>
        <w:t>金融工具和未确认的金融工具（如某些贷款承诺）。</w:t>
      </w:r>
    </w:p>
    <w:p>
      <w:pPr>
        <w:pStyle w:val="BodyText"/>
        <w:spacing w:line="240" w:lineRule="auto" w:before="56"/>
        <w:ind w:right="0"/>
        <w:jc w:val="left"/>
      </w:pPr>
      <w:r>
        <w:rPr/>
        <w:t>本公司的借款利率情况：年利率</w:t>
      </w:r>
      <w:r>
        <w:rPr>
          <w:spacing w:val="-48"/>
        </w:rPr>
        <w:t> </w:t>
      </w:r>
      <w:r>
        <w:rPr>
          <w:rFonts w:ascii="Times New Roman" w:hAnsi="Times New Roman" w:cs="Times New Roman" w:eastAsia="Times New Roman" w:hint="default"/>
        </w:rPr>
        <w:t>4.35%-7.395%</w:t>
      </w:r>
      <w:r>
        <w:rPr/>
        <w:t>。</w:t>
      </w:r>
    </w:p>
    <w:p>
      <w:pPr>
        <w:pStyle w:val="BodyText"/>
        <w:spacing w:line="240" w:lineRule="auto" w:before="103"/>
        <w:ind w:right="0"/>
        <w:jc w:val="left"/>
      </w:pPr>
      <w:r>
        <w:rPr/>
        <w:t>假设在其他条件不变的情况下，借款利率上升或下降</w:t>
      </w:r>
      <w:r>
        <w:rPr>
          <w:spacing w:val="-45"/>
        </w:rPr>
        <w:t> </w:t>
      </w:r>
      <w:r>
        <w:rPr>
          <w:rFonts w:ascii="Times New Roman" w:hAnsi="Times New Roman" w:cs="Times New Roman" w:eastAsia="Times New Roman" w:hint="default"/>
        </w:rPr>
        <w:t>10%</w:t>
      </w:r>
      <w:r>
        <w:rPr/>
        <w:t>，则可能影响本公司本期的净利润</w:t>
      </w:r>
      <w:r>
        <w:rPr>
          <w:spacing w:val="-46"/>
        </w:rPr>
        <w:t> </w:t>
      </w:r>
      <w:r>
        <w:rPr>
          <w:rFonts w:ascii="Times New Roman" w:hAnsi="Times New Roman" w:cs="Times New Roman" w:eastAsia="Times New Roman" w:hint="default"/>
        </w:rPr>
        <w:t>144.17</w:t>
      </w:r>
      <w:r>
        <w:rPr>
          <w:rFonts w:ascii="Times New Roman" w:hAnsi="Times New Roman" w:cs="Times New Roman" w:eastAsia="Times New Roman" w:hint="default"/>
          <w:spacing w:val="-1"/>
        </w:rPr>
        <w:t> </w:t>
      </w:r>
      <w:r>
        <w:rPr/>
        <w:t>万元。</w:t>
      </w:r>
    </w:p>
    <w:p>
      <w:pPr>
        <w:pStyle w:val="BodyText"/>
        <w:spacing w:line="338" w:lineRule="auto" w:before="103"/>
        <w:ind w:right="0"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）其他价格风险</w:t>
      </w:r>
      <w:r>
        <w:rPr>
          <w:rFonts w:ascii="宋体" w:hAnsi="宋体" w:cs="宋体" w:eastAsia="宋体" w:hint="default"/>
          <w:b/>
          <w:bCs/>
          <w:w w:val="99"/>
        </w:rPr>
        <w:t> </w:t>
      </w:r>
      <w:r>
        <w:rPr>
          <w:spacing w:val="-2"/>
        </w:rPr>
        <w:t>其他价格风险，是指汇率风险和利率风险以外的市场价格变动而发生波动的风险，无论这些变动是由于与单项金融工具</w:t>
      </w:r>
    </w:p>
    <w:p>
      <w:pPr>
        <w:pStyle w:val="BodyText"/>
        <w:spacing w:line="319" w:lineRule="auto" w:before="2"/>
        <w:ind w:left="174" w:right="0"/>
        <w:jc w:val="left"/>
      </w:pPr>
      <w:r>
        <w:rPr>
          <w:spacing w:val="-2"/>
        </w:rPr>
        <w:t>或其发行方有关的因素而引起的，还是由于与市场内交易的所有类似金融工具有关的因素而引起的。其他价格风险可源于商</w:t>
      </w:r>
      <w:r>
        <w:rPr>
          <w:spacing w:val="-63"/>
        </w:rPr>
        <w:t> </w:t>
      </w:r>
      <w:r>
        <w:rPr>
          <w:spacing w:val="-63"/>
        </w:rPr>
      </w:r>
      <w:r>
        <w:rPr/>
        <w:t>品价格或权益工具价格等的变化。</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关联方及关联交易" w:id="369"/>
      <w:bookmarkEnd w:id="369"/>
      <w:r>
        <w:rPr>
          <w:b w:val="0"/>
          <w:bCs w:val="0"/>
        </w:rPr>
      </w:r>
      <w:r>
        <w:rPr/>
        <w:t>十一、关联方及关联交易</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本企业的母公司情况" w:id="370"/>
      <w:bookmarkEnd w:id="37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2836"/>
        <w:gridCol w:w="1361"/>
        <w:gridCol w:w="1361"/>
        <w:gridCol w:w="1361"/>
        <w:gridCol w:w="1361"/>
        <w:gridCol w:w="1349"/>
      </w:tblGrid>
      <w:tr>
        <w:trPr>
          <w:trHeight w:val="56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4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5" w:right="45" w:hanging="181"/>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35" w:right="3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33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江苏东润金财投资管理有限公司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74" w:right="0"/>
              <w:jc w:val="left"/>
              <w:rPr>
                <w:rFonts w:ascii="Times New Roman" w:hAnsi="Times New Roman" w:cs="Times New Roman" w:eastAsia="Times New Roman" w:hint="default"/>
                <w:sz w:val="18"/>
                <w:szCs w:val="18"/>
              </w:rPr>
            </w:pPr>
            <w:r>
              <w:rPr>
                <w:rFonts w:ascii="Times New Roman"/>
                <w:sz w:val="18"/>
              </w:rPr>
              <w:t>19.75%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73" w:right="0"/>
              <w:jc w:val="left"/>
              <w:rPr>
                <w:rFonts w:ascii="Times New Roman" w:hAnsi="Times New Roman" w:cs="Times New Roman" w:eastAsia="Times New Roman" w:hint="default"/>
                <w:sz w:val="18"/>
                <w:szCs w:val="18"/>
              </w:rPr>
            </w:pPr>
            <w:r>
              <w:rPr>
                <w:rFonts w:ascii="Times New Roman"/>
                <w:sz w:val="18"/>
              </w:rPr>
              <w:t>19.75%</w:t>
            </w:r>
          </w:p>
        </w:tc>
      </w:tr>
    </w:tbl>
    <w:p>
      <w:pPr>
        <w:spacing w:line="240" w:lineRule="auto" w:before="9"/>
        <w:rPr>
          <w:rFonts w:ascii="宋体" w:hAnsi="宋体" w:cs="宋体" w:eastAsia="宋体" w:hint="default"/>
          <w:b/>
          <w:bCs/>
          <w:sz w:val="6"/>
          <w:szCs w:val="6"/>
        </w:rPr>
      </w:pPr>
    </w:p>
    <w:p>
      <w:pPr>
        <w:pStyle w:val="BodyText"/>
        <w:spacing w:line="240" w:lineRule="auto"/>
        <w:ind w:left="596" w:right="0" w:hanging="63"/>
        <w:jc w:val="left"/>
      </w:pPr>
      <w:r>
        <w:rPr/>
        <w:t>本企业最终控制方是朱文明。</w:t>
      </w:r>
    </w:p>
    <w:p>
      <w:pPr>
        <w:spacing w:line="240" w:lineRule="auto" w:before="4"/>
        <w:rPr>
          <w:rFonts w:ascii="宋体" w:hAnsi="宋体" w:cs="宋体" w:eastAsia="宋体" w:hint="default"/>
          <w:sz w:val="17"/>
          <w:szCs w:val="17"/>
        </w:rPr>
      </w:pPr>
    </w:p>
    <w:p>
      <w:pPr>
        <w:pStyle w:val="Heading3"/>
        <w:spacing w:line="240" w:lineRule="auto" w:before="0"/>
        <w:ind w:right="0"/>
        <w:jc w:val="left"/>
        <w:rPr>
          <w:b w:val="0"/>
          <w:bCs w:val="0"/>
        </w:rPr>
      </w:pPr>
      <w:bookmarkStart w:name="2、本企业的子公司情况" w:id="371"/>
      <w:bookmarkEnd w:id="371"/>
      <w:r>
        <w:rPr>
          <w:b w:val="0"/>
          <w:bCs w:val="0"/>
        </w:rPr>
      </w:r>
      <w:r>
        <w:rPr>
          <w:rFonts w:ascii="Times New Roman" w:hAnsi="Times New Roman" w:cs="Times New Roman" w:eastAsia="Times New Roman" w:hint="default"/>
        </w:rPr>
        <w:t>2</w:t>
      </w:r>
      <w:r>
        <w:rPr/>
        <w:t>、本企业的子公司情况</w:t>
      </w:r>
      <w:r>
        <w:rPr>
          <w:b w:val="0"/>
          <w:bCs w:val="0"/>
        </w:rPr>
      </w:r>
    </w:p>
    <w:p>
      <w:pPr>
        <w:pStyle w:val="BodyText"/>
        <w:spacing w:line="240" w:lineRule="auto" w:before="159"/>
        <w:ind w:right="0"/>
        <w:jc w:val="left"/>
      </w:pPr>
      <w:r>
        <w:rPr/>
        <w:t>本企业子公司的情况详见附注九</w:t>
      </w:r>
      <w:r>
        <w:rPr>
          <w:rFonts w:ascii="Times New Roman" w:hAnsi="Times New Roman" w:cs="Times New Roman" w:eastAsia="Times New Roman" w:hint="default"/>
        </w:rPr>
        <w:t>.1</w:t>
      </w:r>
      <w:r>
        <w:rPr/>
        <w:t>。</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3、本企业合营和联营企业情况" w:id="372"/>
      <w:bookmarkEnd w:id="372"/>
      <w:r>
        <w:rPr>
          <w:b w:val="0"/>
          <w:bCs w:val="0"/>
        </w:rPr>
      </w:r>
      <w:r>
        <w:rPr>
          <w:rFonts w:ascii="Times New Roman" w:hAnsi="Times New Roman" w:cs="Times New Roman" w:eastAsia="Times New Roman" w:hint="default"/>
        </w:rPr>
        <w:t>3</w:t>
      </w:r>
      <w:r>
        <w:rPr/>
        <w:t>、本企业合营和联营企业情况</w:t>
      </w:r>
      <w:r>
        <w:rPr>
          <w:b w:val="0"/>
          <w:bCs w:val="0"/>
        </w:rPr>
      </w:r>
    </w:p>
    <w:p>
      <w:pPr>
        <w:pStyle w:val="BodyText"/>
        <w:spacing w:line="240" w:lineRule="auto" w:before="160"/>
        <w:ind w:right="0"/>
        <w:jc w:val="left"/>
      </w:pPr>
      <w:r>
        <w:rPr/>
        <w:t>本企业重要的合营或联营企业详见附注九</w:t>
      </w:r>
      <w:r>
        <w:rPr>
          <w:rFonts w:ascii="Times New Roman" w:hAnsi="Times New Roman" w:cs="Times New Roman" w:eastAsia="Times New Roman" w:hint="default"/>
        </w:rPr>
        <w:t>.2</w:t>
      </w:r>
      <w:r>
        <w:rPr/>
        <w:t>。</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4、其他关联方情况" w:id="373"/>
      <w:bookmarkEnd w:id="37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11"/>
          <w:szCs w:val="11"/>
        </w:rPr>
      </w:pPr>
    </w:p>
    <w:tbl>
      <w:tblPr>
        <w:tblW w:w="0" w:type="auto"/>
        <w:jc w:val="left"/>
        <w:tblInd w:w="169" w:type="dxa"/>
        <w:tblLayout w:type="fixed"/>
        <w:tblCellMar>
          <w:top w:w="0" w:type="dxa"/>
          <w:left w:w="0" w:type="dxa"/>
          <w:bottom w:w="0" w:type="dxa"/>
          <w:right w:w="0" w:type="dxa"/>
        </w:tblCellMar>
        <w:tblLook w:val="01E0"/>
      </w:tblPr>
      <w:tblGrid>
        <w:gridCol w:w="4112"/>
        <w:gridCol w:w="5457"/>
      </w:tblGrid>
      <w:tr>
        <w:trPr>
          <w:trHeight w:val="330"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732"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3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w:t>
            </w:r>
            <w:r>
              <w:rPr>
                <w:rFonts w:ascii="宋体" w:hAnsi="宋体" w:cs="宋体" w:eastAsia="宋体" w:hint="default"/>
                <w:sz w:val="18"/>
                <w:szCs w:val="18"/>
              </w:rPr>
              <w:t>股份的股东</w:t>
            </w:r>
          </w:p>
        </w:tc>
      </w:tr>
      <w:tr>
        <w:trPr>
          <w:trHeight w:val="33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ISI</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ISI 18%</w:t>
            </w:r>
            <w:r>
              <w:rPr>
                <w:rFonts w:ascii="宋体" w:hAnsi="宋体" w:cs="宋体" w:eastAsia="宋体" w:hint="default"/>
                <w:sz w:val="18"/>
                <w:szCs w:val="18"/>
              </w:rPr>
              <w:t>的股权，本公司董事王毅先生兼任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ISI </w:t>
            </w:r>
            <w:r>
              <w:rPr>
                <w:rFonts w:ascii="宋体" w:hAnsi="宋体" w:cs="宋体" w:eastAsia="宋体" w:hint="default"/>
                <w:sz w:val="18"/>
                <w:szCs w:val="18"/>
              </w:rPr>
              <w:t>理事</w:t>
            </w:r>
          </w:p>
        </w:tc>
      </w:tr>
      <w:tr>
        <w:trPr>
          <w:trHeight w:val="33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本公司董事长朱文明先生控股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的企业</w:t>
            </w:r>
          </w:p>
        </w:tc>
      </w:tr>
      <w:tr>
        <w:trPr>
          <w:trHeight w:val="33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寰海保险经纪有限公司</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以上自然人股东控制的公司</w:t>
            </w:r>
          </w:p>
        </w:tc>
      </w:tr>
      <w:tr>
        <w:trPr>
          <w:trHeight w:val="33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福瑞购（天津）电子商务有限责任公司</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以上自然人股东控制的公司</w:t>
            </w:r>
          </w:p>
        </w:tc>
      </w:tr>
    </w:tbl>
    <w:p>
      <w:pPr>
        <w:spacing w:line="240" w:lineRule="auto" w:before="10"/>
        <w:rPr>
          <w:rFonts w:ascii="宋体" w:hAnsi="宋体" w:cs="宋体" w:eastAsia="宋体" w:hint="default"/>
          <w:b/>
          <w:bCs/>
          <w:sz w:val="9"/>
          <w:szCs w:val="9"/>
        </w:rPr>
      </w:pPr>
    </w:p>
    <w:p>
      <w:pPr>
        <w:pStyle w:val="Heading3"/>
        <w:spacing w:line="240" w:lineRule="auto"/>
        <w:ind w:right="0"/>
        <w:jc w:val="left"/>
        <w:rPr>
          <w:b w:val="0"/>
          <w:bCs w:val="0"/>
        </w:rPr>
      </w:pPr>
      <w:bookmarkStart w:name="5、关联交易情况" w:id="374"/>
      <w:bookmarkEnd w:id="374"/>
      <w:r>
        <w:rPr>
          <w:b w:val="0"/>
          <w:bCs w:val="0"/>
        </w:rPr>
      </w:r>
      <w:r>
        <w:rPr>
          <w:rFonts w:ascii="Times New Roman" w:hAnsi="Times New Roman" w:cs="Times New Roman" w:eastAsia="Times New Roman" w:hint="default"/>
        </w:rPr>
        <w:t>5</w:t>
      </w:r>
      <w:r>
        <w:rPr/>
        <w:t>、关联交易情况</w:t>
      </w:r>
      <w:r>
        <w:rPr>
          <w:b w:val="0"/>
          <w:bCs w:val="0"/>
        </w:rPr>
      </w:r>
    </w:p>
    <w:p>
      <w:pPr>
        <w:pStyle w:val="Heading3"/>
        <w:spacing w:line="240" w:lineRule="auto" w:before="189"/>
        <w:ind w:right="0"/>
        <w:jc w:val="left"/>
        <w:rPr>
          <w:b w:val="0"/>
          <w:bCs w:val="0"/>
        </w:rPr>
      </w:pPr>
      <w:bookmarkStart w:name="（1）购销商品、提供和接受劳务的关联交易" w:id="375"/>
      <w:bookmarkEnd w:id="37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pict>
          <v:group style="position:absolute;margin-left:266.799988pt;margin-top:97.741722pt;width:66.4pt;height:37.050pt;mso-position-horizontal-relative:page;mso-position-vertical-relative:paragraph;z-index:-1027456" coordorigin="5336,1955" coordsize="1328,741">
            <v:group style="position:absolute;left:5347;top:1966;width:2;height:321" coordorigin="5347,1966" coordsize="2,321">
              <v:shape style="position:absolute;left:5347;top:1966;width:2;height:321" coordorigin="5347,1966" coordsize="0,321" path="m5347,1966l5347,2287e" filled="false" stroked="true" strokeweight="1.140pt" strokecolor="#ffffff">
                <v:path arrowok="t"/>
              </v:shape>
            </v:group>
            <v:group style="position:absolute;left:5359;top:1966;width:1305;height:321" coordorigin="5359,1966" coordsize="1305,321">
              <v:shape style="position:absolute;left:5359;top:1966;width:1305;height:321" coordorigin="5359,1966" coordsize="1305,321" path="m5359,2287l6663,2287,6663,1966,5359,1966,5359,2287xe" filled="true" fillcolor="#ffffff" stroked="false">
                <v:path arrowok="t"/>
                <v:fill type="solid"/>
              </v:shape>
            </v:group>
            <v:group style="position:absolute;left:5347;top:2363;width:2;height:321" coordorigin="5347,2363" coordsize="2,321">
              <v:shape style="position:absolute;left:5347;top:2363;width:2;height:321" coordorigin="5347,2363" coordsize="0,321" path="m5347,2363l5347,2684e" filled="false" stroked="true" strokeweight="1.140pt" strokecolor="#ffffff">
                <v:path arrowok="t"/>
              </v:shape>
            </v:group>
            <v:group style="position:absolute;left:5359;top:2363;width:1305;height:321" coordorigin="5359,2363" coordsize="1305,321">
              <v:shape style="position:absolute;left:5359;top:2363;width:1305;height:321" coordorigin="5359,2363" coordsize="1305,321" path="m5359,2684l6663,2684,6663,2363,5359,2363,5359,2684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2836"/>
        <w:gridCol w:w="1361"/>
        <w:gridCol w:w="1361"/>
        <w:gridCol w:w="1361"/>
        <w:gridCol w:w="1305"/>
        <w:gridCol w:w="1361"/>
      </w:tblGrid>
      <w:tr>
        <w:trPr>
          <w:trHeight w:val="49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3"/>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67" w:right="107" w:hanging="360"/>
              <w:jc w:val="left"/>
              <w:rPr>
                <w:rFonts w:ascii="宋体" w:hAnsi="宋体" w:cs="宋体" w:eastAsia="宋体" w:hint="default"/>
                <w:sz w:val="18"/>
                <w:szCs w:val="18"/>
              </w:rPr>
            </w:pPr>
            <w:r>
              <w:rPr>
                <w:rFonts w:ascii="宋体" w:hAnsi="宋体" w:cs="宋体" w:eastAsia="宋体" w:hint="default"/>
                <w:sz w:val="18"/>
                <w:szCs w:val="18"/>
              </w:rPr>
              <w:t>是否超过交易 额度</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零件采购</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12,271,951.11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7,332,810.24</w:t>
            </w: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520,685.67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550,000.00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337,023.99</w:t>
            </w:r>
          </w:p>
        </w:tc>
      </w:tr>
      <w:tr>
        <w:trPr>
          <w:trHeight w:val="33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零件采购</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30,719,665.08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44,040,959.50</w:t>
            </w:r>
          </w:p>
        </w:tc>
      </w:tr>
      <w:tr>
        <w:trPr>
          <w:trHeight w:val="397"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pacing w:val="-7"/>
                <w:sz w:val="18"/>
                <w:szCs w:val="18"/>
              </w:rPr>
              <w:t>房屋租赁（承租</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tabs>
                <w:tab w:pos="518" w:val="left" w:leader="none"/>
              </w:tabs>
              <w:spacing w:line="240" w:lineRule="auto" w:before="55"/>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391,752.85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400,000.00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362,162.16</w:t>
            </w:r>
          </w:p>
        </w:tc>
      </w:tr>
      <w:tr>
        <w:trPr>
          <w:trHeight w:val="397"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pacing w:val="-7"/>
                <w:sz w:val="18"/>
                <w:szCs w:val="18"/>
              </w:rPr>
              <w:t>房屋租赁（承租</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tabs>
                <w:tab w:pos="383" w:val="left" w:leader="none"/>
              </w:tabs>
              <w:spacing w:line="240" w:lineRule="auto" w:before="55"/>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2,148,617.17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402"/>
        <w:gridCol w:w="2042"/>
        <w:gridCol w:w="2042"/>
        <w:gridCol w:w="2041"/>
      </w:tblGrid>
      <w:tr>
        <w:trPr>
          <w:trHeight w:val="330"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6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1,724,766.86</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1,246,593.40</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042"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7,606,837.63</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1,558,178.66</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1,876,448.35</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27,008.88</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35,880.34</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4,776,355.00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4,738,945.14</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515,135.02</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1,210,695.78</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房屋租赁（出租）</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142,857.12</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142,857.12</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寰海保险经纪有限公司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产品开发及服务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3,070,141.52</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福瑞购（天津）电子商务有限责任公司</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产品开发及服务</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2,938,001.91</w:t>
            </w:r>
          </w:p>
        </w:tc>
        <w:tc>
          <w:tcPr>
            <w:tcW w:w="20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关联租赁情况" w:id="376"/>
      <w:bookmarkEnd w:id="376"/>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19"/>
        <w:gridCol w:w="2156"/>
        <w:gridCol w:w="2156"/>
        <w:gridCol w:w="2155"/>
      </w:tblGrid>
      <w:tr>
        <w:trPr>
          <w:trHeight w:val="330"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3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11" w:right="0"/>
              <w:jc w:val="left"/>
              <w:rPr>
                <w:rFonts w:ascii="Times New Roman" w:hAnsi="Times New Roman" w:cs="Times New Roman" w:eastAsia="Times New Roman" w:hint="default"/>
                <w:sz w:val="18"/>
                <w:szCs w:val="18"/>
              </w:rPr>
            </w:pPr>
            <w:r>
              <w:rPr>
                <w:rFonts w:ascii="Times New Roman"/>
                <w:sz w:val="18"/>
              </w:rPr>
              <w:t>142,857.12</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11" w:right="0"/>
              <w:jc w:val="left"/>
              <w:rPr>
                <w:rFonts w:ascii="Times New Roman" w:hAnsi="Times New Roman" w:cs="Times New Roman" w:eastAsia="Times New Roman" w:hint="default"/>
                <w:sz w:val="18"/>
                <w:szCs w:val="18"/>
              </w:rPr>
            </w:pPr>
            <w:r>
              <w:rPr>
                <w:rFonts w:ascii="Times New Roman"/>
                <w:sz w:val="18"/>
              </w:rPr>
              <w:t>142,857.12</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119"/>
        <w:gridCol w:w="2156"/>
        <w:gridCol w:w="2156"/>
        <w:gridCol w:w="2155"/>
      </w:tblGrid>
      <w:tr>
        <w:trPr>
          <w:trHeight w:val="330"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3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51"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5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391,752.85</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11" w:right="0"/>
              <w:jc w:val="left"/>
              <w:rPr>
                <w:rFonts w:ascii="Times New Roman" w:hAnsi="Times New Roman" w:cs="Times New Roman" w:eastAsia="Times New Roman" w:hint="default"/>
                <w:sz w:val="18"/>
                <w:szCs w:val="18"/>
              </w:rPr>
            </w:pPr>
            <w:r>
              <w:rPr>
                <w:rFonts w:ascii="Times New Roman"/>
                <w:sz w:val="18"/>
              </w:rPr>
              <w:t>362,162.16</w:t>
            </w:r>
          </w:p>
        </w:tc>
      </w:tr>
      <w:tr>
        <w:trPr>
          <w:trHeight w:val="33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2,148,617.17</w:t>
            </w:r>
          </w:p>
        </w:tc>
        <w:tc>
          <w:tcPr>
            <w:tcW w:w="21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6、关联方应收应付款项" w:id="377"/>
      <w:bookmarkEnd w:id="377"/>
      <w:r>
        <w:rPr>
          <w:b w:val="0"/>
          <w:bCs w:val="0"/>
        </w:rPr>
      </w:r>
      <w:r>
        <w:rPr>
          <w:rFonts w:ascii="Times New Roman" w:hAnsi="Times New Roman" w:cs="Times New Roman" w:eastAsia="Times New Roman" w:hint="default"/>
        </w:rPr>
        <w:t>6</w:t>
      </w:r>
      <w:r>
        <w:rPr/>
        <w:t>、关联方应收应付款项</w:t>
      </w:r>
      <w:r>
        <w:rPr>
          <w:b w:val="0"/>
          <w:bCs w:val="0"/>
        </w:rPr>
      </w:r>
    </w:p>
    <w:p>
      <w:pPr>
        <w:pStyle w:val="Heading3"/>
        <w:spacing w:line="240" w:lineRule="auto" w:before="189"/>
        <w:ind w:right="0"/>
        <w:jc w:val="left"/>
        <w:rPr>
          <w:b w:val="0"/>
          <w:bCs w:val="0"/>
        </w:rPr>
      </w:pPr>
      <w:bookmarkStart w:name="（1）应收项目" w:id="378"/>
      <w:bookmarkEnd w:id="37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276"/>
        <w:gridCol w:w="2836"/>
        <w:gridCol w:w="1361"/>
        <w:gridCol w:w="1361"/>
        <w:gridCol w:w="1361"/>
        <w:gridCol w:w="1362"/>
      </w:tblGrid>
      <w:tr>
        <w:trPr>
          <w:trHeight w:val="33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2836" w:type="dxa"/>
            <w:vMerge/>
            <w:tcBorders>
              <w:left w:val="single" w:sz="4" w:space="0" w:color="000000"/>
              <w:bottom w:val="single" w:sz="4" w:space="0" w:color="000000"/>
              <w:right w:val="single" w:sz="4" w:space="0" w:color="000000"/>
            </w:tcBorders>
            <w:shd w:val="clear" w:color="auto" w:fill="D2D2D2"/>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232,285.61</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998,923.07</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847,542.57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1,485,857.67</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1,237,282.90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3,144,579.23</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11,965,691.30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5,553,217.00</w:t>
            </w:r>
          </w:p>
        </w:tc>
        <w:tc>
          <w:tcPr>
            <w:tcW w:w="13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应付项目" w:id="379"/>
      <w:bookmarkEnd w:id="37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985"/>
        <w:gridCol w:w="2800"/>
        <w:gridCol w:w="2392"/>
        <w:gridCol w:w="2392"/>
      </w:tblGrid>
      <w:tr>
        <w:trPr>
          <w:trHeight w:val="33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3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1,872,498.25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1,320,087.41</w:t>
            </w:r>
          </w:p>
        </w:tc>
      </w:tr>
      <w:tr>
        <w:trPr>
          <w:trHeight w:val="33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2,979,020.00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4,929,020.00</w:t>
            </w:r>
          </w:p>
        </w:tc>
      </w:tr>
      <w:tr>
        <w:trPr>
          <w:trHeight w:val="33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12,048,205.73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15,302,613.39</w:t>
            </w:r>
          </w:p>
        </w:tc>
      </w:tr>
      <w:tr>
        <w:trPr>
          <w:trHeight w:val="33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76,837.61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985"/>
        <w:gridCol w:w="2800"/>
        <w:gridCol w:w="2392"/>
        <w:gridCol w:w="2392"/>
      </w:tblGrid>
      <w:tr>
        <w:trPr>
          <w:trHeight w:val="33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14" w:right="0"/>
              <w:jc w:val="left"/>
              <w:rPr>
                <w:rFonts w:ascii="Times New Roman" w:hAnsi="Times New Roman" w:cs="Times New Roman" w:eastAsia="Times New Roman" w:hint="default"/>
                <w:sz w:val="18"/>
                <w:szCs w:val="18"/>
              </w:rPr>
            </w:pPr>
            <w:r>
              <w:rPr>
                <w:rFonts w:ascii="Times New Roman"/>
                <w:sz w:val="18"/>
              </w:rPr>
              <w:t>3,045,517.24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600.00</w:t>
            </w:r>
          </w:p>
        </w:tc>
      </w:tr>
      <w:tr>
        <w:trPr>
          <w:trHeight w:val="33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140,000.00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7、其他" w:id="380"/>
      <w:bookmarkEnd w:id="380"/>
      <w:r>
        <w:rPr>
          <w:b w:val="0"/>
          <w:bCs w:val="0"/>
        </w:rPr>
      </w:r>
      <w:r>
        <w:rPr>
          <w:rFonts w:ascii="Times New Roman" w:hAnsi="Times New Roman" w:cs="Times New Roman" w:eastAsia="Times New Roman" w:hint="default"/>
        </w:rPr>
        <w:t>7</w:t>
      </w:r>
      <w:r>
        <w:rPr/>
        <w:t>、其他</w:t>
      </w:r>
      <w:r>
        <w:rPr>
          <w:b w:val="0"/>
          <w:bCs w:val="0"/>
        </w:rPr>
      </w:r>
    </w:p>
    <w:p>
      <w:pPr>
        <w:pStyle w:val="BodyText"/>
        <w:spacing w:line="309" w:lineRule="auto" w:before="157"/>
        <w:ind w:left="174" w:right="1131" w:firstLine="360"/>
        <w:jc w:val="both"/>
      </w:pPr>
      <w:r>
        <w:rPr>
          <w:spacing w:val="-2"/>
        </w:rPr>
        <w:t>为建立与公司核心经营管理团队的利益分享机制，提高优秀人才的凝聚力，并形成长效激励体系，公司组织核心管理人</w:t>
      </w:r>
      <w:r>
        <w:rPr/>
        <w:t> </w:t>
      </w:r>
      <w:r>
        <w:rPr>
          <w:spacing w:val="-2"/>
        </w:rPr>
        <w:t>员及技术、业务团队成立了员工持股平台</w:t>
      </w:r>
      <w:r>
        <w:rPr>
          <w:rFonts w:ascii="Times New Roman" w:hAnsi="Times New Roman" w:cs="Times New Roman" w:eastAsia="Times New Roman" w:hint="default"/>
          <w:spacing w:val="-2"/>
        </w:rPr>
        <w:t>——</w:t>
      </w:r>
      <w:r>
        <w:rPr>
          <w:spacing w:val="-2"/>
        </w:rPr>
        <w:t>盐城大丰东鑫投资管理合伙企业（有限合伙）。公司董事朱小军先生兼任持股</w:t>
      </w:r>
      <w:r>
        <w:rPr>
          <w:spacing w:val="-66"/>
        </w:rPr>
        <w:t> </w:t>
      </w:r>
      <w:r>
        <w:rPr>
          <w:spacing w:val="-66"/>
        </w:rPr>
      </w:r>
      <w:r>
        <w:rPr>
          <w:spacing w:val="-2"/>
        </w:rPr>
        <w:t>平台执行事务合伙人，公司董事夏晓宇先生及高级管理人员房莉莉女士为有限合伙人。报告期内，员工持股平台向南京丰东</w:t>
      </w:r>
      <w:r>
        <w:rPr>
          <w:spacing w:val="-66"/>
        </w:rPr>
        <w:t> </w:t>
      </w:r>
      <w:r>
        <w:rPr>
          <w:spacing w:val="-66"/>
        </w:rPr>
      </w:r>
      <w:r>
        <w:rPr>
          <w:spacing w:val="-1"/>
        </w:rPr>
        <w:t>增资</w:t>
      </w:r>
      <w:r>
        <w:rPr>
          <w:rFonts w:ascii="Times New Roman" w:hAnsi="Times New Roman" w:cs="Times New Roman" w:eastAsia="Times New Roman" w:hint="default"/>
          <w:spacing w:val="-1"/>
        </w:rPr>
        <w:t>668.15</w:t>
      </w:r>
      <w:r>
        <w:rPr>
          <w:spacing w:val="-1"/>
        </w:rPr>
        <w:t>万元，丰东热技术放弃优先认缴权，增资后持股平台在南京丰东的持股比例为</w:t>
      </w:r>
      <w:r>
        <w:rPr>
          <w:rFonts w:ascii="Times New Roman" w:hAnsi="Times New Roman" w:cs="Times New Roman" w:eastAsia="Times New Roman" w:hint="default"/>
          <w:spacing w:val="-1"/>
        </w:rPr>
        <w:t>10%</w:t>
      </w:r>
      <w:r>
        <w:rPr>
          <w:spacing w:val="-1"/>
        </w:rPr>
        <w:t>，丰东热技术在南京丰东的持</w:t>
      </w:r>
      <w:r>
        <w:rPr>
          <w:spacing w:val="-43"/>
        </w:rPr>
        <w:t> </w:t>
      </w:r>
      <w:r>
        <w:rPr>
          <w:spacing w:val="-43"/>
        </w:rPr>
      </w:r>
      <w:r>
        <w:rPr/>
        <w:t>股比例由</w:t>
      </w:r>
      <w:r>
        <w:rPr>
          <w:rFonts w:ascii="Times New Roman" w:hAnsi="Times New Roman" w:cs="Times New Roman" w:eastAsia="Times New Roman" w:hint="default"/>
        </w:rPr>
        <w:t>90%</w:t>
      </w:r>
      <w:r>
        <w:rPr/>
        <w:t>下降为</w:t>
      </w:r>
      <w:r>
        <w:rPr>
          <w:rFonts w:ascii="Times New Roman" w:hAnsi="Times New Roman" w:cs="Times New Roman" w:eastAsia="Times New Roman" w:hint="default"/>
        </w:rPr>
        <w:t>70%</w:t>
      </w:r>
      <w:r>
        <w:rPr/>
        <w:t>。</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二、股份支付" w:id="381"/>
      <w:bookmarkEnd w:id="381"/>
      <w:r>
        <w:rPr>
          <w:b w:val="0"/>
          <w:bCs w:val="0"/>
        </w:rPr>
      </w:r>
      <w:r>
        <w:rPr/>
        <w:t>十二、股份支付</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股份支付总体情况" w:id="382"/>
      <w:bookmarkEnd w:id="382"/>
      <w:r>
        <w:rPr>
          <w:b w:val="0"/>
          <w:bCs w:val="0"/>
        </w:rPr>
      </w:r>
      <w:r>
        <w:rPr>
          <w:rFonts w:ascii="Times New Roman" w:hAnsi="Times New Roman" w:cs="Times New Roman" w:eastAsia="Times New Roman" w:hint="default"/>
        </w:rPr>
        <w:t>1</w:t>
      </w:r>
      <w:r>
        <w:rPr/>
        <w:t>、股份支付总体情况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2、以权益结算的股份支付情况" w:id="383"/>
      <w:bookmarkEnd w:id="383"/>
      <w:r>
        <w:rPr>
          <w:b w:val="0"/>
          <w:bCs w:val="0"/>
        </w:rPr>
      </w:r>
      <w:r>
        <w:rPr>
          <w:rFonts w:ascii="Times New Roman" w:hAnsi="Times New Roman" w:cs="Times New Roman" w:eastAsia="Times New Roman" w:hint="default"/>
        </w:rPr>
        <w:t>2</w:t>
      </w:r>
      <w:r>
        <w:rPr/>
        <w:t>、以权益结算的股份支付情况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3、以现金结算的股份支付情况" w:id="384"/>
      <w:bookmarkEnd w:id="384"/>
      <w:r>
        <w:rPr>
          <w:b w:val="0"/>
          <w:bCs w:val="0"/>
        </w:rPr>
      </w:r>
      <w:r>
        <w:rPr>
          <w:rFonts w:ascii="Times New Roman" w:hAnsi="Times New Roman" w:cs="Times New Roman" w:eastAsia="Times New Roman" w:hint="default"/>
        </w:rPr>
        <w:t>3</w:t>
      </w:r>
      <w:r>
        <w:rPr/>
        <w:t>、以现金结算的股份支付情况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4、股份支付的修改、终止情况" w:id="385"/>
      <w:bookmarkEnd w:id="385"/>
      <w:r>
        <w:rPr>
          <w:b w:val="0"/>
          <w:bCs w:val="0"/>
        </w:rPr>
      </w:r>
      <w:r>
        <w:rPr>
          <w:rFonts w:ascii="Times New Roman" w:hAnsi="Times New Roman" w:cs="Times New Roman" w:eastAsia="Times New Roman" w:hint="default"/>
        </w:rPr>
        <w:t>4</w:t>
      </w:r>
      <w:r>
        <w:rPr/>
        <w:t>、股份支付的修改、终止情况</w:t>
      </w:r>
      <w:r>
        <w:rPr>
          <w:b w:val="0"/>
          <w:bCs w:val="0"/>
        </w:rPr>
      </w:r>
    </w:p>
    <w:p>
      <w:pPr>
        <w:pStyle w:val="BodyText"/>
        <w:spacing w:line="240" w:lineRule="auto" w:before="157"/>
        <w:ind w:right="0"/>
        <w:jc w:val="left"/>
      </w:pPr>
      <w:r>
        <w:rPr/>
        <w:t>无</w:t>
      </w:r>
    </w:p>
    <w:p>
      <w:pPr>
        <w:spacing w:line="240" w:lineRule="auto" w:before="6"/>
        <w:rPr>
          <w:rFonts w:ascii="宋体" w:hAnsi="宋体" w:cs="宋体" w:eastAsia="宋体" w:hint="default"/>
          <w:sz w:val="17"/>
          <w:szCs w:val="17"/>
        </w:rPr>
      </w:pPr>
    </w:p>
    <w:p>
      <w:pPr>
        <w:pStyle w:val="Heading3"/>
        <w:spacing w:line="240" w:lineRule="auto" w:before="0"/>
        <w:ind w:right="0"/>
        <w:jc w:val="left"/>
        <w:rPr>
          <w:b w:val="0"/>
          <w:bCs w:val="0"/>
        </w:rPr>
      </w:pPr>
      <w:bookmarkStart w:name="5、其他" w:id="386"/>
      <w:bookmarkEnd w:id="386"/>
      <w:r>
        <w:rPr>
          <w:b w:val="0"/>
          <w:bCs w:val="0"/>
        </w:rPr>
      </w:r>
      <w:r>
        <w:rPr>
          <w:rFonts w:ascii="Times New Roman" w:hAnsi="Times New Roman" w:cs="Times New Roman" w:eastAsia="Times New Roman" w:hint="default"/>
        </w:rPr>
        <w:t>5</w:t>
      </w:r>
      <w:r>
        <w:rPr/>
        <w:t>、其他</w:t>
      </w:r>
      <w:r>
        <w:rPr>
          <w:b w:val="0"/>
          <w:bCs w:val="0"/>
        </w:rPr>
      </w:r>
    </w:p>
    <w:p>
      <w:pPr>
        <w:pStyle w:val="BodyText"/>
        <w:spacing w:line="240" w:lineRule="auto" w:before="157"/>
        <w:ind w:right="0"/>
        <w:jc w:val="left"/>
      </w:pPr>
      <w:r>
        <w:rPr/>
        <w:t>无</w:t>
      </w:r>
    </w:p>
    <w:p>
      <w:pPr>
        <w:spacing w:line="240" w:lineRule="auto" w:before="0"/>
        <w:rPr>
          <w:rFonts w:ascii="宋体" w:hAnsi="宋体" w:cs="宋体" w:eastAsia="宋体" w:hint="default"/>
          <w:sz w:val="18"/>
          <w:szCs w:val="18"/>
        </w:rPr>
      </w:pPr>
    </w:p>
    <w:p>
      <w:pPr>
        <w:pStyle w:val="Heading2"/>
        <w:spacing w:line="240" w:lineRule="auto" w:before="138"/>
        <w:ind w:right="0"/>
        <w:jc w:val="left"/>
        <w:rPr>
          <w:b w:val="0"/>
          <w:bCs w:val="0"/>
        </w:rPr>
      </w:pPr>
      <w:bookmarkStart w:name="十三、承诺及或有事项" w:id="387"/>
      <w:bookmarkEnd w:id="387"/>
      <w:r>
        <w:rPr>
          <w:b w:val="0"/>
          <w:bCs w:val="0"/>
        </w:rPr>
      </w:r>
      <w:r>
        <w:rPr/>
        <w:t>十三、承诺及或有事项</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重要承诺事项" w:id="388"/>
      <w:bookmarkEnd w:id="388"/>
      <w:r>
        <w:rPr>
          <w:b w:val="0"/>
          <w:bCs w:val="0"/>
        </w:rPr>
      </w:r>
      <w:r>
        <w:rPr>
          <w:rFonts w:ascii="Times New Roman" w:hAnsi="Times New Roman" w:cs="Times New Roman" w:eastAsia="Times New Roman" w:hint="default"/>
        </w:rPr>
        <w:t>1</w:t>
      </w:r>
      <w:r>
        <w:rPr/>
        <w:t>、重要承诺事项</w:t>
      </w:r>
      <w:r>
        <w:rPr>
          <w:b w:val="0"/>
          <w:bCs w:val="0"/>
        </w:rPr>
      </w:r>
    </w:p>
    <w:p>
      <w:pPr>
        <w:pStyle w:val="BodyText"/>
        <w:spacing w:line="357" w:lineRule="auto" w:before="158"/>
        <w:ind w:right="1122"/>
        <w:jc w:val="left"/>
      </w:pPr>
      <w:r>
        <w:rPr/>
        <w:t>资产负债表日存在的重要承诺 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日召开的第四届董事会第十次会议审议通过了《关于与清华大学五道口金融学院签订战略合作暨对外</w:t>
      </w:r>
    </w:p>
    <w:p>
      <w:pPr>
        <w:pStyle w:val="BodyText"/>
        <w:spacing w:line="201" w:lineRule="exact" w:before="0"/>
        <w:ind w:left="174" w:right="0"/>
        <w:jc w:val="left"/>
      </w:pPr>
      <w:r>
        <w:rPr/>
        <w:t>捐赠协议的议案》，并于同日与清华大学五道口金融学院（以下简称“清华五道口”）签订了《战略合作备忘录》，与清华</w:t>
      </w:r>
    </w:p>
    <w:p>
      <w:pPr>
        <w:pStyle w:val="BodyText"/>
        <w:spacing w:line="302" w:lineRule="auto" w:before="76"/>
        <w:ind w:left="174" w:right="1167"/>
        <w:jc w:val="left"/>
      </w:pPr>
      <w:r>
        <w:rPr/>
        <w:t>大学教育基金会签署了《捐赠协议书》，该合作期限为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日。公司承诺捐赠总额为</w:t>
      </w:r>
      <w:r>
        <w:rPr>
          <w:rFonts w:ascii="Times New Roman" w:hAnsi="Times New Roman" w:cs="Times New Roman" w:eastAsia="Times New Roman" w:hint="default"/>
        </w:rPr>
        <w:t>3,000</w:t>
      </w:r>
      <w:r>
        <w:rPr/>
        <w:t>万元人 民币，分五年支付，每年捐赠</w:t>
      </w:r>
      <w:r>
        <w:rPr>
          <w:rFonts w:ascii="Times New Roman" w:hAnsi="Times New Roman" w:cs="Times New Roman" w:eastAsia="Times New Roman" w:hint="default"/>
        </w:rPr>
        <w:t>600</w:t>
      </w:r>
      <w:r>
        <w:rPr/>
        <w:t>万元人民币。</w:t>
      </w:r>
    </w:p>
    <w:p>
      <w:pPr>
        <w:pStyle w:val="BodyText"/>
        <w:spacing w:line="240" w:lineRule="auto" w:before="49"/>
        <w:ind w:right="0"/>
        <w:jc w:val="left"/>
      </w:pPr>
      <w:r>
        <w:rPr/>
        <w:t>公司上海分公司与上海君德实业有限公司签订《租赁合同》，向其租赁办公楼，建筑面积</w:t>
      </w:r>
      <w:r>
        <w:rPr>
          <w:rFonts w:ascii="Times New Roman" w:hAnsi="Times New Roman" w:cs="Times New Roman" w:eastAsia="Times New Roman" w:hint="default"/>
        </w:rPr>
        <w:t>1,034.25</w:t>
      </w:r>
      <w:r>
        <w:rPr/>
        <w:t>平方米，租赁期限为</w:t>
      </w:r>
    </w:p>
    <w:p>
      <w:pPr>
        <w:pStyle w:val="BodyText"/>
        <w:spacing w:line="240" w:lineRule="auto" w:before="64"/>
        <w:ind w:left="17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日。各年租金如下：</w:t>
      </w:r>
    </w:p>
    <w:p>
      <w:pPr>
        <w:spacing w:line="240" w:lineRule="auto" w:before="12"/>
        <w:rPr>
          <w:rFonts w:ascii="宋体" w:hAnsi="宋体" w:cs="宋体" w:eastAsia="宋体" w:hint="default"/>
          <w:sz w:val="6"/>
          <w:szCs w:val="6"/>
        </w:rPr>
      </w:pPr>
    </w:p>
    <w:tbl>
      <w:tblPr>
        <w:tblW w:w="0" w:type="auto"/>
        <w:jc w:val="left"/>
        <w:tblInd w:w="415" w:type="dxa"/>
        <w:tblLayout w:type="fixed"/>
        <w:tblCellMar>
          <w:top w:w="0" w:type="dxa"/>
          <w:left w:w="0" w:type="dxa"/>
          <w:bottom w:w="0" w:type="dxa"/>
          <w:right w:w="0" w:type="dxa"/>
        </w:tblCellMar>
        <w:tblLook w:val="01E0"/>
      </w:tblPr>
      <w:tblGrid>
        <w:gridCol w:w="1149"/>
        <w:gridCol w:w="4806"/>
        <w:gridCol w:w="3191"/>
      </w:tblGrid>
      <w:tr>
        <w:trPr>
          <w:trHeight w:val="310" w:hRule="exact"/>
        </w:trPr>
        <w:tc>
          <w:tcPr>
            <w:tcW w:w="114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80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租赁日期</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租金（元）</w:t>
            </w:r>
            <w:r>
              <w:rPr>
                <w:rFonts w:ascii="宋体" w:hAnsi="宋体" w:cs="宋体" w:eastAsia="宋体" w:hint="default"/>
                <w:sz w:val="18"/>
                <w:szCs w:val="18"/>
              </w:rPr>
            </w:r>
          </w:p>
        </w:tc>
      </w:tr>
      <w:tr>
        <w:trPr>
          <w:trHeight w:val="311"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1,577,231.25</w:t>
            </w:r>
          </w:p>
        </w:tc>
      </w:tr>
      <w:tr>
        <w:trPr>
          <w:trHeight w:val="31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2</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2,019,631.69</w:t>
            </w:r>
          </w:p>
        </w:tc>
      </w:tr>
      <w:tr>
        <w:trPr>
          <w:trHeight w:val="311"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3</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2,161,005.91</w:t>
            </w:r>
          </w:p>
        </w:tc>
      </w:tr>
      <w:tr>
        <w:trPr>
          <w:trHeight w:val="31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4</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2,312,276.32</w:t>
            </w:r>
          </w:p>
        </w:tc>
      </w:tr>
      <w:tr>
        <w:trPr>
          <w:trHeight w:val="311"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5</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2,474,135.66</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300" w:lineRule="auto"/>
        <w:ind w:left="174" w:right="1167" w:firstLine="360"/>
        <w:jc w:val="left"/>
      </w:pPr>
      <w:r>
        <w:rPr/>
        <w:t>公司子公司丰东热技术与上海君德实业有限公司签订《租赁合同》，向其租赁办公楼，建筑面积</w:t>
      </w:r>
      <w:r>
        <w:rPr>
          <w:rFonts w:ascii="Times New Roman" w:hAnsi="Times New Roman" w:cs="Times New Roman" w:eastAsia="Times New Roman" w:hint="default"/>
        </w:rPr>
        <w:t>517.125</w:t>
      </w:r>
      <w:r>
        <w:rPr/>
        <w:t>平方米，租赁 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日。各年租金如下：</w:t>
      </w:r>
    </w:p>
    <w:p>
      <w:pPr>
        <w:spacing w:line="240" w:lineRule="auto" w:before="5"/>
        <w:rPr>
          <w:rFonts w:ascii="宋体" w:hAnsi="宋体" w:cs="宋体" w:eastAsia="宋体" w:hint="default"/>
          <w:sz w:val="9"/>
          <w:szCs w:val="9"/>
        </w:rPr>
      </w:pPr>
    </w:p>
    <w:tbl>
      <w:tblPr>
        <w:tblW w:w="0" w:type="auto"/>
        <w:jc w:val="left"/>
        <w:tblInd w:w="397" w:type="dxa"/>
        <w:tblLayout w:type="fixed"/>
        <w:tblCellMar>
          <w:top w:w="0" w:type="dxa"/>
          <w:left w:w="0" w:type="dxa"/>
          <w:bottom w:w="0" w:type="dxa"/>
          <w:right w:w="0" w:type="dxa"/>
        </w:tblCellMar>
        <w:tblLook w:val="01E0"/>
      </w:tblPr>
      <w:tblGrid>
        <w:gridCol w:w="1149"/>
        <w:gridCol w:w="4806"/>
        <w:gridCol w:w="3227"/>
      </w:tblGrid>
      <w:tr>
        <w:trPr>
          <w:trHeight w:val="350" w:hRule="exact"/>
        </w:trPr>
        <w:tc>
          <w:tcPr>
            <w:tcW w:w="114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80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sz w:val="18"/>
                <w:szCs w:val="18"/>
              </w:rPr>
              <w:t>租赁日期</w:t>
            </w:r>
            <w:r>
              <w:rPr>
                <w:rFonts w:ascii="宋体" w:hAnsi="宋体" w:cs="宋体" w:eastAsia="宋体" w:hint="default"/>
                <w:sz w:val="18"/>
                <w:szCs w:val="18"/>
              </w:rPr>
            </w:r>
          </w:p>
        </w:tc>
        <w:tc>
          <w:tcPr>
            <w:tcW w:w="322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租金（元）</w:t>
            </w:r>
            <w:r>
              <w:rPr>
                <w:rFonts w:ascii="宋体" w:hAnsi="宋体" w:cs="宋体" w:eastAsia="宋体" w:hint="default"/>
                <w:sz w:val="18"/>
                <w:szCs w:val="18"/>
              </w:rPr>
            </w:r>
          </w:p>
        </w:tc>
      </w:tr>
      <w:tr>
        <w:trPr>
          <w:trHeight w:val="35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1</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z w:val="18"/>
              </w:rPr>
              <w:t>788,615.63</w:t>
            </w:r>
          </w:p>
        </w:tc>
      </w:tr>
      <w:tr>
        <w:trPr>
          <w:trHeight w:val="35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1,009,815.84</w:t>
            </w:r>
          </w:p>
        </w:tc>
      </w:tr>
      <w:tr>
        <w:trPr>
          <w:trHeight w:val="35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3</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1,080,502.95</w:t>
            </w:r>
          </w:p>
        </w:tc>
      </w:tr>
      <w:tr>
        <w:trPr>
          <w:trHeight w:val="349"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4</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1,156,138.16</w:t>
            </w:r>
          </w:p>
        </w:tc>
      </w:tr>
      <w:tr>
        <w:trPr>
          <w:trHeight w:val="35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5</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1,237,067.83</w:t>
            </w:r>
          </w:p>
        </w:tc>
      </w:tr>
    </w:tbl>
    <w:p>
      <w:pPr>
        <w:spacing w:line="240" w:lineRule="auto" w:before="8"/>
        <w:rPr>
          <w:rFonts w:ascii="宋体" w:hAnsi="宋体" w:cs="宋体" w:eastAsia="宋体" w:hint="default"/>
          <w:sz w:val="6"/>
          <w:szCs w:val="6"/>
        </w:rPr>
      </w:pPr>
    </w:p>
    <w:p>
      <w:pPr>
        <w:pStyle w:val="BodyText"/>
        <w:spacing w:line="302" w:lineRule="auto"/>
        <w:ind w:left="174" w:right="1122"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日，方欣科技下属公司广州浪潮创新计算机科技服务有限公司与广州农业科技开发研究基地签订《租赁合 同》，向其租赁办公楼，占地面</w:t>
      </w:r>
      <w:r>
        <w:rPr>
          <w:rFonts w:ascii="Times New Roman" w:hAnsi="Times New Roman" w:cs="Times New Roman" w:eastAsia="Times New Roman" w:hint="default"/>
        </w:rPr>
        <w:t>1,090.40</w:t>
      </w:r>
      <w:r>
        <w:rPr/>
        <w:t>平方米，租赁期自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日止，每年租金</w:t>
      </w:r>
      <w:r>
        <w:rPr>
          <w:rFonts w:ascii="Times New Roman" w:hAnsi="Times New Roman" w:cs="Times New Roman" w:eastAsia="Times New Roman" w:hint="default"/>
        </w:rPr>
        <w:t>392,544.00</w:t>
      </w:r>
      <w:r>
        <w:rPr/>
        <w:t>元。</w:t>
      </w:r>
    </w:p>
    <w:p>
      <w:pPr>
        <w:pStyle w:val="BodyText"/>
        <w:spacing w:line="300" w:lineRule="auto" w:before="50"/>
        <w:ind w:left="174" w:right="1122"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月，方欣科技下属子公司金财互联数据服务有限公司与福建天创投资发展有限公司签订《房屋租赁合同》，向 其租赁办公楼，建筑面积</w:t>
      </w:r>
      <w:r>
        <w:rPr>
          <w:rFonts w:ascii="Times New Roman" w:hAnsi="Times New Roman" w:cs="Times New Roman" w:eastAsia="Times New Roman" w:hint="default"/>
        </w:rPr>
        <w:t>950.51</w:t>
      </w:r>
      <w:r>
        <w:rPr/>
        <w:t>平方米，租赁期自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日止，各年租金为</w:t>
      </w:r>
      <w:r>
        <w:rPr>
          <w:rFonts w:ascii="Times New Roman" w:hAnsi="Times New Roman" w:cs="Times New Roman" w:eastAsia="Times New Roman" w:hint="default"/>
        </w:rPr>
        <w:t>1,050,841.44</w:t>
      </w:r>
      <w:r>
        <w:rPr/>
        <w:t>元、 </w:t>
      </w:r>
      <w:r>
        <w:rPr>
          <w:rFonts w:ascii="Times New Roman" w:hAnsi="Times New Roman" w:cs="Times New Roman" w:eastAsia="Times New Roman" w:hint="default"/>
        </w:rPr>
        <w:t>1,103,348.88</w:t>
      </w:r>
      <w:r>
        <w:rPr/>
        <w:t>元、</w:t>
      </w:r>
      <w:r>
        <w:rPr>
          <w:rFonts w:ascii="Times New Roman" w:hAnsi="Times New Roman" w:cs="Times New Roman" w:eastAsia="Times New Roman" w:hint="default"/>
        </w:rPr>
        <w:t>1,158,253.92</w:t>
      </w:r>
      <w:r>
        <w:rPr/>
        <w:t>元及</w:t>
      </w:r>
      <w:r>
        <w:rPr>
          <w:rFonts w:ascii="Times New Roman" w:hAnsi="Times New Roman" w:cs="Times New Roman" w:eastAsia="Times New Roman" w:hint="default"/>
        </w:rPr>
        <w:t>1,216,169.28</w:t>
      </w:r>
      <w:r>
        <w:rPr/>
        <w:t>元。</w:t>
      </w:r>
    </w:p>
    <w:p>
      <w:pPr>
        <w:pStyle w:val="BodyText"/>
        <w:spacing w:line="300" w:lineRule="auto" w:before="51"/>
        <w:ind w:left="174"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日，丰东热技术下属子公司重庆丰东与重庆市超祥商贸有限公司签订《房屋租赁合同》，向其租用厂房及办</w:t>
      </w:r>
      <w:r>
        <w:rPr/>
        <w:t> </w:t>
      </w:r>
      <w:r>
        <w:rPr>
          <w:spacing w:val="-1"/>
        </w:rPr>
        <w:t>公楼房屋的建筑面积为</w:t>
      </w:r>
      <w:r>
        <w:rPr>
          <w:rFonts w:ascii="Times New Roman" w:hAnsi="Times New Roman" w:cs="Times New Roman" w:eastAsia="Times New Roman" w:hint="default"/>
          <w:spacing w:val="-1"/>
        </w:rPr>
        <w:t>5,763</w:t>
      </w:r>
      <w:r>
        <w:rPr>
          <w:spacing w:val="-1"/>
        </w:rPr>
        <w:t>平方米，租金标准为每平方米</w:t>
      </w:r>
      <w:r>
        <w:rPr>
          <w:rFonts w:ascii="Times New Roman" w:hAnsi="Times New Roman" w:cs="Times New Roman" w:eastAsia="Times New Roman" w:hint="default"/>
          <w:spacing w:val="-1"/>
        </w:rPr>
        <w:t>/</w:t>
      </w:r>
      <w:r>
        <w:rPr>
          <w:spacing w:val="-1"/>
        </w:rPr>
        <w:t>每月</w:t>
      </w:r>
      <w:r>
        <w:rPr>
          <w:rFonts w:ascii="Times New Roman" w:hAnsi="Times New Roman" w:cs="Times New Roman" w:eastAsia="Times New Roman" w:hint="default"/>
          <w:spacing w:val="-1"/>
        </w:rPr>
        <w:t>13.5</w:t>
      </w:r>
      <w:r>
        <w:rPr>
          <w:spacing w:val="-1"/>
        </w:rPr>
        <w:t>元；租用辅助房屋的面积为</w:t>
      </w:r>
      <w:r>
        <w:rPr>
          <w:rFonts w:ascii="Times New Roman" w:hAnsi="Times New Roman" w:cs="Times New Roman" w:eastAsia="Times New Roman" w:hint="default"/>
          <w:spacing w:val="-1"/>
        </w:rPr>
        <w:t>562</w:t>
      </w:r>
      <w:r>
        <w:rPr>
          <w:spacing w:val="-1"/>
        </w:rPr>
        <w:t>平方米，租金标准为每平</w:t>
      </w:r>
      <w:r>
        <w:rPr>
          <w:spacing w:val="-77"/>
        </w:rPr>
        <w:t> </w:t>
      </w:r>
      <w:r>
        <w:rPr>
          <w:spacing w:val="-77"/>
        </w:rPr>
      </w:r>
      <w:r>
        <w:rPr/>
        <w:t>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7</w:t>
      </w:r>
      <w:r>
        <w:rPr/>
        <w:t>元。自起租日起至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日租金不变。</w:t>
      </w:r>
    </w:p>
    <w:p>
      <w:pPr>
        <w:pStyle w:val="BodyText"/>
        <w:spacing w:line="300" w:lineRule="auto" w:before="51"/>
        <w:ind w:left="174"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月，方欣科技下属子公司北京金财纵横信息咨询服务有限公司与银谷控股集团有限公司北京资产管理分公司签 </w:t>
      </w:r>
      <w:r>
        <w:rPr>
          <w:spacing w:val="-2"/>
        </w:rPr>
        <w:t>订《商品房租赁合同》，向其租赁办公楼，建筑面积</w:t>
      </w:r>
      <w:r>
        <w:rPr>
          <w:rFonts w:ascii="Times New Roman" w:hAnsi="Times New Roman" w:cs="Times New Roman" w:eastAsia="Times New Roman" w:hint="default"/>
          <w:spacing w:val="-2"/>
        </w:rPr>
        <w:t>281.81</w:t>
      </w:r>
      <w:r>
        <w:rPr>
          <w:spacing w:val="-2"/>
        </w:rPr>
        <w:t>平方米，租赁期自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日止，年租金</w:t>
      </w:r>
      <w:r>
        <w:rPr>
          <w:spacing w:val="-55"/>
        </w:rPr>
        <w:t> </w:t>
      </w:r>
      <w:r>
        <w:rPr>
          <w:rFonts w:ascii="Times New Roman" w:hAnsi="Times New Roman" w:cs="Times New Roman" w:eastAsia="Times New Roman" w:hint="default"/>
        </w:rPr>
        <w:t>755,250.84</w:t>
      </w:r>
      <w:r>
        <w:rPr/>
        <w:t>元。</w:t>
      </w:r>
    </w:p>
    <w:p>
      <w:pPr>
        <w:pStyle w:val="BodyText"/>
        <w:spacing w:line="240" w:lineRule="auto" w:before="53"/>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日止，除上述承诺事项外公司未发生其他影响本财务报表阅读和理解的重大承诺事项。</w:t>
      </w:r>
    </w:p>
    <w:p>
      <w:pPr>
        <w:spacing w:line="240" w:lineRule="auto" w:before="4"/>
        <w:rPr>
          <w:rFonts w:ascii="宋体" w:hAnsi="宋体" w:cs="宋体" w:eastAsia="宋体" w:hint="default"/>
          <w:sz w:val="16"/>
          <w:szCs w:val="16"/>
        </w:rPr>
      </w:pPr>
    </w:p>
    <w:p>
      <w:pPr>
        <w:pStyle w:val="Heading3"/>
        <w:spacing w:line="240" w:lineRule="auto" w:before="0"/>
        <w:ind w:right="0"/>
        <w:jc w:val="left"/>
        <w:rPr>
          <w:b w:val="0"/>
          <w:bCs w:val="0"/>
        </w:rPr>
      </w:pPr>
      <w:bookmarkStart w:name="2、或有事项" w:id="389"/>
      <w:bookmarkEnd w:id="389"/>
      <w:r>
        <w:rPr>
          <w:b w:val="0"/>
          <w:bCs w:val="0"/>
        </w:rPr>
      </w:r>
      <w:r>
        <w:rPr>
          <w:rFonts w:ascii="Times New Roman" w:hAnsi="Times New Roman" w:cs="Times New Roman" w:eastAsia="Times New Roman" w:hint="default"/>
        </w:rPr>
        <w:t>2</w:t>
      </w:r>
      <w:r>
        <w:rPr/>
        <w:t>、或有事项</w:t>
      </w:r>
      <w:r>
        <w:rPr>
          <w:b w:val="0"/>
          <w:bCs w:val="0"/>
        </w:rPr>
      </w:r>
    </w:p>
    <w:p>
      <w:pPr>
        <w:pStyle w:val="Heading3"/>
        <w:spacing w:line="240" w:lineRule="auto" w:before="190"/>
        <w:ind w:right="0"/>
        <w:jc w:val="left"/>
        <w:rPr>
          <w:b w:val="0"/>
          <w:bCs w:val="0"/>
        </w:rPr>
      </w:pPr>
      <w:bookmarkStart w:name="（1）资产负债表日存在的重要或有事项" w:id="390"/>
      <w:bookmarkEnd w:id="39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pStyle w:val="BodyText"/>
        <w:spacing w:line="240" w:lineRule="auto" w:before="157"/>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日止，公司未发生影响本财务报表阅读和理解的或有事项。</w:t>
      </w:r>
    </w:p>
    <w:p>
      <w:pPr>
        <w:spacing w:line="240" w:lineRule="auto" w:before="6"/>
        <w:rPr>
          <w:rFonts w:ascii="宋体" w:hAnsi="宋体" w:cs="宋体" w:eastAsia="宋体" w:hint="default"/>
          <w:sz w:val="16"/>
          <w:szCs w:val="16"/>
        </w:rPr>
      </w:pPr>
    </w:p>
    <w:p>
      <w:pPr>
        <w:pStyle w:val="Heading3"/>
        <w:spacing w:line="240" w:lineRule="auto" w:before="0"/>
        <w:ind w:right="0"/>
        <w:jc w:val="left"/>
        <w:rPr>
          <w:b w:val="0"/>
          <w:bCs w:val="0"/>
        </w:rPr>
      </w:pPr>
      <w:bookmarkStart w:name="（2）公司没有需要披露的重要或有事项，也应予以说明" w:id="391"/>
      <w:bookmarkEnd w:id="39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pStyle w:val="BodyText"/>
        <w:spacing w:line="240" w:lineRule="auto" w:before="158"/>
        <w:ind w:right="0"/>
        <w:jc w:val="left"/>
      </w:pPr>
      <w:r>
        <w:rPr/>
        <w:t>公司不存在需要披露的重要或有事项。</w:t>
      </w:r>
    </w:p>
    <w:p>
      <w:pPr>
        <w:spacing w:line="240" w:lineRule="auto" w:before="4"/>
        <w:rPr>
          <w:rFonts w:ascii="宋体" w:hAnsi="宋体" w:cs="宋体" w:eastAsia="宋体" w:hint="default"/>
          <w:sz w:val="17"/>
          <w:szCs w:val="17"/>
        </w:rPr>
      </w:pPr>
    </w:p>
    <w:p>
      <w:pPr>
        <w:pStyle w:val="Heading3"/>
        <w:spacing w:line="240" w:lineRule="auto" w:before="0"/>
        <w:ind w:right="0"/>
        <w:jc w:val="left"/>
        <w:rPr>
          <w:b w:val="0"/>
          <w:bCs w:val="0"/>
        </w:rPr>
      </w:pPr>
      <w:bookmarkStart w:name="3、其他" w:id="392"/>
      <w:bookmarkEnd w:id="392"/>
      <w:r>
        <w:rPr>
          <w:b w:val="0"/>
          <w:bCs w:val="0"/>
        </w:rPr>
      </w:r>
      <w:r>
        <w:rPr>
          <w:rFonts w:ascii="Times New Roman" w:hAnsi="Times New Roman" w:cs="Times New Roman" w:eastAsia="Times New Roman" w:hint="default"/>
        </w:rPr>
        <w:t>3</w:t>
      </w:r>
      <w:r>
        <w:rPr/>
        <w:t>、其他</w:t>
      </w:r>
      <w:r>
        <w:rPr>
          <w:b w:val="0"/>
          <w:bCs w:val="0"/>
        </w:rPr>
      </w:r>
    </w:p>
    <w:p>
      <w:pPr>
        <w:pStyle w:val="BodyText"/>
        <w:spacing w:line="300" w:lineRule="auto" w:before="158"/>
        <w:ind w:left="174" w:right="1132" w:firstLine="360"/>
        <w:jc w:val="both"/>
      </w:pPr>
      <w:r>
        <w:rPr>
          <w:rFonts w:ascii="Times New Roman" w:hAnsi="Times New Roman" w:cs="Times New Roman" w:eastAsia="Times New Roman" w:hint="default"/>
          <w:spacing w:val="-1"/>
        </w:rPr>
        <w:t>3.1</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日止，丰东热技术下属子公司盐城丰东特种炉业有限公司将位于大丰区经济开发区昌平路</w:t>
      </w:r>
      <w:r>
        <w:rPr>
          <w:rFonts w:ascii="Times New Roman" w:hAnsi="Times New Roman" w:cs="Times New Roman" w:eastAsia="Times New Roman" w:hint="default"/>
          <w:spacing w:val="-1"/>
        </w:rPr>
        <w:t>7</w:t>
      </w:r>
      <w:r>
        <w:rPr>
          <w:spacing w:val="-1"/>
        </w:rPr>
        <w:t>号的自</w:t>
      </w:r>
      <w:r>
        <w:rPr/>
        <w:t> 有房产及土地使用权，抵押给江苏大丰农村商业银行，取得期末</w:t>
      </w:r>
      <w:r>
        <w:rPr>
          <w:rFonts w:ascii="Times New Roman" w:hAnsi="Times New Roman" w:cs="Times New Roman" w:eastAsia="Times New Roman" w:hint="default"/>
        </w:rPr>
        <w:t>650</w:t>
      </w:r>
      <w:r>
        <w:rPr/>
        <w:t>万元流动资金抵押担保借款，抵押期限为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 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w:t>
      </w:r>
    </w:p>
    <w:p>
      <w:pPr>
        <w:pStyle w:val="BodyText"/>
        <w:spacing w:line="300" w:lineRule="auto" w:before="51"/>
        <w:ind w:left="174" w:right="1077" w:firstLine="360"/>
        <w:jc w:val="left"/>
      </w:pPr>
      <w:r>
        <w:rPr>
          <w:rFonts w:ascii="Times New Roman" w:hAnsi="Times New Roman" w:cs="Times New Roman" w:eastAsia="Times New Roman" w:hint="default"/>
        </w:rPr>
        <w:t>3.2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日止，方欣科技下属子公司益东金财将位于广州市萝岗区科学大道</w:t>
      </w:r>
      <w:r>
        <w:rPr>
          <w:rFonts w:ascii="Times New Roman" w:hAnsi="Times New Roman" w:cs="Times New Roman" w:eastAsia="Times New Roman" w:hint="default"/>
        </w:rPr>
        <w:t>82-88</w:t>
      </w:r>
      <w:r>
        <w:rPr/>
        <w:t>号（双号）</w:t>
      </w:r>
      <w:r>
        <w:rPr>
          <w:rFonts w:ascii="Times New Roman" w:hAnsi="Times New Roman" w:cs="Times New Roman" w:eastAsia="Times New Roman" w:hint="default"/>
        </w:rPr>
        <w:t>C3</w:t>
      </w:r>
      <w:r>
        <w:rPr/>
        <w:t>栋的房产， </w:t>
      </w:r>
      <w:r>
        <w:rPr>
          <w:spacing w:val="-2"/>
        </w:rPr>
        <w:t>抵押给民生银行，取得期末</w:t>
      </w:r>
      <w:r>
        <w:rPr>
          <w:rFonts w:ascii="Times New Roman" w:hAnsi="Times New Roman" w:cs="Times New Roman" w:eastAsia="Times New Roman" w:hint="default"/>
          <w:spacing w:val="-2"/>
        </w:rPr>
        <w:t>95,823,521.05</w:t>
      </w:r>
      <w:r>
        <w:rPr>
          <w:spacing w:val="-2"/>
        </w:rPr>
        <w:t>元的长期借款（含一年内到期的非流动负债</w:t>
      </w:r>
      <w:r>
        <w:rPr>
          <w:rFonts w:ascii="Times New Roman" w:hAnsi="Times New Roman" w:cs="Times New Roman" w:eastAsia="Times New Roman" w:hint="default"/>
          <w:spacing w:val="-2"/>
        </w:rPr>
        <w:t>9,100,713.88</w:t>
      </w:r>
      <w:r>
        <w:rPr>
          <w:spacing w:val="-2"/>
        </w:rPr>
        <w:t>元），抵押期限为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 </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2027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w:t>
      </w:r>
    </w:p>
    <w:p>
      <w:pPr>
        <w:spacing w:after="0" w:line="300" w:lineRule="auto"/>
        <w:jc w:val="left"/>
        <w:sectPr>
          <w:pgSz w:w="11910" w:h="16840"/>
          <w:pgMar w:header="551" w:footer="979" w:top="1120" w:bottom="1160" w:left="960" w:right="0"/>
        </w:sectPr>
      </w:pPr>
    </w:p>
    <w:p>
      <w:pPr>
        <w:spacing w:line="240" w:lineRule="auto" w:before="7"/>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3.3</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日止，公司持股</w:t>
      </w:r>
      <w:r>
        <w:rPr>
          <w:rFonts w:ascii="Times New Roman" w:hAnsi="Times New Roman" w:cs="Times New Roman" w:eastAsia="Times New Roman" w:hint="default"/>
        </w:rPr>
        <w:t>5%</w:t>
      </w:r>
      <w:r>
        <w:rPr/>
        <w:t>以上股东所持股份质押情况如下：</w:t>
      </w:r>
    </w:p>
    <w:p>
      <w:pPr>
        <w:spacing w:line="240" w:lineRule="auto" w:before="13"/>
        <w:rPr>
          <w:rFonts w:ascii="宋体" w:hAnsi="宋体" w:cs="宋体" w:eastAsia="宋体" w:hint="default"/>
          <w:sz w:val="6"/>
          <w:szCs w:val="6"/>
        </w:rPr>
      </w:pPr>
    </w:p>
    <w:tbl>
      <w:tblPr>
        <w:tblW w:w="0" w:type="auto"/>
        <w:jc w:val="left"/>
        <w:tblInd w:w="169" w:type="dxa"/>
        <w:tblLayout w:type="fixed"/>
        <w:tblCellMar>
          <w:top w:w="0" w:type="dxa"/>
          <w:left w:w="0" w:type="dxa"/>
          <w:bottom w:w="0" w:type="dxa"/>
          <w:right w:w="0" w:type="dxa"/>
        </w:tblCellMar>
        <w:tblLook w:val="01E0"/>
      </w:tblPr>
      <w:tblGrid>
        <w:gridCol w:w="994"/>
        <w:gridCol w:w="850"/>
        <w:gridCol w:w="1190"/>
        <w:gridCol w:w="1192"/>
        <w:gridCol w:w="1190"/>
        <w:gridCol w:w="2552"/>
        <w:gridCol w:w="709"/>
        <w:gridCol w:w="851"/>
      </w:tblGrid>
      <w:tr>
        <w:trPr>
          <w:trHeight w:val="830"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auto" w:before="66"/>
              <w:ind w:left="44" w:right="43"/>
              <w:jc w:val="both"/>
              <w:rPr>
                <w:rFonts w:ascii="宋体" w:hAnsi="宋体" w:cs="宋体" w:eastAsia="宋体" w:hint="default"/>
                <w:sz w:val="15"/>
                <w:szCs w:val="15"/>
              </w:rPr>
            </w:pPr>
            <w:r>
              <w:rPr>
                <w:rFonts w:ascii="宋体" w:hAnsi="宋体" w:cs="宋体" w:eastAsia="宋体" w:hint="default"/>
                <w:sz w:val="15"/>
                <w:szCs w:val="15"/>
              </w:rPr>
              <w:t>是否为第一 大股东及一 致行动人</w:t>
            </w:r>
          </w:p>
        </w:tc>
        <w:tc>
          <w:tcPr>
            <w:tcW w:w="1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质押股数</w:t>
            </w:r>
          </w:p>
        </w:tc>
        <w:tc>
          <w:tcPr>
            <w:tcW w:w="1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131"/>
              <w:ind w:left="411" w:right="228" w:hanging="180"/>
              <w:jc w:val="left"/>
              <w:rPr>
                <w:rFonts w:ascii="宋体" w:hAnsi="宋体" w:cs="宋体" w:eastAsia="宋体" w:hint="default"/>
                <w:sz w:val="18"/>
                <w:szCs w:val="18"/>
              </w:rPr>
            </w:pPr>
            <w:r>
              <w:rPr>
                <w:rFonts w:ascii="宋体" w:hAnsi="宋体" w:cs="宋体" w:eastAsia="宋体" w:hint="default"/>
                <w:sz w:val="18"/>
                <w:szCs w:val="18"/>
              </w:rPr>
              <w:t>质押开始 日期</w:t>
            </w:r>
          </w:p>
        </w:tc>
        <w:tc>
          <w:tcPr>
            <w:tcW w:w="1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131"/>
              <w:ind w:left="320" w:right="318" w:firstLine="90"/>
              <w:jc w:val="left"/>
              <w:rPr>
                <w:rFonts w:ascii="宋体" w:hAnsi="宋体" w:cs="宋体" w:eastAsia="宋体" w:hint="default"/>
                <w:sz w:val="18"/>
                <w:szCs w:val="18"/>
              </w:rPr>
            </w:pPr>
            <w:r>
              <w:rPr>
                <w:rFonts w:ascii="宋体" w:hAnsi="宋体" w:cs="宋体" w:eastAsia="宋体" w:hint="default"/>
                <w:sz w:val="18"/>
                <w:szCs w:val="18"/>
              </w:rPr>
              <w:t>质押 到期日</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709"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92" w:lineRule="auto" w:before="66"/>
              <w:ind w:left="50" w:right="47"/>
              <w:jc w:val="both"/>
              <w:rPr>
                <w:rFonts w:ascii="宋体" w:hAnsi="宋体" w:cs="宋体" w:eastAsia="宋体" w:hint="default"/>
                <w:sz w:val="15"/>
                <w:szCs w:val="15"/>
              </w:rPr>
            </w:pPr>
            <w:r>
              <w:rPr>
                <w:rFonts w:ascii="宋体" w:hAnsi="宋体" w:cs="宋体" w:eastAsia="宋体" w:hint="default"/>
                <w:sz w:val="15"/>
                <w:szCs w:val="15"/>
              </w:rPr>
              <w:t>质押股份 占其所持 股份比例</w:t>
            </w:r>
          </w:p>
        </w:tc>
        <w:tc>
          <w:tcPr>
            <w:tcW w:w="851"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3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38,400,000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2016/12/13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2019/08/02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招商银行股份有限公司苏州分行</w:t>
            </w:r>
          </w:p>
        </w:tc>
        <w:tc>
          <w:tcPr>
            <w:tcW w:w="70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4"/>
              <w:ind w:left="73" w:right="0"/>
              <w:jc w:val="left"/>
              <w:rPr>
                <w:rFonts w:ascii="Times New Roman" w:hAnsi="Times New Roman" w:cs="Times New Roman" w:eastAsia="Times New Roman" w:hint="default"/>
                <w:sz w:val="18"/>
                <w:szCs w:val="18"/>
              </w:rPr>
            </w:pPr>
            <w:r>
              <w:rPr>
                <w:rFonts w:ascii="Times New Roman"/>
                <w:sz w:val="18"/>
              </w:rPr>
              <w:t>24.77%</w:t>
            </w:r>
          </w:p>
        </w:tc>
        <w:tc>
          <w:tcPr>
            <w:tcW w:w="85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z w:val="18"/>
              </w:rPr>
              <w:t>4,128,000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2017/01/09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2020/01/08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73"/>
              <w:ind w:left="117" w:right="0"/>
              <w:jc w:val="left"/>
              <w:rPr>
                <w:rFonts w:ascii="Times New Roman" w:hAnsi="Times New Roman" w:cs="Times New Roman" w:eastAsia="Times New Roman" w:hint="default"/>
                <w:sz w:val="18"/>
                <w:szCs w:val="18"/>
              </w:rPr>
            </w:pPr>
            <w:r>
              <w:rPr>
                <w:rFonts w:ascii="Times New Roman"/>
                <w:sz w:val="18"/>
              </w:rPr>
              <w:t>2.66%</w:t>
            </w:r>
          </w:p>
        </w:tc>
        <w:tc>
          <w:tcPr>
            <w:tcW w:w="85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1,028,800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2017/03/09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2020/03/06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4"/>
              <w:ind w:left="117" w:right="0"/>
              <w:jc w:val="left"/>
              <w:rPr>
                <w:rFonts w:ascii="Times New Roman" w:hAnsi="Times New Roman" w:cs="Times New Roman" w:eastAsia="Times New Roman" w:hint="default"/>
                <w:sz w:val="18"/>
                <w:szCs w:val="18"/>
              </w:rPr>
            </w:pPr>
            <w:r>
              <w:rPr>
                <w:rFonts w:ascii="Times New Roman"/>
                <w:sz w:val="18"/>
              </w:rPr>
              <w:t>0.66%</w:t>
            </w:r>
          </w:p>
        </w:tc>
        <w:tc>
          <w:tcPr>
            <w:tcW w:w="8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2,043,200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2017/01/11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2020/01/10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117" w:right="0"/>
              <w:jc w:val="left"/>
              <w:rPr>
                <w:rFonts w:ascii="Times New Roman" w:hAnsi="Times New Roman" w:cs="Times New Roman" w:eastAsia="Times New Roman" w:hint="default"/>
                <w:sz w:val="18"/>
                <w:szCs w:val="18"/>
              </w:rPr>
            </w:pPr>
            <w:r>
              <w:rPr>
                <w:rFonts w:ascii="Times New Roman"/>
                <w:sz w:val="18"/>
              </w:rPr>
              <w:t>1.32%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z w:val="18"/>
              </w:rPr>
              <w:t>1,200,000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2017/12/14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2019/12/13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117" w:right="0"/>
              <w:jc w:val="left"/>
              <w:rPr>
                <w:rFonts w:ascii="Times New Roman" w:hAnsi="Times New Roman" w:cs="Times New Roman" w:eastAsia="Times New Roman" w:hint="default"/>
                <w:sz w:val="18"/>
                <w:szCs w:val="18"/>
              </w:rPr>
            </w:pPr>
            <w:r>
              <w:rPr>
                <w:rFonts w:ascii="Times New Roman"/>
                <w:sz w:val="18"/>
              </w:rPr>
              <w:t>0.77%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16,000,000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2017/12/25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2020/01/23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73" w:right="0"/>
              <w:jc w:val="left"/>
              <w:rPr>
                <w:rFonts w:ascii="Times New Roman" w:hAnsi="Times New Roman" w:cs="Times New Roman" w:eastAsia="Times New Roman" w:hint="default"/>
                <w:sz w:val="18"/>
                <w:szCs w:val="18"/>
              </w:rPr>
            </w:pPr>
            <w:r>
              <w:rPr>
                <w:rFonts w:ascii="Times New Roman"/>
                <w:sz w:val="18"/>
              </w:rPr>
              <w:t>10.32%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10,000,000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2018/06/20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2019/08/02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招商银行股份有限公司苏州分行</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117" w:right="0"/>
              <w:jc w:val="left"/>
              <w:rPr>
                <w:rFonts w:ascii="Times New Roman" w:hAnsi="Times New Roman" w:cs="Times New Roman" w:eastAsia="Times New Roman" w:hint="default"/>
                <w:sz w:val="18"/>
                <w:szCs w:val="18"/>
              </w:rPr>
            </w:pPr>
            <w:r>
              <w:rPr>
                <w:rFonts w:ascii="Times New Roman"/>
                <w:sz w:val="18"/>
              </w:rPr>
              <w:t>6.45%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z w:val="18"/>
              </w:rPr>
              <w:t>16,000,000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2018/03/09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2020/03/09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申万宏源西部证券有限公司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73" w:right="0"/>
              <w:jc w:val="left"/>
              <w:rPr>
                <w:rFonts w:ascii="Times New Roman" w:hAnsi="Times New Roman" w:cs="Times New Roman" w:eastAsia="Times New Roman" w:hint="default"/>
                <w:sz w:val="18"/>
                <w:szCs w:val="18"/>
              </w:rPr>
            </w:pPr>
            <w:r>
              <w:rPr>
                <w:rFonts w:ascii="Times New Roman"/>
                <w:sz w:val="18"/>
              </w:rPr>
              <w:t>10.32%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290,000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2018/07/05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2020/01/08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117" w:right="0"/>
              <w:jc w:val="left"/>
              <w:rPr>
                <w:rFonts w:ascii="Times New Roman" w:hAnsi="Times New Roman" w:cs="Times New Roman" w:eastAsia="Times New Roman" w:hint="default"/>
                <w:sz w:val="18"/>
                <w:szCs w:val="18"/>
              </w:rPr>
            </w:pPr>
            <w:r>
              <w:rPr>
                <w:rFonts w:ascii="Times New Roman"/>
                <w:sz w:val="18"/>
              </w:rPr>
              <w:t>0.19%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140,000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2018/07/05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2020/01/10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117" w:right="0"/>
              <w:jc w:val="left"/>
              <w:rPr>
                <w:rFonts w:ascii="Times New Roman" w:hAnsi="Times New Roman" w:cs="Times New Roman" w:eastAsia="Times New Roman" w:hint="default"/>
                <w:sz w:val="18"/>
                <w:szCs w:val="18"/>
              </w:rPr>
            </w:pPr>
            <w:r>
              <w:rPr>
                <w:rFonts w:ascii="Times New Roman"/>
                <w:sz w:val="18"/>
              </w:rPr>
              <w:t>0.09%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70,000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2018/07/05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2020/03/06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73" w:right="0"/>
              <w:jc w:val="left"/>
              <w:rPr>
                <w:rFonts w:ascii="Times New Roman" w:hAnsi="Times New Roman" w:cs="Times New Roman" w:eastAsia="Times New Roman" w:hint="default"/>
                <w:sz w:val="18"/>
                <w:szCs w:val="18"/>
              </w:rPr>
            </w:pPr>
            <w:r>
              <w:rPr>
                <w:rFonts w:ascii="Times New Roman"/>
                <w:sz w:val="18"/>
              </w:rPr>
              <w:t>0.045%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800,000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2018/07/17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2020/01/08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117" w:right="0"/>
              <w:jc w:val="left"/>
              <w:rPr>
                <w:rFonts w:ascii="Times New Roman" w:hAnsi="Times New Roman" w:cs="Times New Roman" w:eastAsia="Times New Roman" w:hint="default"/>
                <w:sz w:val="18"/>
                <w:szCs w:val="18"/>
              </w:rPr>
            </w:pPr>
            <w:r>
              <w:rPr>
                <w:rFonts w:ascii="Times New Roman"/>
                <w:sz w:val="18"/>
              </w:rPr>
              <w:t>0.52%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400,000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2018/07/17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2020/01/10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117" w:right="0"/>
              <w:jc w:val="left"/>
              <w:rPr>
                <w:rFonts w:ascii="Times New Roman" w:hAnsi="Times New Roman" w:cs="Times New Roman" w:eastAsia="Times New Roman" w:hint="default"/>
                <w:sz w:val="18"/>
                <w:szCs w:val="18"/>
              </w:rPr>
            </w:pPr>
            <w:r>
              <w:rPr>
                <w:rFonts w:ascii="Times New Roman"/>
                <w:sz w:val="18"/>
              </w:rPr>
              <w:t>0.26%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200,000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2018/07/17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2020/03/06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117" w:right="0"/>
              <w:jc w:val="left"/>
              <w:rPr>
                <w:rFonts w:ascii="Times New Roman" w:hAnsi="Times New Roman" w:cs="Times New Roman" w:eastAsia="Times New Roman" w:hint="default"/>
                <w:sz w:val="18"/>
                <w:szCs w:val="18"/>
              </w:rPr>
            </w:pPr>
            <w:r>
              <w:rPr>
                <w:rFonts w:ascii="Times New Roman"/>
                <w:sz w:val="18"/>
              </w:rPr>
              <w:t>0.13%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100,000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2018/07/17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2019/12/13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117" w:right="0"/>
              <w:jc w:val="left"/>
              <w:rPr>
                <w:rFonts w:ascii="Times New Roman" w:hAnsi="Times New Roman" w:cs="Times New Roman" w:eastAsia="Times New Roman" w:hint="default"/>
                <w:sz w:val="18"/>
                <w:szCs w:val="18"/>
              </w:rPr>
            </w:pPr>
            <w:r>
              <w:rPr>
                <w:rFonts w:ascii="Times New Roman"/>
                <w:sz w:val="18"/>
              </w:rPr>
              <w:t>0.06%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徐正军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67,947,403</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2016/12/06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2019/12/06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73" w:right="0"/>
              <w:jc w:val="left"/>
              <w:rPr>
                <w:rFonts w:ascii="Times New Roman" w:hAnsi="Times New Roman" w:cs="Times New Roman" w:eastAsia="Times New Roman" w:hint="default"/>
                <w:sz w:val="18"/>
                <w:szCs w:val="18"/>
              </w:rPr>
            </w:pPr>
            <w:r>
              <w:rPr>
                <w:rFonts w:ascii="Times New Roman"/>
                <w:sz w:val="18"/>
              </w:rPr>
              <w:t>53.00%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徐正军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z w:val="18"/>
              </w:rPr>
              <w:t>12,820,297</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2018/01/05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2019/12/06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70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71"/>
              <w:ind w:left="73" w:right="0"/>
              <w:jc w:val="left"/>
              <w:rPr>
                <w:rFonts w:ascii="Times New Roman" w:hAnsi="Times New Roman" w:cs="Times New Roman" w:eastAsia="Times New Roman" w:hint="default"/>
                <w:sz w:val="18"/>
                <w:szCs w:val="18"/>
              </w:rPr>
            </w:pPr>
            <w:r>
              <w:rPr>
                <w:rFonts w:ascii="Times New Roman"/>
                <w:sz w:val="18"/>
              </w:rPr>
              <w:t>10.00%</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徐正军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8,000,000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2018/05/11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2019/12/06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70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4"/>
              <w:ind w:left="117" w:right="0"/>
              <w:jc w:val="left"/>
              <w:rPr>
                <w:rFonts w:ascii="Times New Roman" w:hAnsi="Times New Roman" w:cs="Times New Roman" w:eastAsia="Times New Roman" w:hint="default"/>
                <w:sz w:val="18"/>
                <w:szCs w:val="18"/>
              </w:rPr>
            </w:pPr>
            <w:r>
              <w:rPr>
                <w:rFonts w:ascii="Times New Roman"/>
                <w:sz w:val="18"/>
              </w:rPr>
              <w:t>6.24%</w:t>
            </w:r>
          </w:p>
        </w:tc>
        <w:tc>
          <w:tcPr>
            <w:tcW w:w="8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徐正军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39,434,971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2018/06/07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2019/12/06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73" w:right="0"/>
              <w:jc w:val="left"/>
              <w:rPr>
                <w:rFonts w:ascii="Times New Roman" w:hAnsi="Times New Roman" w:cs="Times New Roman" w:eastAsia="Times New Roman" w:hint="default"/>
                <w:sz w:val="18"/>
                <w:szCs w:val="18"/>
              </w:rPr>
            </w:pPr>
            <w:r>
              <w:rPr>
                <w:rFonts w:ascii="Times New Roman"/>
                <w:sz w:val="18"/>
              </w:rPr>
              <w:t>30.76%</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王金根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z w:val="18"/>
              </w:rPr>
              <w:t>5,295,680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2017/01/24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2019/01/15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117" w:right="0"/>
              <w:jc w:val="left"/>
              <w:rPr>
                <w:rFonts w:ascii="Times New Roman" w:hAnsi="Times New Roman" w:cs="Times New Roman" w:eastAsia="Times New Roman" w:hint="default"/>
                <w:sz w:val="18"/>
                <w:szCs w:val="18"/>
              </w:rPr>
            </w:pPr>
            <w:r>
              <w:rPr>
                <w:rFonts w:ascii="Times New Roman"/>
                <w:sz w:val="18"/>
              </w:rPr>
              <w:t>9.71%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王金根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11,655,840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2017/03/06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2019/01/15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73" w:right="0"/>
              <w:jc w:val="left"/>
              <w:rPr>
                <w:rFonts w:ascii="Times New Roman" w:hAnsi="Times New Roman" w:cs="Times New Roman" w:eastAsia="Times New Roman" w:hint="default"/>
                <w:sz w:val="18"/>
                <w:szCs w:val="18"/>
              </w:rPr>
            </w:pPr>
            <w:r>
              <w:rPr>
                <w:rFonts w:ascii="Times New Roman"/>
                <w:sz w:val="18"/>
              </w:rPr>
              <w:t>21.38%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王金根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3,000,000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2018/06/22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2019/01/15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2"/>
              <w:ind w:left="117" w:right="0"/>
              <w:jc w:val="left"/>
              <w:rPr>
                <w:rFonts w:ascii="Times New Roman" w:hAnsi="Times New Roman" w:cs="Times New Roman" w:eastAsia="Times New Roman" w:hint="default"/>
                <w:sz w:val="18"/>
                <w:szCs w:val="18"/>
              </w:rPr>
            </w:pPr>
            <w:r>
              <w:rPr>
                <w:rFonts w:ascii="Times New Roman"/>
                <w:sz w:val="18"/>
              </w:rPr>
              <w:t>5.50%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王金根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z w:val="18"/>
              </w:rPr>
              <w:t>6,000,000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2018/08/07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2019/01/15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中国中投证券有限责任公司</w:t>
            </w:r>
          </w:p>
        </w:tc>
        <w:tc>
          <w:tcPr>
            <w:tcW w:w="7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0"/>
              <w:ind w:left="73" w:right="0"/>
              <w:jc w:val="left"/>
              <w:rPr>
                <w:rFonts w:ascii="Times New Roman" w:hAnsi="Times New Roman" w:cs="Times New Roman" w:eastAsia="Times New Roman" w:hint="default"/>
                <w:sz w:val="18"/>
                <w:szCs w:val="18"/>
              </w:rPr>
            </w:pPr>
            <w:r>
              <w:rPr>
                <w:rFonts w:ascii="Times New Roman"/>
                <w:sz w:val="18"/>
              </w:rPr>
              <w:t>11.01%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融资</w:t>
            </w:r>
          </w:p>
        </w:tc>
      </w:tr>
    </w:tbl>
    <w:p>
      <w:pPr>
        <w:spacing w:line="240" w:lineRule="auto" w:before="11"/>
        <w:rPr>
          <w:rFonts w:ascii="宋体" w:hAnsi="宋体" w:cs="宋体" w:eastAsia="宋体" w:hint="default"/>
          <w:sz w:val="6"/>
          <w:szCs w:val="6"/>
        </w:rPr>
      </w:pPr>
    </w:p>
    <w:p>
      <w:pPr>
        <w:pStyle w:val="BodyText"/>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日止，除上述重要事项外公司未发生其他影响本财务报表阅读和理解的其他重要事项。</w:t>
      </w:r>
    </w:p>
    <w:p>
      <w:pPr>
        <w:spacing w:line="240" w:lineRule="auto" w:before="0"/>
        <w:rPr>
          <w:rFonts w:ascii="宋体" w:hAnsi="宋体" w:cs="宋体" w:eastAsia="宋体" w:hint="default"/>
          <w:sz w:val="18"/>
          <w:szCs w:val="18"/>
        </w:rPr>
      </w:pPr>
    </w:p>
    <w:p>
      <w:pPr>
        <w:pStyle w:val="Heading2"/>
        <w:spacing w:line="240" w:lineRule="auto" w:before="122"/>
        <w:ind w:right="0"/>
        <w:jc w:val="left"/>
        <w:rPr>
          <w:b w:val="0"/>
          <w:bCs w:val="0"/>
        </w:rPr>
      </w:pPr>
      <w:bookmarkStart w:name="十四、资产负债表日后事项" w:id="393"/>
      <w:bookmarkEnd w:id="393"/>
      <w:r>
        <w:rPr>
          <w:b w:val="0"/>
          <w:bCs w:val="0"/>
        </w:rPr>
      </w:r>
      <w:r>
        <w:rPr/>
        <w:t>十四、资产负债表日后事项</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利润分配情况" w:id="394"/>
      <w:bookmarkEnd w:id="39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4984"/>
        <w:gridCol w:w="4585"/>
      </w:tblGrid>
      <w:tr>
        <w:trPr>
          <w:trHeight w:val="330"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r>
      <w:tr>
        <w:trPr>
          <w:trHeight w:val="330"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其他资产负债表日后事项说明" w:id="395"/>
      <w:bookmarkEnd w:id="395"/>
      <w:r>
        <w:rPr>
          <w:b w:val="0"/>
          <w:bCs w:val="0"/>
        </w:rPr>
      </w:r>
      <w:r>
        <w:rPr>
          <w:rFonts w:ascii="Times New Roman" w:hAnsi="Times New Roman" w:cs="Times New Roman" w:eastAsia="Times New Roman" w:hint="default"/>
        </w:rPr>
        <w:t>2</w:t>
      </w:r>
      <w:r>
        <w:rPr/>
        <w:t>、其他资产负债表日后事项说明</w:t>
      </w:r>
      <w:r>
        <w:rPr>
          <w:b w:val="0"/>
          <w:bCs w:val="0"/>
        </w:rPr>
      </w:r>
    </w:p>
    <w:p>
      <w:pPr>
        <w:pStyle w:val="BodyText"/>
        <w:spacing w:line="240" w:lineRule="auto" w:before="157"/>
        <w:ind w:right="0"/>
        <w:jc w:val="left"/>
      </w:pPr>
      <w:r>
        <w:rPr/>
        <w:t>截至本财务报表签发日，公司持股</w:t>
      </w:r>
      <w:r>
        <w:rPr>
          <w:rFonts w:ascii="Times New Roman" w:hAnsi="Times New Roman" w:cs="Times New Roman" w:eastAsia="Times New Roman" w:hint="default"/>
        </w:rPr>
        <w:t>5%</w:t>
      </w:r>
      <w:r>
        <w:rPr/>
        <w:t>以上股东所持股份新增质押情况如下：</w:t>
      </w:r>
    </w:p>
    <w:p>
      <w:pPr>
        <w:spacing w:line="240" w:lineRule="auto" w:before="3"/>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1080"/>
        <w:gridCol w:w="905"/>
        <w:gridCol w:w="1192"/>
        <w:gridCol w:w="1191"/>
        <w:gridCol w:w="1192"/>
        <w:gridCol w:w="2400"/>
        <w:gridCol w:w="709"/>
        <w:gridCol w:w="850"/>
      </w:tblGrid>
      <w:tr>
        <w:trPr>
          <w:trHeight w:val="750" w:hRule="exact"/>
        </w:trPr>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auto" w:before="27"/>
              <w:ind w:left="71" w:right="71"/>
              <w:jc w:val="both"/>
              <w:rPr>
                <w:rFonts w:ascii="宋体" w:hAnsi="宋体" w:cs="宋体" w:eastAsia="宋体" w:hint="default"/>
                <w:sz w:val="15"/>
                <w:szCs w:val="15"/>
              </w:rPr>
            </w:pPr>
            <w:r>
              <w:rPr>
                <w:rFonts w:ascii="宋体" w:hAnsi="宋体" w:cs="宋体" w:eastAsia="宋体" w:hint="default"/>
                <w:sz w:val="15"/>
                <w:szCs w:val="15"/>
              </w:rPr>
              <w:t>是否为第一 大股东及一 致行动人</w:t>
            </w:r>
          </w:p>
        </w:tc>
        <w:tc>
          <w:tcPr>
            <w:tcW w:w="1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质押股数</w:t>
            </w:r>
          </w:p>
        </w:tc>
        <w:tc>
          <w:tcPr>
            <w:tcW w:w="1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质押开始日期</w:t>
            </w:r>
          </w:p>
        </w:tc>
        <w:tc>
          <w:tcPr>
            <w:tcW w:w="1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12"/>
              <w:ind w:left="321" w:right="318" w:firstLine="90"/>
              <w:jc w:val="left"/>
              <w:rPr>
                <w:rFonts w:ascii="宋体" w:hAnsi="宋体" w:cs="宋体" w:eastAsia="宋体" w:hint="default"/>
                <w:sz w:val="18"/>
                <w:szCs w:val="18"/>
              </w:rPr>
            </w:pPr>
            <w:r>
              <w:rPr>
                <w:rFonts w:ascii="宋体" w:hAnsi="宋体" w:cs="宋体" w:eastAsia="宋体" w:hint="default"/>
                <w:sz w:val="18"/>
                <w:szCs w:val="18"/>
              </w:rPr>
              <w:t>质押 到期日</w:t>
            </w:r>
          </w:p>
        </w:tc>
        <w:tc>
          <w:tcPr>
            <w:tcW w:w="2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auto" w:before="27"/>
              <w:ind w:left="49" w:right="48"/>
              <w:jc w:val="both"/>
              <w:rPr>
                <w:rFonts w:ascii="宋体" w:hAnsi="宋体" w:cs="宋体" w:eastAsia="宋体" w:hint="default"/>
                <w:sz w:val="15"/>
                <w:szCs w:val="15"/>
              </w:rPr>
            </w:pPr>
            <w:r>
              <w:rPr>
                <w:rFonts w:ascii="宋体" w:hAnsi="宋体" w:cs="宋体" w:eastAsia="宋体" w:hint="default"/>
                <w:sz w:val="15"/>
                <w:szCs w:val="15"/>
              </w:rPr>
              <w:t>质押股份 占其所持 股份比例</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用途</w:t>
            </w:r>
          </w:p>
        </w:tc>
      </w:tr>
    </w:tbl>
    <w:p>
      <w:pPr>
        <w:spacing w:after="0" w:line="240"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1080"/>
        <w:gridCol w:w="905"/>
        <w:gridCol w:w="1192"/>
        <w:gridCol w:w="1191"/>
        <w:gridCol w:w="1192"/>
        <w:gridCol w:w="2400"/>
        <w:gridCol w:w="709"/>
        <w:gridCol w:w="850"/>
      </w:tblGrid>
      <w:tr>
        <w:trPr>
          <w:trHeight w:val="34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1,100,000.00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9" w:right="0"/>
              <w:jc w:val="left"/>
              <w:rPr>
                <w:rFonts w:ascii="Times New Roman" w:hAnsi="Times New Roman" w:cs="Times New Roman" w:eastAsia="Times New Roman" w:hint="default"/>
                <w:sz w:val="18"/>
                <w:szCs w:val="18"/>
              </w:rPr>
            </w:pPr>
            <w:r>
              <w:rPr>
                <w:rFonts w:ascii="Times New Roman"/>
                <w:sz w:val="18"/>
              </w:rPr>
              <w:t>2019/01/31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2020/01/08</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 w:right="0"/>
              <w:jc w:val="left"/>
              <w:rPr>
                <w:rFonts w:ascii="Times New Roman" w:hAnsi="Times New Roman" w:cs="Times New Roman" w:eastAsia="Times New Roman" w:hint="default"/>
                <w:sz w:val="18"/>
                <w:szCs w:val="18"/>
              </w:rPr>
            </w:pPr>
            <w:r>
              <w:rPr>
                <w:rFonts w:ascii="Times New Roman"/>
                <w:sz w:val="18"/>
              </w:rPr>
              <w:t>0.71%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660,000.00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9" w:right="0"/>
              <w:jc w:val="left"/>
              <w:rPr>
                <w:rFonts w:ascii="Times New Roman" w:hAnsi="Times New Roman" w:cs="Times New Roman" w:eastAsia="Times New Roman" w:hint="default"/>
                <w:sz w:val="18"/>
                <w:szCs w:val="18"/>
              </w:rPr>
            </w:pPr>
            <w:r>
              <w:rPr>
                <w:rFonts w:ascii="Times New Roman"/>
                <w:sz w:val="18"/>
              </w:rPr>
              <w:t>2019/01/31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2020/01/10</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 w:right="0"/>
              <w:jc w:val="left"/>
              <w:rPr>
                <w:rFonts w:ascii="Times New Roman" w:hAnsi="Times New Roman" w:cs="Times New Roman" w:eastAsia="Times New Roman" w:hint="default"/>
                <w:sz w:val="18"/>
                <w:szCs w:val="18"/>
              </w:rPr>
            </w:pPr>
            <w:r>
              <w:rPr>
                <w:rFonts w:ascii="Times New Roman"/>
                <w:sz w:val="18"/>
              </w:rPr>
              <w:t>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270,000.00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9" w:right="0"/>
              <w:jc w:val="left"/>
              <w:rPr>
                <w:rFonts w:ascii="Times New Roman" w:hAnsi="Times New Roman" w:cs="Times New Roman" w:eastAsia="Times New Roman" w:hint="default"/>
                <w:sz w:val="18"/>
                <w:szCs w:val="18"/>
              </w:rPr>
            </w:pPr>
            <w:r>
              <w:rPr>
                <w:rFonts w:ascii="Times New Roman"/>
                <w:sz w:val="18"/>
              </w:rPr>
              <w:t>2019/01/31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2020/03/06</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 w:right="0"/>
              <w:jc w:val="left"/>
              <w:rPr>
                <w:rFonts w:ascii="Times New Roman" w:hAnsi="Times New Roman" w:cs="Times New Roman" w:eastAsia="Times New Roman" w:hint="default"/>
                <w:sz w:val="18"/>
                <w:szCs w:val="18"/>
              </w:rPr>
            </w:pPr>
            <w:r>
              <w:rPr>
                <w:rFonts w:ascii="Times New Roman"/>
                <w:sz w:val="18"/>
              </w:rPr>
              <w:t>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9" w:right="0"/>
              <w:jc w:val="left"/>
              <w:rPr>
                <w:rFonts w:ascii="Times New Roman" w:hAnsi="Times New Roman" w:cs="Times New Roman" w:eastAsia="Times New Roman" w:hint="default"/>
                <w:sz w:val="18"/>
                <w:szCs w:val="18"/>
              </w:rPr>
            </w:pPr>
            <w:r>
              <w:rPr>
                <w:rFonts w:ascii="Times New Roman"/>
                <w:sz w:val="18"/>
              </w:rPr>
              <w:t>2019/01/31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2019/12/13</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 w:right="0"/>
              <w:jc w:val="left"/>
              <w:rPr>
                <w:rFonts w:ascii="Times New Roman" w:hAnsi="Times New Roman" w:cs="Times New Roman" w:eastAsia="Times New Roman" w:hint="default"/>
                <w:sz w:val="18"/>
                <w:szCs w:val="18"/>
              </w:rPr>
            </w:pPr>
            <w:r>
              <w:rPr>
                <w:rFonts w:ascii="Times New Roman"/>
                <w:sz w:val="18"/>
              </w:rPr>
              <w:t>0.11%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19,200,000.00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9" w:right="0"/>
              <w:jc w:val="left"/>
              <w:rPr>
                <w:rFonts w:ascii="Times New Roman" w:hAnsi="Times New Roman" w:cs="Times New Roman" w:eastAsia="Times New Roman" w:hint="default"/>
                <w:sz w:val="18"/>
                <w:szCs w:val="18"/>
              </w:rPr>
            </w:pPr>
            <w:r>
              <w:rPr>
                <w:rFonts w:ascii="Times New Roman"/>
                <w:sz w:val="18"/>
              </w:rPr>
              <w:t>2019/01/31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1" w:right="0"/>
              <w:jc w:val="left"/>
              <w:rPr>
                <w:rFonts w:ascii="Times New Roman" w:hAnsi="Times New Roman" w:cs="Times New Roman" w:eastAsia="Times New Roman" w:hint="default"/>
                <w:sz w:val="18"/>
                <w:szCs w:val="18"/>
              </w:rPr>
            </w:pPr>
            <w:r>
              <w:rPr>
                <w:rFonts w:ascii="Times New Roman"/>
                <w:sz w:val="18"/>
              </w:rPr>
              <w:t>2019/12/06</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2" w:right="0"/>
              <w:jc w:val="left"/>
              <w:rPr>
                <w:rFonts w:ascii="Times New Roman" w:hAnsi="Times New Roman" w:cs="Times New Roman" w:eastAsia="Times New Roman" w:hint="default"/>
                <w:sz w:val="18"/>
                <w:szCs w:val="18"/>
              </w:rPr>
            </w:pPr>
            <w:r>
              <w:rPr>
                <w:rFonts w:ascii="Times New Roman"/>
                <w:sz w:val="18"/>
              </w:rPr>
              <w:t>29.12%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融资</w:t>
            </w:r>
          </w:p>
        </w:tc>
      </w:tr>
    </w:tbl>
    <w:p>
      <w:pPr>
        <w:spacing w:line="240" w:lineRule="auto" w:before="8"/>
        <w:rPr>
          <w:rFonts w:ascii="宋体" w:hAnsi="宋体" w:cs="宋体" w:eastAsia="宋体" w:hint="default"/>
          <w:sz w:val="6"/>
          <w:szCs w:val="6"/>
        </w:rPr>
      </w:pPr>
    </w:p>
    <w:p>
      <w:pPr>
        <w:pStyle w:val="BodyText"/>
        <w:spacing w:line="300" w:lineRule="auto"/>
        <w:ind w:left="174" w:right="0" w:firstLine="360"/>
        <w:jc w:val="left"/>
      </w:pPr>
      <w:r>
        <w:rPr>
          <w:spacing w:val="-2"/>
        </w:rPr>
        <w:t>截至本财务报表签发日，丰东热技术下属子公司天津丰东热处理有限公司将位于天津市北辰区通跃路</w:t>
      </w:r>
      <w:r>
        <w:rPr>
          <w:rFonts w:ascii="Times New Roman" w:hAnsi="Times New Roman" w:cs="Times New Roman" w:eastAsia="Times New Roman" w:hint="default"/>
          <w:spacing w:val="-2"/>
        </w:rPr>
        <w:t>12</w:t>
      </w:r>
      <w:r>
        <w:rPr>
          <w:spacing w:val="-2"/>
        </w:rPr>
        <w:t>号的自有房产及</w:t>
      </w:r>
      <w:r>
        <w:rPr/>
        <w:t> 土地使用权，抵押给中国工商银行股份有限公司天津河北支行，取得</w:t>
      </w:r>
      <w:r>
        <w:rPr>
          <w:rFonts w:ascii="Times New Roman" w:hAnsi="Times New Roman" w:cs="Times New Roman" w:eastAsia="Times New Roman" w:hint="default"/>
        </w:rPr>
        <w:t>500</w:t>
      </w:r>
      <w:r>
        <w:rPr/>
        <w:t>万元流动资金抵押担保借款，抵押期限为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3</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w:t>
      </w:r>
    </w:p>
    <w:p>
      <w:pPr>
        <w:pStyle w:val="BodyText"/>
        <w:spacing w:line="302" w:lineRule="auto" w:before="52"/>
        <w:ind w:left="174" w:right="0" w:firstLine="360"/>
        <w:jc w:val="left"/>
      </w:pPr>
      <w:r>
        <w:rPr>
          <w:spacing w:val="-4"/>
        </w:rPr>
        <w:t>除上述事项外，截至本财务报表签发日（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日），本公司未发生其他影响本财务报表阅读和理解的重大资产负</w:t>
      </w:r>
      <w:r>
        <w:rPr/>
        <w:t> 债表日后事项。</w:t>
      </w:r>
    </w:p>
    <w:p>
      <w:pPr>
        <w:spacing w:line="240" w:lineRule="auto" w:before="10"/>
        <w:rPr>
          <w:rFonts w:ascii="宋体" w:hAnsi="宋体" w:cs="宋体" w:eastAsia="宋体" w:hint="default"/>
          <w:sz w:val="24"/>
          <w:szCs w:val="24"/>
        </w:rPr>
      </w:pPr>
    </w:p>
    <w:p>
      <w:pPr>
        <w:pStyle w:val="Heading2"/>
        <w:spacing w:line="240" w:lineRule="auto"/>
        <w:ind w:left="0" w:right="8429"/>
        <w:jc w:val="center"/>
        <w:rPr>
          <w:b w:val="0"/>
          <w:bCs w:val="0"/>
        </w:rPr>
      </w:pPr>
      <w:bookmarkStart w:name="十五、其他重要事项" w:id="396"/>
      <w:bookmarkEnd w:id="396"/>
      <w:r>
        <w:rPr>
          <w:b w:val="0"/>
          <w:bCs w:val="0"/>
        </w:rPr>
      </w:r>
      <w:r>
        <w:rPr/>
        <w:t>十五、其他重要事项</w:t>
      </w:r>
      <w:r>
        <w:rPr>
          <w:b w:val="0"/>
          <w:bCs w:val="0"/>
        </w:rPr>
      </w:r>
    </w:p>
    <w:p>
      <w:pPr>
        <w:spacing w:line="240" w:lineRule="auto" w:before="3"/>
        <w:rPr>
          <w:rFonts w:ascii="宋体" w:hAnsi="宋体" w:cs="宋体" w:eastAsia="宋体" w:hint="default"/>
          <w:b/>
          <w:bCs/>
          <w:sz w:val="29"/>
          <w:szCs w:val="29"/>
        </w:rPr>
      </w:pPr>
    </w:p>
    <w:p>
      <w:pPr>
        <w:pStyle w:val="Heading3"/>
        <w:spacing w:line="240" w:lineRule="auto" w:before="0"/>
        <w:ind w:right="0"/>
        <w:jc w:val="left"/>
        <w:rPr>
          <w:b w:val="0"/>
          <w:bCs w:val="0"/>
        </w:rPr>
      </w:pPr>
      <w:bookmarkStart w:name="1、分部信息" w:id="397"/>
      <w:bookmarkEnd w:id="397"/>
      <w:r>
        <w:rPr>
          <w:b w:val="0"/>
          <w:bCs w:val="0"/>
        </w:rPr>
      </w:r>
      <w:r>
        <w:rPr>
          <w:rFonts w:ascii="Times New Roman" w:hAnsi="Times New Roman" w:cs="Times New Roman" w:eastAsia="Times New Roman" w:hint="default"/>
        </w:rPr>
        <w:t>1</w:t>
      </w:r>
      <w:r>
        <w:rPr/>
        <w:t>、分部信息</w:t>
      </w:r>
      <w:r>
        <w:rPr>
          <w:b w:val="0"/>
          <w:bCs w:val="0"/>
        </w:rPr>
      </w:r>
    </w:p>
    <w:p>
      <w:pPr>
        <w:pStyle w:val="Heading3"/>
        <w:spacing w:line="240" w:lineRule="auto" w:before="189"/>
        <w:ind w:right="0"/>
        <w:jc w:val="left"/>
        <w:rPr>
          <w:b w:val="0"/>
          <w:bCs w:val="0"/>
        </w:rPr>
      </w:pPr>
      <w:bookmarkStart w:name="（1）报告分部的确定依据与会计政策" w:id="398"/>
      <w:bookmarkEnd w:id="39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pStyle w:val="BodyText"/>
        <w:spacing w:line="316" w:lineRule="auto" w:before="157"/>
        <w:ind w:left="174" w:right="0" w:firstLine="360"/>
        <w:jc w:val="left"/>
      </w:pPr>
      <w:r>
        <w:rPr>
          <w:spacing w:val="-2"/>
        </w:rPr>
        <w:t>本公司根据产品所属的细分行业，以内部组织结构、管理要求、内部报告制度为依据确定经营分部，以经营分部为基础</w:t>
      </w:r>
      <w:r>
        <w:rPr/>
        <w:t> 确定报告分部。经营分部，是指公司内同时满足下列条件的组成部分：</w:t>
      </w:r>
    </w:p>
    <w:p>
      <w:pPr>
        <w:pStyle w:val="BodyText"/>
        <w:spacing w:line="338" w:lineRule="auto" w:before="140"/>
        <w:ind w:right="0"/>
        <w:jc w:val="left"/>
      </w:pPr>
      <w:r>
        <w:rPr>
          <w:rFonts w:ascii="Times New Roman" w:hAnsi="Times New Roman" w:cs="Times New Roman" w:eastAsia="Times New Roman" w:hint="default"/>
        </w:rPr>
        <w:t>a.</w:t>
      </w:r>
      <w:r>
        <w:rPr/>
        <w:t>该组成部分能够在日常活动中产生收入、发生费用； </w:t>
      </w:r>
      <w:r>
        <w:rPr>
          <w:rFonts w:ascii="Times New Roman" w:hAnsi="Times New Roman" w:cs="Times New Roman" w:eastAsia="Times New Roman" w:hint="default"/>
        </w:rPr>
        <w:t>b.</w:t>
      </w:r>
      <w:r>
        <w:rPr/>
        <w:t>公司管理层能够定期评价该组成部分的经营成果，以决定向其配置资源、评价其业绩； </w:t>
      </w:r>
      <w:r>
        <w:rPr>
          <w:rFonts w:ascii="Times New Roman" w:hAnsi="Times New Roman" w:cs="Times New Roman" w:eastAsia="Times New Roman" w:hint="default"/>
        </w:rPr>
        <w:t>c.</w:t>
      </w:r>
      <w:r>
        <w:rPr/>
        <w:t>公司能够取得该组成部分的财务状况、经营成果和现金流量等有关会计信息。</w:t>
      </w:r>
    </w:p>
    <w:p>
      <w:pPr>
        <w:pStyle w:val="BodyText"/>
        <w:spacing w:line="240" w:lineRule="auto" w:before="101"/>
        <w:ind w:right="0"/>
        <w:jc w:val="left"/>
      </w:pPr>
      <w:r>
        <w:rPr/>
        <w:t>如果两个或多个分部存在相似经济特征且同时在以下方面具有相同或相似性的，可以合并为一个分部：</w:t>
      </w:r>
    </w:p>
    <w:p>
      <w:pPr>
        <w:spacing w:line="240" w:lineRule="auto" w:before="0"/>
        <w:rPr>
          <w:rFonts w:ascii="宋体" w:hAnsi="宋体" w:cs="宋体" w:eastAsia="宋体" w:hint="default"/>
          <w:sz w:val="15"/>
          <w:szCs w:val="15"/>
        </w:rPr>
      </w:pPr>
    </w:p>
    <w:p>
      <w:pPr>
        <w:pStyle w:val="BodyText"/>
        <w:spacing w:line="338" w:lineRule="auto" w:before="0"/>
        <w:ind w:right="7917"/>
        <w:jc w:val="left"/>
      </w:pPr>
      <w:r>
        <w:rPr>
          <w:rFonts w:ascii="Times New Roman" w:hAnsi="Times New Roman" w:cs="Times New Roman" w:eastAsia="Times New Roman" w:hint="default"/>
        </w:rPr>
        <w:t>a.</w:t>
      </w:r>
      <w:r>
        <w:rPr/>
        <w:t>各单项产品或劳务的性质； </w:t>
      </w:r>
      <w:r>
        <w:rPr>
          <w:rFonts w:ascii="Times New Roman" w:hAnsi="Times New Roman" w:cs="Times New Roman" w:eastAsia="Times New Roman" w:hint="default"/>
        </w:rPr>
        <w:t>b.</w:t>
      </w:r>
      <w:r>
        <w:rPr/>
        <w:t>生产过程的性质； </w:t>
      </w:r>
      <w:r>
        <w:rPr>
          <w:rFonts w:ascii="Times New Roman" w:hAnsi="Times New Roman" w:cs="Times New Roman" w:eastAsia="Times New Roman" w:hint="default"/>
        </w:rPr>
        <w:t>c.</w:t>
      </w:r>
      <w:r>
        <w:rPr/>
        <w:t>产品或劳务的客户类型； </w:t>
      </w:r>
      <w:r>
        <w:rPr>
          <w:rFonts w:ascii="Times New Roman" w:hAnsi="Times New Roman" w:cs="Times New Roman" w:eastAsia="Times New Roman" w:hint="default"/>
        </w:rPr>
        <w:t>d.</w:t>
      </w:r>
      <w:r>
        <w:rPr/>
        <w:t>销售产品或提供劳务的方式；</w:t>
      </w:r>
    </w:p>
    <w:p>
      <w:pPr>
        <w:pStyle w:val="BodyText"/>
        <w:spacing w:line="240" w:lineRule="auto" w:before="22"/>
        <w:ind w:right="0"/>
        <w:jc w:val="left"/>
      </w:pPr>
      <w:r>
        <w:rPr>
          <w:rFonts w:ascii="Times New Roman" w:hAnsi="Times New Roman" w:cs="Times New Roman" w:eastAsia="Times New Roman" w:hint="default"/>
        </w:rPr>
        <w:t>e.</w:t>
      </w:r>
      <w:r>
        <w:rPr/>
        <w:t>生产产品及提供劳务受法律、行政法规的影响。</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报告分部的财务信息" w:id="399"/>
      <w:bookmarkEnd w:id="399"/>
      <w:r>
        <w:rPr>
          <w:b w:val="0"/>
          <w:bCs w:val="0"/>
        </w:rPr>
      </w:r>
      <w:r>
        <w:rPr/>
        <w:t>（</w:t>
      </w:r>
      <w:r>
        <w:rPr>
          <w:rFonts w:ascii="Times New Roman" w:hAnsi="Times New Roman" w:cs="Times New Roman" w:eastAsia="Times New Roman" w:hint="default"/>
        </w:rPr>
        <w:t>2</w:t>
      </w:r>
      <w:r>
        <w:rPr/>
        <w:t>）报告分部的财务信息</w:t>
      </w:r>
      <w:r>
        <w:rPr>
          <w:b w:val="0"/>
          <w:bCs w:val="0"/>
        </w:rPr>
      </w:r>
    </w:p>
    <w:p>
      <w:pPr>
        <w:pStyle w:val="BodyText"/>
        <w:spacing w:line="240" w:lineRule="auto" w:before="15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820"/>
        <w:gridCol w:w="1543"/>
        <w:gridCol w:w="1532"/>
        <w:gridCol w:w="1530"/>
        <w:gridCol w:w="1532"/>
        <w:gridCol w:w="1531"/>
      </w:tblGrid>
      <w:tr>
        <w:trPr>
          <w:trHeight w:val="330" w:hRule="exact"/>
        </w:trPr>
        <w:tc>
          <w:tcPr>
            <w:tcW w:w="1820"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41"/>
              <w:jc w:val="right"/>
              <w:rPr>
                <w:rFonts w:ascii="宋体" w:hAnsi="宋体" w:cs="宋体" w:eastAsia="宋体" w:hint="default"/>
                <w:sz w:val="18"/>
                <w:szCs w:val="18"/>
              </w:rPr>
            </w:pPr>
            <w:r>
              <w:rPr>
                <w:rFonts w:ascii="宋体" w:hAnsi="宋体" w:cs="宋体" w:eastAsia="宋体" w:hint="default"/>
                <w:sz w:val="18"/>
                <w:szCs w:val="18"/>
              </w:rPr>
              <w:t>互联财税业务分部</w:t>
            </w: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29" w:right="0"/>
              <w:jc w:val="left"/>
              <w:rPr>
                <w:rFonts w:ascii="宋体" w:hAnsi="宋体" w:cs="宋体" w:eastAsia="宋体" w:hint="default"/>
                <w:sz w:val="18"/>
                <w:szCs w:val="18"/>
              </w:rPr>
            </w:pPr>
            <w:r>
              <w:rPr>
                <w:rFonts w:ascii="宋体" w:hAnsi="宋体" w:cs="宋体" w:eastAsia="宋体" w:hint="default"/>
                <w:sz w:val="18"/>
                <w:szCs w:val="18"/>
              </w:rPr>
              <w:t>热处理业务分部</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总部管理分部</w:t>
            </w:r>
          </w:p>
        </w:tc>
        <w:tc>
          <w:tcPr>
            <w:tcW w:w="1532"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21"/>
              <w:ind w:left="29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694,220,319.88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570,243,098.22</w:t>
            </w:r>
          </w:p>
        </w:tc>
        <w:tc>
          <w:tcPr>
            <w:tcW w:w="153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-373,584.90</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1,264,089,833.20</w:t>
            </w:r>
          </w:p>
        </w:tc>
      </w:tr>
      <w:tr>
        <w:trPr>
          <w:trHeight w:val="3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283,939,758.84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371,933,014.62</w:t>
            </w:r>
          </w:p>
        </w:tc>
        <w:tc>
          <w:tcPr>
            <w:tcW w:w="153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-373,584.90</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655,499,188.56</w:t>
            </w:r>
          </w:p>
        </w:tc>
      </w:tr>
      <w:tr>
        <w:trPr>
          <w:trHeight w:val="3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5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143,944,294.38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pacing w:val="-2"/>
                <w:sz w:val="18"/>
              </w:rPr>
              <w:t>111,110,812.02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16,221,023.94</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271,276,130.34</w:t>
            </w:r>
          </w:p>
        </w:tc>
      </w:tr>
      <w:tr>
        <w:trPr>
          <w:trHeight w:val="3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归属于母公司净利润</w:t>
            </w:r>
          </w:p>
        </w:tc>
        <w:tc>
          <w:tcPr>
            <w:tcW w:w="15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238,481,638.34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65,360,194.85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33,201,213.20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-46,000,000.00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291,043,046.39</w:t>
            </w:r>
          </w:p>
        </w:tc>
      </w:tr>
      <w:tr>
        <w:trPr>
          <w:trHeight w:val="3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2,239,079,582.36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1,245,997,411.94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3,831,783,617.90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-2,128,877,886.81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5,187,982,725.39</w:t>
            </w:r>
          </w:p>
        </w:tc>
      </w:tr>
      <w:tr>
        <w:trPr>
          <w:trHeight w:val="3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446,580,280.62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333,151,865.74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180,021,828.73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-106,125,529.39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853,628,445.70</w:t>
            </w:r>
          </w:p>
        </w:tc>
      </w:tr>
      <w:tr>
        <w:trPr>
          <w:trHeight w:val="33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归属于母公司权益</w:t>
            </w:r>
          </w:p>
        </w:tc>
        <w:tc>
          <w:tcPr>
            <w:tcW w:w="154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1,767,787,979.00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785,416,697.98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3,651,761,789.17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-2,023,704,975.92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4,181,261,490.23</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其他说明" w:id="400"/>
      <w:bookmarkEnd w:id="400"/>
      <w:r>
        <w:rPr>
          <w:b w:val="0"/>
          <w:bCs w:val="0"/>
        </w:rPr>
      </w:r>
      <w:r>
        <w:rPr/>
        <w:t>（</w:t>
      </w:r>
      <w:r>
        <w:rPr>
          <w:rFonts w:ascii="Times New Roman" w:hAnsi="Times New Roman" w:cs="Times New Roman" w:eastAsia="Times New Roman" w:hint="default"/>
        </w:rPr>
        <w:t>3</w:t>
      </w:r>
      <w:r>
        <w:rPr/>
        <w:t>）其他说明</w:t>
      </w:r>
      <w:r>
        <w:rPr>
          <w:b w:val="0"/>
          <w:bCs w:val="0"/>
        </w:rPr>
      </w:r>
    </w:p>
    <w:p>
      <w:pPr>
        <w:pStyle w:val="BodyText"/>
        <w:spacing w:line="240" w:lineRule="auto" w:before="157"/>
        <w:ind w:right="0"/>
        <w:jc w:val="left"/>
      </w:pPr>
      <w:r>
        <w:rPr/>
        <w:t>无</w:t>
      </w:r>
    </w:p>
    <w:p>
      <w:pPr>
        <w:spacing w:after="0" w:line="240" w:lineRule="auto"/>
        <w:jc w:val="left"/>
        <w:sectPr>
          <w:pgSz w:w="11910" w:h="16840"/>
          <w:pgMar w:header="551" w:footer="979" w:top="1120" w:bottom="1160" w:left="960" w:right="0"/>
        </w:sectPr>
      </w:pPr>
    </w:p>
    <w:p>
      <w:pPr>
        <w:spacing w:line="240" w:lineRule="auto" w:before="8"/>
        <w:rPr>
          <w:rFonts w:ascii="宋体" w:hAnsi="宋体" w:cs="宋体" w:eastAsia="宋体" w:hint="default"/>
          <w:sz w:val="22"/>
          <w:szCs w:val="22"/>
        </w:rPr>
      </w:pPr>
    </w:p>
    <w:p>
      <w:pPr>
        <w:pStyle w:val="Heading2"/>
        <w:spacing w:line="240" w:lineRule="auto" w:before="26"/>
        <w:ind w:right="0"/>
        <w:jc w:val="left"/>
        <w:rPr>
          <w:b w:val="0"/>
          <w:bCs w:val="0"/>
        </w:rPr>
      </w:pPr>
      <w:bookmarkStart w:name="十六、母公司财务报表主要项目注释" w:id="401"/>
      <w:bookmarkEnd w:id="401"/>
      <w:r>
        <w:rPr>
          <w:b w:val="0"/>
          <w:bCs w:val="0"/>
        </w:rPr>
      </w:r>
      <w:r>
        <w:rPr/>
        <w:t>十六、母公司财务报表主要项目注释</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应收票据及应收账款" w:id="402"/>
      <w:bookmarkEnd w:id="402"/>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143,661.87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184,520.73</w:t>
            </w:r>
          </w:p>
        </w:tc>
      </w:tr>
      <w:tr>
        <w:trPr>
          <w:trHeight w:val="33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143,661.87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184,520.73</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应收票据" w:id="403"/>
      <w:bookmarkEnd w:id="403"/>
      <w:r>
        <w:rPr>
          <w:b w:val="0"/>
          <w:bCs w:val="0"/>
        </w:rPr>
      </w:r>
      <w:r>
        <w:rPr/>
        <w:t>（</w:t>
      </w:r>
      <w:r>
        <w:rPr>
          <w:rFonts w:ascii="Times New Roman" w:hAnsi="Times New Roman" w:cs="Times New Roman" w:eastAsia="Times New Roman" w:hint="default"/>
        </w:rPr>
        <w:t>1</w:t>
      </w:r>
      <w:r>
        <w:rPr/>
        <w:t>）应收票据</w:t>
      </w:r>
      <w:r>
        <w:rPr>
          <w:b w:val="0"/>
          <w:bCs w:val="0"/>
        </w:rPr>
      </w:r>
    </w:p>
    <w:p>
      <w:pPr>
        <w:pStyle w:val="Heading3"/>
        <w:spacing w:line="240" w:lineRule="auto" w:before="189"/>
        <w:ind w:right="0"/>
        <w:jc w:val="left"/>
        <w:rPr>
          <w:b w:val="0"/>
          <w:bCs w:val="0"/>
        </w:rPr>
      </w:pPr>
      <w:bookmarkStart w:name="（2）应收账款" w:id="404"/>
      <w:bookmarkEnd w:id="40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1419"/>
        <w:gridCol w:w="979"/>
        <w:gridCol w:w="721"/>
        <w:gridCol w:w="803"/>
        <w:gridCol w:w="614"/>
        <w:gridCol w:w="937"/>
        <w:gridCol w:w="906"/>
        <w:gridCol w:w="710"/>
        <w:gridCol w:w="850"/>
        <w:gridCol w:w="696"/>
        <w:gridCol w:w="932"/>
      </w:tblGrid>
      <w:tr>
        <w:trPr>
          <w:trHeight w:val="331"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45"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6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4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185"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418" w:type="dxa"/>
            <w:gridSpan w:val="2"/>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616" w:type="dxa"/>
            <w:gridSpan w:val="2"/>
            <w:vMerge/>
            <w:tcBorders>
              <w:left w:val="single" w:sz="4" w:space="0" w:color="000000"/>
              <w:bottom w:val="single" w:sz="4" w:space="0" w:color="000000"/>
              <w:right w:val="single" w:sz="4" w:space="0" w:color="000000"/>
            </w:tcBorders>
            <w:shd w:val="clear" w:color="auto" w:fill="D2D2D2"/>
          </w:tcPr>
          <w:p>
            <w:pPr/>
          </w:p>
        </w:tc>
        <w:tc>
          <w:tcPr>
            <w:tcW w:w="1546"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2"/>
              <w:ind w:left="122" w:right="12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2"/>
              <w:ind w:left="161" w:right="16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5"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419" w:type="dxa"/>
            <w:vMerge/>
            <w:tcBorders>
              <w:left w:val="single" w:sz="4" w:space="0" w:color="000000"/>
              <w:right w:val="single" w:sz="4" w:space="0" w:color="000000"/>
            </w:tcBorders>
            <w:shd w:val="clear" w:color="auto" w:fill="D2D2D2"/>
          </w:tcPr>
          <w:p>
            <w:pPr/>
          </w:p>
        </w:tc>
        <w:tc>
          <w:tcPr>
            <w:tcW w:w="979" w:type="dxa"/>
            <w:vMerge/>
            <w:tcBorders>
              <w:left w:val="single" w:sz="4" w:space="0" w:color="000000"/>
              <w:bottom w:val="nil" w:sz="6" w:space="0" w:color="auto"/>
              <w:right w:val="single" w:sz="4" w:space="0" w:color="000000"/>
            </w:tcBorders>
            <w:shd w:val="clear" w:color="auto" w:fill="D2D2D2"/>
          </w:tcPr>
          <w:p>
            <w:pPr/>
          </w:p>
        </w:tc>
        <w:tc>
          <w:tcPr>
            <w:tcW w:w="721"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90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45"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2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9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179,932.59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36,270.72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143,661.87</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203,428.57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18,907.84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184,520.73</w:t>
            </w:r>
          </w:p>
        </w:tc>
      </w:tr>
      <w:tr>
        <w:trPr>
          <w:trHeight w:val="33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179,932.59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36,270.72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20.16%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0" w:right="0"/>
              <w:jc w:val="center"/>
              <w:rPr>
                <w:rFonts w:ascii="Times New Roman" w:hAnsi="Times New Roman" w:cs="Times New Roman" w:eastAsia="Times New Roman" w:hint="default"/>
                <w:sz w:val="18"/>
                <w:szCs w:val="18"/>
              </w:rPr>
            </w:pPr>
            <w:r>
              <w:rPr>
                <w:rFonts w:ascii="Times New Roman"/>
                <w:sz w:val="18"/>
              </w:rPr>
              <w:t>143,661.87</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9" w:right="0"/>
              <w:jc w:val="center"/>
              <w:rPr>
                <w:rFonts w:ascii="Times New Roman" w:hAnsi="Times New Roman" w:cs="Times New Roman" w:eastAsia="Times New Roman" w:hint="default"/>
                <w:sz w:val="18"/>
                <w:szCs w:val="18"/>
              </w:rPr>
            </w:pPr>
            <w:r>
              <w:rPr>
                <w:rFonts w:ascii="Times New Roman"/>
                <w:sz w:val="18"/>
              </w:rPr>
              <w:t>203,428.57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18,907.84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5" w:right="0"/>
              <w:jc w:val="center"/>
              <w:rPr>
                <w:rFonts w:ascii="Times New Roman" w:hAnsi="Times New Roman" w:cs="Times New Roman" w:eastAsia="Times New Roman" w:hint="default"/>
                <w:sz w:val="18"/>
                <w:szCs w:val="18"/>
              </w:rPr>
            </w:pPr>
            <w:r>
              <w:rPr>
                <w:rFonts w:ascii="Times New Roman"/>
                <w:sz w:val="18"/>
              </w:rPr>
              <w:t>184,520.73</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期末单项金额重大并单项计提坏账准备的应收账款：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551" w:footer="979" w:top="1120" w:bottom="1160" w:left="960" w:right="0"/>
        </w:sectPr>
      </w:pPr>
    </w:p>
    <w:p>
      <w:pPr>
        <w:pStyle w:val="BodyText"/>
        <w:spacing w:line="240" w:lineRule="auto"/>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533" w:right="0"/>
        <w:jc w:val="left"/>
      </w:pPr>
      <w:r>
        <w:rPr/>
        <w:t>单位： 元</w:t>
      </w:r>
    </w:p>
    <w:p>
      <w:pPr>
        <w:spacing w:after="0" w:line="240" w:lineRule="auto"/>
        <w:jc w:val="left"/>
        <w:sectPr>
          <w:type w:val="continuous"/>
          <w:pgSz w:w="11910" w:h="16840"/>
          <w:pgMar w:top="1060" w:bottom="1160" w:left="960" w:right="0"/>
          <w:cols w:num="2" w:equalWidth="0">
            <w:col w:w="4495" w:space="3975"/>
            <w:col w:w="2480"/>
          </w:cols>
        </w:sectPr>
      </w:pPr>
    </w:p>
    <w:p>
      <w:pPr>
        <w:spacing w:line="240" w:lineRule="auto" w:before="0"/>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482"/>
        <w:gridCol w:w="2295"/>
        <w:gridCol w:w="2390"/>
        <w:gridCol w:w="2390"/>
      </w:tblGrid>
      <w:tr>
        <w:trPr>
          <w:trHeight w:val="170"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0"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5"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3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373.50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0.50%</w:t>
            </w:r>
          </w:p>
        </w:tc>
      </w:tr>
      <w:tr>
        <w:trPr>
          <w:trHeight w:val="33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118,912.65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5,945.63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5.00%</w:t>
            </w:r>
          </w:p>
        </w:tc>
      </w:tr>
      <w:tr>
        <w:trPr>
          <w:trHeight w:val="33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60,646.44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30,323.22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50.00%</w:t>
            </w:r>
          </w:p>
        </w:tc>
      </w:tr>
      <w:tr>
        <w:trPr>
          <w:trHeight w:val="33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179,932.59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36,270.72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20.16%</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组合中，采用余额百分比法计提坏账准备的应收账款：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before="0"/>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0"/>
        <w:jc w:val="left"/>
      </w:pPr>
      <w:r>
        <w:rPr/>
        <w:t>本期计提坏账准备金额</w:t>
      </w:r>
      <w:r>
        <w:rPr>
          <w:spacing w:val="-46"/>
        </w:rPr>
        <w:t> </w:t>
      </w:r>
      <w:r>
        <w:rPr>
          <w:rFonts w:ascii="Times New Roman" w:hAnsi="Times New Roman" w:cs="Times New Roman" w:eastAsia="Times New Roman" w:hint="default"/>
        </w:rPr>
        <w:t>17,362.88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4"/>
          <w:szCs w:val="14"/>
        </w:rPr>
      </w:pPr>
    </w:p>
    <w:p>
      <w:pPr>
        <w:pStyle w:val="BodyText"/>
        <w:spacing w:line="340" w:lineRule="auto" w:before="0"/>
        <w:ind w:right="7109"/>
        <w:jc w:val="left"/>
      </w:pPr>
      <w:r>
        <w:rPr>
          <w:rFonts w:ascii="Times New Roman" w:hAnsi="Times New Roman" w:cs="Times New Roman" w:eastAsia="Times New Roman" w:hint="default"/>
        </w:rPr>
        <w:t>3</w:t>
      </w:r>
      <w:r>
        <w:rPr/>
        <w:t>）本期实际核销的应收账款情况 本年实际核销的应收账款金额为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340" w:lineRule="auto"/>
        <w:jc w:val="left"/>
        <w:sectPr>
          <w:type w:val="continuous"/>
          <w:pgSz w:w="11910" w:h="16840"/>
          <w:pgMar w:top="1060" w:bottom="1160" w:left="960" w:right="0"/>
        </w:sectPr>
      </w:pPr>
    </w:p>
    <w:p>
      <w:pPr>
        <w:spacing w:line="240" w:lineRule="auto" w:before="7"/>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2"/>
        <w:rPr>
          <w:rFonts w:ascii="宋体" w:hAnsi="宋体" w:cs="宋体" w:eastAsia="宋体"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1881"/>
        <w:gridCol w:w="1880"/>
        <w:gridCol w:w="1880"/>
        <w:gridCol w:w="1881"/>
        <w:gridCol w:w="1879"/>
      </w:tblGrid>
      <w:tr>
        <w:trPr>
          <w:trHeight w:val="349" w:hRule="exact"/>
        </w:trPr>
        <w:tc>
          <w:tcPr>
            <w:tcW w:w="1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left="5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left="124"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350" w:hRule="exact"/>
        </w:trPr>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z w:val="18"/>
              </w:rPr>
              <w:t>114,800.00</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z w:val="18"/>
              </w:rPr>
              <w:t>63.80%</w:t>
            </w:r>
          </w:p>
        </w:tc>
      </w:tr>
      <w:tr>
        <w:trPr>
          <w:trHeight w:val="356" w:hRule="exact"/>
        </w:trPr>
        <w:tc>
          <w:tcPr>
            <w:tcW w:w="18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right"/>
              <w:rPr>
                <w:rFonts w:ascii="Times New Roman" w:hAnsi="Times New Roman" w:cs="Times New Roman" w:eastAsia="Times New Roman" w:hint="default"/>
                <w:sz w:val="18"/>
                <w:szCs w:val="18"/>
              </w:rPr>
            </w:pPr>
            <w:r>
              <w:rPr>
                <w:rFonts w:ascii="Times New Roman"/>
                <w:sz w:val="18"/>
              </w:rPr>
              <w:t>65,132.59</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right"/>
              <w:rPr>
                <w:rFonts w:ascii="Times New Roman" w:hAnsi="Times New Roman" w:cs="Times New Roman" w:eastAsia="Times New Roman" w:hint="default"/>
                <w:sz w:val="18"/>
                <w:szCs w:val="18"/>
              </w:rPr>
            </w:pPr>
            <w:r>
              <w:rPr>
                <w:rFonts w:ascii="Times New Roman"/>
                <w:sz w:val="18"/>
              </w:rPr>
              <w:t>36.20%</w:t>
            </w:r>
          </w:p>
        </w:tc>
      </w:tr>
      <w:tr>
        <w:trPr>
          <w:trHeight w:val="346" w:hRule="exact"/>
        </w:trPr>
        <w:tc>
          <w:tcPr>
            <w:tcW w:w="1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right"/>
              <w:rPr>
                <w:rFonts w:ascii="Times New Roman" w:hAnsi="Times New Roman" w:cs="Times New Roman" w:eastAsia="Times New Roman" w:hint="default"/>
                <w:sz w:val="18"/>
                <w:szCs w:val="18"/>
              </w:rPr>
            </w:pPr>
            <w:r>
              <w:rPr>
                <w:rFonts w:ascii="Times New Roman"/>
                <w:sz w:val="18"/>
              </w:rPr>
              <w:t>179,932.59</w:t>
            </w:r>
          </w:p>
        </w:tc>
        <w:tc>
          <w:tcPr>
            <w:tcW w:w="188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2、其他应收款" w:id="405"/>
      <w:bookmarkEnd w:id="40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167"/>
        <w:gridCol w:w="3202"/>
        <w:gridCol w:w="3190"/>
      </w:tblGrid>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50,582.07</w:t>
            </w:r>
          </w:p>
        </w:tc>
      </w:tr>
      <w:tr>
        <w:trPr>
          <w:trHeight w:val="33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50,582.07</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其他应收款" w:id="406"/>
      <w:bookmarkEnd w:id="406"/>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691"/>
        <w:gridCol w:w="992"/>
        <w:gridCol w:w="708"/>
        <w:gridCol w:w="710"/>
        <w:gridCol w:w="566"/>
        <w:gridCol w:w="992"/>
        <w:gridCol w:w="994"/>
        <w:gridCol w:w="708"/>
        <w:gridCol w:w="708"/>
        <w:gridCol w:w="554"/>
        <w:gridCol w:w="932"/>
      </w:tblGrid>
      <w:tr>
        <w:trPr>
          <w:trHeight w:val="325" w:hRule="exact"/>
        </w:trPr>
        <w:tc>
          <w:tcPr>
            <w:tcW w:w="1691" w:type="dxa"/>
            <w:vMerge w:val="restart"/>
            <w:tcBorders>
              <w:top w:val="single" w:sz="4" w:space="0" w:color="000000"/>
              <w:left w:val="single" w:sz="4" w:space="0" w:color="000000"/>
              <w:right w:val="single" w:sz="4" w:space="0" w:color="000000"/>
            </w:tcBorders>
            <w:shd w:val="clear" w:color="auto" w:fill="D2D2D2"/>
          </w:tcPr>
          <w:p>
            <w:pPr/>
          </w:p>
        </w:tc>
        <w:tc>
          <w:tcPr>
            <w:tcW w:w="39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0" w:hRule="exact"/>
        </w:trPr>
        <w:tc>
          <w:tcPr>
            <w:tcW w:w="1691" w:type="dxa"/>
            <w:vMerge/>
            <w:tcBorders>
              <w:left w:val="single" w:sz="4" w:space="0" w:color="000000"/>
              <w:bottom w:val="nil" w:sz="6" w:space="0" w:color="auto"/>
              <w:right w:val="single" w:sz="4" w:space="0" w:color="000000"/>
            </w:tcBorders>
            <w:shd w:val="clear" w:color="auto" w:fill="D2D2D2"/>
          </w:tcPr>
          <w:p>
            <w:pP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185" w:hRule="exact"/>
        </w:trPr>
        <w:tc>
          <w:tcPr>
            <w:tcW w:w="1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262"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43" w:hRule="exact"/>
        </w:trPr>
        <w:tc>
          <w:tcPr>
            <w:tcW w:w="1691" w:type="dxa"/>
            <w:vMerge/>
            <w:tcBorders>
              <w:left w:val="single" w:sz="4" w:space="0" w:color="000000"/>
              <w:bottom w:val="single" w:sz="4" w:space="0" w:color="FFFFFF"/>
              <w:right w:val="single" w:sz="4" w:space="0" w:color="000000"/>
            </w:tcBorders>
            <w:shd w:val="clear" w:color="auto" w:fill="D2D2D2"/>
          </w:tcPr>
          <w:p>
            <w:pPr/>
          </w:p>
        </w:tc>
        <w:tc>
          <w:tcPr>
            <w:tcW w:w="99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1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54"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92" w:right="9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7" w:hRule="exact"/>
        </w:trPr>
        <w:tc>
          <w:tcPr>
            <w:tcW w:w="1691" w:type="dxa"/>
            <w:vMerge w:val="restart"/>
            <w:tcBorders>
              <w:top w:val="single" w:sz="4" w:space="0" w:color="FFFFFF"/>
              <w:left w:val="single" w:sz="4" w:space="0" w:color="000000"/>
              <w:right w:val="single" w:sz="4" w:space="0" w:color="000000"/>
            </w:tcBorders>
            <w:shd w:val="clear" w:color="auto" w:fill="D2D2D2"/>
          </w:tcPr>
          <w:p>
            <w:pPr/>
          </w:p>
        </w:tc>
        <w:tc>
          <w:tcPr>
            <w:tcW w:w="9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9"/>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9"/>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9"/>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3"/>
              <w:ind w:left="3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3"/>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3"/>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4"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69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44" w:hRule="exact"/>
        </w:trPr>
        <w:tc>
          <w:tcPr>
            <w:tcW w:w="1691"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 w:right="47"/>
              <w:jc w:val="both"/>
              <w:rPr>
                <w:rFonts w:ascii="宋体" w:hAnsi="宋体" w:cs="宋体" w:eastAsia="宋体" w:hint="default"/>
                <w:sz w:val="18"/>
                <w:szCs w:val="18"/>
              </w:rPr>
            </w:pPr>
            <w:r>
              <w:rPr>
                <w:rFonts w:ascii="宋体" w:hAnsi="宋体" w:cs="宋体" w:eastAsia="宋体" w:hint="default"/>
                <w:sz w:val="18"/>
                <w:szCs w:val="18"/>
              </w:rPr>
              <w:t>按信用风险特征组合 计提坏账准备的其他 应收款</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50,582.07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50,582.07</w:t>
            </w:r>
          </w:p>
        </w:tc>
      </w:tr>
      <w:tr>
        <w:trPr>
          <w:trHeight w:val="331" w:hRule="exact"/>
        </w:trPr>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63,000.00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9"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63,000.00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50,582.07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50,582.07</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t>期末单项金额重大并单项计提坏账准备的其他应收款：</w:t>
      </w:r>
    </w:p>
    <w:p>
      <w:pPr>
        <w:pStyle w:val="BodyText"/>
        <w:spacing w:line="415" w:lineRule="auto" w:before="116"/>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35" w:lineRule="exact"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240" w:lineRule="auto" w:before="0"/>
        <w:ind w:right="0"/>
        <w:jc w:val="left"/>
      </w:pPr>
      <w:r>
        <w:rPr/>
        <w:t>组合中，采用余额百分比法计提坏账准备的其他应收款：</w:t>
      </w:r>
    </w:p>
    <w:p>
      <w:pPr>
        <w:pStyle w:val="BodyText"/>
        <w:spacing w:line="415" w:lineRule="auto" w:before="117"/>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35" w:lineRule="exact"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before="0"/>
        <w:ind w:right="0"/>
        <w:jc w:val="left"/>
      </w:pPr>
      <w:r>
        <w:rPr/>
        <w:t>关联方、押金备用金的组合</w:t>
      </w:r>
    </w:p>
    <w:p>
      <w:pPr>
        <w:spacing w:line="240" w:lineRule="auto" w:before="8"/>
        <w:rPr>
          <w:rFonts w:ascii="宋体" w:hAnsi="宋体" w:cs="宋体" w:eastAsia="宋体" w:hint="default"/>
          <w:sz w:val="11"/>
          <w:szCs w:val="11"/>
        </w:rPr>
      </w:pPr>
    </w:p>
    <w:p>
      <w:pPr>
        <w:pStyle w:val="BodyText"/>
        <w:spacing w:line="240" w:lineRule="auto"/>
        <w:ind w:left="0" w:right="1130"/>
        <w:jc w:val="right"/>
      </w:pPr>
      <w:r>
        <w:rPr/>
        <w:t>单位：元</w:t>
      </w:r>
    </w:p>
    <w:p>
      <w:pPr>
        <w:spacing w:line="240" w:lineRule="auto" w:before="3"/>
        <w:rPr>
          <w:rFonts w:ascii="宋体" w:hAnsi="宋体" w:cs="宋体" w:eastAsia="宋体" w:hint="default"/>
          <w:sz w:val="14"/>
          <w:szCs w:val="14"/>
        </w:rPr>
      </w:pPr>
    </w:p>
    <w:tbl>
      <w:tblPr>
        <w:tblW w:w="0" w:type="auto"/>
        <w:jc w:val="left"/>
        <w:tblInd w:w="169" w:type="dxa"/>
        <w:tblLayout w:type="fixed"/>
        <w:tblCellMar>
          <w:top w:w="0" w:type="dxa"/>
          <w:left w:w="0" w:type="dxa"/>
          <w:bottom w:w="0" w:type="dxa"/>
          <w:right w:w="0" w:type="dxa"/>
        </w:tblCellMar>
        <w:tblLook w:val="01E0"/>
      </w:tblPr>
      <w:tblGrid>
        <w:gridCol w:w="1881"/>
        <w:gridCol w:w="1880"/>
        <w:gridCol w:w="1880"/>
        <w:gridCol w:w="1881"/>
        <w:gridCol w:w="1978"/>
      </w:tblGrid>
      <w:tr>
        <w:trPr>
          <w:trHeight w:val="335" w:hRule="exact"/>
        </w:trPr>
        <w:tc>
          <w:tcPr>
            <w:tcW w:w="1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30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5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5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366" w:hRule="exact"/>
        </w:trPr>
        <w:tc>
          <w:tcPr>
            <w:tcW w:w="18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备用金、押金</w:t>
            </w:r>
          </w:p>
        </w:tc>
        <w:tc>
          <w:tcPr>
            <w:tcW w:w="18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3"/>
              <w:ind w:left="1144" w:right="0"/>
              <w:jc w:val="left"/>
              <w:rPr>
                <w:rFonts w:ascii="Times New Roman" w:hAnsi="Times New Roman" w:cs="Times New Roman" w:eastAsia="Times New Roman" w:hint="default"/>
                <w:sz w:val="18"/>
                <w:szCs w:val="18"/>
              </w:rPr>
            </w:pPr>
            <w:r>
              <w:rPr>
                <w:rFonts w:ascii="Times New Roman"/>
                <w:sz w:val="18"/>
              </w:rPr>
              <w:t>63,000.00</w:t>
            </w:r>
          </w:p>
        </w:tc>
        <w:tc>
          <w:tcPr>
            <w:tcW w:w="1880" w:type="dxa"/>
            <w:tcBorders>
              <w:top w:val="single" w:sz="8" w:space="0" w:color="000000"/>
              <w:left w:val="single" w:sz="4" w:space="0" w:color="000000"/>
              <w:bottom w:val="single" w:sz="4" w:space="0" w:color="000000"/>
              <w:right w:val="single" w:sz="4" w:space="0" w:color="000000"/>
            </w:tcBorders>
          </w:tcPr>
          <w:p>
            <w:pPr/>
          </w:p>
        </w:tc>
        <w:tc>
          <w:tcPr>
            <w:tcW w:w="18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Times New Roman" w:hAnsi="Times New Roman" w:cs="Times New Roman" w:eastAsia="Times New Roman" w:hint="default"/>
                <w:sz w:val="18"/>
                <w:szCs w:val="18"/>
              </w:rPr>
            </w:pPr>
            <w:r>
              <w:rPr>
                <w:rFonts w:ascii="Times New Roman"/>
                <w:sz w:val="18"/>
              </w:rPr>
              <w:t>0%</w:t>
            </w:r>
          </w:p>
        </w:tc>
        <w:tc>
          <w:tcPr>
            <w:tcW w:w="19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员工、押金</w:t>
            </w:r>
          </w:p>
        </w:tc>
      </w:tr>
    </w:tbl>
    <w:p>
      <w:pPr>
        <w:spacing w:line="240" w:lineRule="auto" w:before="8"/>
        <w:rPr>
          <w:rFonts w:ascii="宋体" w:hAnsi="宋体" w:cs="宋体" w:eastAsia="宋体" w:hint="default"/>
          <w:sz w:val="6"/>
          <w:szCs w:val="6"/>
        </w:rPr>
      </w:pPr>
    </w:p>
    <w:p>
      <w:pPr>
        <w:pStyle w:val="BodyText"/>
        <w:spacing w:line="240" w:lineRule="auto"/>
        <w:ind w:right="0"/>
        <w:jc w:val="left"/>
      </w:pPr>
      <w:r>
        <w:rPr>
          <w:rFonts w:ascii="Times New Roman" w:hAnsi="Times New Roman" w:cs="Times New Roman" w:eastAsia="Times New Roman" w:hint="default"/>
        </w:rPr>
        <w:t>2</w:t>
      </w:r>
      <w:r>
        <w:rPr/>
        <w:t>）本期计提、收回或转回的坏账准备情况</w:t>
      </w:r>
    </w:p>
    <w:p>
      <w:pPr>
        <w:spacing w:line="240" w:lineRule="auto" w:before="1"/>
        <w:rPr>
          <w:rFonts w:ascii="宋体" w:hAnsi="宋体" w:cs="宋体" w:eastAsia="宋体" w:hint="default"/>
          <w:sz w:val="14"/>
          <w:szCs w:val="14"/>
        </w:rPr>
      </w:pPr>
    </w:p>
    <w:p>
      <w:pPr>
        <w:pStyle w:val="BodyText"/>
        <w:spacing w:line="240" w:lineRule="auto" w:before="0"/>
        <w:ind w:right="0"/>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551" w:footer="979" w:top="1120" w:bottom="1160" w:left="960" w:right="0"/>
        </w:sectPr>
      </w:pPr>
    </w:p>
    <w:p>
      <w:pPr>
        <w:spacing w:line="240" w:lineRule="auto" w:before="7"/>
        <w:rPr>
          <w:rFonts w:ascii="宋体" w:hAnsi="宋体" w:cs="宋体" w:eastAsia="宋体" w:hint="default"/>
          <w:sz w:val="27"/>
          <w:szCs w:val="27"/>
        </w:rPr>
      </w:pPr>
    </w:p>
    <w:p>
      <w:pPr>
        <w:pStyle w:val="BodyText"/>
        <w:spacing w:line="340" w:lineRule="auto"/>
        <w:ind w:right="6929"/>
        <w:jc w:val="left"/>
      </w:pPr>
      <w:r>
        <w:rPr>
          <w:rFonts w:ascii="Times New Roman" w:hAnsi="Times New Roman" w:cs="Times New Roman" w:eastAsia="Times New Roman" w:hint="default"/>
        </w:rPr>
        <w:t>3</w:t>
      </w:r>
      <w:r>
        <w:rPr/>
        <w:t>）本期实际核销的其他应收款情况 本年实际核销的其他应收款金额为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98"/>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3369"/>
        <w:gridCol w:w="3100"/>
        <w:gridCol w:w="3100"/>
      </w:tblGrid>
      <w:tr>
        <w:trPr>
          <w:trHeight w:val="330"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30"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43,000.00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40,582.07</w:t>
            </w:r>
          </w:p>
        </w:tc>
      </w:tr>
      <w:tr>
        <w:trPr>
          <w:trHeight w:val="330"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330"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63,000.00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50,582.07</w:t>
            </w:r>
          </w:p>
        </w:tc>
      </w:tr>
    </w:tbl>
    <w:p>
      <w:pPr>
        <w:spacing w:line="240" w:lineRule="auto" w:before="9"/>
        <w:rPr>
          <w:rFonts w:ascii="宋体" w:hAnsi="宋体" w:cs="宋体" w:eastAsia="宋体" w:hint="default"/>
          <w:sz w:val="6"/>
          <w:szCs w:val="6"/>
        </w:rPr>
      </w:pPr>
    </w:p>
    <w:p>
      <w:pPr>
        <w:pStyle w:val="BodyText"/>
        <w:spacing w:line="240" w:lineRule="auto"/>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570"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3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31.75%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15.87%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95.23%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3、长期股权投资" w:id="407"/>
      <w:bookmarkEnd w:id="40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170"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0"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 w:right="0"/>
              <w:jc w:val="center"/>
              <w:rPr>
                <w:rFonts w:ascii="Times New Roman" w:hAnsi="Times New Roman" w:cs="Times New Roman" w:eastAsia="Times New Roman" w:hint="default"/>
                <w:sz w:val="18"/>
                <w:szCs w:val="18"/>
              </w:rPr>
            </w:pPr>
            <w:r>
              <w:rPr>
                <w:rFonts w:ascii="Times New Roman"/>
                <w:sz w:val="18"/>
              </w:rPr>
              <w:t>3,507,207,899.42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1" w:right="0"/>
              <w:jc w:val="center"/>
              <w:rPr>
                <w:rFonts w:ascii="Times New Roman" w:hAnsi="Times New Roman" w:cs="Times New Roman" w:eastAsia="Times New Roman" w:hint="default"/>
                <w:sz w:val="18"/>
                <w:szCs w:val="18"/>
              </w:rPr>
            </w:pPr>
            <w:r>
              <w:rPr>
                <w:rFonts w:ascii="Times New Roman"/>
                <w:sz w:val="18"/>
              </w:rPr>
              <w:t>3,507,207,899.42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 w:right="0"/>
              <w:jc w:val="center"/>
              <w:rPr>
                <w:rFonts w:ascii="Times New Roman" w:hAnsi="Times New Roman" w:cs="Times New Roman" w:eastAsia="Times New Roman" w:hint="default"/>
                <w:sz w:val="18"/>
                <w:szCs w:val="18"/>
              </w:rPr>
            </w:pPr>
            <w:r>
              <w:rPr>
                <w:rFonts w:ascii="Times New Roman"/>
                <w:sz w:val="18"/>
              </w:rPr>
              <w:t>3,507,207,899.42</w:t>
            </w:r>
          </w:p>
        </w:tc>
      </w:tr>
      <w:tr>
        <w:trPr>
          <w:trHeight w:val="33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 w:right="0"/>
              <w:jc w:val="center"/>
              <w:rPr>
                <w:rFonts w:ascii="Times New Roman" w:hAnsi="Times New Roman" w:cs="Times New Roman" w:eastAsia="Times New Roman" w:hint="default"/>
                <w:sz w:val="18"/>
                <w:szCs w:val="18"/>
              </w:rPr>
            </w:pPr>
            <w:r>
              <w:rPr>
                <w:rFonts w:ascii="Times New Roman"/>
                <w:sz w:val="18"/>
              </w:rPr>
              <w:t>3,507,207,899.42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1" w:right="0"/>
              <w:jc w:val="center"/>
              <w:rPr>
                <w:rFonts w:ascii="Times New Roman" w:hAnsi="Times New Roman" w:cs="Times New Roman" w:eastAsia="Times New Roman" w:hint="default"/>
                <w:sz w:val="18"/>
                <w:szCs w:val="18"/>
              </w:rPr>
            </w:pPr>
            <w:r>
              <w:rPr>
                <w:rFonts w:ascii="Times New Roman"/>
                <w:sz w:val="18"/>
              </w:rPr>
              <w:t>3,507,207,899.42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 w:right="0"/>
              <w:jc w:val="center"/>
              <w:rPr>
                <w:rFonts w:ascii="Times New Roman" w:hAnsi="Times New Roman" w:cs="Times New Roman" w:eastAsia="Times New Roman" w:hint="default"/>
                <w:sz w:val="18"/>
                <w:szCs w:val="18"/>
              </w:rPr>
            </w:pPr>
            <w:r>
              <w:rPr>
                <w:rFonts w:ascii="Times New Roman"/>
                <w:sz w:val="18"/>
              </w:rPr>
              <w:t>3,507,207,899.42</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1）对子公司投资" w:id="408"/>
      <w:bookmarkEnd w:id="40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2268"/>
        <w:gridCol w:w="1418"/>
        <w:gridCol w:w="992"/>
        <w:gridCol w:w="992"/>
        <w:gridCol w:w="1419"/>
        <w:gridCol w:w="1276"/>
        <w:gridCol w:w="1202"/>
      </w:tblGrid>
      <w:tr>
        <w:trPr>
          <w:trHeight w:val="57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6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415" w:right="5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647,207,899.42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647,207,899.42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2,860,000,000.00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2,860,000,000.00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4、营业收入和营业成本" w:id="409"/>
      <w:bookmarkEnd w:id="40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169"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4"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71"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44,247,930.35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28,957,988.84</w:t>
            </w:r>
          </w:p>
        </w:tc>
      </w:tr>
      <w:tr>
        <w:trPr>
          <w:trHeight w:val="330"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16,023,855.22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11,766,987.94</w:t>
            </w:r>
          </w:p>
        </w:tc>
      </w:tr>
      <w:tr>
        <w:trPr>
          <w:trHeight w:val="330"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60,271,785.57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40,724,976.78</w:t>
            </w:r>
          </w:p>
        </w:tc>
      </w:tr>
    </w:tbl>
    <w:p>
      <w:pPr>
        <w:spacing w:after="0" w:line="240" w:lineRule="auto"/>
        <w:jc w:val="right"/>
        <w:rPr>
          <w:rFonts w:ascii="Times New Roman" w:hAnsi="Times New Roman" w:cs="Times New Roman" w:eastAsia="Times New Roman" w:hint="default"/>
          <w:sz w:val="18"/>
          <w:szCs w:val="18"/>
        </w:rPr>
        <w:sectPr>
          <w:pgSz w:w="11910" w:h="16840"/>
          <w:pgMar w:header="551" w:footer="979" w:top="1120" w:bottom="1160" w:left="960" w:right="0"/>
        </w:sect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bookmarkStart w:name="5、投资收益" w:id="410"/>
      <w:bookmarkEnd w:id="41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3302"/>
        <w:gridCol w:w="3071"/>
        <w:gridCol w:w="3186"/>
      </w:tblGrid>
      <w:tr>
        <w:trPr>
          <w:trHeight w:val="33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z w:val="18"/>
              </w:rPr>
              <w:t>449,525.05</w:t>
            </w:r>
          </w:p>
        </w:tc>
      </w:tr>
      <w:tr>
        <w:trPr>
          <w:trHeight w:val="33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14,058,000.00</w:t>
            </w:r>
          </w:p>
        </w:tc>
      </w:tr>
      <w:tr>
        <w:trPr>
          <w:trHeight w:val="33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-6,142,285.37</w:t>
            </w:r>
          </w:p>
        </w:tc>
      </w:tr>
      <w:tr>
        <w:trPr>
          <w:trHeight w:val="330"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短期银行保本理财产品收益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10,778,233.25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8,703,923.31</w:t>
            </w:r>
          </w:p>
        </w:tc>
      </w:tr>
      <w:tr>
        <w:trPr>
          <w:trHeight w:val="33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48,778,233.25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17,069,162.99</w:t>
            </w:r>
          </w:p>
        </w:tc>
      </w:tr>
    </w:tbl>
    <w:p>
      <w:pPr>
        <w:spacing w:line="240" w:lineRule="auto" w:before="10"/>
        <w:rPr>
          <w:rFonts w:ascii="宋体" w:hAnsi="宋体" w:cs="宋体" w:eastAsia="宋体" w:hint="default"/>
          <w:sz w:val="9"/>
          <w:szCs w:val="9"/>
        </w:rPr>
      </w:pPr>
    </w:p>
    <w:p>
      <w:pPr>
        <w:pStyle w:val="Heading3"/>
        <w:spacing w:line="240" w:lineRule="auto"/>
        <w:ind w:right="0"/>
        <w:jc w:val="left"/>
        <w:rPr>
          <w:b w:val="0"/>
          <w:bCs w:val="0"/>
        </w:rPr>
      </w:pPr>
      <w:bookmarkStart w:name="6、其他" w:id="411"/>
      <w:bookmarkEnd w:id="411"/>
      <w:r>
        <w:rPr>
          <w:b w:val="0"/>
          <w:bCs w:val="0"/>
        </w:rPr>
      </w:r>
      <w:r>
        <w:rPr>
          <w:rFonts w:ascii="Times New Roman" w:hAnsi="Times New Roman" w:cs="Times New Roman" w:eastAsia="Times New Roman" w:hint="default"/>
        </w:rPr>
        <w:t>6</w:t>
      </w:r>
      <w:r>
        <w:rPr/>
        <w:t>、其他</w:t>
      </w:r>
      <w:r>
        <w:rPr>
          <w:b w:val="0"/>
          <w:bCs w:val="0"/>
        </w:rPr>
      </w:r>
    </w:p>
    <w:p>
      <w:pPr>
        <w:pStyle w:val="BodyText"/>
        <w:spacing w:line="240" w:lineRule="auto" w:before="157"/>
        <w:ind w:right="0"/>
        <w:jc w:val="left"/>
      </w:pPr>
      <w:r>
        <w:rPr/>
        <w:t>无</w:t>
      </w:r>
    </w:p>
    <w:p>
      <w:pPr>
        <w:spacing w:line="240" w:lineRule="auto" w:before="0"/>
        <w:rPr>
          <w:rFonts w:ascii="宋体" w:hAnsi="宋体" w:cs="宋体" w:eastAsia="宋体" w:hint="default"/>
          <w:sz w:val="18"/>
          <w:szCs w:val="18"/>
        </w:rPr>
      </w:pPr>
    </w:p>
    <w:p>
      <w:pPr>
        <w:pStyle w:val="Heading2"/>
        <w:spacing w:line="240" w:lineRule="auto" w:before="138"/>
        <w:ind w:left="0" w:right="8911"/>
        <w:jc w:val="center"/>
        <w:rPr>
          <w:b w:val="0"/>
          <w:bCs w:val="0"/>
        </w:rPr>
      </w:pPr>
      <w:bookmarkStart w:name="十七、补充资料" w:id="412"/>
      <w:bookmarkEnd w:id="412"/>
      <w:r>
        <w:rPr>
          <w:b w:val="0"/>
          <w:bCs w:val="0"/>
        </w:rPr>
      </w:r>
      <w:r>
        <w:rPr/>
        <w:t>十七、补充资料</w:t>
      </w:r>
      <w:r>
        <w:rPr>
          <w:b w:val="0"/>
          <w:bCs w:val="0"/>
        </w:rPr>
      </w:r>
    </w:p>
    <w:p>
      <w:pPr>
        <w:spacing w:line="240" w:lineRule="auto" w:before="1"/>
        <w:rPr>
          <w:rFonts w:ascii="宋体" w:hAnsi="宋体" w:cs="宋体" w:eastAsia="宋体" w:hint="default"/>
          <w:b/>
          <w:bCs/>
          <w:sz w:val="29"/>
          <w:szCs w:val="29"/>
        </w:rPr>
      </w:pPr>
    </w:p>
    <w:p>
      <w:pPr>
        <w:pStyle w:val="Heading3"/>
        <w:spacing w:line="240" w:lineRule="auto" w:before="0"/>
        <w:ind w:right="0"/>
        <w:jc w:val="left"/>
        <w:rPr>
          <w:b w:val="0"/>
          <w:bCs w:val="0"/>
        </w:rPr>
      </w:pPr>
      <w:bookmarkStart w:name="1、当期非经常性损益明细表" w:id="413"/>
      <w:bookmarkEnd w:id="41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9"/>
        <w:rPr>
          <w:rFonts w:ascii="宋体" w:hAnsi="宋体" w:cs="宋体" w:eastAsia="宋体" w:hint="default"/>
          <w:b/>
          <w:bCs/>
          <w:sz w:val="8"/>
          <w:szCs w:val="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9" w:type="dxa"/>
        <w:tblLayout w:type="fixed"/>
        <w:tblCellMar>
          <w:top w:w="0" w:type="dxa"/>
          <w:left w:w="0" w:type="dxa"/>
          <w:bottom w:w="0" w:type="dxa"/>
          <w:right w:w="0" w:type="dxa"/>
        </w:tblCellMar>
        <w:tblLook w:val="01E0"/>
      </w:tblPr>
      <w:tblGrid>
        <w:gridCol w:w="3687"/>
        <w:gridCol w:w="1134"/>
        <w:gridCol w:w="4749"/>
      </w:tblGrid>
      <w:tr>
        <w:trPr>
          <w:trHeight w:val="33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3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-2,048,655.81</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主要系丰东热技术固定资产清理损失。</w:t>
            </w:r>
          </w:p>
        </w:tc>
      </w:tr>
      <w:tr>
        <w:trPr>
          <w:trHeight w:val="33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1,704,350.05</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系重庆丰东收到福利企业增值税返还 </w:t>
            </w:r>
            <w:r>
              <w:rPr>
                <w:rFonts w:ascii="Times New Roman" w:hAnsi="Times New Roman" w:cs="Times New Roman" w:eastAsia="Times New Roman" w:hint="default"/>
                <w:sz w:val="18"/>
                <w:szCs w:val="18"/>
              </w:rPr>
              <w:t>1,704,350.05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2185" w:hRule="exact"/>
        </w:trPr>
        <w:tc>
          <w:tcPr>
            <w:tcW w:w="3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5" w:right="0"/>
              <w:jc w:val="left"/>
              <w:rPr>
                <w:rFonts w:ascii="Times New Roman" w:hAnsi="Times New Roman" w:cs="Times New Roman" w:eastAsia="Times New Roman" w:hint="default"/>
                <w:sz w:val="18"/>
                <w:szCs w:val="18"/>
              </w:rPr>
            </w:pPr>
            <w:r>
              <w:rPr>
                <w:rFonts w:ascii="Times New Roman"/>
                <w:sz w:val="18"/>
              </w:rPr>
              <w:t>11,431,801.57</w:t>
            </w:r>
          </w:p>
        </w:tc>
        <w:tc>
          <w:tcPr>
            <w:tcW w:w="4749" w:type="dxa"/>
            <w:vMerge w:val="restart"/>
            <w:tcBorders>
              <w:top w:val="single" w:sz="4" w:space="0" w:color="000000"/>
              <w:left w:val="single" w:sz="4" w:space="0" w:color="000000"/>
              <w:right w:val="single" w:sz="4" w:space="0" w:color="000000"/>
            </w:tcBorders>
          </w:tcPr>
          <w:p>
            <w:pPr>
              <w:pStyle w:val="TableParagraph"/>
              <w:spacing w:line="240" w:lineRule="auto" w:before="22"/>
              <w:ind w:left="22" w:right="0"/>
              <w:jc w:val="both"/>
              <w:rPr>
                <w:rFonts w:ascii="宋体" w:hAnsi="宋体" w:cs="宋体" w:eastAsia="宋体" w:hint="default"/>
                <w:sz w:val="18"/>
                <w:szCs w:val="18"/>
              </w:rPr>
            </w:pPr>
            <w:r>
              <w:rPr>
                <w:rFonts w:ascii="宋体" w:hAnsi="宋体" w:cs="宋体" w:eastAsia="宋体" w:hint="default"/>
                <w:sz w:val="18"/>
                <w:szCs w:val="18"/>
              </w:rPr>
              <w:t>主要构成为：</w:t>
            </w:r>
          </w:p>
          <w:p>
            <w:pPr>
              <w:pStyle w:val="TableParagraph"/>
              <w:spacing w:line="240" w:lineRule="exact" w:before="62"/>
              <w:ind w:left="22"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、互联网财税板块：</w:t>
            </w:r>
            <w:r>
              <w:rPr>
                <w:rFonts w:ascii="Times New Roman" w:hAnsi="Times New Roman" w:cs="Times New Roman" w:eastAsia="Times New Roman" w:hint="default"/>
                <w:sz w:val="18"/>
                <w:szCs w:val="18"/>
              </w:rPr>
              <w:t>1,770,000.00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元为黄埔区商务局拨付的 促进现代服务业政策经营贡献奖；</w:t>
            </w:r>
            <w:r>
              <w:rPr>
                <w:rFonts w:ascii="Times New Roman" w:hAnsi="Times New Roman" w:cs="Times New Roman" w:eastAsia="Times New Roman" w:hint="default"/>
                <w:sz w:val="18"/>
                <w:szCs w:val="18"/>
              </w:rPr>
              <w:t>700,000.00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元为广州市科 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年度对方欣科技高企认定奖励；</w:t>
            </w:r>
          </w:p>
          <w:p>
            <w:pPr>
              <w:pStyle w:val="TableParagraph"/>
              <w:spacing w:line="240" w:lineRule="exact"/>
              <w:ind w:left="22" w:right="80"/>
              <w:jc w:val="both"/>
              <w:rPr>
                <w:rFonts w:ascii="宋体" w:hAnsi="宋体" w:cs="宋体" w:eastAsia="宋体" w:hint="default"/>
                <w:sz w:val="18"/>
                <w:szCs w:val="18"/>
              </w:rPr>
            </w:pPr>
            <w:r>
              <w:rPr>
                <w:rFonts w:ascii="Times New Roman" w:hAnsi="Times New Roman" w:cs="Times New Roman" w:eastAsia="Times New Roman" w:hint="default"/>
                <w:sz w:val="18"/>
                <w:szCs w:val="18"/>
              </w:rPr>
              <w:t>645,000.00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元为广州市工业和信息化委员会财局基于国产基 础软件的企业在线管理平台建设项目补贴；</w:t>
            </w:r>
            <w:r>
              <w:rPr>
                <w:rFonts w:ascii="Times New Roman" w:hAnsi="Times New Roman" w:cs="Times New Roman" w:eastAsia="Times New Roman" w:hint="default"/>
                <w:sz w:val="18"/>
                <w:szCs w:val="18"/>
              </w:rPr>
              <w:t>507,500.00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元为</w:t>
            </w:r>
            <w:r>
              <w:rPr>
                <w:rFonts w:ascii="宋体" w:hAnsi="宋体" w:cs="宋体" w:eastAsia="宋体" w:hint="default"/>
                <w:spacing w:val="-2"/>
                <w:sz w:val="18"/>
                <w:szCs w:val="18"/>
              </w:rPr>
              <w:t> </w:t>
            </w:r>
            <w:r>
              <w:rPr>
                <w:rFonts w:ascii="宋体" w:hAnsi="宋体" w:cs="宋体" w:eastAsia="宋体" w:hint="default"/>
                <w:sz w:val="18"/>
                <w:szCs w:val="18"/>
              </w:rPr>
              <w:t>广州市番禺区科技工业商务和信息化局对广东浪潮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研发加计扣除补贴。</w:t>
            </w:r>
          </w:p>
          <w:p>
            <w:pPr>
              <w:pStyle w:val="TableParagraph"/>
              <w:spacing w:line="240" w:lineRule="exact"/>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、热处理板块：</w:t>
            </w:r>
            <w:r>
              <w:rPr>
                <w:rFonts w:ascii="Times New Roman" w:hAnsi="Times New Roman" w:cs="Times New Roman" w:eastAsia="Times New Roman" w:hint="default"/>
                <w:sz w:val="18"/>
                <w:szCs w:val="18"/>
              </w:rPr>
              <w:t>2,813,350.00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元为柘林镇财政所土地减量搬 迁款；</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元为江苏省工业和信息化厅拨付的国家级 技术创新示范企业奖励；</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元为盐城市大丰区科学 技术局对国家级实验室奖补资金；</w:t>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元为盐城市大 丰区国库集中支付中心拨付工贸科对外合作和投资补贴； </w:t>
            </w:r>
            <w:r>
              <w:rPr>
                <w:rFonts w:ascii="Times New Roman" w:hAnsi="Times New Roman" w:cs="Times New Roman" w:eastAsia="Times New Roman" w:hint="default"/>
                <w:sz w:val="18"/>
                <w:szCs w:val="18"/>
              </w:rPr>
              <w:t>241,000.00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元为盐城市大丰区国库集中支付中心拨付盐城市 大丰区科技聚力创新奖励；</w:t>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元为盐城市财政局和 盐城市发展和改革委员会拨付的江苏省战略性新兴产业创新 示范企业奖励；</w:t>
            </w: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元为盐城市工业和信息化局拨付 的江苏省服务型制造示范企业奖励；</w:t>
            </w:r>
            <w:r>
              <w:rPr>
                <w:rFonts w:ascii="Times New Roman" w:hAnsi="Times New Roman" w:cs="Times New Roman" w:eastAsia="Times New Roman" w:hint="default"/>
                <w:sz w:val="18"/>
                <w:szCs w:val="18"/>
              </w:rPr>
              <w:t>154,000.00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元为盐城市 大丰区科学技术局拨付盐城推进聚力创新十条政策奖励； </w:t>
            </w:r>
            <w:r>
              <w:rPr>
                <w:rFonts w:ascii="Times New Roman" w:hAnsi="Times New Roman" w:cs="Times New Roman" w:eastAsia="Times New Roman" w:hint="default"/>
                <w:sz w:val="18"/>
                <w:szCs w:val="18"/>
              </w:rPr>
              <w:t>150,000.00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元为江苏省人力资源和社会保障厅拨付的双创资 金。</w:t>
            </w:r>
          </w:p>
        </w:tc>
      </w:tr>
      <w:tr>
        <w:trPr>
          <w:trHeight w:val="800" w:hRule="exact"/>
        </w:trPr>
        <w:tc>
          <w:tcPr>
            <w:tcW w:w="3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22" w:right="5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关，按照国家统一标准定额或定量享受的政府 补助除外）</w:t>
            </w:r>
          </w:p>
        </w:tc>
        <w:tc>
          <w:tcPr>
            <w:tcW w:w="1134" w:type="dxa"/>
            <w:vMerge/>
            <w:tcBorders>
              <w:left w:val="single" w:sz="10" w:space="0" w:color="D2D2D2"/>
              <w:right w:val="single" w:sz="4" w:space="0" w:color="000000"/>
            </w:tcBorders>
          </w:tcPr>
          <w:p>
            <w:pPr/>
          </w:p>
        </w:tc>
        <w:tc>
          <w:tcPr>
            <w:tcW w:w="4749" w:type="dxa"/>
            <w:vMerge/>
            <w:tcBorders>
              <w:left w:val="single" w:sz="4" w:space="0" w:color="000000"/>
              <w:right w:val="single" w:sz="4" w:space="0" w:color="000000"/>
            </w:tcBorders>
          </w:tcPr>
          <w:p>
            <w:pPr/>
          </w:p>
        </w:tc>
      </w:tr>
      <w:tr>
        <w:trPr>
          <w:trHeight w:val="2185" w:hRule="exact"/>
        </w:trPr>
        <w:tc>
          <w:tcPr>
            <w:tcW w:w="3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10" w:space="0" w:color="D2D2D2"/>
              <w:bottom w:val="single" w:sz="4" w:space="0" w:color="000000"/>
              <w:right w:val="single" w:sz="4" w:space="0" w:color="000000"/>
            </w:tcBorders>
          </w:tcPr>
          <w:p>
            <w:pPr/>
          </w:p>
        </w:tc>
        <w:tc>
          <w:tcPr>
            <w:tcW w:w="4749" w:type="dxa"/>
            <w:vMerge/>
            <w:tcBorders>
              <w:left w:val="single" w:sz="4" w:space="0" w:color="000000"/>
              <w:bottom w:val="single" w:sz="4" w:space="0" w:color="000000"/>
              <w:right w:val="single" w:sz="4" w:space="0" w:color="000000"/>
            </w:tcBorders>
          </w:tcPr>
          <w:p>
            <w:pPr/>
          </w:p>
        </w:tc>
      </w:tr>
      <w:tr>
        <w:trPr>
          <w:trHeight w:val="57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5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 日的当期净损益</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-3,814,589.33</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系同一控制下合并益东金财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月的净利润。</w:t>
            </w:r>
          </w:p>
        </w:tc>
      </w:tr>
      <w:tr>
        <w:trPr>
          <w:trHeight w:val="129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5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 务外，持有交易性金融资产、交易性金融负债 产生的公允价值变动损益，以及处置交易性金 融资产、交易性金融负债和可供出售金融资产 取得的投资收益</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26,544,933.59</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35"/>
              <w:jc w:val="left"/>
              <w:rPr>
                <w:rFonts w:ascii="宋体" w:hAnsi="宋体" w:cs="宋体" w:eastAsia="宋体" w:hint="default"/>
                <w:sz w:val="18"/>
                <w:szCs w:val="18"/>
              </w:rPr>
            </w:pPr>
            <w:r>
              <w:rPr>
                <w:rFonts w:ascii="宋体" w:hAnsi="宋体" w:cs="宋体" w:eastAsia="宋体" w:hint="default"/>
                <w:sz w:val="18"/>
                <w:szCs w:val="18"/>
              </w:rPr>
              <w:t>主要系报告期内公司使用部分暂时闲置募集资金和自有资金 购买银行、券商保本、低风险理财产品取得的利息收入。</w:t>
            </w:r>
          </w:p>
        </w:tc>
      </w:tr>
    </w:tbl>
    <w:p>
      <w:pPr>
        <w:spacing w:after="0" w:line="244" w:lineRule="auto"/>
        <w:jc w:val="left"/>
        <w:rPr>
          <w:rFonts w:ascii="宋体" w:hAnsi="宋体" w:cs="宋体" w:eastAsia="宋体" w:hint="default"/>
          <w:sz w:val="18"/>
          <w:szCs w:val="18"/>
        </w:rPr>
        <w:sectPr>
          <w:pgSz w:w="11910" w:h="16840"/>
          <w:pgMar w:header="551" w:footer="979" w:top="1120" w:bottom="1160" w:left="960" w:right="0"/>
        </w:sectPr>
      </w:pPr>
    </w:p>
    <w:p>
      <w:pPr>
        <w:spacing w:line="240" w:lineRule="auto" w:before="13"/>
        <w:rPr>
          <w:rFonts w:ascii="宋体" w:hAnsi="宋体" w:cs="宋体" w:eastAsia="宋体" w:hint="default"/>
          <w:sz w:val="23"/>
          <w:szCs w:val="23"/>
        </w:rPr>
      </w:pPr>
    </w:p>
    <w:tbl>
      <w:tblPr>
        <w:tblW w:w="0" w:type="auto"/>
        <w:jc w:val="left"/>
        <w:tblInd w:w="169" w:type="dxa"/>
        <w:tblLayout w:type="fixed"/>
        <w:tblCellMar>
          <w:top w:w="0" w:type="dxa"/>
          <w:left w:w="0" w:type="dxa"/>
          <w:bottom w:w="0" w:type="dxa"/>
          <w:right w:w="0" w:type="dxa"/>
        </w:tblCellMar>
        <w:tblLook w:val="01E0"/>
      </w:tblPr>
      <w:tblGrid>
        <w:gridCol w:w="3687"/>
        <w:gridCol w:w="1134"/>
        <w:gridCol w:w="4749"/>
      </w:tblGrid>
      <w:tr>
        <w:trPr>
          <w:trHeight w:val="57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-7,041,453.24</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主要系向清华大学教育基金会五道口金融科技发展基金捐赠</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3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5,681,239.02</w:t>
            </w:r>
          </w:p>
        </w:tc>
        <w:tc>
          <w:tcPr>
            <w:tcW w:w="474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1,611,919.69</w:t>
            </w:r>
          </w:p>
        </w:tc>
        <w:tc>
          <w:tcPr>
            <w:tcW w:w="4749"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19,483,228.12</w:t>
            </w:r>
          </w:p>
        </w:tc>
        <w:tc>
          <w:tcPr>
            <w:tcW w:w="4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240" w:lineRule="auto"/>
        <w:ind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3"/>
        <w:ind w:left="174" w:right="1116"/>
        <w:jc w:val="left"/>
      </w:pPr>
      <w:r>
        <w:rPr>
          <w:spacing w:val="-2"/>
        </w:rPr>
        <w:t>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t> 目，应说明原因。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净资产收益率及每股收益" w:id="414"/>
      <w:bookmarkEnd w:id="41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4"/>
        <w:rPr>
          <w:rFonts w:ascii="宋体" w:hAnsi="宋体" w:cs="宋体" w:eastAsia="宋体" w:hint="default"/>
          <w:b/>
          <w:bCs/>
          <w:sz w:val="11"/>
          <w:szCs w:val="11"/>
        </w:rPr>
      </w:pPr>
    </w:p>
    <w:tbl>
      <w:tblPr>
        <w:tblW w:w="0" w:type="auto"/>
        <w:jc w:val="left"/>
        <w:tblInd w:w="180" w:type="dxa"/>
        <w:tblLayout w:type="fixed"/>
        <w:tblCellMar>
          <w:top w:w="0" w:type="dxa"/>
          <w:left w:w="0" w:type="dxa"/>
          <w:bottom w:w="0" w:type="dxa"/>
          <w:right w:w="0" w:type="dxa"/>
        </w:tblCellMar>
        <w:tblLook w:val="01E0"/>
      </w:tblPr>
      <w:tblGrid>
        <w:gridCol w:w="4385"/>
        <w:gridCol w:w="1346"/>
        <w:gridCol w:w="1913"/>
        <w:gridCol w:w="1913"/>
      </w:tblGrid>
      <w:tr>
        <w:trPr>
          <w:trHeight w:val="169" w:hRule="exact"/>
        </w:trPr>
        <w:tc>
          <w:tcPr>
            <w:tcW w:w="4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65"/>
              <w:ind w:left="398" w:right="36"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6" w:hRule="exact"/>
        </w:trPr>
        <w:tc>
          <w:tcPr>
            <w:tcW w:w="43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46"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4" w:hRule="exact"/>
        </w:trPr>
        <w:tc>
          <w:tcPr>
            <w:tcW w:w="4385" w:type="dxa"/>
            <w:vMerge/>
            <w:tcBorders>
              <w:left w:val="single" w:sz="4" w:space="0" w:color="000000"/>
              <w:bottom w:val="nil" w:sz="6" w:space="0" w:color="auto"/>
              <w:right w:val="single" w:sz="4" w:space="0" w:color="000000"/>
            </w:tcBorders>
            <w:shd w:val="clear" w:color="auto" w:fill="D2D2D2"/>
          </w:tcPr>
          <w:p>
            <w:pPr/>
          </w:p>
        </w:tc>
        <w:tc>
          <w:tcPr>
            <w:tcW w:w="1346"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70" w:hRule="exact"/>
        </w:trPr>
        <w:tc>
          <w:tcPr>
            <w:tcW w:w="4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46"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z w:val="18"/>
              </w:rPr>
              <w:t>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0.37</w:t>
            </w:r>
          </w:p>
        </w:tc>
      </w:tr>
      <w:tr>
        <w:trPr>
          <w:trHeight w:val="330" w:hRule="exact"/>
        </w:trPr>
        <w:tc>
          <w:tcPr>
            <w:tcW w:w="4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0.35</w:t>
            </w:r>
          </w:p>
        </w:tc>
      </w:tr>
    </w:tbl>
    <w:p>
      <w:pPr>
        <w:spacing w:line="240" w:lineRule="auto" w:before="10"/>
        <w:rPr>
          <w:rFonts w:ascii="宋体" w:hAnsi="宋体" w:cs="宋体" w:eastAsia="宋体" w:hint="default"/>
          <w:b/>
          <w:bCs/>
          <w:sz w:val="9"/>
          <w:szCs w:val="9"/>
        </w:rPr>
      </w:pPr>
    </w:p>
    <w:p>
      <w:pPr>
        <w:pStyle w:val="Heading3"/>
        <w:spacing w:line="240" w:lineRule="auto"/>
        <w:ind w:right="0"/>
        <w:jc w:val="left"/>
        <w:rPr>
          <w:b w:val="0"/>
          <w:bCs w:val="0"/>
        </w:rPr>
      </w:pPr>
      <w:bookmarkStart w:name="3、境内外会计准则下会计数据差异" w:id="415"/>
      <w:bookmarkEnd w:id="415"/>
      <w:r>
        <w:rPr>
          <w:b w:val="0"/>
          <w:bCs w:val="0"/>
        </w:rPr>
      </w:r>
      <w:r>
        <w:rPr>
          <w:rFonts w:ascii="Times New Roman" w:hAnsi="Times New Roman" w:cs="Times New Roman" w:eastAsia="Times New Roman" w:hint="default"/>
        </w:rPr>
        <w:t>3</w:t>
      </w:r>
      <w:r>
        <w:rPr/>
        <w:t>、境内外会计准则下会计数据差异</w:t>
      </w:r>
      <w:r>
        <w:rPr>
          <w:b w:val="0"/>
          <w:bCs w:val="0"/>
        </w:rPr>
      </w:r>
    </w:p>
    <w:p>
      <w:pPr>
        <w:pStyle w:val="Heading3"/>
        <w:spacing w:line="240" w:lineRule="auto" w:before="189"/>
        <w:ind w:right="0"/>
        <w:jc w:val="left"/>
        <w:rPr>
          <w:b w:val="0"/>
          <w:bCs w:val="0"/>
        </w:rPr>
      </w:pPr>
      <w:bookmarkStart w:name="（1）同时按照国际会计准则与按中国会计准则披露的财务报告中净利润和净资产差异情况" w:id="416"/>
      <w:bookmarkEnd w:id="41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pStyle w:val="BodyText"/>
        <w:spacing w:line="240" w:lineRule="auto" w:before="1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2）同时按照境外会计准则与按中国会计准则披露的财务报告中净利润和净资产差异情况" w:id="417"/>
      <w:bookmarkEnd w:id="41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pStyle w:val="BodyText"/>
        <w:spacing w:line="240" w:lineRule="auto" w:before="16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97" w:lineRule="auto" w:before="0"/>
        <w:ind w:left="174" w:right="0" w:firstLine="422"/>
        <w:jc w:val="left"/>
        <w:rPr>
          <w:b w:val="0"/>
          <w:bCs w:val="0"/>
        </w:rPr>
      </w:pPr>
      <w:bookmarkStart w:name="（3）境内外会计准则下会计数据差异原因说明，对已经境外审计机构审计的数据进行差异" w:id="418"/>
      <w:bookmarkEnd w:id="41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w:t>
      </w:r>
      <w:r>
        <w:rPr>
          <w:w w:val="99"/>
        </w:rPr>
        <w:t> </w:t>
      </w:r>
      <w:r>
        <w:rPr/>
        <w:t>应注明该境外机构的名称</w:t>
      </w:r>
      <w:r>
        <w:rPr>
          <w:b w:val="0"/>
          <w:bCs w:val="0"/>
        </w:rPr>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6"/>
          <w:szCs w:val="16"/>
        </w:rPr>
      </w:pPr>
    </w:p>
    <w:p>
      <w:pPr>
        <w:pStyle w:val="Heading3"/>
        <w:spacing w:line="240" w:lineRule="auto" w:before="0"/>
        <w:ind w:right="0"/>
        <w:jc w:val="left"/>
        <w:rPr>
          <w:b w:val="0"/>
          <w:bCs w:val="0"/>
        </w:rPr>
      </w:pPr>
      <w:bookmarkStart w:name="4、其他" w:id="419"/>
      <w:bookmarkEnd w:id="419"/>
      <w:r>
        <w:rPr>
          <w:b w:val="0"/>
          <w:bCs w:val="0"/>
        </w:rPr>
      </w:r>
      <w:r>
        <w:rPr>
          <w:rFonts w:ascii="Times New Roman" w:hAnsi="Times New Roman" w:cs="Times New Roman" w:eastAsia="Times New Roman" w:hint="default"/>
        </w:rPr>
        <w:t>4</w:t>
      </w:r>
      <w:r>
        <w:rPr/>
        <w:t>、其他</w:t>
      </w:r>
      <w:r>
        <w:rPr>
          <w:b w:val="0"/>
          <w:bCs w:val="0"/>
        </w:rPr>
      </w:r>
    </w:p>
    <w:p>
      <w:pPr>
        <w:pStyle w:val="BodyText"/>
        <w:spacing w:line="240" w:lineRule="auto" w:before="158"/>
        <w:ind w:right="0"/>
        <w:jc w:val="left"/>
      </w:pPr>
      <w:r>
        <w:rPr/>
        <w:t>无</w:t>
      </w:r>
    </w:p>
    <w:p>
      <w:pPr>
        <w:spacing w:after="0" w:line="240" w:lineRule="auto"/>
        <w:jc w:val="left"/>
        <w:sectPr>
          <w:pgSz w:w="11910" w:h="16840"/>
          <w:pgMar w:header="551" w:footer="979" w:top="1120" w:bottom="1160" w:left="9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left="3306" w:right="0"/>
        <w:jc w:val="left"/>
        <w:rPr>
          <w:b w:val="0"/>
          <w:bCs w:val="0"/>
        </w:rPr>
      </w:pPr>
      <w:bookmarkStart w:name="第十二节 备查文件目录" w:id="420"/>
      <w:bookmarkEnd w:id="420"/>
      <w:r>
        <w:rPr>
          <w:b w:val="0"/>
          <w:bCs w:val="0"/>
        </w:rPr>
      </w:r>
      <w:bookmarkStart w:name="_bookmark11" w:id="421"/>
      <w:bookmarkEnd w:id="421"/>
      <w:r>
        <w:rPr>
          <w:b w:val="0"/>
          <w:bCs w:val="0"/>
        </w:rPr>
      </w:r>
      <w:r>
        <w:rPr/>
        <w:t>第十二节</w:t>
      </w:r>
      <w:r>
        <w:rPr>
          <w:spacing w:val="-8"/>
        </w:rPr>
        <w:t> </w:t>
      </w:r>
      <w:r>
        <w:rPr/>
        <w:t>备查文件目录</w:t>
      </w:r>
      <w:r>
        <w:rPr>
          <w:b w:val="0"/>
          <w:bCs w:val="0"/>
        </w:rPr>
      </w:r>
    </w:p>
    <w:p>
      <w:pPr>
        <w:pStyle w:val="Heading2"/>
        <w:spacing w:line="860" w:lineRule="atLeast" w:before="89"/>
        <w:ind w:left="656" w:right="0"/>
        <w:jc w:val="left"/>
        <w:rPr>
          <w:b w:val="0"/>
          <w:bCs w:val="0"/>
        </w:rPr>
      </w:pPr>
      <w:r>
        <w:rPr/>
        <w:t>一、载有公司董事长朱文明先生签名的</w:t>
      </w:r>
      <w:r>
        <w:rPr>
          <w:rFonts w:ascii="Times New Roman" w:hAnsi="Times New Roman" w:cs="Times New Roman" w:eastAsia="Times New Roman" w:hint="default"/>
        </w:rPr>
        <w:t>2018</w:t>
      </w:r>
      <w:r>
        <w:rPr/>
        <w:t>年年度报告。</w:t>
      </w:r>
      <w:r>
        <w:rPr>
          <w:w w:val="99"/>
        </w:rPr>
        <w:t> </w:t>
      </w:r>
      <w:r>
        <w:rPr>
          <w:w w:val="95"/>
        </w:rPr>
        <w:t>二、载有公司法定代表人朱文明先生、主管会计工作负责人及会计机构负责人褚文兰女</w:t>
      </w:r>
      <w:r>
        <w:rPr>
          <w:b w:val="0"/>
          <w:bCs w:val="0"/>
        </w:rPr>
      </w:r>
    </w:p>
    <w:p>
      <w:pPr>
        <w:pStyle w:val="Heading2"/>
        <w:spacing w:line="240" w:lineRule="auto" w:before="125"/>
        <w:ind w:right="0"/>
        <w:jc w:val="left"/>
        <w:rPr>
          <w:b w:val="0"/>
          <w:bCs w:val="0"/>
        </w:rPr>
      </w:pPr>
      <w:r>
        <w:rPr/>
        <w:t>士签名并盖章的财务报表。</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pStyle w:val="Heading2"/>
        <w:spacing w:line="336" w:lineRule="auto"/>
        <w:ind w:right="0" w:firstLine="482"/>
        <w:jc w:val="left"/>
        <w:rPr>
          <w:b w:val="0"/>
          <w:bCs w:val="0"/>
        </w:rPr>
      </w:pPr>
      <w:r>
        <w:rPr>
          <w:w w:val="95"/>
        </w:rPr>
        <w:t>三、载有众华会计师事务所（特殊普通合伙）盖章、注册会计师冯家俊先生、赵海蓉女</w:t>
      </w:r>
      <w:r>
        <w:rPr>
          <w:w w:val="99"/>
        </w:rPr>
        <w:t> </w:t>
      </w:r>
      <w:r>
        <w:rPr/>
        <w:t>士签名并盖章的公司</w:t>
      </w:r>
      <w:r>
        <w:rPr>
          <w:rFonts w:ascii="Times New Roman" w:hAnsi="Times New Roman" w:cs="Times New Roman" w:eastAsia="Times New Roman" w:hint="default"/>
        </w:rPr>
        <w:t>2018</w:t>
      </w:r>
      <w:r>
        <w:rPr/>
        <w:t>年度审计报告原件。</w:t>
      </w:r>
      <w:r>
        <w:rPr>
          <w:b w:val="0"/>
          <w:bCs w:val="0"/>
        </w:rPr>
      </w:r>
    </w:p>
    <w:p>
      <w:pPr>
        <w:spacing w:line="240" w:lineRule="auto" w:before="10"/>
        <w:rPr>
          <w:rFonts w:ascii="宋体" w:hAnsi="宋体" w:cs="宋体" w:eastAsia="宋体" w:hint="default"/>
          <w:b/>
          <w:bCs/>
          <w:sz w:val="33"/>
          <w:szCs w:val="33"/>
        </w:rPr>
      </w:pPr>
    </w:p>
    <w:p>
      <w:pPr>
        <w:pStyle w:val="Heading2"/>
        <w:spacing w:line="336" w:lineRule="auto"/>
        <w:ind w:right="0" w:firstLine="482"/>
        <w:jc w:val="left"/>
        <w:rPr>
          <w:b w:val="0"/>
          <w:bCs w:val="0"/>
        </w:rPr>
      </w:pPr>
      <w:r>
        <w:rPr>
          <w:w w:val="95"/>
        </w:rPr>
        <w:t>四、报告期内在中国证券监督管理委员会指定报纸上公开披露过的所有公司文件的正本</w:t>
      </w:r>
      <w:r>
        <w:rPr>
          <w:w w:val="99"/>
        </w:rPr>
        <w:t> </w:t>
      </w:r>
      <w:r>
        <w:rPr/>
        <w:t>及公告的原稿。</w:t>
      </w:r>
      <w:r>
        <w:rPr>
          <w:b w:val="0"/>
          <w:bCs w:val="0"/>
        </w:rPr>
      </w:r>
    </w:p>
    <w:p>
      <w:pPr>
        <w:spacing w:line="240" w:lineRule="auto" w:before="13"/>
        <w:rPr>
          <w:rFonts w:ascii="宋体" w:hAnsi="宋体" w:cs="宋体" w:eastAsia="宋体" w:hint="default"/>
          <w:b/>
          <w:bCs/>
          <w:sz w:val="35"/>
          <w:szCs w:val="35"/>
        </w:rPr>
      </w:pPr>
    </w:p>
    <w:p>
      <w:pPr>
        <w:spacing w:before="0"/>
        <w:ind w:left="774" w:right="0" w:firstLine="0"/>
        <w:jc w:val="left"/>
        <w:rPr>
          <w:rFonts w:ascii="宋体" w:hAnsi="宋体" w:cs="宋体" w:eastAsia="宋体" w:hint="default"/>
          <w:sz w:val="24"/>
          <w:szCs w:val="24"/>
        </w:rPr>
      </w:pPr>
      <w:r>
        <w:rPr>
          <w:rFonts w:ascii="宋体" w:hAnsi="宋体" w:cs="宋体" w:eastAsia="宋体" w:hint="default"/>
          <w:sz w:val="24"/>
          <w:szCs w:val="24"/>
        </w:rPr>
        <w:t>以上文件的原件备置于公司证券部备查。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456" w:lineRule="auto" w:before="157"/>
        <w:ind w:left="6300" w:right="1235"/>
        <w:jc w:val="center"/>
        <w:rPr>
          <w:b w:val="0"/>
          <w:bCs w:val="0"/>
        </w:rPr>
      </w:pPr>
      <w:r>
        <w:rPr/>
        <w:t>法定代表人：朱文明</w:t>
      </w:r>
      <w:r>
        <w:rPr>
          <w:w w:val="99"/>
        </w:rPr>
        <w:t> </w:t>
      </w:r>
      <w:r>
        <w:rPr>
          <w:w w:val="95"/>
        </w:rPr>
        <w:t>金财互联控股股份有限公司</w:t>
      </w:r>
      <w:r>
        <w:rPr>
          <w:spacing w:val="10"/>
          <w:w w:val="95"/>
        </w:rPr>
        <w:t> </w:t>
      </w:r>
      <w:r>
        <w:rPr/>
        <w:t>二</w:t>
      </w:r>
      <w:r>
        <w:rPr>
          <w:rFonts w:ascii="Times New Roman" w:hAnsi="Times New Roman" w:cs="Times New Roman" w:eastAsia="Times New Roman" w:hint="default"/>
        </w:rPr>
        <w:t>O</w:t>
      </w:r>
      <w:r>
        <w:rPr/>
        <w:t>一九年四月二十日</w:t>
      </w:r>
      <w:r>
        <w:rPr>
          <w:b w:val="0"/>
          <w:bCs w:val="0"/>
        </w:rPr>
      </w:r>
    </w:p>
    <w:sectPr>
      <w:pgSz w:w="11910" w:h="16840"/>
      <w:pgMar w:header="551" w:footer="979" w:top="1120" w:bottom="1160" w:left="9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464" type="#_x0000_t75" stroked="false">
          <v:imagedata r:id="rId1" o:title=""/>
        </v:shape>
      </w:pict>
    </w:r>
    <w:r>
      <w:rPr/>
      <w:pict>
        <v:shape style="position:absolute;margin-left:533.179993pt;margin-top:795.517944pt;width:6.5pt;height:11pt;mso-position-horizontal-relative:page;mso-position-vertical-relative:page;z-index:-102844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416" type="#_x0000_t75" stroked="false">
          <v:imagedata r:id="rId1" o:title=""/>
        </v:shape>
      </w:pict>
    </w:r>
    <w:r>
      <w:rPr/>
      <w:pict>
        <v:shape style="position:absolute;margin-left:527.679993pt;margin-top:781.957947pt;width:13pt;height:11pt;mso-position-horizontal-relative:page;mso-position-vertical-relative:page;z-index:-10283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320" type="#_x0000_t75" stroked="false">
          <v:imagedata r:id="rId1" o:title=""/>
        </v:shape>
      </w:pict>
    </w:r>
    <w:r>
      <w:rPr/>
      <w:pict>
        <v:shape style="position:absolute;margin-left:524.179993pt;margin-top:781.957947pt;width:15.5pt;height:11pt;mso-position-horizontal-relative:page;mso-position-vertical-relative:page;z-index:-102829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272" type="#_x0000_t75" stroked="false">
          <v:imagedata r:id="rId1" o:title=""/>
        </v:shape>
      </w:pict>
    </w:r>
    <w:r>
      <w:rPr/>
      <w:pict>
        <v:shape style="position:absolute;margin-left:523.179993pt;margin-top:781.957947pt;width:17.5pt;height:11pt;mso-position-horizontal-relative:page;mso-position-vertical-relative:page;z-index:-10282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224" type="#_x0000_t75" stroked="false">
          <v:imagedata r:id="rId1" o:title=""/>
        </v:shape>
      </w:pict>
    </w:r>
    <w:r>
      <w:rPr/>
      <w:pict>
        <v:shape style="position:absolute;margin-left:523.179993pt;margin-top:781.957947pt;width:17.5pt;height:11pt;mso-position-horizontal-relative:page;mso-position-vertical-relative:page;z-index:-10282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028488" type="#_x0000_t202" filled="false" stroked="false">
          <v:textbox inset="0,0,0,0">
            <w:txbxContent>
              <w:p>
                <w:pPr>
                  <w:pStyle w:val="BodyText"/>
                  <w:spacing w:line="214" w:lineRule="exact" w:before="0"/>
                  <w:ind w:left="20" w:right="0"/>
                  <w:jc w:val="left"/>
                </w:pPr>
                <w:r>
                  <w:rPr/>
                  <w:t>金财互联控股股份有限公司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3.900002pt;margin-top:27.549982pt;width:486.65pt;height:28.75pt;mso-position-horizontal-relative:page;mso-position-vertical-relative:page;z-index:-1028368" coordorigin="1078,551" coordsize="9733,575">
          <v:shape style="position:absolute;left:1078;top:551;width:1498;height:575" type="#_x0000_t75" stroked="false">
            <v:imagedata r:id="rId1" o:title=""/>
          </v:shape>
          <v:group style="position:absolute;left:1104;top:1092;width:9700;height:2" coordorigin="1104,1092" coordsize="9700,2">
            <v:shape style="position:absolute;left:1104;top:1092;width:9700;height:2" coordorigin="1104,1092" coordsize="9700,0" path="m1104,1092l10804,1092e" filled="false" stroked="true" strokeweight=".72pt" strokecolor="#000000">
              <v:path arrowok="t"/>
            </v:shape>
          </v:group>
          <w10:wrap type="none"/>
        </v:group>
      </w:pict>
    </w:r>
    <w:r>
      <w:rPr/>
      <w:pict>
        <v:shape style="position:absolute;margin-left:344.220001pt;margin-top:42.865608pt;width:195.5pt;height:11.5pt;mso-position-horizontal-relative:page;mso-position-vertical-relative:page;z-index:-1028344" type="#_x0000_t202" filled="false" stroked="false">
          <v:textbox inset="0,0,0,0">
            <w:txbxContent>
              <w:p>
                <w:pPr>
                  <w:pStyle w:val="BodyText"/>
                  <w:spacing w:line="214" w:lineRule="exact" w:before="0"/>
                  <w:ind w:left="20" w:right="0"/>
                  <w:jc w:val="left"/>
                </w:pPr>
                <w:r>
                  <w:rPr/>
                  <w:t>金财互联控股股份有限公司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67"/>
      <w:ind w:left="174"/>
    </w:pPr>
    <w:rPr>
      <w:rFonts w:ascii="宋体" w:hAnsi="宋体" w:eastAsia="宋体"/>
      <w:b/>
      <w:bCs/>
      <w:sz w:val="24"/>
      <w:szCs w:val="24"/>
    </w:rPr>
  </w:style>
  <w:style w:styleId="BodyText" w:type="paragraph">
    <w:name w:val="Body Text"/>
    <w:basedOn w:val="Normal"/>
    <w:uiPriority w:val="1"/>
    <w:qFormat/>
    <w:pPr>
      <w:spacing w:before="44"/>
      <w:ind w:left="53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74"/>
      <w:outlineLvl w:val="2"/>
    </w:pPr>
    <w:rPr>
      <w:rFonts w:ascii="宋体" w:hAnsi="宋体" w:eastAsia="宋体"/>
      <w:b/>
      <w:bCs/>
      <w:sz w:val="24"/>
      <w:szCs w:val="24"/>
    </w:rPr>
  </w:style>
  <w:style w:styleId="Heading3" w:type="paragraph">
    <w:name w:val="Heading 3"/>
    <w:basedOn w:val="Normal"/>
    <w:uiPriority w:val="1"/>
    <w:qFormat/>
    <w:pPr>
      <w:spacing w:before="35"/>
      <w:ind w:left="596"/>
      <w:outlineLvl w:val="3"/>
    </w:pPr>
    <w:rPr>
      <w:rFonts w:ascii="宋体" w:hAnsi="宋体" w:eastAsia="宋体"/>
      <w:b/>
      <w:bCs/>
      <w:sz w:val="21"/>
      <w:szCs w:val="21"/>
    </w:rPr>
  </w:style>
  <w:style w:styleId="Heading4" w:type="paragraph">
    <w:name w:val="Heading 4"/>
    <w:basedOn w:val="Normal"/>
    <w:uiPriority w:val="1"/>
    <w:qFormat/>
    <w:pPr>
      <w:ind w:left="53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foresee.com.cn/" TargetMode="External"/><Relationship Id="rId11" Type="http://schemas.openxmlformats.org/officeDocument/2006/relationships/hyperlink" Target="http://www.fengdong.com/" TargetMode="External"/><Relationship Id="rId12" Type="http://schemas.openxmlformats.org/officeDocument/2006/relationships/hyperlink" Target="mailto:JCHL@jc-interconnect.com" TargetMode="External"/><Relationship Id="rId13" Type="http://schemas.openxmlformats.org/officeDocument/2006/relationships/hyperlink" Target="http://www.cninfo.com.cn/" TargetMode="External"/><Relationship Id="rId14" Type="http://schemas.openxmlformats.org/officeDocument/2006/relationships/hyperlink" Target="http://www.cninfo.com.cn/new/disclosure/stock?orgId=9900" TargetMode="External"/><Relationship Id="rId15" Type="http://schemas.openxmlformats.org/officeDocument/2006/relationships/hyperlink" Target="http://www.cninfo.com.cn/new/disclosur" TargetMode="External"/><Relationship Id="rId16" Type="http://schemas.openxmlformats.org/officeDocument/2006/relationships/image" Target="media/image3.png"/><Relationship Id="rId17" Type="http://schemas.openxmlformats.org/officeDocument/2006/relationships/hyperlink" Target="http://www.cninfo.com.cn/new/disclosure/detail?plate"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yperlink" Target="http://wiki.mbalib.com/wiki/%E6%94%B6%E7%9B%8A%E7%8E%8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金财互联控股股份有限公司</dc:creator>
  <dc:title>金财互联控股股份有限公司2018年年度报告全文</dc:title>
  <dcterms:created xsi:type="dcterms:W3CDTF">2020-05-05T00:58:31Z</dcterms:created>
  <dcterms:modified xsi:type="dcterms:W3CDTF">2020-05-05T00:58:31Z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Office Word 2007</vt:lpwstr>
  </property>
  <property fmtid="{D5CDD505-2E9C-101B-9397-08002B2CF9AE}" pid="4" name="LastSaved">
    <vt:filetime>2020-05-04T00:00:00Z</vt:filetime>
  </property>
</Properties>
</file>