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18" w:right="1132" w:bottom="984" w:left="1726" w:header="0" w:footer="3" w:gutter="0"/>
          <w:pgNumType w:start="1"/>
          <w:cols w:space="720"/>
          <w:noEndnote/>
          <w:rtlGutter w:val="0"/>
          <w:docGrid w:linePitch="360"/>
        </w:sectPr>
      </w:pPr>
    </w:p>
    <w:p>
      <w:pPr>
        <w:pStyle w:val="Style9"/>
        <w:keepNext w:val="0"/>
        <w:keepLines w:val="0"/>
        <w:framePr w:w="4373" w:h="432" w:wrap="none" w:vAnchor="text" w:hAnchor="page" w:x="3762" w:y="21"/>
        <w:widowControl w:val="0"/>
        <w:shd w:val="clear" w:color="auto" w:fill="auto"/>
        <w:bidi w:val="0"/>
        <w:spacing w:before="0" w:after="0" w:line="240" w:lineRule="auto"/>
        <w:ind w:left="0" w:right="0" w:firstLine="0"/>
        <w:jc w:val="center"/>
      </w:pPr>
      <w:r>
        <w:rPr>
          <w:color w:val="000000"/>
          <w:spacing w:val="0"/>
          <w:w w:val="100"/>
          <w:position w:val="0"/>
        </w:rPr>
        <w:t>金财互联控股股份有限公司</w:t>
      </w:r>
    </w:p>
    <w:p>
      <w:pPr>
        <w:pStyle w:val="Style11"/>
        <w:keepNext w:val="0"/>
        <w:keepLines w:val="0"/>
        <w:framePr w:w="2371" w:h="418" w:wrap="none" w:vAnchor="text" w:hAnchor="page" w:x="4760" w:y="84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4"/>
        <w:keepNext w:val="0"/>
        <w:keepLines w:val="0"/>
        <w:framePr w:w="1872" w:h="408" w:wrap="none" w:vAnchor="text" w:hAnchor="page" w:x="5005" w:y="7268"/>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type w:val="continuous"/>
          <w:pgSz w:w="11900" w:h="16840"/>
          <w:pgMar w:top="1018" w:right="1132" w:bottom="984" w:left="1726" w:header="0" w:footer="3" w:gutter="0"/>
          <w:cols w:space="720"/>
          <w:noEndnote/>
          <w:rtlGutter w:val="0"/>
          <w:docGrid w:linePitch="360"/>
        </w:sectPr>
      </w:pPr>
    </w:p>
    <w:p>
      <w:pPr>
        <w:pStyle w:val="Style17"/>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公司负责人朱文明、主管会计工作负责人褚文兰及会计机构负责人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褚文兰声明：保证本年度报告中财务报告的真实、准确、完整。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6" w:lineRule="exact"/>
        <w:ind w:left="0" w:right="0"/>
        <w:jc w:val="both"/>
      </w:pPr>
      <w:r>
        <w:rPr>
          <w:color w:val="000000"/>
          <w:spacing w:val="0"/>
          <w:w w:val="100"/>
          <w:position w:val="0"/>
        </w:rPr>
        <w:t>本报告期不存在在生产经营状况、财务状况和持续盈利能力方面有严重不 利影响的风险因素。对于公司经营中的相关风险分析，详见本报告</w:t>
      </w:r>
      <w:r>
        <w:rPr>
          <w:rFonts w:ascii="Times New Roman" w:eastAsia="Times New Roman" w:hAnsi="Times New Roman" w:cs="Times New Roman"/>
          <w:color w:val="000000"/>
          <w:spacing w:val="0"/>
          <w:w w:val="100"/>
          <w:position w:val="0"/>
        </w:rPr>
        <w:t>“</w:t>
      </w:r>
      <w:r>
        <w:rPr>
          <w:color w:val="000000"/>
          <w:spacing w:val="0"/>
          <w:w w:val="100"/>
          <w:position w:val="0"/>
        </w:rPr>
        <w:t>第四节经 营情况讨论与分析九、公司未来发展的展望（</w:t>
      </w:r>
      <w:r>
        <w:rPr>
          <w:rFonts w:ascii="Times New Roman" w:eastAsia="Times New Roman" w:hAnsi="Times New Roman" w:cs="Times New Roman"/>
          <w:color w:val="000000"/>
          <w:spacing w:val="0"/>
          <w:w w:val="100"/>
          <w:position w:val="0"/>
        </w:rPr>
        <w:t>4</w:t>
      </w:r>
      <w:r>
        <w:rPr>
          <w:color w:val="000000"/>
          <w:spacing w:val="0"/>
          <w:w w:val="100"/>
          <w:position w:val="0"/>
        </w:rPr>
        <w:t>）可能面临的风险及应对措施</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w:t>
      </w:r>
    </w:p>
    <w:p>
      <w:pPr>
        <w:pStyle w:val="Style19"/>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266" w:right="1068" w:bottom="2266" w:left="1073"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9"/>
        <w:keepNext w:val="0"/>
        <w:keepLines w:val="0"/>
        <w:widowControl w:val="0"/>
        <w:shd w:val="clear" w:color="auto" w:fill="auto"/>
        <w:bidi w:val="0"/>
        <w:spacing w:before="1400" w:after="164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10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32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480"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3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39"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4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84"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670"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673"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1910"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180</w:t>
        </w:r>
      </w:hyperlink>
      <w:r>
        <w:br w:type="page"/>
      </w:r>
      <w:r>
        <w:fldChar w:fldCharType="end"/>
      </w:r>
    </w:p>
    <w:p>
      <w:pPr>
        <w:pStyle w:val="Style11"/>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163"/>
        <w:gridCol w:w="710"/>
        <w:gridCol w:w="577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释义项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公司、本公司、金财互联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金财互联控股股份有限公司（由“江苏丰东热技术股份有限公司”更名）</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方欣科技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本公司全资子公司方欣科技有限公司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丰东热技术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本公司全资子公司江苏丰东热技术有限公司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浙江金财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方欣科技下属公司浙江金财立信财务管理有限公司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方欣恒利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方欣科技下属公司北京方欣恒利科技有限公司</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益东金财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方欣科技下属公司广东益东金财资产管理中心（有限合伙）</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青岛金财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方欣科技下属公司青岛高新金财信息科技有限公司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广东龙达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方欣科技下属公司广东龙达财税服务有限公司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广东浪潮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方欣科技下属公司广东浪潮创新计算机科技服务有限公司</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上海宝华威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丰东热技术下属公司上海宝华威热处理设备有限公司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丰东热技术下属公司南京丰东热处理工程有限公司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丰东热技术下属公司天津丰东热处理有限公司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特种炉业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丰东热技术下属公司盐城丰东特种炉业有限公司</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丰东热技术下属公司上海丰东热处理工程有限公司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常州鑫润丰东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丰东热技术下属公司常州鑫润丰东热处理工程有限公司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丰东热技术下属公司烟台丰东热技术有限公司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青岛热工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丰东热技术下属公司青岛丰东热工技术有限公司</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丰东热技术下属公司苏州丰东热处理技术有限公司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丰东热技术下属公司重庆丰东热处理工程有限公司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重庆金属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丰东热技术下属公司重庆丰东金属表面处理有限公司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丰东热技术下属公司武汉丰东热技术有限公司</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盐城高周波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丰东热技术合营公司盐城高周波热炼有限公司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石川岛丰东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丰东热技术合营公司江苏石川岛丰东真空技术有限公司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丰东热技术合营公司广州丰东热炼有限公司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湾区发展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本公司控股股东（现）上海湾区发展科技有限公司</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东润金财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本公司控股股东（原）江苏东润金财投资管理有限公司</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rFonts w:ascii="Arial" w:eastAsia="Arial" w:hAnsi="Arial" w:cs="Arial"/>
                <w:color w:val="000000"/>
                <w:spacing w:val="0"/>
                <w:w w:val="100"/>
                <w:position w:val="0"/>
              </w:rPr>
              <w:t xml:space="preserve">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9"/>
        <w:keepNext/>
        <w:keepLines/>
        <w:widowControl w:val="0"/>
        <w:shd w:val="clear" w:color="auto" w:fill="auto"/>
        <w:bidi w:val="0"/>
        <w:spacing w:before="0" w:after="320" w:line="240" w:lineRule="auto"/>
        <w:ind w:left="0" w:right="0" w:firstLine="280"/>
        <w:jc w:val="left"/>
      </w:pPr>
      <w:bookmarkStart w:id="7" w:name="bookmark7"/>
      <w:bookmarkStart w:id="8" w:name="bookmark8"/>
      <w:bookmarkStart w:id="9" w:name="bookmark9"/>
      <w:r>
        <w:rPr>
          <w:color w:val="000000"/>
          <w:spacing w:val="0"/>
          <w:w w:val="100"/>
          <w:position w:val="0"/>
          <w:sz w:val="24"/>
          <w:szCs w:val="24"/>
        </w:rPr>
        <w:t>、公司信息</w:t>
      </w:r>
      <w:bookmarkEnd w:id="7"/>
      <w:bookmarkEnd w:id="8"/>
      <w:bookmarkEnd w:id="9"/>
    </w:p>
    <w:tbl>
      <w:tblPr>
        <w:tblOverlap w:val="never"/>
        <w:jc w:val="center"/>
        <w:tblLayout w:type="fixed"/>
      </w:tblPr>
      <w:tblGrid>
        <w:gridCol w:w="2597"/>
        <w:gridCol w:w="2683"/>
        <w:gridCol w:w="2160"/>
        <w:gridCol w:w="2208"/>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金财互联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002530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JC Finance </w:t>
            </w:r>
            <w:r>
              <w:rPr>
                <w:i/>
                <w:iCs/>
                <w:color w:val="000000"/>
                <w:spacing w:val="0"/>
                <w:w w:val="100"/>
                <w:position w:val="0"/>
                <w:sz w:val="17"/>
                <w:szCs w:val="17"/>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Tax Interconnect Holdings Ltd.</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盐城市大丰区经济开发区南翔西路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盐城市大丰区经济开发区南翔西路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foresee. com. cn www. fengdong. com</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JCHL@j c-interconnect. 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2030"/>
        <w:gridCol w:w="3398"/>
        <w:gridCol w:w="4219"/>
      </w:tblGrid>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盐城市大丰区经济开发区南翔西路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广东省广州市黄埔区科学大道</w:t>
            </w:r>
            <w:r>
              <w:rPr>
                <w:rFonts w:ascii="Times New Roman" w:eastAsia="Times New Roman" w:hAnsi="Times New Roman" w:cs="Times New Roman"/>
                <w:color w:val="000000"/>
                <w:spacing w:val="0"/>
                <w:w w:val="100"/>
                <w:position w:val="0"/>
                <w:sz w:val="18"/>
                <w:szCs w:val="18"/>
              </w:rPr>
              <w:t>82-88</w:t>
            </w:r>
            <w:r>
              <w:rPr>
                <w:color w:val="000000"/>
                <w:spacing w:val="0"/>
                <w:w w:val="100"/>
                <w:position w:val="0"/>
              </w:rPr>
              <w:t>号（双号）</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020-62847128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0515-83282843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020-32219498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JCHL@j c-interconnect. com</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"mailto:zhuxuefang@foresee.com.cn" </w:instrText>
            </w:r>
            <w:r>
              <w:fldChar w:fldCharType="separate"/>
            </w:r>
            <w:r>
              <w:rPr>
                <w:rFonts w:ascii="Times New Roman" w:eastAsia="Times New Roman" w:hAnsi="Times New Roman" w:cs="Times New Roman"/>
                <w:color w:val="000000"/>
                <w:spacing w:val="0"/>
                <w:w w:val="100"/>
                <w:position w:val="0"/>
                <w:sz w:val="18"/>
                <w:szCs w:val="18"/>
              </w:rPr>
              <w:t>zhuxuefang@foresee.com.cn</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4037"/>
        <w:gridCol w:w="560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巨潮资讯网</w:t>
            </w:r>
            <w:r>
              <w:rPr>
                <w:rFonts w:ascii="SimHei" w:eastAsia="SimHei" w:hAnsi="SimHei" w:cs="SimHei"/>
                <w:color w:val="000000"/>
                <w:spacing w:val="0"/>
                <w:w w:val="100"/>
                <w:position w:val="0"/>
                <w:sz w:val="20"/>
                <w:szCs w:val="2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rFonts w:ascii="Times New Roman" w:eastAsia="Times New Roman" w:hAnsi="Times New Roman" w:cs="Times New Roman"/>
                <w:color w:val="000000"/>
                <w:spacing w:val="0"/>
                <w:w w:val="100"/>
                <w:position w:val="0"/>
                <w:sz w:val="18"/>
                <w:szCs w:val="18"/>
              </w:rPr>
              <w:t xml:space="preserve"> </w:t>
            </w:r>
            <w:r>
              <w:rPr>
                <w:rFonts w:ascii="SimHei" w:eastAsia="SimHei" w:hAnsi="SimHei" w:cs="SimHei"/>
                <w:color w:val="000000"/>
                <w:spacing w:val="0"/>
                <w:w w:val="100"/>
                <w:position w:val="0"/>
                <w:sz w:val="20"/>
                <w:szCs w:val="20"/>
              </w:rPr>
              <w:t>)</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41" w:right="1071" w:bottom="1647" w:left="1047" w:header="0" w:footer="3" w:gutter="0"/>
          <w:cols w:space="720"/>
          <w:noEndnote/>
          <w:rtlGutter w:val="0"/>
          <w:docGrid w:linePitch="360"/>
        </w:sectPr>
      </w:pPr>
    </w:p>
    <w:p>
      <w:pPr>
        <w:pStyle w:val="Style29"/>
        <w:keepNext/>
        <w:keepLines/>
        <w:widowControl w:val="0"/>
        <w:shd w:val="clear" w:color="auto" w:fill="auto"/>
        <w:bidi w:val="0"/>
        <w:spacing w:before="0" w:after="34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2880"/>
        <w:gridCol w:w="676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91320900608684500T</w:t>
            </w:r>
          </w:p>
        </w:tc>
      </w:tr>
      <w:tr>
        <w:trPr>
          <w:trHeight w:val="22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公司上市以来主营业务的变化情况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3"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年第一次临时股东大会审议，通过了《关于增加公司经营范围的 议案》，同意公司经营范围中增加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；增加后公司经营范围为：开发、生产热 处理设备及其辅助设备并销售本公司自产产品；承接金属零件的热处理加工业务；提 供热处理设备的保修维修服务；提供专业热处理技术咨询服务；设备租赁。</w:t>
            </w:r>
          </w:p>
          <w:p>
            <w:pPr>
              <w:pStyle w:val="Style25"/>
              <w:keepNext w:val="0"/>
              <w:keepLines w:val="0"/>
              <w:widowControl w:val="0"/>
              <w:shd w:val="clear" w:color="auto" w:fill="auto"/>
              <w:tabs>
                <w:tab w:pos="581" w:val="left"/>
              </w:tabs>
              <w:bidi w:val="0"/>
              <w:spacing w:before="0" w:after="0" w:line="24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年第三次临时股东大会审议，通过了《关于修订公司章程的议案》， 同意变更公司名称、证券简称以及经营范围，变更后的经营范围为：实业投资；股权 投资；投资咨询；资产管理；税务服务；财务、税务咨询服务；互联网软、硬件产品 研发、销售、技术服务、系统集成服务；数据服务；金属材料热处理及表面改性设备 的技术开发、技术咨询、制造、销售及维修服务；房屋、设备租赁。</w:t>
            </w:r>
          </w:p>
        </w:tc>
      </w:tr>
      <w:tr>
        <w:trPr>
          <w:trHeight w:val="129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日，东润金财协议转让其所持本公司</w:t>
            </w:r>
            <w:r>
              <w:rPr>
                <w:rFonts w:ascii="Times New Roman" w:eastAsia="Times New Roman" w:hAnsi="Times New Roman" w:cs="Times New Roman"/>
                <w:color w:val="000000"/>
                <w:spacing w:val="0"/>
                <w:w w:val="100"/>
                <w:position w:val="0"/>
                <w:sz w:val="18"/>
                <w:szCs w:val="18"/>
              </w:rPr>
              <w:t>89,218,191</w:t>
            </w:r>
            <w:r>
              <w:rPr>
                <w:color w:val="000000"/>
                <w:spacing w:val="0"/>
                <w:w w:val="100"/>
                <w:position w:val="0"/>
              </w:rPr>
              <w:t>股无限售流通股股 票（占公司总股本的</w:t>
            </w:r>
            <w:r>
              <w:rPr>
                <w:rFonts w:ascii="Times New Roman" w:eastAsia="Times New Roman" w:hAnsi="Times New Roman" w:cs="Times New Roman"/>
                <w:color w:val="000000"/>
                <w:spacing w:val="0"/>
                <w:w w:val="100"/>
                <w:position w:val="0"/>
                <w:sz w:val="18"/>
                <w:szCs w:val="18"/>
              </w:rPr>
              <w:t>11.45%</w:t>
            </w:r>
            <w:r>
              <w:rPr>
                <w:color w:val="000000"/>
                <w:spacing w:val="0"/>
                <w:w w:val="100"/>
                <w:position w:val="0"/>
              </w:rPr>
              <w:t>）给湾区发展完成过户登记手续；同日，徐正军将其所持 公司</w:t>
            </w:r>
            <w:r>
              <w:rPr>
                <w:rFonts w:ascii="Times New Roman" w:eastAsia="Times New Roman" w:hAnsi="Times New Roman" w:cs="Times New Roman"/>
                <w:color w:val="000000"/>
                <w:spacing w:val="0"/>
                <w:w w:val="100"/>
                <w:position w:val="0"/>
                <w:sz w:val="18"/>
                <w:szCs w:val="18"/>
              </w:rPr>
              <w:t>116,026,656</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14.89%</w:t>
            </w:r>
            <w:r>
              <w:rPr>
                <w:color w:val="000000"/>
                <w:spacing w:val="0"/>
                <w:w w:val="100"/>
                <w:position w:val="0"/>
              </w:rPr>
              <w:t>）对应的表决权委托给湾区发展行 使。湾区发展在公司拥有表决权的股份数量合计为</w:t>
            </w:r>
            <w:r>
              <w:rPr>
                <w:rFonts w:ascii="Times New Roman" w:eastAsia="Times New Roman" w:hAnsi="Times New Roman" w:cs="Times New Roman"/>
                <w:color w:val="000000"/>
                <w:spacing w:val="0"/>
                <w:w w:val="100"/>
                <w:position w:val="0"/>
                <w:sz w:val="18"/>
                <w:szCs w:val="18"/>
              </w:rPr>
              <w:t>205,244,847</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26.34%</w:t>
            </w:r>
            <w:r>
              <w:rPr>
                <w:color w:val="000000"/>
                <w:spacing w:val="0"/>
                <w:w w:val="100"/>
                <w:position w:val="0"/>
              </w:rPr>
              <w:t>，湾区发展成为公司控股股东。</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公司聘请的会计师事务所</w:t>
      </w:r>
    </w:p>
    <w:tbl>
      <w:tblPr>
        <w:tblOverlap w:val="never"/>
        <w:jc w:val="center"/>
        <w:tblLayout w:type="fixed"/>
      </w:tblPr>
      <w:tblGrid>
        <w:gridCol w:w="2707"/>
        <w:gridCol w:w="693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上海市虹口区东大名路</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号北外滩来福士广场东塔楼</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楼</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卞文漪、赵海蓉</w:t>
            </w:r>
          </w:p>
        </w:tc>
      </w:tr>
    </w:tbl>
    <w:p>
      <w:pPr>
        <w:widowControl w:val="0"/>
        <w:spacing w:after="17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公司聘请的报告期内履行持续督导职责的保荐机构</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公司聘请的报告期内履行持续督导职责的财务顾问</w:t>
      </w:r>
    </w:p>
    <w:p>
      <w:pPr>
        <w:pStyle w:val="Style35"/>
        <w:keepNext w:val="0"/>
        <w:keepLines w:val="0"/>
        <w:widowControl w:val="0"/>
        <w:shd w:val="clear" w:color="auto" w:fill="auto"/>
        <w:bidi w:val="0"/>
        <w:spacing w:before="0" w:after="3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公司是否需追溯调整或重述以前年度会计数据</w:t>
      </w:r>
    </w:p>
    <w:p>
      <w:pPr>
        <w:pStyle w:val="Style35"/>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80"/>
        <w:gridCol w:w="1699"/>
        <w:gridCol w:w="1704"/>
        <w:gridCol w:w="1843"/>
        <w:gridCol w:w="1522"/>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1,262,451,044.10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1,264,089,833.20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-1,243,619,838.77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-679,068,948.10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291,043,046.39</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-1,287,094,710.18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-744,720,060.58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271,559,818.27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-6,151,461.34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-58,953,167.50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119,448,073.51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27.46</w:t>
            </w:r>
            <w:r>
              <w:rPr>
                <w:color w:val="000000"/>
                <w:spacing w:val="0"/>
                <w:w w:val="100"/>
                <w:position w:val="0"/>
              </w:rPr>
              <w:t>个百分点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bl>
    <w:tbl>
      <w:tblPr>
        <w:tblOverlap w:val="never"/>
        <w:jc w:val="center"/>
        <w:tblLayout w:type="fixed"/>
      </w:tblPr>
      <w:tblGrid>
        <w:gridCol w:w="2880"/>
        <w:gridCol w:w="1699"/>
        <w:gridCol w:w="1704"/>
        <w:gridCol w:w="1843"/>
        <w:gridCol w:w="1522"/>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3,328,816,499.01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4,284,536,571.57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5,187,982,725.39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2,115,025,530.28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3,375,976,593.03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4,181,261,490.23</w:t>
            </w:r>
          </w:p>
        </w:tc>
      </w:tr>
    </w:tbl>
    <w:p>
      <w:pPr>
        <w:widowControl w:val="0"/>
        <w:spacing w:after="39" w:line="1" w:lineRule="exact"/>
      </w:pPr>
    </w:p>
    <w:p>
      <w:pPr>
        <w:pStyle w:val="Style35"/>
        <w:keepNext w:val="0"/>
        <w:keepLines w:val="0"/>
        <w:widowControl w:val="0"/>
        <w:shd w:val="clear" w:color="auto" w:fill="auto"/>
        <w:bidi w:val="0"/>
        <w:spacing w:before="0" w:after="140" w:line="322" w:lineRule="exact"/>
        <w:ind w:left="0" w:right="0"/>
        <w:jc w:val="both"/>
      </w:pPr>
      <w:r>
        <w:rPr>
          <w:color w:val="000000"/>
          <w:spacing w:val="0"/>
          <w:w w:val="100"/>
          <w:position w:val="0"/>
        </w:rPr>
        <w:t>公司最近三个会计年度扣除非经常性损益前后净利润孰低者均为负值，且最近一年审计报告显示公司持续经营能力存在 不确定性</w:t>
      </w:r>
    </w:p>
    <w:p>
      <w:pPr>
        <w:pStyle w:val="Style35"/>
        <w:keepNext w:val="0"/>
        <w:keepLines w:val="0"/>
        <w:widowControl w:val="0"/>
        <w:shd w:val="clear" w:color="auto" w:fill="auto"/>
        <w:bidi w:val="0"/>
        <w:spacing w:before="0" w:after="0" w:line="374"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140" w:line="322" w:lineRule="exact"/>
        <w:ind w:left="0" w:right="0"/>
        <w:jc w:val="left"/>
      </w:pPr>
      <w:r>
        <w:rPr>
          <w:color w:val="000000"/>
          <w:spacing w:val="0"/>
          <w:w w:val="100"/>
          <w:position w:val="0"/>
        </w:rPr>
        <w:t>扣除非经常损益前后的净利润孰低者为负值</w:t>
      </w:r>
    </w:p>
    <w:p>
      <w:pPr>
        <w:pStyle w:val="Style35"/>
        <w:keepNext w:val="0"/>
        <w:keepLines w:val="0"/>
        <w:widowControl w:val="0"/>
        <w:shd w:val="clear" w:color="auto" w:fill="auto"/>
        <w:bidi w:val="0"/>
        <w:spacing w:before="0" w:after="0" w:line="374"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434"/>
        <w:gridCol w:w="2395"/>
        <w:gridCol w:w="2395"/>
        <w:gridCol w:w="2419"/>
      </w:tblGrid>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1,262,451,044.10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1,262,451,044.10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9"/>
        <w:keepNext/>
        <w:keepLines/>
        <w:widowControl w:val="0"/>
        <w:shd w:val="clear" w:color="auto" w:fill="auto"/>
        <w:tabs>
          <w:tab w:pos="522"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9"/>
        <w:keepNext/>
        <w:keepLines/>
        <w:widowControl w:val="0"/>
        <w:shd w:val="clear" w:color="auto" w:fill="auto"/>
        <w:tabs>
          <w:tab w:pos="828" w:val="left"/>
        </w:tabs>
        <w:bidi w:val="0"/>
        <w:spacing w:before="0" w:line="240" w:lineRule="auto"/>
        <w:ind w:left="0" w:right="0" w:firstLine="46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838" w:val="left"/>
        </w:tabs>
        <w:bidi w:val="0"/>
        <w:spacing w:before="0" w:line="240" w:lineRule="auto"/>
        <w:ind w:left="0" w:right="0" w:firstLine="46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42"/>
        <w:gridCol w:w="1738"/>
        <w:gridCol w:w="1738"/>
        <w:gridCol w:w="1766"/>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253,113,082.32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318,667,295.18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313,590,931.90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126,108,360.38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12,328,398.87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17,399,129.21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21,362,759.50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-1,294,710,126.35</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8,135,274.67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-10,942,000.07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15,760,448.73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-1,300,048,433.51</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-104,885,434.55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55,200,670.20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-9,641,277.75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53,174,580.76</w:t>
            </w:r>
          </w:p>
        </w:tc>
      </w:tr>
    </w:tbl>
    <w:p>
      <w:pPr>
        <w:pStyle w:val="Style35"/>
        <w:keepNext w:val="0"/>
        <w:keepLines w:val="0"/>
        <w:widowControl w:val="0"/>
        <w:shd w:val="clear" w:color="auto" w:fill="auto"/>
        <w:bidi w:val="0"/>
        <w:spacing w:before="0" w:after="360" w:line="341" w:lineRule="exact"/>
        <w:ind w:left="40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35"/>
        <w:keepNext w:val="0"/>
        <w:keepLines w:val="0"/>
        <w:widowControl w:val="0"/>
        <w:shd w:val="clear" w:color="auto" w:fill="auto"/>
        <w:bidi w:val="0"/>
        <w:spacing w:before="0" w:after="360" w:line="240" w:lineRule="auto"/>
        <w:ind w:left="0" w:right="0"/>
        <w:jc w:val="lef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41" w:right="1071" w:bottom="1647"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133"/>
        <w:gridCol w:w="1133"/>
        <w:gridCol w:w="1133"/>
        <w:gridCol w:w="4214"/>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pPr>
            <w:r>
              <w:rPr>
                <w:color w:val="000000"/>
                <w:spacing w:val="0"/>
                <w:w w:val="100"/>
                <w:position w:val="0"/>
              </w:rPr>
              <w:t>非流动资产处置损益（包 括已计提资产减值准备 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-1,106,840.30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-24,320.30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-2,048,655.81</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越权审批或无正式批准 文件的税收返还、减免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2,069,307.03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1,009,567.20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1,704,350.05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系重庆丰东收到福利企业增值税返还。</w:t>
            </w:r>
          </w:p>
        </w:tc>
      </w:tr>
      <w:tr>
        <w:trPr>
          <w:trHeight w:val="37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left"/>
            </w:pPr>
            <w:r>
              <w:rPr>
                <w:color w:val="000000"/>
                <w:spacing w:val="0"/>
                <w:w w:val="100"/>
                <w:position w:val="0"/>
              </w:rPr>
              <w:t>计入当期损益的政府补 助（与企业业务密切相 关，按照国家统一标准定 额或定量享受的政府补 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22,534,308.01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15,816,391.09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11,431,801.57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2" w:lineRule="exact"/>
              <w:ind w:left="0" w:right="0" w:firstLine="380"/>
              <w:jc w:val="left"/>
            </w:pPr>
            <w:r>
              <w:rPr>
                <w:color w:val="000000"/>
                <w:spacing w:val="0"/>
                <w:w w:val="100"/>
                <w:position w:val="0"/>
              </w:rPr>
              <w:t>主要构成为：</w:t>
            </w:r>
          </w:p>
          <w:p>
            <w:pPr>
              <w:pStyle w:val="Style25"/>
              <w:keepNext w:val="0"/>
              <w:keepLines w:val="0"/>
              <w:widowControl w:val="0"/>
              <w:shd w:val="clear" w:color="auto" w:fill="auto"/>
              <w:tabs>
                <w:tab w:pos="638" w:val="left"/>
              </w:tabs>
              <w:bidi w:val="0"/>
              <w:spacing w:before="0" w:after="40" w:line="241"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互联网财税板块：</w:t>
            </w:r>
            <w:r>
              <w:rPr>
                <w:rFonts w:ascii="Times New Roman" w:eastAsia="Times New Roman" w:hAnsi="Times New Roman" w:cs="Times New Roman"/>
                <w:color w:val="000000"/>
                <w:spacing w:val="0"/>
                <w:w w:val="100"/>
                <w:position w:val="0"/>
                <w:sz w:val="18"/>
                <w:szCs w:val="18"/>
              </w:rPr>
              <w:t>3,637,371.18</w:t>
            </w:r>
            <w:r>
              <w:rPr>
                <w:color w:val="000000"/>
                <w:spacing w:val="0"/>
                <w:w w:val="100"/>
                <w:position w:val="0"/>
              </w:rPr>
              <w:t xml:space="preserve">元为青岛市黄 岛区国库集中支付中心拨付的基于山东省新经济发 展创新协同园区和云商总部基地补助资金； </w:t>
            </w:r>
            <w:r>
              <w:rPr>
                <w:rFonts w:ascii="Times New Roman" w:eastAsia="Times New Roman" w:hAnsi="Times New Roman" w:cs="Times New Roman"/>
                <w:color w:val="000000"/>
                <w:spacing w:val="0"/>
                <w:w w:val="100"/>
                <w:position w:val="0"/>
                <w:sz w:val="18"/>
                <w:szCs w:val="18"/>
              </w:rPr>
              <w:t>2,807,544.33</w:t>
            </w:r>
            <w:r>
              <w:rPr>
                <w:color w:val="000000"/>
                <w:spacing w:val="0"/>
                <w:w w:val="100"/>
                <w:position w:val="0"/>
              </w:rPr>
              <w:t>元为青岛市黄岛区基于金财人工智能与 区块链研究院的设立补助资金；</w:t>
            </w:r>
            <w:r>
              <w:rPr>
                <w:rFonts w:ascii="Times New Roman" w:eastAsia="Times New Roman" w:hAnsi="Times New Roman" w:cs="Times New Roman"/>
                <w:color w:val="000000"/>
                <w:spacing w:val="0"/>
                <w:w w:val="100"/>
                <w:position w:val="0"/>
                <w:sz w:val="18"/>
                <w:szCs w:val="18"/>
              </w:rPr>
              <w:t>1,349,800.00</w:t>
            </w:r>
            <w:r>
              <w:rPr>
                <w:color w:val="000000"/>
                <w:spacing w:val="0"/>
                <w:w w:val="100"/>
                <w:position w:val="0"/>
              </w:rPr>
              <w:t>元为广 州市财政局国库支付分局拨付的高成长创新标杆企 业资金等。</w:t>
            </w:r>
          </w:p>
          <w:p>
            <w:pPr>
              <w:pStyle w:val="Style25"/>
              <w:keepNext w:val="0"/>
              <w:keepLines w:val="0"/>
              <w:widowControl w:val="0"/>
              <w:shd w:val="clear" w:color="auto" w:fill="auto"/>
              <w:tabs>
                <w:tab w:pos="629" w:val="left"/>
              </w:tabs>
              <w:bidi w:val="0"/>
              <w:spacing w:before="0" w:after="40" w:line="24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热处理板块：</w:t>
            </w:r>
            <w:r>
              <w:rPr>
                <w:rFonts w:ascii="Times New Roman" w:eastAsia="Times New Roman" w:hAnsi="Times New Roman" w:cs="Times New Roman"/>
                <w:color w:val="000000"/>
                <w:spacing w:val="0"/>
                <w:w w:val="100"/>
                <w:position w:val="0"/>
                <w:sz w:val="18"/>
                <w:szCs w:val="18"/>
              </w:rPr>
              <w:t>2,188,161.72</w:t>
            </w:r>
            <w:r>
              <w:rPr>
                <w:color w:val="000000"/>
                <w:spacing w:val="0"/>
                <w:w w:val="100"/>
                <w:position w:val="0"/>
              </w:rPr>
              <w:t>元为柘林镇财政所 土地减量搬迁款；</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元为盐城市大丰区经 济开发区管委会拨付的无人化智能热处理工厂项目 资金奖励；</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元为盐城市大丰区财政局拨 付的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年制造业单项冠军奖励；</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元为 盐城市大丰区经建科拨付的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年第二批省级现代 服务业专项发展资金等。</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pPr>
            <w:r>
              <w:rPr>
                <w:color w:val="000000"/>
                <w:spacing w:val="0"/>
                <w:w w:val="100"/>
                <w:position w:val="0"/>
              </w:rPr>
              <w:t>同一控制下企业合并产 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-3,814,589.33</w:t>
            </w:r>
          </w:p>
        </w:tc>
        <w:tc>
          <w:tcPr>
            <w:tcBorders>
              <w:top w:val="single" w:sz="4"/>
              <w:left w:val="single" w:sz="4"/>
            </w:tcBorders>
            <w:shd w:val="clear" w:color="auto" w:fill="FFFFFF"/>
            <w:vAlign w:val="top"/>
          </w:tcPr>
          <w:p>
            <w:pPr>
              <w:widowControl w:val="0"/>
              <w:rPr>
                <w:sz w:val="10"/>
                <w:szCs w:val="10"/>
              </w:rPr>
            </w:pPr>
          </w:p>
        </w:tc>
      </w:tr>
      <w:tr>
        <w:trPr>
          <w:trHeight w:val="27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left"/>
            </w:pPr>
            <w:r>
              <w:rPr>
                <w:color w:val="000000"/>
                <w:spacing w:val="0"/>
                <w:w w:val="100"/>
                <w:position w:val="0"/>
              </w:rPr>
              <w:t>除同公司正常经营业务 相关的有效套期保值业 务外，持有交易性金融资 产、衍生金融资产、交易 性金融负债、衍生金融负 债产生的公允价值变动 损益，以及处置交易性金 融资产、衍生金融资产、 交易性金融负债、衍生金 融负债和其他债权投资 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7,218,229.83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12,207,789.56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26,544,933.59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380"/>
              <w:jc w:val="left"/>
            </w:pPr>
            <w:r>
              <w:rPr>
                <w:color w:val="000000"/>
                <w:spacing w:val="0"/>
                <w:w w:val="100"/>
                <w:position w:val="0"/>
              </w:rPr>
              <w:t>主要系年初至报告期末公司使用部分暂时闲置 募集资金和自有资金购买银行保本、低风险理财产品 等取得的利息收入。</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22,091,877.67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-828,904.19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-7,041,453.24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380"/>
              <w:jc w:val="left"/>
            </w:pPr>
            <w:r>
              <w:rPr>
                <w:color w:val="000000"/>
                <w:spacing w:val="0"/>
                <w:w w:val="100"/>
                <w:position w:val="0"/>
              </w:rPr>
              <w:t>主要系收购青岛金财的股权对价款中的剩余部 分无需支付。</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其他符合非经常性损益 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58,800,108.31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6,271,616.88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19,087,534.38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5,681,239.02</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420"/>
              <w:jc w:val="left"/>
            </w:pPr>
            <w:r>
              <w:rPr>
                <w:color w:val="000000"/>
                <w:spacing w:val="0"/>
                <w:w w:val="100"/>
                <w:position w:val="0"/>
              </w:rPr>
              <w:t>少数股东权益影响 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3,060,393.95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2,241,984.81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1,611,919.69</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43,474,871.41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65,651,112.48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19,483,228.12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5"/>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0" w:line="322" w:lineRule="exact"/>
        <w:ind w:left="0" w:right="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 损益项目界定为经常性损益的项目的情形。</w:t>
      </w:r>
    </w:p>
    <w:p>
      <w:pPr>
        <w:pStyle w:val="Style17"/>
        <w:keepNext/>
        <w:keepLines/>
        <w:widowControl w:val="0"/>
        <w:shd w:val="clear" w:color="auto" w:fill="auto"/>
        <w:bidi w:val="0"/>
        <w:spacing w:before="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9"/>
        <w:keepNext/>
        <w:keepLines/>
        <w:widowControl w:val="0"/>
        <w:shd w:val="clear" w:color="auto" w:fill="auto"/>
        <w:bidi w:val="0"/>
        <w:spacing w:before="0" w:after="26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bookmarkEnd w:id="53"/>
    </w:p>
    <w:p>
      <w:pPr>
        <w:pStyle w:val="Style35"/>
        <w:keepNext w:val="0"/>
        <w:keepLines w:val="0"/>
        <w:widowControl w:val="0"/>
        <w:shd w:val="clear" w:color="auto" w:fill="auto"/>
        <w:bidi w:val="0"/>
        <w:spacing w:before="0" w:after="160" w:line="314" w:lineRule="exact"/>
        <w:ind w:left="0" w:right="0" w:firstLine="38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0" w:line="360" w:lineRule="auto"/>
        <w:ind w:left="0" w:right="0" w:firstLine="380"/>
        <w:jc w:val="left"/>
      </w:pPr>
      <w:bookmarkStart w:id="58" w:name="bookmark58"/>
      <w:r>
        <w:rPr>
          <w:rFonts w:ascii="Times New Roman" w:eastAsia="Times New Roman" w:hAnsi="Times New Roman" w:cs="Times New Roman"/>
          <w:b/>
          <w:bCs/>
          <w:color w:val="000000"/>
          <w:spacing w:val="0"/>
          <w:w w:val="100"/>
          <w:position w:val="0"/>
          <w:sz w:val="18"/>
          <w:szCs w:val="18"/>
        </w:rPr>
        <w:t>1</w:t>
      </w:r>
      <w:bookmarkEnd w:id="58"/>
      <w:r>
        <w:rPr>
          <w:b/>
          <w:bCs/>
          <w:color w:val="000000"/>
          <w:spacing w:val="0"/>
          <w:w w:val="100"/>
          <w:position w:val="0"/>
        </w:rPr>
        <w:t>、互联网财税业务</w:t>
      </w:r>
    </w:p>
    <w:p>
      <w:pPr>
        <w:pStyle w:val="Style35"/>
        <w:keepNext w:val="0"/>
        <w:keepLines w:val="0"/>
        <w:widowControl w:val="0"/>
        <w:shd w:val="clear" w:color="auto" w:fill="auto"/>
        <w:tabs>
          <w:tab w:pos="779" w:val="left"/>
        </w:tabs>
        <w:bidi w:val="0"/>
        <w:spacing w:before="0" w:after="80" w:line="314" w:lineRule="exact"/>
        <w:ind w:left="0" w:right="0" w:firstLine="380"/>
        <w:jc w:val="both"/>
      </w:pPr>
      <w:bookmarkStart w:id="59" w:name="bookmark59"/>
      <w:r>
        <w:rPr>
          <w:b/>
          <w:bCs/>
          <w:color w:val="000000"/>
          <w:spacing w:val="0"/>
          <w:w w:val="100"/>
          <w:position w:val="0"/>
        </w:rPr>
        <w:t>（</w:t>
      </w:r>
      <w:bookmarkEnd w:id="5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主要业务</w:t>
      </w:r>
    </w:p>
    <w:p>
      <w:pPr>
        <w:pStyle w:val="Style3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互联网财税业务板块专注于面向平台型企业、财税服务机构、中小企业、个人用户群提供“财税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专业服务”的财 税数字化服务。在数字经济的新时代下，依托</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多年涉税基础服务所积累的海量用户资源和业务能力，基于云计算、大数 据、人工智能、区块链等先进技术，面向平台型企业、财税服务机构、中小企业和个人提供“合规、降负、增利”财税服务 需求，提供更便捷、更专业的新财税体验。</w:t>
      </w:r>
    </w:p>
    <w:p>
      <w:pPr>
        <w:pStyle w:val="Style35"/>
        <w:keepNext w:val="0"/>
        <w:keepLines w:val="0"/>
        <w:widowControl w:val="0"/>
        <w:shd w:val="clear" w:color="auto" w:fill="auto"/>
        <w:tabs>
          <w:tab w:pos="779" w:val="left"/>
        </w:tabs>
        <w:bidi w:val="0"/>
        <w:spacing w:before="0" w:after="0" w:line="314" w:lineRule="exact"/>
        <w:ind w:left="0" w:right="0" w:firstLine="380"/>
        <w:jc w:val="both"/>
      </w:pPr>
      <w:bookmarkStart w:id="60" w:name="bookmark60"/>
      <w:r>
        <w:rPr>
          <w:b/>
          <w:bCs/>
          <w:color w:val="000000"/>
          <w:spacing w:val="0"/>
          <w:w w:val="100"/>
          <w:position w:val="0"/>
        </w:rPr>
        <w:t>（</w:t>
      </w:r>
      <w:bookmarkEnd w:id="6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主要产品及用途</w:t>
      </w:r>
    </w:p>
    <w:p>
      <w:pPr>
        <w:pStyle w:val="Style3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主要产品有三大系列：面向税务机关的金税系列、面向中小企业和个人的金财系列以及系统集成服务，其中金税和金财 系列产品总体围绕着打造财税产业数字化平台及数字化运营这一战略目标协同发展。</w:t>
      </w:r>
    </w:p>
    <w:p>
      <w:pPr>
        <w:pStyle w:val="Style35"/>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金税系列产品</w:t>
      </w:r>
      <w:r>
        <w:rPr>
          <w:color w:val="000000"/>
          <w:spacing w:val="0"/>
          <w:w w:val="100"/>
          <w:position w:val="0"/>
        </w:rPr>
        <w:t>面向税务机关提供用于服务纳税人的互联网多端应用，主要产品包括：智慧电子税务局、实名办税与涉税 风险监控系统、征纳互动平台、智能咨询平台等。依托方欣科技</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多年来在税务领域的丰富积累，基于云计算、大数据和 人工智能等，公司具备为纳税人提供行业领先、便捷高效的互联网办税与综合服务能力，为税务干部提供高效的服务管理与 风险管控能力。相关产品及服务现已覆盖税务总局和</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个省级税务局，在国家进一步深化税收征管改革的大背景下，公司 也将进一步创新产品体系、提升服务质效，持续扩大市场规模并深度经营。</w:t>
      </w:r>
    </w:p>
    <w:p>
      <w:pPr>
        <w:pStyle w:val="Style35"/>
        <w:keepNext w:val="0"/>
        <w:keepLines w:val="0"/>
        <w:widowControl w:val="0"/>
        <w:shd w:val="clear" w:color="auto" w:fill="auto"/>
        <w:bidi w:val="0"/>
        <w:spacing w:before="0" w:after="0" w:line="314" w:lineRule="exact"/>
        <w:ind w:left="0" w:right="0" w:firstLine="380"/>
        <w:jc w:val="left"/>
      </w:pPr>
      <w:r>
        <w:rPr>
          <w:b/>
          <w:bCs/>
          <w:color w:val="000000"/>
          <w:spacing w:val="0"/>
          <w:w w:val="100"/>
          <w:position w:val="0"/>
        </w:rPr>
        <w:t>金财系列产品</w:t>
      </w:r>
      <w:r>
        <w:rPr>
          <w:color w:val="000000"/>
          <w:spacing w:val="0"/>
          <w:w w:val="100"/>
          <w:position w:val="0"/>
        </w:rPr>
        <w:t>按照用户群细分为平台企业、财税机构、中小企业、个人相应的产品。</w:t>
      </w:r>
    </w:p>
    <w:p>
      <w:pPr>
        <w:pStyle w:val="Style3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面向平台企业的灵活就业人员，公司平台基于区块链技术提供在线的财税托管服务产品“新商合规宝”，该产品集工商 注册、银行开户、税务登记、开票、记账、报税等在线服务于一体。随着《电子商务法》于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日正式落地实施, 全国</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多万电商群体以及</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多万微商群体均需要办理正规的营业执照和正常纳税，整个市场需求呈井喷之势。由于平 台型企业的商户数量大、地域分布广、大多无实体经营地址等特点，传统财税服务机构由于服务能力有限、区域单一、成本 高效率低、商户欠税走逃难以控制的限制，很难满足平台型企业的商户需求。金财云商让商户足不出户即可在线享受全程的 财税服务，在市场上具有强竞争力。</w:t>
      </w:r>
    </w:p>
    <w:p>
      <w:pPr>
        <w:pStyle w:val="Style3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面向财税机构用户，提供从生产、营销到运营的完整数字化解决方案的“金财代账”系列，帮助财税机构用户实现数字 化转型升级。生产环节提供“票、财、税”一体化的智能财税产品，实现自动拉取发票、自动生成财务报表、自动生成税务 报表，将会计人员从日常的凭证录入、会计报表制作、税务报表制作等繁琐重复的工作中解放出来，大幅度提升会计人员的 工作效率。实现客户资产的数字化、服务沟通的在线化。</w:t>
      </w:r>
    </w:p>
    <w:p>
      <w:pPr>
        <w:pStyle w:val="Style35"/>
        <w:keepNext w:val="0"/>
        <w:keepLines w:val="0"/>
        <w:widowControl w:val="0"/>
        <w:shd w:val="clear" w:color="auto" w:fill="auto"/>
        <w:bidi w:val="0"/>
        <w:spacing w:before="0" w:after="0" w:line="319" w:lineRule="exact"/>
        <w:ind w:left="0" w:right="0" w:firstLine="380"/>
        <w:jc w:val="both"/>
      </w:pPr>
      <w:r>
        <w:rPr>
          <w:color w:val="000000"/>
          <w:spacing w:val="0"/>
          <w:w w:val="100"/>
          <w:position w:val="0"/>
        </w:rPr>
        <w:t>面向中小企业用户，打造“财税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专业服务”于一体的“金财管家”系列。围绕企业电子发票的开具、归集、报销、 记账、存档等刚性需求，实现企业会计、老板和员工的在线协同。同时与平台入驻的财税服务机构及专业服务人员合作，基 于财税大数据提供精准化、个性化的专业服务，让中小企业低成本享受以往集团企业才能享受的财税服务。</w:t>
      </w:r>
    </w:p>
    <w:p>
      <w:pPr>
        <w:pStyle w:val="Style35"/>
        <w:keepNext w:val="0"/>
        <w:keepLines w:val="0"/>
        <w:widowControl w:val="0"/>
        <w:shd w:val="clear" w:color="auto" w:fill="auto"/>
        <w:tabs>
          <w:tab w:pos="779" w:val="left"/>
        </w:tabs>
        <w:bidi w:val="0"/>
        <w:spacing w:before="0" w:after="0" w:line="314" w:lineRule="exact"/>
        <w:ind w:left="0" w:right="0" w:firstLine="380"/>
        <w:jc w:val="both"/>
      </w:pPr>
      <w:bookmarkStart w:id="61" w:name="bookmark61"/>
      <w:r>
        <w:rPr>
          <w:b/>
          <w:bCs/>
          <w:color w:val="000000"/>
          <w:spacing w:val="0"/>
          <w:w w:val="100"/>
          <w:position w:val="0"/>
        </w:rPr>
        <w:t>（</w:t>
      </w:r>
      <w:bookmarkEnd w:id="6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行业发展阶段</w:t>
      </w:r>
    </w:p>
    <w:p>
      <w:pPr>
        <w:pStyle w:val="Style3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我国财税服务领域正处于数字化转型升级的历史窗口期。随着国家“十四五”规划纲要出台、金税四期建设启动、发票 电子化的迅猛推进，新一轮数字化产业革命将从根本上改变财税行业的商业模式，大数据、人工智能、区块链技术的不断发 展成熟，一个在线连接、数字驱动、网络协同的数字化财税服务新时代已经到来。</w:t>
      </w:r>
    </w:p>
    <w:p>
      <w:pPr>
        <w:pStyle w:val="Style35"/>
        <w:keepNext w:val="0"/>
        <w:keepLines w:val="0"/>
        <w:widowControl w:val="0"/>
        <w:shd w:val="clear" w:color="auto" w:fill="auto"/>
        <w:bidi w:val="0"/>
        <w:spacing w:before="0" w:after="0" w:line="312" w:lineRule="exact"/>
        <w:ind w:left="0" w:right="0" w:firstLine="38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441" w:right="1071" w:bottom="1647" w:left="1047" w:header="0" w:footer="3" w:gutter="0"/>
          <w:cols w:space="720"/>
          <w:noEndnote/>
          <w:titlePg/>
          <w:rtlGutter w:val="0"/>
          <w:docGrid w:linePitch="360"/>
        </w:sectPr>
      </w:pPr>
      <w:r>
        <w:rPr>
          <w:color w:val="000000"/>
          <w:spacing w:val="0"/>
          <w:w w:val="100"/>
          <w:position w:val="0"/>
        </w:rPr>
        <w:t>国家“十四五”规划纲要中提出：加强关键数字技术创新应用，加快推进数字产业化和产业数字化，完善数字治理体系， 提升数字服务水平；以数字化转型整体驱动生产方式、生活方式和治理方式变革，促进高质量发展；发挥数据生产要素的关 键作用，激活数据要素潜力，进一步完善数据生态；打造数字经济新优势，培育数字经济发展新动能，催生新产业、新业态、</w:t>
      </w:r>
    </w:p>
    <w:p>
      <w:pPr>
        <w:pStyle w:val="Style35"/>
        <w:keepNext w:val="0"/>
        <w:keepLines w:val="0"/>
        <w:widowControl w:val="0"/>
        <w:shd w:val="clear" w:color="auto" w:fill="auto"/>
        <w:bidi w:val="0"/>
        <w:spacing w:before="0" w:after="0" w:line="395" w:lineRule="exact"/>
        <w:ind w:left="0" w:right="0" w:firstLine="582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新模式。“十四五”规划纲要将数字化提升到前所未有的战略高度。另一方面，金税四期工程开始启动建设，发票电子化改 革也推进的如火如荼，大数据时代下的新型税收征管改革也已经形成了明确的时间表，到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年将形成以“信用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风险” 监管为基础、从“以票管税”向“以数治税”分类精准监管的税务监管新体系。随着政府信息化全面走向数字化监管，税惠 普及性、税负公平性、税收规范性力度达到前所未有高度，“合规、降负”的新财税服务需求呈井喷之势。</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数字化新经济环境下，随着《电子商务法》和《网络交易监督管理办法》的实施，以网店、微商、代购、直播等新经济 为代表的经营群体不再属于征管机构监管的“灰色地带”，家庭个人财税服务蓝海亟待爆发，涉税服务群体将成倍增长。而 与此同时，随着发票的“电子化凭证”管理要求、人工成本的不断增加以及客户数字化需求的不断提升，传统财税服务机构 以工商、代理记账、鉴证、审计为主的劳动密集型业务模式已经无法适应数字化新时代的需求，亟待利用数字化手段进行转 型升级。另一方面，国家税务总局发布《国家税务总局关于坚决查处第三方借减税降费服务巧立名目乱收费行为的通知》（税 总发</w:t>
      </w:r>
      <w:r>
        <w:rPr>
          <w:rFonts w:ascii="Times New Roman" w:eastAsia="Times New Roman" w:hAnsi="Times New Roman" w:cs="Times New Roman"/>
          <w:color w:val="000000"/>
          <w:spacing w:val="0"/>
          <w:w w:val="100"/>
          <w:position w:val="0"/>
          <w:sz w:val="18"/>
          <w:szCs w:val="18"/>
        </w:rPr>
        <w:t>[2019]44</w:t>
      </w:r>
      <w:r>
        <w:rPr>
          <w:color w:val="000000"/>
          <w:spacing w:val="0"/>
          <w:w w:val="100"/>
          <w:position w:val="0"/>
        </w:rPr>
        <w:t>号），以税务机构为核心的营商环境大大改善，与税务机构相关联的涉税收费一去不复返，依靠市场化手段为 企业提供“合规、降负、增利”的增值服务模式迎来了发展机遇。</w:t>
      </w:r>
    </w:p>
    <w:p>
      <w:pPr>
        <w:pStyle w:val="Style35"/>
        <w:keepNext w:val="0"/>
        <w:keepLines w:val="0"/>
        <w:widowControl w:val="0"/>
        <w:shd w:val="clear" w:color="auto" w:fill="auto"/>
        <w:bidi w:val="0"/>
        <w:spacing w:before="0" w:after="0" w:line="315" w:lineRule="exact"/>
        <w:ind w:left="0" w:right="0"/>
        <w:jc w:val="both"/>
      </w:pPr>
      <w:bookmarkStart w:id="62" w:name="bookmark62"/>
      <w:r>
        <w:rPr>
          <w:b/>
          <w:bCs/>
          <w:color w:val="000000"/>
          <w:spacing w:val="0"/>
          <w:w w:val="100"/>
          <w:position w:val="0"/>
        </w:rPr>
        <w:t>（</w:t>
      </w:r>
      <w:bookmarkEnd w:id="6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）报告期内重大变化</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报告期内，公司的重大变化包含以下几个方面：</w:t>
      </w:r>
    </w:p>
    <w:p>
      <w:pPr>
        <w:pStyle w:val="Style35"/>
        <w:keepNext w:val="0"/>
        <w:keepLines w:val="0"/>
        <w:widowControl w:val="0"/>
        <w:numPr>
          <w:ilvl w:val="0"/>
          <w:numId w:val="1"/>
        </w:numPr>
        <w:shd w:val="clear" w:color="auto" w:fill="auto"/>
        <w:tabs>
          <w:tab w:pos="663" w:val="left"/>
        </w:tabs>
        <w:bidi w:val="0"/>
        <w:spacing w:before="0" w:after="0" w:line="317" w:lineRule="exact"/>
        <w:ind w:left="0" w:right="0"/>
        <w:jc w:val="both"/>
      </w:pPr>
      <w:bookmarkStart w:id="63" w:name="bookmark63"/>
      <w:bookmarkEnd w:id="63"/>
      <w:r>
        <w:rPr>
          <w:color w:val="000000"/>
          <w:spacing w:val="0"/>
          <w:w w:val="100"/>
          <w:position w:val="0"/>
        </w:rPr>
        <w:t>抓住新冠肺炎疫情对行业的影响，及时打造线上服务产品、强化线上服务能力，推出了征纳互动产品，并在贵州、福 建、厦门等地上线，推动了征纳互动线上化的发展，打造了基础的成熟可推广的系统版本。</w:t>
      </w:r>
    </w:p>
    <w:p>
      <w:pPr>
        <w:pStyle w:val="Style35"/>
        <w:keepNext w:val="0"/>
        <w:keepLines w:val="0"/>
        <w:widowControl w:val="0"/>
        <w:numPr>
          <w:ilvl w:val="0"/>
          <w:numId w:val="1"/>
        </w:numPr>
        <w:shd w:val="clear" w:color="auto" w:fill="auto"/>
        <w:tabs>
          <w:tab w:pos="668" w:val="left"/>
        </w:tabs>
        <w:bidi w:val="0"/>
        <w:spacing w:before="0" w:after="0" w:line="314" w:lineRule="exact"/>
        <w:ind w:left="0" w:right="0"/>
        <w:jc w:val="both"/>
      </w:pPr>
      <w:bookmarkStart w:id="64" w:name="bookmark64"/>
      <w:bookmarkEnd w:id="64"/>
      <w:r>
        <w:rPr>
          <w:color w:val="000000"/>
          <w:spacing w:val="0"/>
          <w:w w:val="100"/>
          <w:position w:val="0"/>
        </w:rPr>
        <w:t>巩固和拓展金税业务与区域，紧抓金四建设契机。“金税四期”的开展意味着自顶向下信息化建设的全面升级，是国 家层面一次较大规模的信息化投资建设。在继续巩固现有业务的基础之上，紧抓金四建设契机：首先，在电子税务局和实名 办税与风险监控两项主营业务外，积极推进信息系统大运维和</w:t>
      </w:r>
      <w:r>
        <w:rPr>
          <w:rFonts w:ascii="Times New Roman" w:eastAsia="Times New Roman" w:hAnsi="Times New Roman" w:cs="Times New Roman"/>
          <w:color w:val="000000"/>
          <w:spacing w:val="0"/>
          <w:w w:val="100"/>
          <w:position w:val="0"/>
          <w:sz w:val="18"/>
          <w:szCs w:val="18"/>
        </w:rPr>
        <w:t>12366</w:t>
      </w:r>
      <w:r>
        <w:rPr>
          <w:color w:val="000000"/>
          <w:spacing w:val="0"/>
          <w:w w:val="100"/>
          <w:position w:val="0"/>
        </w:rPr>
        <w:t>智能咨询业务线，增强在金四中的业务涉及面，进一步 增加税务局端的客户粘性；其次，积极开拓沿海区域省份，建设有标杆示范性的项目，巩固市场领先优势，增强在金四中的 业务创新能力。</w:t>
      </w:r>
    </w:p>
    <w:p>
      <w:pPr>
        <w:pStyle w:val="Style35"/>
        <w:keepNext w:val="0"/>
        <w:keepLines w:val="0"/>
        <w:widowControl w:val="0"/>
        <w:numPr>
          <w:ilvl w:val="0"/>
          <w:numId w:val="1"/>
        </w:numPr>
        <w:shd w:val="clear" w:color="auto" w:fill="auto"/>
        <w:tabs>
          <w:tab w:pos="673" w:val="left"/>
        </w:tabs>
        <w:bidi w:val="0"/>
        <w:spacing w:before="0" w:after="0" w:line="316" w:lineRule="exact"/>
        <w:ind w:left="0" w:right="0"/>
        <w:jc w:val="both"/>
      </w:pPr>
      <w:bookmarkStart w:id="65" w:name="bookmark65"/>
      <w:bookmarkEnd w:id="65"/>
      <w:r>
        <w:rPr>
          <w:color w:val="000000"/>
          <w:spacing w:val="0"/>
          <w:w w:val="100"/>
          <w:position w:val="0"/>
        </w:rPr>
        <w:t>紧抓发票电子化变革机遇，发力票据凭证电子化。财政部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号令已经对电子会计凭证的电子存档作了强制化要求，根 据财政部的新规定，现在很多企业仅打印电子发票进行纸质存档而不存电子发票原件的实务操作已经属于不合规的范畴。金 财票税宝系列产品提供电子发票的全站式电子化管理，不论是员工端还是财务端都可以实现电子发票免打印。除了无需将电 子发票打印出来之外，还可以与会计核算系统联动，通过记账凭证可以联查归档的电子发票，进而对接企业的财税数字化， 实现了从票财税共享到业务数字化到税务风险实时控制的全环节数字化升级。</w:t>
      </w:r>
    </w:p>
    <w:p>
      <w:pPr>
        <w:pStyle w:val="Style35"/>
        <w:keepNext w:val="0"/>
        <w:keepLines w:val="0"/>
        <w:widowControl w:val="0"/>
        <w:numPr>
          <w:ilvl w:val="0"/>
          <w:numId w:val="1"/>
        </w:numPr>
        <w:shd w:val="clear" w:color="auto" w:fill="auto"/>
        <w:tabs>
          <w:tab w:pos="668" w:val="left"/>
        </w:tabs>
        <w:bidi w:val="0"/>
        <w:spacing w:before="0" w:after="0" w:line="317" w:lineRule="exact"/>
        <w:ind w:left="0" w:right="0"/>
        <w:jc w:val="both"/>
      </w:pPr>
      <w:bookmarkStart w:id="66" w:name="bookmark66"/>
      <w:bookmarkEnd w:id="66"/>
      <w:r>
        <w:rPr>
          <w:color w:val="000000"/>
          <w:spacing w:val="0"/>
          <w:w w:val="100"/>
          <w:position w:val="0"/>
        </w:rPr>
        <w:t>深化平台企业落地解决方案，大力推进金财云商业务的发展。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年电商法出台后，公司推出了金财云商系列产品， 核心价值是通过平台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服务，促进微电商平台及微电商等在业务经营过程中的合规性。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年，金财云商团队针对平台企业 行业的差异性，分别推出了数字工程、数字经纪、数字健康、数字电商和网络货运五大板块的行业解决方案及服务产品，拓 宽了云商业务的应用范围，并通过打造头部样板客户的方式展开推广。</w:t>
      </w:r>
    </w:p>
    <w:p>
      <w:pPr>
        <w:pStyle w:val="Style35"/>
        <w:keepNext w:val="0"/>
        <w:keepLines w:val="0"/>
        <w:widowControl w:val="0"/>
        <w:numPr>
          <w:ilvl w:val="0"/>
          <w:numId w:val="1"/>
        </w:numPr>
        <w:shd w:val="clear" w:color="auto" w:fill="auto"/>
        <w:tabs>
          <w:tab w:pos="668" w:val="left"/>
        </w:tabs>
        <w:bidi w:val="0"/>
        <w:spacing w:before="0" w:after="0" w:line="315" w:lineRule="exact"/>
        <w:ind w:left="0" w:right="0"/>
        <w:jc w:val="both"/>
      </w:pPr>
      <w:bookmarkStart w:id="67" w:name="bookmark67"/>
      <w:bookmarkEnd w:id="67"/>
      <w:r>
        <w:rPr>
          <w:color w:val="000000"/>
          <w:spacing w:val="0"/>
          <w:w w:val="100"/>
          <w:position w:val="0"/>
        </w:rPr>
        <w:t>搭建营销运营体系，调整优化人才结构。经过多年的技术研发投入以及产品市场验证，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年开始进入大规模产品 推广期，为了适应市场需要，公司快速搭建起营销运营体系，扩大营销、推广团队，建立了扩展、管理、培训团队的标准作 业流程，可根据业务发展情况及时补充人才。此外，建立了营销团队和产品团队的协同机制，通过市场反馈快速驱动了产品 的迭代升级，提升产品市场竞争力。</w:t>
      </w:r>
    </w:p>
    <w:p>
      <w:pPr>
        <w:pStyle w:val="Style35"/>
        <w:keepNext w:val="0"/>
        <w:keepLines w:val="0"/>
        <w:widowControl w:val="0"/>
        <w:numPr>
          <w:ilvl w:val="0"/>
          <w:numId w:val="1"/>
        </w:numPr>
        <w:shd w:val="clear" w:color="auto" w:fill="auto"/>
        <w:tabs>
          <w:tab w:pos="673" w:val="left"/>
        </w:tabs>
        <w:bidi w:val="0"/>
        <w:spacing w:before="0" w:after="140" w:line="315" w:lineRule="exact"/>
        <w:ind w:left="0" w:right="0"/>
        <w:jc w:val="both"/>
      </w:pPr>
      <w:bookmarkStart w:id="68" w:name="bookmark68"/>
      <w:bookmarkEnd w:id="68"/>
      <w:r>
        <w:rPr>
          <w:color w:val="000000"/>
          <w:spacing w:val="0"/>
          <w:w w:val="100"/>
          <w:position w:val="0"/>
        </w:rPr>
        <w:t>新冠疫情对金税业务和金财业务均造成影响。新冠疫情对世界经济形势、政治文化环境、社会运作机制、商业规则以 及人类的衣食住行都产生了深远的影响，一方面政府机关为应对疫情影响，主动削减各项财政经费，另一方面给财税行业的 从业者和客户群体也造成了诸多不利影响，正常的经营活动被迫中断或延期，公司的客户尤其是服务业客户普遍经营困难， 给公司的收入和收款带来较大影响。</w:t>
      </w:r>
    </w:p>
    <w:p>
      <w:pPr>
        <w:pStyle w:val="Style35"/>
        <w:keepNext w:val="0"/>
        <w:keepLines w:val="0"/>
        <w:widowControl w:val="0"/>
        <w:shd w:val="clear" w:color="auto" w:fill="auto"/>
        <w:bidi w:val="0"/>
        <w:spacing w:before="0" w:after="0" w:line="360" w:lineRule="auto"/>
        <w:ind w:left="0" w:right="0"/>
        <w:jc w:val="both"/>
      </w:pPr>
      <w:bookmarkStart w:id="69" w:name="bookmark69"/>
      <w:r>
        <w:rPr>
          <w:rFonts w:ascii="Times New Roman" w:eastAsia="Times New Roman" w:hAnsi="Times New Roman" w:cs="Times New Roman"/>
          <w:b/>
          <w:bCs/>
          <w:color w:val="000000"/>
          <w:spacing w:val="0"/>
          <w:w w:val="100"/>
          <w:position w:val="0"/>
          <w:sz w:val="18"/>
          <w:szCs w:val="18"/>
        </w:rPr>
        <w:t>2</w:t>
      </w:r>
      <w:bookmarkEnd w:id="69"/>
      <w:r>
        <w:rPr>
          <w:b/>
          <w:bCs/>
          <w:color w:val="000000"/>
          <w:spacing w:val="0"/>
          <w:w w:val="100"/>
          <w:position w:val="0"/>
        </w:rPr>
        <w:t>、热处理业务</w:t>
      </w:r>
    </w:p>
    <w:p>
      <w:pPr>
        <w:pStyle w:val="Style35"/>
        <w:keepNext w:val="0"/>
        <w:keepLines w:val="0"/>
        <w:widowControl w:val="0"/>
        <w:shd w:val="clear" w:color="auto" w:fill="auto"/>
        <w:bidi w:val="0"/>
        <w:spacing w:before="0" w:after="0" w:line="315" w:lineRule="exact"/>
        <w:ind w:left="0" w:right="0"/>
        <w:jc w:val="both"/>
      </w:pPr>
      <w:bookmarkStart w:id="70" w:name="bookmark70"/>
      <w:r>
        <w:rPr>
          <w:b/>
          <w:bCs/>
          <w:color w:val="000000"/>
          <w:spacing w:val="0"/>
          <w:w w:val="100"/>
          <w:position w:val="0"/>
        </w:rPr>
        <w:t>（</w:t>
      </w:r>
      <w:bookmarkEnd w:id="7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）主要业务、产品及用途</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公司热处理板块业务涵盖了热处理设备制造、专业热处理加工服务、热处理设备售后服务及热处理工艺技术咨询服务四 大块。设备制造方面，公司制造的各类可控气氛热处理设备和非气氛加热设备，品类繁多，如多用炉、网带炉、气体氮化炉、 大型井式渗碳炉、大型工业炉窑、推杆式渗碳炉生产线、辊底式保护气氛淬火炉等，同时根据客户多样化需求为客户量身定 制辊棒式连续铝合金处理炉、箱式铝合金固溶时效生产线、调质炉、侧装料燃气加热炉等个性化设备；热处理加工服务方面，</w:t>
      </w:r>
    </w:p>
    <w:p>
      <w:pPr>
        <w:pStyle w:val="Style35"/>
        <w:keepNext w:val="0"/>
        <w:keepLines w:val="0"/>
        <w:widowControl w:val="0"/>
        <w:shd w:val="clear" w:color="auto" w:fill="auto"/>
        <w:bidi w:val="0"/>
        <w:spacing w:before="0" w:after="0" w:line="422" w:lineRule="exact"/>
        <w:ind w:left="0" w:right="0" w:firstLine="582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为客户提供渗碳、渗氮、碳氮共渗、氮碳共渗、真空气淬、真空油淬、真空退火、真空回火、真空渗碳、感应淬火、等离子 渗氮、等离子氮碳共渗等工艺服务。公司制造的各类热处理设备及提供的热处理工艺服务广泛应用于航空航天、军工、核电、 汽车零部件、轨道交通、工程机械、机械基础件、船舶、石油化工、新能源等领域。</w:t>
      </w:r>
    </w:p>
    <w:p>
      <w:pPr>
        <w:pStyle w:val="Style35"/>
        <w:keepNext w:val="0"/>
        <w:keepLines w:val="0"/>
        <w:widowControl w:val="0"/>
        <w:shd w:val="clear" w:color="auto" w:fill="auto"/>
        <w:tabs>
          <w:tab w:pos="792" w:val="left"/>
        </w:tabs>
        <w:bidi w:val="0"/>
        <w:spacing w:before="0" w:after="0" w:line="317" w:lineRule="exact"/>
        <w:ind w:left="0" w:right="0"/>
        <w:jc w:val="both"/>
      </w:pPr>
      <w:bookmarkStart w:id="71" w:name="bookmark71"/>
      <w:r>
        <w:rPr>
          <w:b/>
          <w:bCs/>
          <w:color w:val="000000"/>
          <w:spacing w:val="0"/>
          <w:w w:val="100"/>
          <w:position w:val="0"/>
        </w:rPr>
        <w:t>（</w:t>
      </w:r>
      <w:bookmarkEnd w:id="7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经营模式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公司采取热处理设备制造和专业热处理加工服务并举的经营模式。设备制造方面，以提供高可靠性、节能环保、数字化、 智能化、定制化的设备，抢占高端热处理设备市场，同时强化工艺设备服务一体化的业务发展模式；热处理加工服务方面， 实施品牌连锁经营模式，构建基本覆盖全国主要机械制造集中地区的热处理加工网络，并通过工艺开发平台、质量管理标准 化及人才培训体系的建设，提供高质量专业热加工服务。</w:t>
      </w:r>
    </w:p>
    <w:p>
      <w:pPr>
        <w:pStyle w:val="Style35"/>
        <w:keepNext w:val="0"/>
        <w:keepLines w:val="0"/>
        <w:widowControl w:val="0"/>
        <w:shd w:val="clear" w:color="auto" w:fill="auto"/>
        <w:tabs>
          <w:tab w:pos="792" w:val="left"/>
        </w:tabs>
        <w:bidi w:val="0"/>
        <w:spacing w:before="0" w:after="0" w:line="317" w:lineRule="exact"/>
        <w:ind w:left="0" w:right="0"/>
        <w:jc w:val="both"/>
      </w:pPr>
      <w:bookmarkStart w:id="72" w:name="bookmark72"/>
      <w:r>
        <w:rPr>
          <w:b/>
          <w:bCs/>
          <w:color w:val="000000"/>
          <w:spacing w:val="0"/>
          <w:w w:val="100"/>
          <w:position w:val="0"/>
        </w:rPr>
        <w:t>（</w:t>
      </w:r>
      <w:bookmarkEnd w:id="7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业绩驱动因素</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公司业绩与宏观经济形势下的下游市场需求息息相关，也与公司自身经营策略、经营效率、产品服务竞争优势、产品结 构和价格策略等紧密相连。</w:t>
      </w:r>
    </w:p>
    <w:p>
      <w:pPr>
        <w:pStyle w:val="Style35"/>
        <w:keepNext w:val="0"/>
        <w:keepLines w:val="0"/>
        <w:widowControl w:val="0"/>
        <w:numPr>
          <w:ilvl w:val="0"/>
          <w:numId w:val="3"/>
        </w:numPr>
        <w:shd w:val="clear" w:color="auto" w:fill="auto"/>
        <w:tabs>
          <w:tab w:pos="665" w:val="left"/>
        </w:tabs>
        <w:bidi w:val="0"/>
        <w:spacing w:before="0" w:after="0" w:line="307" w:lineRule="exact"/>
        <w:ind w:left="0" w:right="0"/>
        <w:jc w:val="both"/>
      </w:pPr>
      <w:bookmarkStart w:id="73" w:name="bookmark73"/>
      <w:bookmarkEnd w:id="73"/>
      <w:r>
        <w:rPr>
          <w:b/>
          <w:bCs/>
          <w:color w:val="000000"/>
          <w:spacing w:val="0"/>
          <w:w w:val="100"/>
          <w:position w:val="0"/>
        </w:rPr>
        <w:t>创新驱动：</w:t>
      </w:r>
      <w:r>
        <w:rPr>
          <w:color w:val="000000"/>
          <w:spacing w:val="0"/>
          <w:w w:val="100"/>
          <w:position w:val="0"/>
        </w:rPr>
        <w:t>公司具备完善的产品研究、开发和创新体系，拥有较强的产品研发能力、持续创新能力和项目产业化能力， 能够针对客户个性化需求设计、定制满足不同工艺要求的产品或服务。</w:t>
      </w:r>
    </w:p>
    <w:p>
      <w:pPr>
        <w:pStyle w:val="Style35"/>
        <w:keepNext w:val="0"/>
        <w:keepLines w:val="0"/>
        <w:widowControl w:val="0"/>
        <w:numPr>
          <w:ilvl w:val="0"/>
          <w:numId w:val="3"/>
        </w:numPr>
        <w:shd w:val="clear" w:color="auto" w:fill="auto"/>
        <w:tabs>
          <w:tab w:pos="675" w:val="left"/>
        </w:tabs>
        <w:bidi w:val="0"/>
        <w:spacing w:before="0" w:after="0" w:line="314" w:lineRule="exact"/>
        <w:ind w:left="0" w:right="0"/>
        <w:jc w:val="both"/>
      </w:pPr>
      <w:bookmarkStart w:id="74" w:name="bookmark74"/>
      <w:bookmarkEnd w:id="74"/>
      <w:r>
        <w:rPr>
          <w:b/>
          <w:bCs/>
          <w:color w:val="000000"/>
          <w:spacing w:val="0"/>
          <w:w w:val="100"/>
          <w:position w:val="0"/>
        </w:rPr>
        <w:t>营销驱动：</w:t>
      </w:r>
      <w:r>
        <w:rPr>
          <w:color w:val="000000"/>
          <w:spacing w:val="0"/>
          <w:w w:val="100"/>
          <w:position w:val="0"/>
        </w:rPr>
        <w:t>面对全球新冠疫情的冲击、经济下行压力加大以及主要下游客户汽车行业的产销量下降等不利影响，公司 主动出击、抢抓订单；不断加强渠道建设，稳定业务来源；内部统一销售思路、凝聚共识，强化销售担当对各关联企业设备 及服务的了解，增强各关联企业间的沟通、合作与联动。</w:t>
      </w:r>
    </w:p>
    <w:p>
      <w:pPr>
        <w:pStyle w:val="Style35"/>
        <w:keepNext w:val="0"/>
        <w:keepLines w:val="0"/>
        <w:widowControl w:val="0"/>
        <w:numPr>
          <w:ilvl w:val="0"/>
          <w:numId w:val="3"/>
        </w:numPr>
        <w:shd w:val="clear" w:color="auto" w:fill="auto"/>
        <w:tabs>
          <w:tab w:pos="670" w:val="left"/>
        </w:tabs>
        <w:bidi w:val="0"/>
        <w:spacing w:before="0" w:after="0" w:line="317" w:lineRule="exact"/>
        <w:ind w:left="0" w:right="0"/>
        <w:jc w:val="both"/>
      </w:pPr>
      <w:bookmarkStart w:id="75" w:name="bookmark75"/>
      <w:bookmarkEnd w:id="75"/>
      <w:r>
        <w:rPr>
          <w:b/>
          <w:bCs/>
          <w:color w:val="000000"/>
          <w:spacing w:val="0"/>
          <w:w w:val="100"/>
          <w:position w:val="0"/>
        </w:rPr>
        <w:t>服务驱动：</w:t>
      </w:r>
      <w:r>
        <w:rPr>
          <w:color w:val="000000"/>
          <w:spacing w:val="0"/>
          <w:w w:val="100"/>
          <w:position w:val="0"/>
        </w:rPr>
        <w:t>通过服务优势，集聚客户。一方面，公司持续提升现有热处理加工企业的服务质量，提高客户满意度；另 一方面，不断加强售后服务力量，提升售后服务能力，向客户提供优质、快捷、高效的服务。</w:t>
      </w:r>
    </w:p>
    <w:p>
      <w:pPr>
        <w:pStyle w:val="Style35"/>
        <w:keepNext w:val="0"/>
        <w:keepLines w:val="0"/>
        <w:widowControl w:val="0"/>
        <w:shd w:val="clear" w:color="auto" w:fill="auto"/>
        <w:tabs>
          <w:tab w:pos="792" w:val="left"/>
        </w:tabs>
        <w:bidi w:val="0"/>
        <w:spacing w:before="0" w:after="0" w:line="317" w:lineRule="exact"/>
        <w:ind w:left="0" w:right="0"/>
        <w:jc w:val="both"/>
      </w:pPr>
      <w:bookmarkStart w:id="76" w:name="bookmark76"/>
      <w:r>
        <w:rPr>
          <w:b/>
          <w:bCs/>
          <w:color w:val="000000"/>
          <w:spacing w:val="0"/>
          <w:w w:val="100"/>
          <w:position w:val="0"/>
        </w:rPr>
        <w:t>（</w:t>
      </w:r>
      <w:bookmarkEnd w:id="7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行业发展情况、周期性特点及公司所处的行业地位</w:t>
      </w:r>
    </w:p>
    <w:p>
      <w:pPr>
        <w:pStyle w:val="Style35"/>
        <w:keepNext w:val="0"/>
        <w:keepLines w:val="0"/>
        <w:widowControl w:val="0"/>
        <w:numPr>
          <w:ilvl w:val="0"/>
          <w:numId w:val="5"/>
        </w:numPr>
        <w:shd w:val="clear" w:color="auto" w:fill="auto"/>
        <w:tabs>
          <w:tab w:pos="715" w:val="left"/>
        </w:tabs>
        <w:bidi w:val="0"/>
        <w:spacing w:before="0" w:after="0" w:line="317" w:lineRule="exact"/>
        <w:ind w:left="0" w:right="0"/>
        <w:jc w:val="both"/>
      </w:pPr>
      <w:bookmarkStart w:id="77" w:name="bookmark77"/>
      <w:bookmarkEnd w:id="77"/>
      <w:r>
        <w:rPr>
          <w:b/>
          <w:bCs/>
          <w:color w:val="000000"/>
          <w:spacing w:val="0"/>
          <w:w w:val="100"/>
          <w:position w:val="0"/>
        </w:rPr>
        <w:t>行业发展情况及周期性特点</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热处理是机械制造的重要组成部分，是强化金属材料，发挥其潜在能力的重要工艺措施，是保证我国立足未来制造业的 制高点、提高机械产品质量、延长产品寿命、创造中国品牌、增强国际市场竞争力的关键技术之一。</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》强国战略规划坚持创新驱动、智能转型、强化基础、绿色发展，加快从制造大国转向制造强国。随 着机械行业的健康发展及市场机制不断完善和融入世界经济一体化的需求，全球发达国家和新兴发展中国家，无不以发展先 进制造业和高端制造业为产业战略导向。我国从国家战略和提高国家综合竞争力出发，提出实施制造业强国战略，参与世界 先进制造技术竞争，这是实现中华民族伟大复兴的中国梦的一个重要组成部分。</w:t>
      </w:r>
    </w:p>
    <w:p>
      <w:pPr>
        <w:pStyle w:val="Style35"/>
        <w:keepNext w:val="0"/>
        <w:keepLines w:val="0"/>
        <w:widowControl w:val="0"/>
        <w:shd w:val="clear" w:color="auto" w:fill="auto"/>
        <w:bidi w:val="0"/>
        <w:spacing w:before="0" w:after="0" w:line="324" w:lineRule="exact"/>
        <w:ind w:left="0" w:right="0"/>
        <w:jc w:val="both"/>
      </w:pPr>
      <w:r>
        <w:rPr>
          <w:color w:val="000000"/>
          <w:spacing w:val="0"/>
          <w:w w:val="100"/>
          <w:position w:val="0"/>
        </w:rPr>
        <w:t>绿色制造是制造业发展的重要趋势以及科技开发优先支持的主题，绿色制造是综合考虑环境影响和资源效益的现代制造 模式，是可持续发展的必由之路，同时也给热处理工艺与装备的发展提出了更高的要求。</w:t>
      </w:r>
    </w:p>
    <w:p>
      <w:pPr>
        <w:pStyle w:val="Style35"/>
        <w:keepNext w:val="0"/>
        <w:keepLines w:val="0"/>
        <w:widowControl w:val="0"/>
        <w:shd w:val="clear" w:color="auto" w:fill="auto"/>
        <w:bidi w:val="0"/>
        <w:spacing w:before="0" w:after="0" w:line="324" w:lineRule="exact"/>
        <w:ind w:left="0" w:right="0"/>
        <w:jc w:val="both"/>
      </w:pPr>
      <w:r>
        <w:rPr>
          <w:color w:val="000000"/>
          <w:spacing w:val="0"/>
          <w:w w:val="100"/>
          <w:position w:val="0"/>
        </w:rPr>
        <w:t>近年来智能制造引起了国内外的广泛关注，《中国制造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》也明确提出了以加快新一代信息技术与制造业融合为主线， 以推进智能制造为主攻方向。因此，加快推进热处理信息化与智能制造，是未来热处理发展方向。</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热处理与机械制造业的发展态势息息相关，热处理行业伴随着机械制造业景气度的变化而呈现出较强的周期性特点。</w:t>
      </w:r>
    </w:p>
    <w:p>
      <w:pPr>
        <w:pStyle w:val="Style35"/>
        <w:keepNext w:val="0"/>
        <w:keepLines w:val="0"/>
        <w:widowControl w:val="0"/>
        <w:numPr>
          <w:ilvl w:val="0"/>
          <w:numId w:val="5"/>
        </w:numPr>
        <w:shd w:val="clear" w:color="auto" w:fill="auto"/>
        <w:tabs>
          <w:tab w:pos="715" w:val="left"/>
        </w:tabs>
        <w:bidi w:val="0"/>
        <w:spacing w:before="0" w:after="0" w:line="317" w:lineRule="exact"/>
        <w:ind w:left="0" w:right="0"/>
        <w:jc w:val="both"/>
      </w:pPr>
      <w:bookmarkStart w:id="78" w:name="bookmark78"/>
      <w:bookmarkEnd w:id="78"/>
      <w:r>
        <w:rPr>
          <w:b/>
          <w:bCs/>
          <w:color w:val="000000"/>
          <w:spacing w:val="0"/>
          <w:w w:val="100"/>
          <w:position w:val="0"/>
        </w:rPr>
        <w:t>公司所处的行业地位</w:t>
      </w:r>
    </w:p>
    <w:p>
      <w:pPr>
        <w:pStyle w:val="Style35"/>
        <w:keepNext w:val="0"/>
        <w:keepLines w:val="0"/>
        <w:widowControl w:val="0"/>
        <w:shd w:val="clear" w:color="auto" w:fill="auto"/>
        <w:bidi w:val="0"/>
        <w:spacing w:before="0" w:after="0" w:line="312" w:lineRule="exact"/>
        <w:ind w:left="0" w:right="0"/>
        <w:jc w:val="both"/>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663" w:right="1011" w:bottom="1351" w:left="1073" w:header="235" w:footer="3" w:gutter="0"/>
          <w:cols w:space="720"/>
          <w:noEndnote/>
          <w:rtlGutter w:val="0"/>
          <w:docGrid w:linePitch="360"/>
        </w:sectPr>
      </w:pPr>
      <w:r>
        <w:rPr>
          <w:color w:val="000000"/>
          <w:spacing w:val="0"/>
          <w:w w:val="100"/>
          <w:position w:val="0"/>
        </w:rPr>
        <w:t>丰东是国内热处理行业的龙头企业，专注于热处理设备及工艺的研发、生产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余年，研发力量不断增强，商业热处理 连锁布局规模逐步扩大，目前在上海、南京、青岛、重庆、天津、广州、常州、苏州、潍坊、烟台、武汉、大丰等地设立了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家专业从事热处理加工的控股子公司，是全国拥有商业热处理服务网点数量最多的企业。公司始终注重自我研发能力的 培养，取得了一系列填补国内空白、达到国际先进水平的技术成果。公司在热处理设备的系统设计、智能控制、设备试制检 测、工艺材料金相分析、工艺技术开发等方面，积累了丰富的经验，致力于为客户提供金属热处理的系统解决方案，不断满 足和超越顾客需求，热处理技术研发、人才团队在国内处于领先地位，主持和参与起草、制定了二十多项热处理行业国家和 行业标准。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年，公司被国家工信部评为“制造业单项冠军示范企业”，是行业内唯一获此殊荣的企业。</w:t>
      </w:r>
    </w:p>
    <w:p>
      <w:pPr>
        <w:pStyle w:val="Style29"/>
        <w:keepNext/>
        <w:keepLines/>
        <w:widowControl w:val="0"/>
        <w:shd w:val="clear" w:color="auto" w:fill="auto"/>
        <w:bidi w:val="0"/>
        <w:spacing w:before="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二</w:t>
      </w:r>
      <w:bookmarkEnd w:id="81"/>
      <w:r>
        <w:rPr>
          <w:color w:val="000000"/>
          <w:spacing w:val="0"/>
          <w:w w:val="100"/>
          <w:position w:val="0"/>
          <w:sz w:val="24"/>
          <w:szCs w:val="24"/>
        </w:rPr>
        <w:t>、主要资产重大变化情况</w:t>
      </w:r>
      <w:bookmarkEnd w:id="79"/>
      <w:bookmarkEnd w:id="80"/>
      <w:bookmarkEnd w:id="82"/>
    </w:p>
    <w:p>
      <w:pPr>
        <w:pStyle w:val="Style39"/>
        <w:keepNext/>
        <w:keepLines/>
        <w:widowControl w:val="0"/>
        <w:shd w:val="clear" w:color="auto" w:fill="auto"/>
        <w:bidi w:val="0"/>
        <w:spacing w:before="0" w:after="300" w:line="240" w:lineRule="auto"/>
        <w:ind w:left="0" w:right="0" w:firstLine="48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、主要资产重大变化情况</w:t>
      </w:r>
      <w:bookmarkEnd w:id="83"/>
      <w:bookmarkEnd w:id="84"/>
      <w:bookmarkEnd w:id="86"/>
    </w:p>
    <w:tbl>
      <w:tblPr>
        <w:tblOverlap w:val="never"/>
        <w:jc w:val="center"/>
        <w:tblLayout w:type="fixed"/>
      </w:tblPr>
      <w:tblGrid>
        <w:gridCol w:w="2314"/>
        <w:gridCol w:w="7330"/>
      </w:tblGrid>
      <w:tr>
        <w:trPr>
          <w:trHeight w:val="60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主要资产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年末数比年初数增长比例为</w:t>
            </w:r>
            <w:r>
              <w:rPr>
                <w:rFonts w:ascii="Times New Roman" w:eastAsia="Times New Roman" w:hAnsi="Times New Roman" w:cs="Times New Roman"/>
                <w:color w:val="000000"/>
                <w:spacing w:val="0"/>
                <w:w w:val="100"/>
                <w:position w:val="0"/>
                <w:sz w:val="18"/>
                <w:szCs w:val="18"/>
              </w:rPr>
              <w:t>149.79%</w:t>
            </w:r>
            <w:r>
              <w:rPr>
                <w:color w:val="000000"/>
                <w:spacing w:val="0"/>
                <w:w w:val="100"/>
                <w:position w:val="0"/>
              </w:rPr>
              <w:t>，主要系热处理板块子公司新增在建厂房工程所致。</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年末数比年初数减少比例为</w:t>
            </w:r>
            <w:r>
              <w:rPr>
                <w:rFonts w:ascii="Times New Roman" w:eastAsia="Times New Roman" w:hAnsi="Times New Roman" w:cs="Times New Roman"/>
                <w:color w:val="000000"/>
                <w:spacing w:val="0"/>
                <w:w w:val="100"/>
                <w:position w:val="0"/>
                <w:sz w:val="18"/>
                <w:szCs w:val="18"/>
              </w:rPr>
              <w:t>57.78%</w:t>
            </w:r>
            <w:r>
              <w:rPr>
                <w:color w:val="000000"/>
                <w:spacing w:val="0"/>
                <w:w w:val="100"/>
                <w:position w:val="0"/>
              </w:rPr>
              <w:t>，主要系本年购买理财产品减少所致。</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年末数比年初数减少比例为</w:t>
            </w:r>
            <w:r>
              <w:rPr>
                <w:rFonts w:ascii="Times New Roman" w:eastAsia="Times New Roman" w:hAnsi="Times New Roman" w:cs="Times New Roman"/>
                <w:color w:val="000000"/>
                <w:spacing w:val="0"/>
                <w:w w:val="100"/>
                <w:position w:val="0"/>
                <w:sz w:val="18"/>
                <w:szCs w:val="18"/>
              </w:rPr>
              <w:t>82.14%</w:t>
            </w:r>
            <w:r>
              <w:rPr>
                <w:color w:val="000000"/>
                <w:spacing w:val="0"/>
                <w:w w:val="100"/>
                <w:position w:val="0"/>
              </w:rPr>
              <w:t>，主要系公司根据票据持有意图及信用等级将银行承兑汇 票</w:t>
            </w:r>
            <w:r>
              <w:rPr>
                <w:rFonts w:ascii="Times New Roman" w:eastAsia="Times New Roman" w:hAnsi="Times New Roman" w:cs="Times New Roman"/>
                <w:color w:val="000000"/>
                <w:spacing w:val="0"/>
                <w:w w:val="100"/>
                <w:position w:val="0"/>
                <w:sz w:val="18"/>
                <w:szCs w:val="18"/>
              </w:rPr>
              <w:t>6,906.48</w:t>
            </w:r>
            <w:r>
              <w:rPr>
                <w:color w:val="000000"/>
                <w:spacing w:val="0"/>
                <w:w w:val="100"/>
                <w:position w:val="0"/>
              </w:rPr>
              <w:t>万元计入应收款项融资科目。</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年末数比年初数减少比例为</w:t>
            </w:r>
            <w:r>
              <w:rPr>
                <w:rFonts w:ascii="Times New Roman" w:eastAsia="Times New Roman" w:hAnsi="Times New Roman" w:cs="Times New Roman"/>
                <w:color w:val="000000"/>
                <w:spacing w:val="0"/>
                <w:w w:val="100"/>
                <w:position w:val="0"/>
                <w:sz w:val="18"/>
                <w:szCs w:val="18"/>
              </w:rPr>
              <w:t>30.38%</w:t>
            </w:r>
            <w:r>
              <w:rPr>
                <w:color w:val="000000"/>
                <w:spacing w:val="0"/>
                <w:w w:val="100"/>
                <w:position w:val="0"/>
              </w:rPr>
              <w:t>,主要系本期应收款项回收及计提坏账准备所致。</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年末数比年初数增加</w:t>
            </w:r>
            <w:r>
              <w:rPr>
                <w:rFonts w:ascii="Times New Roman" w:eastAsia="Times New Roman" w:hAnsi="Times New Roman" w:cs="Times New Roman"/>
                <w:color w:val="000000"/>
                <w:spacing w:val="0"/>
                <w:w w:val="100"/>
                <w:position w:val="0"/>
                <w:sz w:val="18"/>
                <w:szCs w:val="18"/>
              </w:rPr>
              <w:t>6,906.48</w:t>
            </w:r>
            <w:r>
              <w:rPr>
                <w:color w:val="000000"/>
                <w:spacing w:val="0"/>
                <w:w w:val="100"/>
                <w:position w:val="0"/>
              </w:rPr>
              <w:t>万元，主要系公司根据票据持有意图及信用等级将银行承兑汇 票</w:t>
            </w:r>
            <w:r>
              <w:rPr>
                <w:rFonts w:ascii="Times New Roman" w:eastAsia="Times New Roman" w:hAnsi="Times New Roman" w:cs="Times New Roman"/>
                <w:color w:val="000000"/>
                <w:spacing w:val="0"/>
                <w:w w:val="100"/>
                <w:position w:val="0"/>
                <w:sz w:val="18"/>
                <w:szCs w:val="18"/>
              </w:rPr>
              <w:t>6,906.48</w:t>
            </w:r>
            <w:r>
              <w:rPr>
                <w:color w:val="000000"/>
                <w:spacing w:val="0"/>
                <w:w w:val="100"/>
                <w:position w:val="0"/>
              </w:rPr>
              <w:t>万元计入应收款项融资科目所致。</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年末数比年初数减少比例为</w:t>
            </w:r>
            <w:r>
              <w:rPr>
                <w:rFonts w:ascii="Times New Roman" w:eastAsia="Times New Roman" w:hAnsi="Times New Roman" w:cs="Times New Roman"/>
                <w:color w:val="000000"/>
                <w:spacing w:val="0"/>
                <w:w w:val="100"/>
                <w:position w:val="0"/>
                <w:sz w:val="18"/>
                <w:szCs w:val="18"/>
              </w:rPr>
              <w:t>56.26%</w:t>
            </w:r>
            <w:r>
              <w:rPr>
                <w:color w:val="000000"/>
                <w:spacing w:val="0"/>
                <w:w w:val="100"/>
                <w:position w:val="0"/>
              </w:rPr>
              <w:t>，主要系公司将部分超过合同执行期间的预付款项转入其 他应收款所致。</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年末数比年初数增长比例为</w:t>
            </w:r>
            <w:r>
              <w:rPr>
                <w:rFonts w:ascii="Times New Roman" w:eastAsia="Times New Roman" w:hAnsi="Times New Roman" w:cs="Times New Roman"/>
                <w:color w:val="000000"/>
                <w:spacing w:val="0"/>
                <w:w w:val="100"/>
                <w:position w:val="0"/>
                <w:sz w:val="18"/>
                <w:szCs w:val="18"/>
              </w:rPr>
              <w:t>58.57%</w:t>
            </w:r>
            <w:r>
              <w:rPr>
                <w:color w:val="000000"/>
                <w:spacing w:val="0"/>
                <w:w w:val="100"/>
                <w:position w:val="0"/>
              </w:rPr>
              <w:t>，主要系公司将部分超过合同执行期间的预付款项转入其 他应收款，并计提坏账准备所致。</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年末数比年初数减少比例为</w:t>
            </w:r>
            <w:r>
              <w:rPr>
                <w:rFonts w:ascii="Times New Roman" w:eastAsia="Times New Roman" w:hAnsi="Times New Roman" w:cs="Times New Roman"/>
                <w:color w:val="000000"/>
                <w:spacing w:val="0"/>
                <w:w w:val="100"/>
                <w:position w:val="0"/>
                <w:sz w:val="18"/>
                <w:szCs w:val="18"/>
              </w:rPr>
              <w:t>81.02%</w:t>
            </w:r>
            <w:r>
              <w:rPr>
                <w:color w:val="000000"/>
                <w:spacing w:val="0"/>
                <w:w w:val="100"/>
                <w:position w:val="0"/>
              </w:rPr>
              <w:t>，主要系公司期初开发支出本期验收转无形资产所致。</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pPr>
            <w:r>
              <w:rPr>
                <w:color w:val="000000"/>
                <w:spacing w:val="0"/>
                <w:w w:val="100"/>
                <w:position w:val="0"/>
              </w:rPr>
              <w:t>年末数比年初数减少比例为</w:t>
            </w:r>
            <w:r>
              <w:rPr>
                <w:rFonts w:ascii="Times New Roman" w:eastAsia="Times New Roman" w:hAnsi="Times New Roman" w:cs="Times New Roman"/>
                <w:color w:val="000000"/>
                <w:spacing w:val="0"/>
                <w:w w:val="100"/>
                <w:position w:val="0"/>
                <w:sz w:val="18"/>
                <w:szCs w:val="18"/>
              </w:rPr>
              <w:t>86.05%</w:t>
            </w:r>
            <w:r>
              <w:rPr>
                <w:color w:val="000000"/>
                <w:spacing w:val="0"/>
                <w:w w:val="100"/>
                <w:position w:val="0"/>
              </w:rPr>
              <w:t>，主要系本年受疫情、税局政策及整体宏观经济下行影响， 方欣科技本期利润远低于预期，管理层谨慎预计未来盈利情况，对商誉减值进行测试，计提 方欣资产组及子公司浙江金财资产组商誉减值准备</w:t>
            </w:r>
            <w:r>
              <w:rPr>
                <w:rFonts w:ascii="Times New Roman" w:eastAsia="Times New Roman" w:hAnsi="Times New Roman" w:cs="Times New Roman"/>
                <w:color w:val="000000"/>
                <w:spacing w:val="0"/>
                <w:w w:val="100"/>
                <w:position w:val="0"/>
                <w:sz w:val="18"/>
                <w:szCs w:val="18"/>
              </w:rPr>
              <w:t>8.36</w:t>
            </w:r>
            <w:r>
              <w:rPr>
                <w:color w:val="000000"/>
                <w:spacing w:val="0"/>
                <w:w w:val="100"/>
                <w:position w:val="0"/>
              </w:rPr>
              <w:t>亿元。</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年末数比年初数增长比例为</w:t>
            </w:r>
            <w:r>
              <w:rPr>
                <w:rFonts w:ascii="Times New Roman" w:eastAsia="Times New Roman" w:hAnsi="Times New Roman" w:cs="Times New Roman"/>
                <w:color w:val="000000"/>
                <w:spacing w:val="0"/>
                <w:w w:val="100"/>
                <w:position w:val="0"/>
                <w:sz w:val="18"/>
                <w:szCs w:val="18"/>
              </w:rPr>
              <w:t>175.34%</w:t>
            </w:r>
            <w:r>
              <w:rPr>
                <w:color w:val="000000"/>
                <w:spacing w:val="0"/>
                <w:w w:val="100"/>
                <w:position w:val="0"/>
              </w:rPr>
              <w:t>，主要系确认计提信用减值准备、未弥补亏算相应递延 所得税资产所致。</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年末数比年初数减少</w:t>
            </w:r>
            <w:r>
              <w:rPr>
                <w:rFonts w:ascii="Times New Roman" w:eastAsia="Times New Roman" w:hAnsi="Times New Roman" w:cs="Times New Roman"/>
                <w:color w:val="000000"/>
                <w:spacing w:val="0"/>
                <w:w w:val="100"/>
                <w:position w:val="0"/>
                <w:sz w:val="18"/>
                <w:szCs w:val="18"/>
              </w:rPr>
              <w:t>1,429.00</w:t>
            </w:r>
            <w:r>
              <w:rPr>
                <w:color w:val="000000"/>
                <w:spacing w:val="0"/>
                <w:w w:val="100"/>
                <w:position w:val="0"/>
              </w:rPr>
              <w:t>万元，主要系上年度预付土地款</w:t>
            </w:r>
            <w:r>
              <w:rPr>
                <w:rFonts w:ascii="Times New Roman" w:eastAsia="Times New Roman" w:hAnsi="Times New Roman" w:cs="Times New Roman"/>
                <w:color w:val="000000"/>
                <w:spacing w:val="0"/>
                <w:w w:val="100"/>
                <w:position w:val="0"/>
                <w:sz w:val="18"/>
                <w:szCs w:val="18"/>
              </w:rPr>
              <w:t>1,429.00</w:t>
            </w:r>
            <w:r>
              <w:rPr>
                <w:color w:val="000000"/>
                <w:spacing w:val="0"/>
                <w:w w:val="100"/>
                <w:position w:val="0"/>
              </w:rPr>
              <w:t>万元，转入无形资产 所致。</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48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、主要境外资产情况</w:t>
      </w:r>
      <w:bookmarkEnd w:id="87"/>
      <w:bookmarkEnd w:id="88"/>
      <w:bookmarkEnd w:id="90"/>
    </w:p>
    <w:p>
      <w:pPr>
        <w:pStyle w:val="Style35"/>
        <w:keepNext w:val="0"/>
        <w:keepLines w:val="0"/>
        <w:widowControl w:val="0"/>
        <w:shd w:val="clear" w:color="auto" w:fill="auto"/>
        <w:bidi w:val="0"/>
        <w:spacing w:before="0" w:after="360" w:line="316"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、核心竞争力分析</w:t>
      </w:r>
      <w:bookmarkEnd w:id="91"/>
      <w:bookmarkEnd w:id="92"/>
      <w:bookmarkEnd w:id="94"/>
    </w:p>
    <w:p>
      <w:pPr>
        <w:pStyle w:val="Style35"/>
        <w:keepNext w:val="0"/>
        <w:keepLines w:val="0"/>
        <w:widowControl w:val="0"/>
        <w:shd w:val="clear" w:color="auto" w:fill="auto"/>
        <w:bidi w:val="0"/>
        <w:spacing w:before="0" w:after="0" w:line="316" w:lineRule="exact"/>
        <w:ind w:left="0" w:right="0"/>
        <w:jc w:val="both"/>
      </w:pPr>
      <w:bookmarkStart w:id="95" w:name="bookmark95"/>
      <w:r>
        <w:rPr>
          <w:rFonts w:ascii="Times New Roman" w:eastAsia="Times New Roman" w:hAnsi="Times New Roman" w:cs="Times New Roman"/>
          <w:b/>
          <w:bCs/>
          <w:color w:val="000000"/>
          <w:spacing w:val="0"/>
          <w:w w:val="100"/>
          <w:position w:val="0"/>
          <w:sz w:val="18"/>
          <w:szCs w:val="18"/>
        </w:rPr>
        <w:t>1</w:t>
      </w:r>
      <w:bookmarkEnd w:id="95"/>
      <w:r>
        <w:rPr>
          <w:b/>
          <w:bCs/>
          <w:color w:val="000000"/>
          <w:spacing w:val="0"/>
          <w:w w:val="100"/>
          <w:position w:val="0"/>
        </w:rPr>
        <w:t>、互联网财税业务</w:t>
      </w:r>
    </w:p>
    <w:p>
      <w:pPr>
        <w:pStyle w:val="Style35"/>
        <w:keepNext w:val="0"/>
        <w:keepLines w:val="0"/>
        <w:widowControl w:val="0"/>
        <w:shd w:val="clear" w:color="auto" w:fill="auto"/>
        <w:tabs>
          <w:tab w:pos="850" w:val="left"/>
        </w:tabs>
        <w:bidi w:val="0"/>
        <w:spacing w:before="0" w:after="0" w:line="316" w:lineRule="exact"/>
        <w:ind w:left="0" w:right="0"/>
        <w:jc w:val="both"/>
      </w:pPr>
      <w:bookmarkStart w:id="96" w:name="bookmark96"/>
      <w:r>
        <w:rPr>
          <w:b/>
          <w:bCs/>
          <w:color w:val="000000"/>
          <w:spacing w:val="0"/>
          <w:w w:val="100"/>
          <w:position w:val="0"/>
        </w:rPr>
        <w:t>（</w:t>
      </w:r>
      <w:bookmarkEnd w:id="9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用户规模及大数据优势</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公司产品与平台经过多年的推广运营，已经积累了海量的在线连接的企业用户，以及完善的用户画像标签体系，具备基 于大数据技术下自动化、智能化的定向匹配与触达能力。基于海量在线用户所积累的财税数据和行为数据，可为中小企业用 户提供专业的财税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w:t>
      </w:r>
    </w:p>
    <w:p>
      <w:pPr>
        <w:pStyle w:val="Style35"/>
        <w:keepNext w:val="0"/>
        <w:keepLines w:val="0"/>
        <w:widowControl w:val="0"/>
        <w:shd w:val="clear" w:color="auto" w:fill="auto"/>
        <w:tabs>
          <w:tab w:pos="850" w:val="left"/>
        </w:tabs>
        <w:bidi w:val="0"/>
        <w:spacing w:before="0" w:after="0" w:line="316" w:lineRule="exact"/>
        <w:ind w:left="0" w:right="0"/>
        <w:jc w:val="both"/>
      </w:pPr>
      <w:bookmarkStart w:id="97" w:name="bookmark97"/>
      <w:r>
        <w:rPr>
          <w:b/>
          <w:bCs/>
          <w:color w:val="000000"/>
          <w:spacing w:val="0"/>
          <w:w w:val="100"/>
          <w:position w:val="0"/>
        </w:rPr>
        <w:t>（</w:t>
      </w:r>
      <w:bookmarkEnd w:id="9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w:t>
      </w:r>
      <w:r>
        <w:rPr>
          <w:b/>
          <w:bCs/>
          <w:color w:val="000000"/>
          <w:spacing w:val="0"/>
          <w:w w:val="100"/>
          <w:position w:val="0"/>
        </w:rPr>
        <w:t>年财税行业积累</w:t>
      </w:r>
    </w:p>
    <w:p>
      <w:pPr>
        <w:pStyle w:val="Style35"/>
        <w:keepNext w:val="0"/>
        <w:keepLines w:val="0"/>
        <w:widowControl w:val="0"/>
        <w:shd w:val="clear" w:color="auto" w:fill="auto"/>
        <w:bidi w:val="0"/>
        <w:spacing w:before="0" w:after="300" w:line="316" w:lineRule="exact"/>
        <w:ind w:left="0" w:right="0"/>
        <w:jc w:val="both"/>
      </w:pPr>
      <w:r>
        <w:rPr>
          <w:color w:val="000000"/>
          <w:spacing w:val="0"/>
          <w:w w:val="100"/>
          <w:position w:val="0"/>
        </w:rPr>
        <w:t>公司从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 xml:space="preserve">年成立至今，一直致力于财税服务领域的发展，在人才、技术、产品方面有深厚的积累。通过“内部培养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外部引进”方式，积累了大量产品、技术（含大数据、人工智能）、运营的互联网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人才，同时也积累了税务、财务以及 管理咨询类的财税专业性人才，两类人才互为补充，实现互联网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人才与财税专业性人才的融合。产品体系面向消费端已 形成从触达、引流到转换、再增值的全环节覆盖体系，面向运营端已形成从定向投放、商机跟踪到拉新获客、运营服务的全 流程数字化体系，构造了财税领域数字化服务的基础。</w:t>
      </w:r>
    </w:p>
    <w:p>
      <w:pPr>
        <w:pStyle w:val="Style35"/>
        <w:keepNext w:val="0"/>
        <w:keepLines w:val="0"/>
        <w:widowControl w:val="0"/>
        <w:shd w:val="clear" w:color="auto" w:fill="auto"/>
        <w:bidi w:val="0"/>
        <w:spacing w:before="0" w:after="0" w:line="317" w:lineRule="exact"/>
        <w:ind w:left="0" w:right="0"/>
        <w:jc w:val="both"/>
      </w:pPr>
      <w:bookmarkStart w:id="98" w:name="bookmark98"/>
      <w:r>
        <w:rPr>
          <w:b/>
          <w:bCs/>
          <w:color w:val="000000"/>
          <w:spacing w:val="0"/>
          <w:w w:val="100"/>
          <w:position w:val="0"/>
        </w:rPr>
        <w:t>（</w:t>
      </w:r>
      <w:bookmarkEnd w:id="9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）数字化解决方案优势</w:t>
      </w:r>
    </w:p>
    <w:p>
      <w:pPr>
        <w:pStyle w:val="Style35"/>
        <w:keepNext w:val="0"/>
        <w:keepLines w:val="0"/>
        <w:widowControl w:val="0"/>
        <w:shd w:val="clear" w:color="auto" w:fill="auto"/>
        <w:bidi w:val="0"/>
        <w:spacing w:before="0" w:after="140" w:line="313" w:lineRule="exact"/>
        <w:ind w:left="0" w:right="0"/>
        <w:jc w:val="both"/>
      </w:pPr>
      <w:r>
        <w:rPr>
          <w:color w:val="000000"/>
          <w:spacing w:val="0"/>
          <w:w w:val="100"/>
          <w:position w:val="0"/>
        </w:rPr>
        <w:t>公司基于区块链电子发票技术推出了面向平台型企业和平台上成千上万商户的整体解决方案，面向平台型企业提供工商 财税一体化“合规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无感”服务，为平台上成千上万个人经营者批量提供“全流程、一站式、零接触、不用跑” 的工商财税合规服务，平台内个人经营者只需上传身份证、活体认证、在线授权三步即可转化为个体工商户，并由金财云商 提供后续的全生命周期服务。金财作为拥有区块链电子发票技术的核心厂商，以及</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多年在财税领域的积累，提供了市场 上极具竞争力的产品。</w:t>
      </w:r>
    </w:p>
    <w:p>
      <w:pPr>
        <w:pStyle w:val="Style35"/>
        <w:keepNext w:val="0"/>
        <w:keepLines w:val="0"/>
        <w:widowControl w:val="0"/>
        <w:shd w:val="clear" w:color="auto" w:fill="auto"/>
        <w:bidi w:val="0"/>
        <w:spacing w:before="0" w:after="0" w:line="360" w:lineRule="auto"/>
        <w:ind w:left="0" w:right="0"/>
        <w:jc w:val="both"/>
      </w:pPr>
      <w:bookmarkStart w:id="99" w:name="bookmark99"/>
      <w:r>
        <w:rPr>
          <w:rFonts w:ascii="Times New Roman" w:eastAsia="Times New Roman" w:hAnsi="Times New Roman" w:cs="Times New Roman"/>
          <w:b/>
          <w:bCs/>
          <w:color w:val="000000"/>
          <w:spacing w:val="0"/>
          <w:w w:val="100"/>
          <w:position w:val="0"/>
          <w:sz w:val="18"/>
          <w:szCs w:val="18"/>
        </w:rPr>
        <w:t>2</w:t>
      </w:r>
      <w:bookmarkEnd w:id="99"/>
      <w:r>
        <w:rPr>
          <w:b/>
          <w:bCs/>
          <w:color w:val="000000"/>
          <w:spacing w:val="0"/>
          <w:w w:val="100"/>
          <w:position w:val="0"/>
        </w:rPr>
        <w:t>、热处理业务</w:t>
      </w:r>
    </w:p>
    <w:p>
      <w:pPr>
        <w:pStyle w:val="Style35"/>
        <w:keepNext w:val="0"/>
        <w:keepLines w:val="0"/>
        <w:widowControl w:val="0"/>
        <w:shd w:val="clear" w:color="auto" w:fill="auto"/>
        <w:tabs>
          <w:tab w:pos="822" w:val="left"/>
        </w:tabs>
        <w:bidi w:val="0"/>
        <w:spacing w:before="0" w:after="0" w:line="317" w:lineRule="exact"/>
        <w:ind w:left="0" w:right="0"/>
        <w:jc w:val="both"/>
      </w:pPr>
      <w:bookmarkStart w:id="100" w:name="bookmark100"/>
      <w:r>
        <w:rPr>
          <w:b/>
          <w:bCs/>
          <w:color w:val="000000"/>
          <w:spacing w:val="0"/>
          <w:w w:val="100"/>
          <w:position w:val="0"/>
        </w:rPr>
        <w:t>（</w:t>
      </w:r>
      <w:bookmarkEnd w:id="10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专业化研发优势</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公司具备完善的产品研究、开发和创新体系，拥有较强的产品研发能力、持续创新能力和项目产业化能力。公司拥有国 家认定企业技术中心，国家认可实验室、国家级博士后科研工作站和企业院士工作站等研发平台，技术研发能力雄厚。</w:t>
      </w:r>
    </w:p>
    <w:p>
      <w:pPr>
        <w:pStyle w:val="Style35"/>
        <w:keepNext w:val="0"/>
        <w:keepLines w:val="0"/>
        <w:widowControl w:val="0"/>
        <w:shd w:val="clear" w:color="auto" w:fill="auto"/>
        <w:tabs>
          <w:tab w:pos="822" w:val="left"/>
        </w:tabs>
        <w:bidi w:val="0"/>
        <w:spacing w:before="0" w:after="0" w:line="324" w:lineRule="exact"/>
        <w:ind w:left="0" w:right="0"/>
        <w:jc w:val="both"/>
      </w:pPr>
      <w:bookmarkStart w:id="101" w:name="bookmark101"/>
      <w:r>
        <w:rPr>
          <w:b/>
          <w:bCs/>
          <w:color w:val="000000"/>
          <w:spacing w:val="0"/>
          <w:w w:val="100"/>
          <w:position w:val="0"/>
        </w:rPr>
        <w:t>（</w:t>
      </w:r>
      <w:bookmarkEnd w:id="10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质量控制优势</w:t>
      </w:r>
    </w:p>
    <w:p>
      <w:pPr>
        <w:pStyle w:val="Style35"/>
        <w:keepNext w:val="0"/>
        <w:keepLines w:val="0"/>
        <w:widowControl w:val="0"/>
        <w:shd w:val="clear" w:color="auto" w:fill="auto"/>
        <w:bidi w:val="0"/>
        <w:spacing w:before="0" w:after="0" w:line="324" w:lineRule="exact"/>
        <w:ind w:left="0" w:right="0"/>
        <w:jc w:val="both"/>
      </w:pPr>
      <w:r>
        <w:rPr>
          <w:color w:val="000000"/>
          <w:spacing w:val="0"/>
          <w:w w:val="100"/>
          <w:position w:val="0"/>
        </w:rPr>
        <w:t xml:space="preserve">公司在国内热处理行业率先通过了 </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质量体系认证和</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 xml:space="preserve">环境体系认证，专业热处理加工企业均通过了 </w:t>
      </w:r>
      <w:r>
        <w:rPr>
          <w:rFonts w:ascii="Times New Roman" w:eastAsia="Times New Roman" w:hAnsi="Times New Roman" w:cs="Times New Roman"/>
          <w:color w:val="000000"/>
          <w:spacing w:val="0"/>
          <w:w w:val="100"/>
          <w:position w:val="0"/>
          <w:sz w:val="18"/>
          <w:szCs w:val="18"/>
        </w:rPr>
        <w:t>TS16949</w:t>
      </w:r>
      <w:r>
        <w:rPr>
          <w:color w:val="000000"/>
          <w:spacing w:val="0"/>
          <w:w w:val="100"/>
          <w:position w:val="0"/>
        </w:rPr>
        <w:t>汽车质量体系认证。各热处理加工企业陆续通过或正在接受国内外汽车及工程机械等领域各大主机厂的评审与认 证，纷纷进入到各大主机厂的供应商体系。</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公司牵头主持起草并获公布实施的《热处理质量管理体系》国家标准，已成为全国高质量热处理加工企业全面接轨国际 热处理</w:t>
      </w:r>
      <w:r>
        <w:rPr>
          <w:rFonts w:ascii="Times New Roman" w:eastAsia="Times New Roman" w:hAnsi="Times New Roman" w:cs="Times New Roman"/>
          <w:color w:val="000000"/>
          <w:spacing w:val="0"/>
          <w:w w:val="100"/>
          <w:position w:val="0"/>
          <w:sz w:val="18"/>
          <w:szCs w:val="18"/>
        </w:rPr>
        <w:t>CQI-9</w:t>
      </w:r>
      <w:r>
        <w:rPr>
          <w:color w:val="000000"/>
          <w:spacing w:val="0"/>
          <w:w w:val="100"/>
          <w:position w:val="0"/>
        </w:rPr>
        <w:t>质量体系标准的指导性标准。</w:t>
      </w:r>
    </w:p>
    <w:p>
      <w:pPr>
        <w:pStyle w:val="Style35"/>
        <w:keepNext w:val="0"/>
        <w:keepLines w:val="0"/>
        <w:widowControl w:val="0"/>
        <w:shd w:val="clear" w:color="auto" w:fill="auto"/>
        <w:tabs>
          <w:tab w:pos="822" w:val="left"/>
        </w:tabs>
        <w:bidi w:val="0"/>
        <w:spacing w:before="0" w:after="0" w:line="317" w:lineRule="exact"/>
        <w:ind w:left="0" w:right="0"/>
        <w:jc w:val="both"/>
      </w:pPr>
      <w:bookmarkStart w:id="102" w:name="bookmark102"/>
      <w:r>
        <w:rPr>
          <w:b/>
          <w:bCs/>
          <w:color w:val="000000"/>
          <w:spacing w:val="0"/>
          <w:w w:val="100"/>
          <w:position w:val="0"/>
        </w:rPr>
        <w:t>（</w:t>
      </w:r>
      <w:bookmarkEnd w:id="10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生产管理优势</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多年的运营，公司已形成一套具有公司特色、科学高效、运作有序的管理机制。在热处理设备制造及加工服务 领域积累了丰富的开发、生产和管理经验，培养了一支精干的生产管理团队和一大批技艺精湛、业务娴熟的技术工人，形成 了较为完善的生产管理体系。</w:t>
      </w:r>
    </w:p>
    <w:p>
      <w:pPr>
        <w:pStyle w:val="Style35"/>
        <w:keepNext w:val="0"/>
        <w:keepLines w:val="0"/>
        <w:widowControl w:val="0"/>
        <w:shd w:val="clear" w:color="auto" w:fill="auto"/>
        <w:tabs>
          <w:tab w:pos="822" w:val="left"/>
        </w:tabs>
        <w:bidi w:val="0"/>
        <w:spacing w:before="0" w:after="0" w:line="322" w:lineRule="exact"/>
        <w:ind w:left="0" w:right="0"/>
        <w:jc w:val="both"/>
      </w:pPr>
      <w:bookmarkStart w:id="103" w:name="bookmark103"/>
      <w:r>
        <w:rPr>
          <w:b/>
          <w:bCs/>
          <w:color w:val="000000"/>
          <w:spacing w:val="0"/>
          <w:w w:val="100"/>
          <w:position w:val="0"/>
        </w:rPr>
        <w:t>（</w:t>
      </w:r>
      <w:bookmarkEnd w:id="103"/>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客户服务优势</w:t>
      </w:r>
    </w:p>
    <w:p>
      <w:pPr>
        <w:pStyle w:val="Style35"/>
        <w:keepNext w:val="0"/>
        <w:keepLines w:val="0"/>
        <w:widowControl w:val="0"/>
        <w:shd w:val="clear" w:color="auto" w:fill="auto"/>
        <w:bidi w:val="0"/>
        <w:spacing w:before="0" w:after="0" w:line="317" w:lineRule="exact"/>
        <w:ind w:left="0" w:right="0"/>
        <w:jc w:val="both"/>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74" w:right="1068" w:bottom="2021" w:left="1073" w:header="0" w:footer="3" w:gutter="0"/>
          <w:cols w:space="720"/>
          <w:noEndnote/>
          <w:rtlGutter w:val="0"/>
          <w:docGrid w:linePitch="360"/>
        </w:sectPr>
      </w:pPr>
      <w:r>
        <w:rPr>
          <w:color w:val="000000"/>
          <w:spacing w:val="0"/>
          <w:w w:val="100"/>
          <w:position w:val="0"/>
        </w:rPr>
        <w:t>公司坚持以客户需求为导向，向客户提供全周期服务。通过专业用心的技术服务和客户需求的快速有效响应，为公司赢 得了良好的口碑，树立了良好的市场形象。</w:t>
      </w:r>
    </w:p>
    <w:p>
      <w:pPr>
        <w:pStyle w:val="Style17"/>
        <w:keepNext/>
        <w:keepLines/>
        <w:widowControl w:val="0"/>
        <w:shd w:val="clear" w:color="auto" w:fill="auto"/>
        <w:bidi w:val="0"/>
        <w:spacing w:before="480" w:line="240" w:lineRule="auto"/>
        <w:ind w:left="0" w:right="0" w:firstLine="0"/>
        <w:jc w:val="center"/>
      </w:pPr>
      <w:bookmarkStart w:id="104" w:name="bookmark104"/>
      <w:bookmarkStart w:id="105" w:name="bookmark105"/>
      <w:bookmarkStart w:id="106" w:name="bookmark106"/>
      <w:r>
        <w:rPr>
          <w:color w:val="000000"/>
          <w:spacing w:val="0"/>
          <w:w w:val="100"/>
          <w:position w:val="0"/>
        </w:rPr>
        <w:t>第四节经营情况讨论与分析</w:t>
      </w:r>
      <w:bookmarkEnd w:id="104"/>
      <w:bookmarkEnd w:id="105"/>
      <w:bookmarkEnd w:id="106"/>
    </w:p>
    <w:p>
      <w:pPr>
        <w:pStyle w:val="Style29"/>
        <w:keepNext/>
        <w:keepLines/>
        <w:widowControl w:val="0"/>
        <w:shd w:val="clear" w:color="auto" w:fill="auto"/>
        <w:bidi w:val="0"/>
        <w:spacing w:before="0" w:after="260" w:line="240" w:lineRule="auto"/>
        <w:ind w:left="0" w:right="0" w:firstLine="240"/>
        <w:jc w:val="left"/>
      </w:pPr>
      <w:bookmarkStart w:id="107" w:name="bookmark107"/>
      <w:bookmarkStart w:id="108" w:name="bookmark108"/>
      <w:bookmarkStart w:id="109" w:name="bookmark109"/>
      <w:bookmarkStart w:id="110" w:name="bookmark110"/>
      <w:bookmarkStart w:id="111" w:name="bookmark111"/>
      <w:r>
        <w:rPr>
          <w:color w:val="000000"/>
          <w:spacing w:val="0"/>
          <w:w w:val="100"/>
          <w:position w:val="0"/>
          <w:sz w:val="24"/>
          <w:szCs w:val="24"/>
        </w:rPr>
        <w:t>一</w:t>
      </w:r>
      <w:bookmarkEnd w:id="110"/>
      <w:r>
        <w:rPr>
          <w:color w:val="000000"/>
          <w:spacing w:val="0"/>
          <w:w w:val="100"/>
          <w:position w:val="0"/>
          <w:sz w:val="24"/>
          <w:szCs w:val="24"/>
        </w:rPr>
        <w:t>、概述</w:t>
      </w:r>
      <w:bookmarkEnd w:id="108"/>
      <w:bookmarkEnd w:id="109"/>
      <w:bookmarkEnd w:id="111"/>
      <w:bookmarkEnd w:id="107"/>
    </w:p>
    <w:p>
      <w:pPr>
        <w:pStyle w:val="Style35"/>
        <w:keepNext w:val="0"/>
        <w:keepLines w:val="0"/>
        <w:widowControl w:val="0"/>
        <w:shd w:val="clear" w:color="auto" w:fill="auto"/>
        <w:bidi w:val="0"/>
        <w:spacing w:before="0" w:after="140" w:line="317" w:lineRule="exact"/>
        <w:ind w:left="240" w:right="0" w:firstLine="360"/>
        <w:jc w:val="both"/>
      </w:pPr>
      <w:r>
        <w:rPr>
          <w:color w:val="000000"/>
          <w:spacing w:val="0"/>
          <w:w w:val="100"/>
          <w:position w:val="0"/>
        </w:rPr>
        <w:t>报告期内，公司实现合并营业收入</w:t>
      </w:r>
      <w:r>
        <w:rPr>
          <w:rFonts w:ascii="Times New Roman" w:eastAsia="Times New Roman" w:hAnsi="Times New Roman" w:cs="Times New Roman"/>
          <w:color w:val="000000"/>
          <w:spacing w:val="0"/>
          <w:w w:val="100"/>
          <w:position w:val="0"/>
          <w:sz w:val="18"/>
          <w:szCs w:val="18"/>
        </w:rPr>
        <w:t>101,147.97</w:t>
      </w:r>
      <w:r>
        <w:rPr>
          <w:color w:val="000000"/>
          <w:spacing w:val="0"/>
          <w:w w:val="100"/>
          <w:position w:val="0"/>
        </w:rPr>
        <w:t>万元，较上年减少</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，实现合并利润总额</w:t>
      </w:r>
      <w:r>
        <w:rPr>
          <w:rFonts w:ascii="Times New Roman" w:eastAsia="Times New Roman" w:hAnsi="Times New Roman" w:cs="Times New Roman"/>
          <w:color w:val="000000"/>
          <w:spacing w:val="0"/>
          <w:w w:val="100"/>
          <w:position w:val="0"/>
          <w:sz w:val="18"/>
          <w:szCs w:val="18"/>
        </w:rPr>
        <w:t>-126,027.77</w:t>
      </w:r>
      <w:r>
        <w:rPr>
          <w:color w:val="000000"/>
          <w:spacing w:val="0"/>
          <w:w w:val="100"/>
          <w:position w:val="0"/>
        </w:rPr>
        <w:t>万元，较上年 下降</w:t>
      </w:r>
      <w:r>
        <w:rPr>
          <w:rFonts w:ascii="Times New Roman" w:eastAsia="Times New Roman" w:hAnsi="Times New Roman" w:cs="Times New Roman"/>
          <w:color w:val="000000"/>
          <w:spacing w:val="0"/>
          <w:w w:val="100"/>
          <w:position w:val="0"/>
          <w:sz w:val="18"/>
          <w:szCs w:val="18"/>
        </w:rPr>
        <w:t>100.54%</w:t>
      </w:r>
      <w:r>
        <w:rPr>
          <w:color w:val="000000"/>
          <w:spacing w:val="0"/>
          <w:w w:val="100"/>
          <w:position w:val="0"/>
        </w:rPr>
        <w:t>，合并归属于上市公司股东的净利润</w:t>
      </w:r>
      <w:r>
        <w:rPr>
          <w:rFonts w:ascii="Times New Roman" w:eastAsia="Times New Roman" w:hAnsi="Times New Roman" w:cs="Times New Roman"/>
          <w:color w:val="000000"/>
          <w:spacing w:val="0"/>
          <w:w w:val="100"/>
          <w:position w:val="0"/>
          <w:sz w:val="18"/>
          <w:szCs w:val="18"/>
        </w:rPr>
        <w:t>-124,361.98</w:t>
      </w:r>
      <w:r>
        <w:rPr>
          <w:color w:val="000000"/>
          <w:spacing w:val="0"/>
          <w:w w:val="100"/>
          <w:position w:val="0"/>
        </w:rPr>
        <w:t>万元，较上年下降</w:t>
      </w:r>
      <w:r>
        <w:rPr>
          <w:rFonts w:ascii="Times New Roman" w:eastAsia="Times New Roman" w:hAnsi="Times New Roman" w:cs="Times New Roman"/>
          <w:color w:val="000000"/>
          <w:spacing w:val="0"/>
          <w:w w:val="100"/>
          <w:position w:val="0"/>
          <w:sz w:val="18"/>
          <w:szCs w:val="18"/>
        </w:rPr>
        <w:t>83.14%</w:t>
      </w:r>
      <w:r>
        <w:rPr>
          <w:color w:val="000000"/>
          <w:spacing w:val="0"/>
          <w:w w:val="100"/>
          <w:position w:val="0"/>
        </w:rPr>
        <w:t>。</w:t>
      </w:r>
    </w:p>
    <w:p>
      <w:pPr>
        <w:pStyle w:val="Style35"/>
        <w:keepNext w:val="0"/>
        <w:keepLines w:val="0"/>
        <w:widowControl w:val="0"/>
        <w:shd w:val="clear" w:color="auto" w:fill="auto"/>
        <w:tabs>
          <w:tab w:pos="882" w:val="left"/>
        </w:tabs>
        <w:bidi w:val="0"/>
        <w:spacing w:before="0" w:after="0" w:line="360" w:lineRule="auto"/>
        <w:ind w:left="240" w:right="0" w:firstLine="360"/>
        <w:jc w:val="both"/>
      </w:pPr>
      <w:bookmarkStart w:id="112" w:name="bookmark112"/>
      <w:r>
        <w:rPr>
          <w:rFonts w:ascii="Times New Roman" w:eastAsia="Times New Roman" w:hAnsi="Times New Roman" w:cs="Times New Roman"/>
          <w:b/>
          <w:bCs/>
          <w:color w:val="000000"/>
          <w:spacing w:val="0"/>
          <w:w w:val="100"/>
          <w:position w:val="0"/>
          <w:sz w:val="18"/>
          <w:szCs w:val="18"/>
        </w:rPr>
        <w:t>1</w:t>
      </w:r>
      <w:bookmarkEnd w:id="112"/>
      <w:r>
        <w:rPr>
          <w:b/>
          <w:bCs/>
          <w:color w:val="000000"/>
          <w:spacing w:val="0"/>
          <w:w w:val="100"/>
          <w:position w:val="0"/>
        </w:rPr>
        <w:t>、</w:t>
        <w:tab/>
        <w:t>互联网财税业务</w:t>
      </w:r>
    </w:p>
    <w:p>
      <w:pPr>
        <w:pStyle w:val="Style35"/>
        <w:keepNext w:val="0"/>
        <w:keepLines w:val="0"/>
        <w:widowControl w:val="0"/>
        <w:shd w:val="clear" w:color="auto" w:fill="auto"/>
        <w:bidi w:val="0"/>
        <w:spacing w:before="0" w:after="0" w:line="312" w:lineRule="exact"/>
        <w:ind w:left="24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年，一方面因新冠疫情影响，对方欣科技在税局端和企业端的市场拓展、客户发掘、现场实施等经营活动都造成 了较大影响，产品及开发服务收入下滑明显，技术服务收入也出现下滑；另一方面受国家税务总局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年发布（税总发 </w:t>
      </w:r>
      <w:r>
        <w:rPr>
          <w:rFonts w:ascii="Times New Roman" w:eastAsia="Times New Roman" w:hAnsi="Times New Roman" w:cs="Times New Roman"/>
          <w:color w:val="000000"/>
          <w:spacing w:val="0"/>
          <w:w w:val="100"/>
          <w:position w:val="0"/>
          <w:sz w:val="18"/>
          <w:szCs w:val="18"/>
        </w:rPr>
        <w:t>[2019]44</w:t>
      </w:r>
      <w:r>
        <w:rPr>
          <w:color w:val="000000"/>
          <w:spacing w:val="0"/>
          <w:w w:val="100"/>
          <w:position w:val="0"/>
        </w:rPr>
        <w:t>号）的影响，原有财税管家等产品暂停收费。</w:t>
      </w:r>
    </w:p>
    <w:p>
      <w:pPr>
        <w:pStyle w:val="Style35"/>
        <w:keepNext w:val="0"/>
        <w:keepLines w:val="0"/>
        <w:widowControl w:val="0"/>
        <w:shd w:val="clear" w:color="auto" w:fill="auto"/>
        <w:bidi w:val="0"/>
        <w:spacing w:before="0" w:after="0" w:line="312" w:lineRule="exact"/>
        <w:ind w:left="240" w:right="0" w:firstLine="360"/>
        <w:jc w:val="both"/>
      </w:pPr>
      <w:r>
        <w:rPr>
          <w:color w:val="000000"/>
          <w:spacing w:val="0"/>
          <w:w w:val="100"/>
          <w:position w:val="0"/>
        </w:rPr>
        <w:t>从内部环境看，财税服务产业的数字化转型迎来窗口期，既是挑战又是机遇。公司为抓住这一数字化转型窗口期，加大 了新产品研发的投入，在现有财税云服务产品的基础上，增加更多对客户有价值的特性，提高付费转化率。另一方面，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年财税云服务业务板块的商业模式得到了初步验证，在构建了初步的销售团队的同时，建立了线上线下联动的获客渠道，加 强了线上运营的比例，并持续扩大用户流量池。</w:t>
      </w:r>
    </w:p>
    <w:p>
      <w:pPr>
        <w:pStyle w:val="Style35"/>
        <w:keepNext w:val="0"/>
        <w:keepLines w:val="0"/>
        <w:widowControl w:val="0"/>
        <w:shd w:val="clear" w:color="auto" w:fill="auto"/>
        <w:bidi w:val="0"/>
        <w:spacing w:before="0" w:after="140" w:line="312" w:lineRule="exact"/>
        <w:ind w:left="240" w:right="0" w:firstLine="360"/>
        <w:jc w:val="both"/>
      </w:pPr>
      <w:r>
        <w:rPr>
          <w:color w:val="000000"/>
          <w:spacing w:val="0"/>
          <w:w w:val="100"/>
          <w:position w:val="0"/>
        </w:rPr>
        <w:t>报告期内，受前述情况影响，公司互联网财税板块业绩有较大幅度下降。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47,229.98</w:t>
      </w:r>
      <w:r>
        <w:rPr>
          <w:color w:val="000000"/>
          <w:spacing w:val="0"/>
          <w:w w:val="100"/>
          <w:position w:val="0"/>
        </w:rPr>
        <w:t>万元，比 上年下降</w:t>
      </w:r>
      <w:r>
        <w:rPr>
          <w:rFonts w:ascii="Times New Roman" w:eastAsia="Times New Roman" w:hAnsi="Times New Roman" w:cs="Times New Roman"/>
          <w:color w:val="000000"/>
          <w:spacing w:val="0"/>
          <w:w w:val="100"/>
          <w:position w:val="0"/>
          <w:sz w:val="18"/>
          <w:szCs w:val="18"/>
        </w:rPr>
        <w:t>29.51%</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-67,279.48</w:t>
      </w:r>
      <w:r>
        <w:rPr>
          <w:color w:val="000000"/>
          <w:spacing w:val="0"/>
          <w:w w:val="100"/>
          <w:position w:val="0"/>
        </w:rPr>
        <w:t>万元，归属于母公司股东的净利润</w:t>
      </w:r>
      <w:r>
        <w:rPr>
          <w:rFonts w:ascii="Times New Roman" w:eastAsia="Times New Roman" w:hAnsi="Times New Roman" w:cs="Times New Roman"/>
          <w:color w:val="000000"/>
          <w:spacing w:val="0"/>
          <w:w w:val="100"/>
          <w:position w:val="0"/>
          <w:sz w:val="18"/>
          <w:szCs w:val="18"/>
        </w:rPr>
        <w:t>-63,868.54</w:t>
      </w:r>
      <w:r>
        <w:rPr>
          <w:color w:val="000000"/>
          <w:spacing w:val="0"/>
          <w:w w:val="100"/>
          <w:position w:val="0"/>
        </w:rPr>
        <w:t>万元，分别比上年下降</w:t>
      </w:r>
      <w:r>
        <w:rPr>
          <w:rFonts w:ascii="Times New Roman" w:eastAsia="Times New Roman" w:hAnsi="Times New Roman" w:cs="Times New Roman"/>
          <w:color w:val="000000"/>
          <w:spacing w:val="0"/>
          <w:w w:val="100"/>
          <w:position w:val="0"/>
          <w:sz w:val="18"/>
          <w:szCs w:val="18"/>
        </w:rPr>
        <w:t>785.37%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938.99%</w:t>
      </w:r>
      <w:r>
        <w:rPr>
          <w:color w:val="000000"/>
          <w:spacing w:val="0"/>
          <w:w w:val="100"/>
          <w:position w:val="0"/>
        </w:rPr>
        <w:t>。</w:t>
      </w:r>
    </w:p>
    <w:p>
      <w:pPr>
        <w:pStyle w:val="Style35"/>
        <w:keepNext w:val="0"/>
        <w:keepLines w:val="0"/>
        <w:widowControl w:val="0"/>
        <w:shd w:val="clear" w:color="auto" w:fill="auto"/>
        <w:tabs>
          <w:tab w:pos="896" w:val="left"/>
        </w:tabs>
        <w:bidi w:val="0"/>
        <w:spacing w:before="0" w:after="0" w:line="360" w:lineRule="auto"/>
        <w:ind w:left="0" w:right="0" w:firstLine="600"/>
        <w:jc w:val="left"/>
      </w:pPr>
      <w:bookmarkStart w:id="113" w:name="bookmark113"/>
      <w:r>
        <w:rPr>
          <w:rFonts w:ascii="Times New Roman" w:eastAsia="Times New Roman" w:hAnsi="Times New Roman" w:cs="Times New Roman"/>
          <w:b/>
          <w:bCs/>
          <w:color w:val="000000"/>
          <w:spacing w:val="0"/>
          <w:w w:val="100"/>
          <w:position w:val="0"/>
          <w:sz w:val="18"/>
          <w:szCs w:val="18"/>
        </w:rPr>
        <w:t>2</w:t>
      </w:r>
      <w:bookmarkEnd w:id="113"/>
      <w:r>
        <w:rPr>
          <w:b/>
          <w:bCs/>
          <w:color w:val="000000"/>
          <w:spacing w:val="0"/>
          <w:w w:val="100"/>
          <w:position w:val="0"/>
        </w:rPr>
        <w:t>、</w:t>
        <w:tab/>
        <w:t>热处理业务</w:t>
      </w:r>
    </w:p>
    <w:p>
      <w:pPr>
        <w:pStyle w:val="Style35"/>
        <w:keepNext w:val="0"/>
        <w:keepLines w:val="0"/>
        <w:widowControl w:val="0"/>
        <w:shd w:val="clear" w:color="auto" w:fill="auto"/>
        <w:bidi w:val="0"/>
        <w:spacing w:before="0" w:after="0" w:line="317" w:lineRule="exact"/>
        <w:ind w:left="24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年初，受新冠疫情影响，全产业链“复工难”给制造业企业带来阶段性影响；同时受中美贸易摩擦以及全球经济 衰退影响，公司主要下游客户汽车行业产销量持续下降。报告期内，热处理板块营业收入为</w:t>
      </w:r>
      <w:r>
        <w:rPr>
          <w:rFonts w:ascii="Times New Roman" w:eastAsia="Times New Roman" w:hAnsi="Times New Roman" w:cs="Times New Roman"/>
          <w:color w:val="000000"/>
          <w:spacing w:val="0"/>
          <w:w w:val="100"/>
          <w:position w:val="0"/>
          <w:sz w:val="18"/>
          <w:szCs w:val="18"/>
        </w:rPr>
        <w:t>53,917.99</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8.98%</w:t>
      </w:r>
      <w:r>
        <w:rPr>
          <w:color w:val="000000"/>
          <w:spacing w:val="0"/>
          <w:w w:val="100"/>
          <w:position w:val="0"/>
        </w:rPr>
        <w:t>； 实现利润总额及归属于母公司股东的净利润分别为</w:t>
      </w:r>
      <w:r>
        <w:rPr>
          <w:rFonts w:ascii="Times New Roman" w:eastAsia="Times New Roman" w:hAnsi="Times New Roman" w:cs="Times New Roman"/>
          <w:color w:val="000000"/>
          <w:spacing w:val="0"/>
          <w:w w:val="100"/>
          <w:position w:val="0"/>
          <w:sz w:val="18"/>
          <w:szCs w:val="18"/>
        </w:rPr>
        <w:t>6,956.89</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5,203.06</w:t>
      </w:r>
      <w:r>
        <w:rPr>
          <w:color w:val="000000"/>
          <w:spacing w:val="0"/>
          <w:w w:val="100"/>
          <w:position w:val="0"/>
        </w:rPr>
        <w:t>万元，较上年分别下降</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10.34%</w:t>
      </w:r>
      <w:r>
        <w:rPr>
          <w:color w:val="000000"/>
          <w:spacing w:val="0"/>
          <w:w w:val="100"/>
          <w:position w:val="0"/>
        </w:rPr>
        <w:t>。</w:t>
      </w:r>
    </w:p>
    <w:p>
      <w:pPr>
        <w:pStyle w:val="Style35"/>
        <w:keepNext w:val="0"/>
        <w:keepLines w:val="0"/>
        <w:widowControl w:val="0"/>
        <w:shd w:val="clear" w:color="auto" w:fill="auto"/>
        <w:bidi w:val="0"/>
        <w:spacing w:before="0" w:after="0" w:line="314" w:lineRule="exact"/>
        <w:ind w:left="0" w:right="0" w:firstLine="600"/>
        <w:jc w:val="left"/>
      </w:pPr>
      <w:r>
        <w:rPr>
          <w:color w:val="000000"/>
          <w:spacing w:val="0"/>
          <w:w w:val="100"/>
          <w:position w:val="0"/>
        </w:rPr>
        <w:t>报告期内，热处理板块瞄准目标，定准措施，精准发力，全力化解疫情和市场环境带来的双重压力。</w:t>
      </w:r>
    </w:p>
    <w:p>
      <w:pPr>
        <w:pStyle w:val="Style35"/>
        <w:keepNext w:val="0"/>
        <w:keepLines w:val="0"/>
        <w:widowControl w:val="0"/>
        <w:shd w:val="clear" w:color="auto" w:fill="auto"/>
        <w:tabs>
          <w:tab w:pos="1083" w:val="left"/>
        </w:tabs>
        <w:bidi w:val="0"/>
        <w:spacing w:before="0" w:after="0" w:line="313" w:lineRule="exact"/>
        <w:ind w:left="240" w:right="0" w:firstLine="360"/>
        <w:jc w:val="both"/>
      </w:pPr>
      <w:bookmarkStart w:id="114" w:name="bookmark114"/>
      <w:r>
        <w:rPr>
          <w:b/>
          <w:bCs/>
          <w:color w:val="000000"/>
          <w:spacing w:val="0"/>
          <w:w w:val="100"/>
          <w:position w:val="0"/>
        </w:rPr>
        <w:t>（</w:t>
      </w:r>
      <w:bookmarkEnd w:id="11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积蓄力量抢抓市场。</w:t>
      </w:r>
      <w:r>
        <w:rPr>
          <w:color w:val="000000"/>
          <w:spacing w:val="0"/>
          <w:w w:val="100"/>
          <w:position w:val="0"/>
        </w:rPr>
        <w:t>在疫情防控常态化背景下，公司销售团队充分利用电话、网络等渠道，与客户保持积极有效 的沟通，想客户所想，抢抓每一个市场机会，在航空航天、工程机械、机械基础件等领域获取新订单，展现了公司在中高端 客户市场中的竞争力。二季度以来，我国宏观经济增长逐渐向常态回归，热处理加工业务企稳复苏，趋势向好。随着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年下半年国内疫情缓和，公司组团参加上海热处理装备与技术展，通过技术分享交流会，宣传推广丰东创新产品。同时，公 司还积极参与下游相关细分行业的专业展览会，如粉末冶金、紧固件、轴承等行业，进一步拓宽市场。</w:t>
      </w:r>
    </w:p>
    <w:p>
      <w:pPr>
        <w:pStyle w:val="Style35"/>
        <w:keepNext w:val="0"/>
        <w:keepLines w:val="0"/>
        <w:widowControl w:val="0"/>
        <w:shd w:val="clear" w:color="auto" w:fill="auto"/>
        <w:tabs>
          <w:tab w:pos="1088" w:val="left"/>
        </w:tabs>
        <w:bidi w:val="0"/>
        <w:spacing w:before="0" w:after="0" w:line="314" w:lineRule="exact"/>
        <w:ind w:left="240" w:right="0" w:firstLine="360"/>
        <w:jc w:val="both"/>
      </w:pPr>
      <w:bookmarkStart w:id="115" w:name="bookmark115"/>
      <w:r>
        <w:rPr>
          <w:b/>
          <w:bCs/>
          <w:color w:val="000000"/>
          <w:spacing w:val="0"/>
          <w:w w:val="100"/>
          <w:position w:val="0"/>
        </w:rPr>
        <w:t>（</w:t>
      </w:r>
      <w:bookmarkEnd w:id="11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加强研发促进创新。</w:t>
      </w:r>
      <w:r>
        <w:rPr>
          <w:color w:val="000000"/>
          <w:spacing w:val="0"/>
          <w:w w:val="100"/>
          <w:position w:val="0"/>
        </w:rPr>
        <w:t>无人化智能热处理生产线正式投入运行，采用工业物联网技术建立各设备之间的无缝连接， 实现各模块互联互通、</w:t>
      </w:r>
      <w:r>
        <w:rPr>
          <w:rFonts w:ascii="Times New Roman" w:eastAsia="Times New Roman" w:hAnsi="Times New Roman" w:cs="Times New Roman"/>
          <w:color w:val="000000"/>
          <w:spacing w:val="0"/>
          <w:w w:val="100"/>
          <w:position w:val="0"/>
          <w:sz w:val="18"/>
          <w:szCs w:val="18"/>
        </w:rPr>
        <w:t>APS</w:t>
      </w:r>
      <w:r>
        <w:rPr>
          <w:color w:val="000000"/>
          <w:spacing w:val="0"/>
          <w:w w:val="100"/>
          <w:position w:val="0"/>
        </w:rPr>
        <w:t>自动排产、</w:t>
      </w:r>
      <w:r>
        <w:rPr>
          <w:rFonts w:ascii="Times New Roman" w:eastAsia="Times New Roman" w:hAnsi="Times New Roman" w:cs="Times New Roman"/>
          <w:color w:val="000000"/>
          <w:spacing w:val="0"/>
          <w:w w:val="100"/>
          <w:position w:val="0"/>
          <w:sz w:val="18"/>
          <w:szCs w:val="18"/>
        </w:rPr>
        <w:t>LMS</w:t>
      </w:r>
      <w:r>
        <w:rPr>
          <w:color w:val="000000"/>
          <w:spacing w:val="0"/>
          <w:w w:val="100"/>
          <w:position w:val="0"/>
        </w:rPr>
        <w:t xml:space="preserve">智能产线管理、智能设备维保等；成立工艺研发团队，提升工艺技术创新能力；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国家重点研发计划轴齿类清洁热处理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项目之课题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“可控气氛精密控制及减量化技术”进展顺利，按计划完成中期任 务；承担的“江苏省重点领域共性技术攻关研发项目一一齿轮热处理的虚拟仿真建模及应用研究”顺利通过省工信厅终验 收；获得“国家技术创新示范企业”、“江苏省生产性服务业领军企业”、“江苏省外国专家工作室”等荣誉和称号；报告 期内新增授权专利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件。</w:t>
      </w:r>
    </w:p>
    <w:p>
      <w:pPr>
        <w:pStyle w:val="Style35"/>
        <w:keepNext w:val="0"/>
        <w:keepLines w:val="0"/>
        <w:widowControl w:val="0"/>
        <w:shd w:val="clear" w:color="auto" w:fill="auto"/>
        <w:tabs>
          <w:tab w:pos="1078" w:val="left"/>
        </w:tabs>
        <w:bidi w:val="0"/>
        <w:spacing w:before="0" w:after="0" w:line="326" w:lineRule="exact"/>
        <w:ind w:left="240" w:right="0" w:firstLine="360"/>
        <w:jc w:val="both"/>
      </w:pPr>
      <w:bookmarkStart w:id="116" w:name="bookmark116"/>
      <w:r>
        <w:rPr>
          <w:b/>
          <w:bCs/>
          <w:color w:val="000000"/>
          <w:spacing w:val="0"/>
          <w:w w:val="100"/>
          <w:position w:val="0"/>
        </w:rPr>
        <w:t>（</w:t>
      </w:r>
      <w:bookmarkEnd w:id="11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规范管理夯实基础。</w:t>
      </w:r>
      <w:r>
        <w:rPr>
          <w:color w:val="000000"/>
          <w:spacing w:val="0"/>
          <w:w w:val="100"/>
          <w:position w:val="0"/>
        </w:rPr>
        <w:t>报告期内，继续完善管理规范，为热处理加工连锁布局夯实基础。热处理加工企业开始施行 统一的热处理报价系统；工程中心完成《热处理加工管理规范》的制定，并向热处理加工企业推广。</w:t>
      </w:r>
    </w:p>
    <w:p>
      <w:pPr>
        <w:pStyle w:val="Style35"/>
        <w:keepNext w:val="0"/>
        <w:keepLines w:val="0"/>
        <w:widowControl w:val="0"/>
        <w:shd w:val="clear" w:color="auto" w:fill="auto"/>
        <w:tabs>
          <w:tab w:pos="1083" w:val="left"/>
        </w:tabs>
        <w:bidi w:val="0"/>
        <w:spacing w:before="0" w:after="0" w:line="319" w:lineRule="exact"/>
        <w:ind w:left="240" w:right="0" w:firstLine="360"/>
        <w:jc w:val="both"/>
      </w:pPr>
      <w:bookmarkStart w:id="117" w:name="bookmark117"/>
      <w:r>
        <w:rPr>
          <w:b/>
          <w:bCs/>
          <w:color w:val="000000"/>
          <w:spacing w:val="0"/>
          <w:w w:val="100"/>
          <w:position w:val="0"/>
        </w:rPr>
        <w:t>（</w:t>
      </w:r>
      <w:bookmarkEnd w:id="11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落实加工连锁布局。</w:t>
      </w:r>
      <w:r>
        <w:rPr>
          <w:color w:val="000000"/>
          <w:spacing w:val="0"/>
          <w:w w:val="100"/>
          <w:position w:val="0"/>
        </w:rPr>
        <w:t>报告期内，稳步推进前期投资项目的落实：武汉丰东正式投入试运行；青岛热工完成厂房建 设；常州丰东二期项目正式开工；苏州丰东完成主体钢结构建设；重庆金属新工厂完成竣工验收，进入设备安装阶段；南京 丰东二期项目主体工程竣工。</w:t>
      </w:r>
      <w:r>
        <w:br w:type="page"/>
      </w:r>
    </w:p>
    <w:p>
      <w:pPr>
        <w:pStyle w:val="Style29"/>
        <w:keepNext/>
        <w:keepLines/>
        <w:widowControl w:val="0"/>
        <w:shd w:val="clear" w:color="auto" w:fill="auto"/>
        <w:bidi w:val="0"/>
        <w:spacing w:before="0" w:line="240" w:lineRule="auto"/>
        <w:ind w:left="0" w:right="0" w:firstLine="200"/>
        <w:jc w:val="left"/>
      </w:pPr>
      <w:bookmarkStart w:id="118" w:name="bookmark118"/>
      <w:bookmarkStart w:id="119" w:name="bookmark119"/>
      <w:bookmarkStart w:id="120" w:name="bookmark120"/>
      <w:bookmarkStart w:id="121" w:name="bookmark121"/>
      <w:r>
        <w:rPr>
          <w:color w:val="000000"/>
          <w:spacing w:val="0"/>
          <w:w w:val="100"/>
          <w:position w:val="0"/>
          <w:sz w:val="24"/>
          <w:szCs w:val="24"/>
        </w:rPr>
        <w:t>二</w:t>
      </w:r>
      <w:bookmarkEnd w:id="120"/>
      <w:r>
        <w:rPr>
          <w:color w:val="000000"/>
          <w:spacing w:val="0"/>
          <w:w w:val="100"/>
          <w:position w:val="0"/>
          <w:sz w:val="24"/>
          <w:szCs w:val="24"/>
        </w:rPr>
        <w:t>、主营业务分析</w:t>
      </w:r>
      <w:bookmarkEnd w:id="118"/>
      <w:bookmarkEnd w:id="119"/>
      <w:bookmarkEnd w:id="121"/>
    </w:p>
    <w:p>
      <w:pPr>
        <w:pStyle w:val="Style39"/>
        <w:keepNext/>
        <w:keepLines/>
        <w:widowControl w:val="0"/>
        <w:shd w:val="clear" w:color="auto" w:fill="auto"/>
        <w:bidi w:val="0"/>
        <w:spacing w:before="0" w:line="240" w:lineRule="auto"/>
        <w:ind w:left="0" w:right="0" w:firstLine="60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1</w:t>
      </w:r>
      <w:bookmarkEnd w:id="124"/>
      <w:r>
        <w:rPr>
          <w:color w:val="000000"/>
          <w:spacing w:val="0"/>
          <w:w w:val="100"/>
          <w:position w:val="0"/>
        </w:rPr>
        <w:t>、概述</w:t>
      </w:r>
      <w:bookmarkEnd w:id="122"/>
      <w:bookmarkEnd w:id="123"/>
      <w:bookmarkEnd w:id="125"/>
    </w:p>
    <w:p>
      <w:pPr>
        <w:pStyle w:val="Style35"/>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报告期内，公司互联网财税业务和热处理业务的发展情况具体情况如下表：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16"/>
        <w:gridCol w:w="1416"/>
        <w:gridCol w:w="917"/>
        <w:gridCol w:w="4853"/>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1,262,451,044.10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797,030,474.99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817,057,056.61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98,637,565.94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59,161,897.62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主要系互联网财税板块铺设线下线上销售渠道投入增加所致。</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160,966,776.55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159,483,055.09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112,174,319.28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60,762,511.25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主要系互联网财税板块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年继续加大研发投入，部分研发投 入未满足研发资本化条件计入当期研发费用所致。</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7,293,902.41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4,081,006.35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主要系银行借款增加，利息支出增加所致。</w:t>
            </w:r>
          </w:p>
        </w:tc>
      </w:tr>
      <w:tr>
        <w:trPr>
          <w:trHeight w:val="5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-1,260,277,676.07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-628,446,686.80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主要系受疫情影响，互联网财税板块业绩下滑并计提各项减值 准备，利润减少所致。</w:t>
            </w:r>
          </w:p>
        </w:tc>
      </w:tr>
      <w:tr>
        <w:trPr>
          <w:trHeight w:val="58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归属于公司所有者 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-1,243,619,838.77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-679,068,948.10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主要系受疫情影响，互联网财税板块业绩下滑并计提各项减值 准备，利润减少，归属于公司所有者的净利润相应减少所致。</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229,137,947.00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210,503,398.55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经营活动产生的现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-6,151,461.34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-58,953,167.50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主要系本年加强收款管理，增加收款所致。</w:t>
            </w:r>
          </w:p>
        </w:tc>
      </w:tr>
      <w:tr>
        <w:trPr>
          <w:trHeight w:val="5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投资活动产生的现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-38,050,200.25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-98,600,975.95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主要系公司本年投资净额减少所致。</w:t>
            </w:r>
          </w:p>
        </w:tc>
      </w:tr>
      <w:tr>
        <w:trPr>
          <w:trHeight w:val="60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筹资活动产生的现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133,750,494.30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-54,177,490.87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主要系公司本年借款增加所致。</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60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、收入与成本</w:t>
      </w:r>
      <w:bookmarkEnd w:id="126"/>
      <w:bookmarkEnd w:id="127"/>
      <w:bookmarkEnd w:id="129"/>
    </w:p>
    <w:p>
      <w:pPr>
        <w:pStyle w:val="Style45"/>
        <w:keepNext/>
        <w:keepLines/>
        <w:widowControl w:val="0"/>
        <w:shd w:val="clear" w:color="auto" w:fill="auto"/>
        <w:bidi w:val="0"/>
        <w:spacing w:before="0" w:after="360" w:line="240" w:lineRule="auto"/>
        <w:ind w:left="0" w:right="0" w:firstLine="60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0"/>
      <w:bookmarkEnd w:id="131"/>
      <w:bookmarkEnd w:id="1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94"/>
        <w:gridCol w:w="1594"/>
        <w:gridCol w:w="1594"/>
        <w:gridCol w:w="1594"/>
        <w:gridCol w:w="1627"/>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1,262,451,044.10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w:t>
            </w:r>
          </w:p>
        </w:tc>
      </w:tr>
      <w:tr>
        <w:trPr>
          <w:trHeight w:val="403"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539,179,888.96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592,402,620.17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203,679,247.11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221.636.424.91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电子税务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268,620,533.71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448.411.999.02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w:t>
            </w:r>
          </w:p>
        </w:tc>
      </w:tr>
      <w:tr>
        <w:trPr>
          <w:trHeight w:val="403"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175,225,126.48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209,332,295.35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r>
    </w:tbl>
    <w:p>
      <w:pPr>
        <w:spacing w:lineRule="exact" w:line="1"/>
        <w:rPr>
          <w:sz w:val="2"/>
          <w:szCs w:val="2"/>
        </w:rPr>
      </w:pPr>
      <w:r>
        <w:br w:type="page"/>
      </w:r>
    </w:p>
    <w:tbl>
      <w:tblPr>
        <w:tblOverlap w:val="never"/>
        <w:jc w:val="center"/>
        <w:tblLayout w:type="fixed"/>
      </w:tblPr>
      <w:tblGrid>
        <w:gridCol w:w="1627"/>
        <w:gridCol w:w="1594"/>
        <w:gridCol w:w="1594"/>
        <w:gridCol w:w="1598"/>
        <w:gridCol w:w="1594"/>
        <w:gridCol w:w="1622"/>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303,372,442.34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320,166,079.41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203,679,247.11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221,636,424.91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129,776,977.30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108.489.607.30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产品及开发服务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80,334,642.47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195.661.134.32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56,961,975.96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142,193,462.87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62,129,258.12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64,972,039.94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53" w:right="0" w:firstLine="0"/>
        <w:jc w:val="left"/>
      </w:pPr>
      <w:r>
        <w:rPr>
          <w:color w:val="000000"/>
          <w:spacing w:val="0"/>
          <w:w w:val="100"/>
          <w:position w:val="0"/>
        </w:rPr>
        <w:t>分地区</w:t>
      </w:r>
    </w:p>
    <w:tbl>
      <w:tblPr>
        <w:tblOverlap w:val="never"/>
        <w:jc w:val="center"/>
        <w:tblLayout w:type="fixed"/>
      </w:tblPr>
      <w:tblGrid>
        <w:gridCol w:w="1642"/>
        <w:gridCol w:w="1594"/>
        <w:gridCol w:w="1594"/>
        <w:gridCol w:w="1598"/>
        <w:gridCol w:w="1594"/>
        <w:gridCol w:w="1622"/>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16,794,233.79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12,308,762.08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106,592,633.98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139,738,499.20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522,237,390.06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533,923,445.48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256,421,328.21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428,948,310.50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18,628,354.21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13,805,029.57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72,629,060.04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51,200,034.55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华中地区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6,587,673.15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14,161,634.23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11,588,996.34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68,365,328.49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64"/>
        <w:gridCol w:w="1027"/>
        <w:gridCol w:w="1138"/>
        <w:gridCol w:w="1133"/>
        <w:gridCol w:w="1128"/>
        <w:gridCol w:w="1008"/>
        <w:gridCol w:w="1003"/>
        <w:gridCol w:w="1003"/>
        <w:gridCol w:w="1027"/>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146,620,920.51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155,396,767.32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153,776,553.01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16,505,539.98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135,170,811.09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174,112,451.03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206,222,693.20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154,542,468.61</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4,345,851.87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1,160,512.71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388,941.25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-595,995,688.55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25,325,572.24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45,197,996.62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64,898,956.35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-59,297,331.77</w:t>
            </w:r>
          </w:p>
        </w:tc>
      </w:tr>
    </w:tbl>
    <w:p>
      <w:pPr>
        <w:widowControl w:val="0"/>
        <w:spacing w:after="319" w:line="1" w:lineRule="exact"/>
      </w:pPr>
    </w:p>
    <w:p>
      <w:pPr>
        <w:pStyle w:val="Style45"/>
        <w:keepNext/>
        <w:keepLines/>
        <w:widowControl w:val="0"/>
        <w:numPr>
          <w:ilvl w:val="0"/>
          <w:numId w:val="7"/>
        </w:numPr>
        <w:shd w:val="clear" w:color="auto" w:fill="auto"/>
        <w:bidi w:val="0"/>
        <w:spacing w:before="0" w:after="380" w:line="240" w:lineRule="auto"/>
        <w:ind w:left="0" w:right="0" w:firstLine="560"/>
        <w:jc w:val="left"/>
      </w:pPr>
      <w:bookmarkStart w:id="134" w:name="bookmark134"/>
      <w:bookmarkStart w:id="135" w:name="bookmark135"/>
      <w:bookmarkStart w:id="136" w:name="bookmark136"/>
      <w:bookmarkStart w:id="137" w:name="bookmark137"/>
      <w:bookmarkEnd w:id="13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4"/>
      <w:bookmarkEnd w:id="135"/>
      <w:bookmarkEnd w:id="137"/>
    </w:p>
    <w:p>
      <w:pPr>
        <w:pStyle w:val="Style35"/>
        <w:keepNext w:val="0"/>
        <w:keepLines w:val="0"/>
        <w:widowControl w:val="0"/>
        <w:shd w:val="clear" w:color="auto" w:fill="auto"/>
        <w:bidi w:val="0"/>
        <w:spacing w:before="0" w:after="140" w:line="240" w:lineRule="auto"/>
        <w:ind w:left="0" w:right="0" w:firstLine="5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3"/>
        <w:gridCol w:w="1368"/>
        <w:gridCol w:w="864"/>
        <w:gridCol w:w="1272"/>
        <w:gridCol w:w="1277"/>
        <w:gridCol w:w="2093"/>
      </w:tblGrid>
      <w:tr>
        <w:trPr>
          <w:trHeight w:val="61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营业收入比 上年同期增减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营业成本比 上年同期增减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毛利率比上年同期增减</w:t>
            </w:r>
          </w:p>
        </w:tc>
      </w:tr>
      <w:tr>
        <w:trPr>
          <w:trHeight w:val="398"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539,179,888.96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333,653,453.73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6.96</w:t>
            </w:r>
            <w:r>
              <w:rPr>
                <w:color w:val="000000"/>
                <w:spacing w:val="0"/>
                <w:w w:val="100"/>
                <w:position w:val="0"/>
              </w:rPr>
              <w:t>个百分点</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203,679,247.11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193,860,331.83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52.50</w:t>
            </w:r>
            <w:r>
              <w:rPr>
                <w:color w:val="000000"/>
                <w:spacing w:val="0"/>
                <w:w w:val="100"/>
                <w:position w:val="0"/>
              </w:rPr>
              <w:t>个百分点</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电子税务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268,620,533.71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269,516,689.43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 xml:space="preserve">-14.35% </w:t>
            </w: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30.16</w:t>
            </w:r>
            <w:r>
              <w:rPr>
                <w:color w:val="000000"/>
                <w:spacing w:val="0"/>
                <w:w w:val="100"/>
                <w:position w:val="0"/>
              </w:rPr>
              <w:t>个百分点</w:t>
            </w:r>
          </w:p>
        </w:tc>
      </w:tr>
      <w:tr>
        <w:trPr>
          <w:trHeight w:val="398"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175,225,126.48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115,924,144.95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5.09</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397"/>
        <w:gridCol w:w="1363"/>
        <w:gridCol w:w="1368"/>
        <w:gridCol w:w="864"/>
        <w:gridCol w:w="1277"/>
        <w:gridCol w:w="1277"/>
        <w:gridCol w:w="2088"/>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303,372,442.34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183,413,347.93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9.04</w:t>
            </w:r>
            <w:r>
              <w:rPr>
                <w:color w:val="000000"/>
                <w:spacing w:val="0"/>
                <w:w w:val="100"/>
                <w:position w:val="0"/>
              </w:rPr>
              <w:t>个百分点</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203,679,247.11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193,860,331.83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52.50</w:t>
            </w:r>
            <w:r>
              <w:rPr>
                <w:color w:val="000000"/>
                <w:spacing w:val="0"/>
                <w:w w:val="100"/>
                <w:position w:val="0"/>
              </w:rPr>
              <w:t>个百分点</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129,776,977.30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128,450,393.57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25.43</w:t>
            </w:r>
            <w:r>
              <w:rPr>
                <w:color w:val="000000"/>
                <w:spacing w:val="0"/>
                <w:w w:val="100"/>
                <w:position w:val="0"/>
              </w:rPr>
              <w:t>个百分点</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62,129,258.12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35,668,101.67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0.48</w:t>
            </w:r>
            <w:r>
              <w:rPr>
                <w:color w:val="000000"/>
                <w:spacing w:val="0"/>
                <w:w w:val="100"/>
                <w:position w:val="0"/>
              </w:rPr>
              <w:t>个百分点</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53" w:right="0" w:firstLine="0"/>
        <w:jc w:val="left"/>
      </w:pPr>
      <w:r>
        <w:rPr>
          <w:color w:val="000000"/>
          <w:spacing w:val="0"/>
          <w:w w:val="100"/>
          <w:position w:val="0"/>
        </w:rPr>
        <w:t>分地区</w:t>
      </w:r>
    </w:p>
    <w:tbl>
      <w:tblPr>
        <w:tblOverlap w:val="never"/>
        <w:jc w:val="center"/>
        <w:tblLayout w:type="fixed"/>
      </w:tblPr>
      <w:tblGrid>
        <w:gridCol w:w="1411"/>
        <w:gridCol w:w="1363"/>
        <w:gridCol w:w="1368"/>
        <w:gridCol w:w="864"/>
        <w:gridCol w:w="1277"/>
        <w:gridCol w:w="1277"/>
        <w:gridCol w:w="2088"/>
      </w:tblGrid>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106,592,633.98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86,376,797.53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13.47</w:t>
            </w:r>
            <w:r>
              <w:rPr>
                <w:color w:val="000000"/>
                <w:spacing w:val="0"/>
                <w:w w:val="100"/>
                <w:position w:val="0"/>
              </w:rPr>
              <w:t>个百分点</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522,237,390.06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339,363,187.18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3.44</w:t>
            </w:r>
            <w:r>
              <w:rPr>
                <w:color w:val="000000"/>
                <w:spacing w:val="0"/>
                <w:w w:val="100"/>
                <w:position w:val="0"/>
              </w:rPr>
              <w:t>个百分点</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256,421,328.21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251,618,046.32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33.36</w:t>
            </w:r>
            <w:r>
              <w:rPr>
                <w:color w:val="000000"/>
                <w:spacing w:val="0"/>
                <w:w w:val="100"/>
                <w:position w:val="0"/>
              </w:rPr>
              <w:t>个百分点</w:t>
            </w:r>
          </w:p>
        </w:tc>
      </w:tr>
    </w:tbl>
    <w:p>
      <w:pPr>
        <w:widowControl w:val="0"/>
        <w:spacing w:after="59" w:line="1" w:lineRule="exact"/>
      </w:pPr>
    </w:p>
    <w:p>
      <w:pPr>
        <w:pStyle w:val="Style35"/>
        <w:keepNext w:val="0"/>
        <w:keepLines w:val="0"/>
        <w:widowControl w:val="0"/>
        <w:shd w:val="clear" w:color="auto" w:fill="auto"/>
        <w:bidi w:val="0"/>
        <w:spacing w:before="0" w:after="380" w:line="341" w:lineRule="exact"/>
        <w:ind w:left="40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80" w:line="240" w:lineRule="auto"/>
        <w:ind w:left="0" w:right="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8"/>
      <w:bookmarkEnd w:id="139"/>
      <w:bookmarkEnd w:id="141"/>
    </w:p>
    <w:p>
      <w:pPr>
        <w:pStyle w:val="Style35"/>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27"/>
        <w:gridCol w:w="1594"/>
        <w:gridCol w:w="1594"/>
        <w:gridCol w:w="1598"/>
        <w:gridCol w:w="1594"/>
        <w:gridCol w:w="1622"/>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行业分类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6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pStyle w:val="Style33"/>
        <w:keepNext w:val="0"/>
        <w:keepLines w:val="0"/>
        <w:widowControl w:val="0"/>
        <w:shd w:val="clear" w:color="auto" w:fill="auto"/>
        <w:bidi w:val="0"/>
        <w:spacing w:before="0" w:after="0" w:line="240" w:lineRule="auto"/>
        <w:ind w:left="37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139" w:line="1" w:lineRule="exact"/>
      </w:pPr>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953" w:val="left"/>
        </w:tabs>
        <w:bidi w:val="0"/>
        <w:spacing w:before="0" w:after="380" w:line="240" w:lineRule="auto"/>
        <w:ind w:left="0" w:right="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2"/>
      <w:bookmarkEnd w:id="143"/>
      <w:bookmarkEnd w:id="145"/>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953" w:val="left"/>
        </w:tabs>
        <w:bidi w:val="0"/>
        <w:spacing w:before="0" w:after="380" w:line="240" w:lineRule="auto"/>
        <w:ind w:left="0" w:right="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6"/>
      <w:bookmarkEnd w:id="147"/>
      <w:bookmarkEnd w:id="149"/>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行业和产品分类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8"/>
        <w:gridCol w:w="1368"/>
        <w:gridCol w:w="1368"/>
        <w:gridCol w:w="1368"/>
        <w:gridCol w:w="1397"/>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行业分类</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tcBorders>
            <w:shd w:val="clear" w:color="auto" w:fill="FFFFFF"/>
            <w:vAlign w:val="center"/>
          </w:tcPr>
          <w:p>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333,653,453.73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407,801,669.21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-18.18%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193,860,331.83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94,591,403.64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电子税务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269,516,689.43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314,663,983.76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-14.35%</w:t>
            </w:r>
          </w:p>
        </w:tc>
      </w:tr>
    </w:tbl>
    <w:p>
      <w:pPr>
        <w:widowControl w:val="0"/>
        <w:spacing w:after="13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8"/>
        <w:gridCol w:w="1368"/>
        <w:gridCol w:w="1368"/>
        <w:gridCol w:w="1368"/>
        <w:gridCol w:w="1397"/>
      </w:tblGrid>
      <w:tr>
        <w:trPr>
          <w:trHeight w:val="34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产品分类</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tcBorders>
            <w:shd w:val="clear" w:color="auto" w:fill="FFFFFF"/>
            <w:vAlign w:val="center"/>
          </w:tcPr>
          <w:p>
            <w:pPr/>
          </w:p>
        </w:tc>
      </w:tr>
      <w:tr>
        <w:trPr>
          <w:trHeight w:val="35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115,924,144.95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149,157,616.10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-22.28%</w:t>
            </w:r>
          </w:p>
        </w:tc>
      </w:tr>
    </w:tbl>
    <w:p>
      <w:pPr>
        <w:spacing w:lineRule="exact" w:line="1"/>
        <w:rPr>
          <w:sz w:val="2"/>
          <w:szCs w:val="2"/>
        </w:rPr>
      </w:pPr>
      <w:r>
        <w:br w:type="page"/>
      </w:r>
    </w:p>
    <w:tbl>
      <w:tblPr>
        <w:tblOverlap w:val="never"/>
        <w:jc w:val="center"/>
        <w:tblLayout w:type="fixed"/>
      </w:tblPr>
      <w:tblGrid>
        <w:gridCol w:w="1411"/>
        <w:gridCol w:w="1368"/>
        <w:gridCol w:w="1368"/>
        <w:gridCol w:w="1368"/>
        <w:gridCol w:w="1368"/>
        <w:gridCol w:w="1368"/>
        <w:gridCol w:w="1397"/>
      </w:tblGrid>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183,413,347.93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222,501,449.84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193,860,331.83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94,591,403.64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128,450,393.57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79,794,600.40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87,260,377.78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103,104,423.65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52,453,777.26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130,919,279.20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r>
        <w:trPr>
          <w:trHeight w:val="35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35,668,101.67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36,988,283.78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bl>
    <w:p>
      <w:pPr>
        <w:widowControl w:val="0"/>
        <w:spacing w:after="159" w:line="1" w:lineRule="exact"/>
      </w:pPr>
    </w:p>
    <w:p>
      <w:pPr>
        <w:pStyle w:val="Style35"/>
        <w:keepNext w:val="0"/>
        <w:keepLines w:val="0"/>
        <w:widowControl w:val="0"/>
        <w:shd w:val="clear" w:color="auto" w:fill="auto"/>
        <w:bidi w:val="0"/>
        <w:spacing w:before="0" w:after="220" w:line="240" w:lineRule="auto"/>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160" w:line="240" w:lineRule="auto"/>
        <w:ind w:left="0" w:right="0"/>
        <w:jc w:val="both"/>
      </w:pPr>
      <w:r>
        <w:rPr>
          <w:color w:val="000000"/>
          <w:spacing w:val="0"/>
          <w:w w:val="100"/>
          <w:position w:val="0"/>
        </w:rPr>
        <w:t>主营业务成本构成</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94"/>
        <w:gridCol w:w="1594"/>
        <w:gridCol w:w="3192"/>
        <w:gridCol w:w="1622"/>
      </w:tblGrid>
      <w:tr>
        <w:trPr>
          <w:trHeight w:val="389"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成本构成</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742" w:val="left"/>
              </w:tabs>
              <w:bidi w:val="0"/>
              <w:spacing w:before="0" w:after="0" w:line="240" w:lineRule="auto"/>
              <w:ind w:left="0" w:right="0" w:firstLine="600"/>
              <w:jc w:val="left"/>
            </w:pPr>
            <w:r>
              <w:rPr>
                <w:color w:val="000000"/>
                <w:spacing w:val="0"/>
                <w:w w:val="100"/>
                <w:position w:val="0"/>
              </w:rPr>
              <w:t>金额</w:t>
              <w:tab/>
              <w:t>占营业成本比重</w:t>
            </w:r>
          </w:p>
        </w:tc>
        <w:tc>
          <w:tcPr>
            <w:vMerge/>
            <w:tcBorders>
              <w:left w:val="single" w:sz="4"/>
            </w:tcBorders>
            <w:shd w:val="clear" w:color="auto" w:fill="FFFFFF"/>
            <w:vAlign w:val="center"/>
          </w:tcPr>
          <w:p>
            <w:pP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采购和外包成本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196,241,484.19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42.35%</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2605" w:val="left"/>
              </w:tabs>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244.363.790.16</w:t>
              <w:tab/>
            </w:r>
            <w:r>
              <w:rPr>
                <w:rFonts w:ascii="Times New Roman" w:eastAsia="Times New Roman" w:hAnsi="Times New Roman" w:cs="Times New Roman"/>
                <w:color w:val="000000"/>
                <w:spacing w:val="0"/>
                <w:w w:val="100"/>
                <w:position w:val="0"/>
                <w:sz w:val="18"/>
                <w:szCs w:val="18"/>
              </w:rPr>
              <w:t>59.71%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w:t>
            </w:r>
          </w:p>
        </w:tc>
      </w:tr>
      <w:tr>
        <w:trPr>
          <w:trHeight w:val="38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142,656,302.41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30.79%</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2571" w:val="left"/>
              </w:tabs>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104.234.152.62</w:t>
              <w:tab/>
            </w:r>
            <w:r>
              <w:rPr>
                <w:rFonts w:ascii="Times New Roman" w:eastAsia="Times New Roman" w:hAnsi="Times New Roman" w:cs="Times New Roman"/>
                <w:color w:val="000000"/>
                <w:spacing w:val="0"/>
                <w:w w:val="100"/>
                <w:position w:val="0"/>
                <w:sz w:val="18"/>
                <w:szCs w:val="18"/>
              </w:rPr>
              <w:t>25.47%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w:t>
            </w:r>
          </w:p>
        </w:tc>
      </w:tr>
      <w:tr>
        <w:trPr>
          <w:trHeight w:val="3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124,479,234.67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2102"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60,657,444.63</w:t>
              <w:tab/>
            </w:r>
            <w:r>
              <w:rPr>
                <w:rFonts w:ascii="Times New Roman" w:eastAsia="Times New Roman" w:hAnsi="Times New Roman" w:cs="Times New Roman"/>
                <w:color w:val="000000"/>
                <w:spacing w:val="0"/>
                <w:w w:val="100"/>
                <w:position w:val="0"/>
                <w:sz w:val="18"/>
                <w:szCs w:val="18"/>
              </w:rPr>
              <w:t>14.82%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105.22%</w:t>
            </w:r>
          </w:p>
        </w:tc>
      </w:tr>
    </w:tbl>
    <w:p>
      <w:pPr>
        <w:widowControl w:val="0"/>
        <w:spacing w:after="359" w:line="1" w:lineRule="exact"/>
      </w:pPr>
    </w:p>
    <w:p>
      <w:pPr>
        <w:pStyle w:val="Style45"/>
        <w:keepNext/>
        <w:keepLines/>
        <w:widowControl w:val="0"/>
        <w:shd w:val="clear" w:color="auto" w:fill="auto"/>
        <w:tabs>
          <w:tab w:pos="953" w:val="left"/>
        </w:tabs>
        <w:bidi w:val="0"/>
        <w:spacing w:before="0" w:after="280" w:line="240" w:lineRule="auto"/>
        <w:ind w:left="0" w:right="0"/>
        <w:jc w:val="both"/>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0"/>
      <w:bookmarkEnd w:id="151"/>
      <w:bookmarkEnd w:id="153"/>
    </w:p>
    <w:p>
      <w:pPr>
        <w:pStyle w:val="Style35"/>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numPr>
          <w:ilvl w:val="0"/>
          <w:numId w:val="9"/>
        </w:numPr>
        <w:shd w:val="clear" w:color="auto" w:fill="auto"/>
        <w:tabs>
          <w:tab w:pos="773" w:val="left"/>
        </w:tabs>
        <w:bidi w:val="0"/>
        <w:spacing w:before="0" w:after="0" w:line="315" w:lineRule="exact"/>
        <w:ind w:left="0" w:right="0"/>
        <w:jc w:val="both"/>
      </w:pPr>
      <w:bookmarkStart w:id="154" w:name="bookmark154"/>
      <w:bookmarkEnd w:id="154"/>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年度，公司全资子公司丰东热技术新纳入合并报表范围的子公司有：武汉丰东热技术有限公司。</w:t>
      </w:r>
    </w:p>
    <w:p>
      <w:pPr>
        <w:pStyle w:val="Style35"/>
        <w:keepNext w:val="0"/>
        <w:keepLines w:val="0"/>
        <w:widowControl w:val="0"/>
        <w:numPr>
          <w:ilvl w:val="0"/>
          <w:numId w:val="9"/>
        </w:numPr>
        <w:shd w:val="clear" w:color="auto" w:fill="auto"/>
        <w:tabs>
          <w:tab w:pos="733" w:val="left"/>
        </w:tabs>
        <w:bidi w:val="0"/>
        <w:spacing w:before="0" w:after="360" w:line="315" w:lineRule="exact"/>
        <w:ind w:left="0" w:right="0"/>
        <w:jc w:val="both"/>
      </w:pPr>
      <w:bookmarkStart w:id="155" w:name="bookmark155"/>
      <w:bookmarkEnd w:id="155"/>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年度，公司全资子公司方欣科技新纳入合并报表范围的子公司及下属公司有：江西金财数据技术有限公司、四 川方欣全方数据科技有限公司、山东欣税软件有限公司、青岛方欣儒商信息科技有限公司、浙江协企财务管理有限公司、杭 州泓德财务管理有限公司、金财互联智链研究院（青岛）有限公司、惠州市金财互联技术有限公司、金财云商（青岛）数 据科技有限公司、金财互联（江门）财税服务有限公司、金财云盟数字科技有限公司、金财（高安）云商信息科技有限公司、 上海金财盛慧科技有限公司、福建麦税数字科技有限公司；浙江金财共享智能科技有限公司因注销，自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月起不再 纳入合并范围。</w:t>
      </w:r>
    </w:p>
    <w:p>
      <w:pPr>
        <w:pStyle w:val="Style45"/>
        <w:keepNext/>
        <w:keepLines/>
        <w:widowControl w:val="0"/>
        <w:shd w:val="clear" w:color="auto" w:fill="auto"/>
        <w:tabs>
          <w:tab w:pos="953" w:val="left"/>
        </w:tabs>
        <w:bidi w:val="0"/>
        <w:spacing w:before="0" w:after="280" w:line="240" w:lineRule="auto"/>
        <w:ind w:left="0" w:right="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6"/>
      <w:bookmarkEnd w:id="157"/>
      <w:bookmarkEnd w:id="159"/>
    </w:p>
    <w:p>
      <w:pPr>
        <w:pStyle w:val="Style35"/>
        <w:keepNext w:val="0"/>
        <w:keepLines w:val="0"/>
        <w:widowControl w:val="0"/>
        <w:shd w:val="clear" w:color="auto" w:fill="auto"/>
        <w:bidi w:val="0"/>
        <w:spacing w:before="0" w:after="360" w:line="315"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953" w:val="left"/>
        </w:tabs>
        <w:bidi w:val="0"/>
        <w:spacing w:before="0" w:after="360" w:line="240" w:lineRule="auto"/>
        <w:ind w:left="0" w:right="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0"/>
      <w:bookmarkEnd w:id="161"/>
      <w:bookmarkEnd w:id="163"/>
    </w:p>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公司主要销售客户情况</w:t>
      </w:r>
    </w:p>
    <w:tbl>
      <w:tblPr>
        <w:tblOverlap w:val="never"/>
        <w:jc w:val="center"/>
        <w:tblLayout w:type="fixed"/>
      </w:tblPr>
      <w:tblGrid>
        <w:gridCol w:w="5290"/>
        <w:gridCol w:w="435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132,179,462.88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45"/>
        <w:gridCol w:w="3302"/>
        <w:gridCol w:w="2702"/>
        <w:gridCol w:w="2794"/>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57,488,569.11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bl>
    <w:p>
      <w:pPr>
        <w:spacing w:lineRule="exact" w:line="1"/>
        <w:rPr>
          <w:sz w:val="2"/>
          <w:szCs w:val="2"/>
        </w:rPr>
      </w:pPr>
      <w:r>
        <w:br w:type="page"/>
      </w:r>
    </w:p>
    <w:tbl>
      <w:tblPr>
        <w:tblOverlap w:val="never"/>
        <w:jc w:val="center"/>
        <w:tblLayout w:type="fixed"/>
      </w:tblPr>
      <w:tblGrid>
        <w:gridCol w:w="845"/>
        <w:gridCol w:w="3302"/>
        <w:gridCol w:w="2707"/>
        <w:gridCol w:w="278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21,183,259.76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21,094,945.87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18,280,588.59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14,132,099.55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132,179,462.88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r>
    </w:tbl>
    <w:p>
      <w:pPr>
        <w:widowControl w:val="0"/>
        <w:spacing w:after="159" w:line="1" w:lineRule="exact"/>
      </w:pPr>
    </w:p>
    <w:p>
      <w:pPr>
        <w:pStyle w:val="Style35"/>
        <w:keepNext w:val="0"/>
        <w:keepLines w:val="0"/>
        <w:widowControl w:val="0"/>
        <w:shd w:val="clear" w:color="auto" w:fill="auto"/>
        <w:bidi w:val="0"/>
        <w:spacing w:before="0" w:after="220" w:line="240" w:lineRule="auto"/>
        <w:ind w:left="0" w:right="0"/>
        <w:jc w:val="left"/>
      </w:pPr>
      <w:r>
        <w:rPr>
          <w:color w:val="000000"/>
          <w:spacing w:val="0"/>
          <w:w w:val="100"/>
          <w:position w:val="0"/>
        </w:rPr>
        <w:t>主要客户其他情况说明</w:t>
      </w:r>
    </w:p>
    <w:p>
      <w:pPr>
        <w:pStyle w:val="Style35"/>
        <w:keepNext w:val="0"/>
        <w:keepLines w:val="0"/>
        <w:widowControl w:val="0"/>
        <w:shd w:val="clear" w:color="auto" w:fill="auto"/>
        <w:bidi w:val="0"/>
        <w:spacing w:before="0" w:after="2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公司主要供应商情况</w:t>
      </w:r>
    </w:p>
    <w:tbl>
      <w:tblPr>
        <w:tblOverlap w:val="never"/>
        <w:jc w:val="center"/>
        <w:tblLayout w:type="fixed"/>
      </w:tblPr>
      <w:tblGrid>
        <w:gridCol w:w="5006"/>
        <w:gridCol w:w="4637"/>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107,126,822.17</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159" w:line="1" w:lineRule="exact"/>
      </w:pPr>
    </w:p>
    <w:tbl>
      <w:tblPr>
        <w:tblOverlap w:val="never"/>
        <w:jc w:val="center"/>
        <w:tblLayout w:type="fixed"/>
      </w:tblPr>
      <w:tblGrid>
        <w:gridCol w:w="979"/>
        <w:gridCol w:w="3168"/>
        <w:gridCol w:w="2707"/>
        <w:gridCol w:w="2789"/>
      </w:tblGrid>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占年度采购总额比例</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53,690,476.64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7.73%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20,049,400.00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12,717,943.40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11,821,528.73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8,847,473.41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r>
      <w:tr>
        <w:trPr>
          <w:trHeight w:val="37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107,126,822.17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主要供应商其他情况说明</w:t>
      </w:r>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46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、费用</w:t>
      </w:r>
      <w:bookmarkEnd w:id="164"/>
      <w:bookmarkEnd w:id="165"/>
      <w:bookmarkEnd w:id="16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6"/>
        <w:gridCol w:w="1277"/>
        <w:gridCol w:w="1277"/>
        <w:gridCol w:w="850"/>
        <w:gridCol w:w="506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98,637,565.94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59,161,897.62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销售费用本年数比上年数增加</w:t>
            </w:r>
            <w:r>
              <w:rPr>
                <w:rFonts w:ascii="Times New Roman" w:eastAsia="Times New Roman" w:hAnsi="Times New Roman" w:cs="Times New Roman"/>
                <w:color w:val="000000"/>
                <w:spacing w:val="0"/>
                <w:w w:val="100"/>
                <w:position w:val="0"/>
                <w:sz w:val="18"/>
                <w:szCs w:val="18"/>
              </w:rPr>
              <w:t>3,947.57</w:t>
            </w:r>
            <w:r>
              <w:rPr>
                <w:color w:val="000000"/>
                <w:spacing w:val="0"/>
                <w:w w:val="100"/>
                <w:position w:val="0"/>
              </w:rPr>
              <w:t>万元</w:t>
            </w:r>
            <w:r>
              <w:rPr>
                <w:color w:val="000000"/>
                <w:spacing w:val="0"/>
                <w:w w:val="100"/>
                <w:position w:val="0"/>
                <w:sz w:val="18"/>
                <w:szCs w:val="18"/>
              </w:rPr>
              <w:t>，</w:t>
            </w:r>
            <w:r>
              <w:rPr>
                <w:color w:val="000000"/>
                <w:spacing w:val="0"/>
                <w:w w:val="100"/>
                <w:position w:val="0"/>
              </w:rPr>
              <w:t>增长比例为</w:t>
            </w:r>
            <w:r>
              <w:rPr>
                <w:rFonts w:ascii="Times New Roman" w:eastAsia="Times New Roman" w:hAnsi="Times New Roman" w:cs="Times New Roman"/>
                <w:color w:val="000000"/>
                <w:spacing w:val="0"/>
                <w:w w:val="100"/>
                <w:position w:val="0"/>
                <w:sz w:val="18"/>
                <w:szCs w:val="18"/>
              </w:rPr>
              <w:t xml:space="preserve">66.72%, </w:t>
            </w:r>
            <w:r>
              <w:rPr>
                <w:color w:val="000000"/>
                <w:spacing w:val="0"/>
                <w:w w:val="100"/>
                <w:position w:val="0"/>
              </w:rPr>
              <w:t>主要系互联网财税板块铺设线下线上销售渠道投入增加所致。</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160,966,776.55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159,483,055.09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7,293,902.41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4,081,006.35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财务费用本年数比上年数增加</w:t>
            </w:r>
            <w:r>
              <w:rPr>
                <w:rFonts w:ascii="Times New Roman" w:eastAsia="Times New Roman" w:hAnsi="Times New Roman" w:cs="Times New Roman"/>
                <w:color w:val="000000"/>
                <w:spacing w:val="0"/>
                <w:w w:val="100"/>
                <w:position w:val="0"/>
                <w:sz w:val="18"/>
                <w:szCs w:val="18"/>
              </w:rPr>
              <w:t>321.29</w:t>
            </w:r>
            <w:r>
              <w:rPr>
                <w:color w:val="000000"/>
                <w:spacing w:val="0"/>
                <w:w w:val="100"/>
                <w:position w:val="0"/>
              </w:rPr>
              <w:t>万元，增长比例为</w:t>
            </w:r>
            <w:r>
              <w:rPr>
                <w:rFonts w:ascii="Times New Roman" w:eastAsia="Times New Roman" w:hAnsi="Times New Roman" w:cs="Times New Roman"/>
                <w:color w:val="000000"/>
                <w:spacing w:val="0"/>
                <w:w w:val="100"/>
                <w:position w:val="0"/>
                <w:sz w:val="18"/>
                <w:szCs w:val="18"/>
              </w:rPr>
              <w:t>78.73%</w:t>
            </w:r>
            <w:r>
              <w:rPr>
                <w:color w:val="000000"/>
                <w:spacing w:val="0"/>
                <w:w w:val="100"/>
                <w:position w:val="0"/>
              </w:rPr>
              <w:t>， 主要系银行借款、利息支出增加所致。</w:t>
            </w:r>
          </w:p>
        </w:tc>
      </w:tr>
      <w:tr>
        <w:trPr>
          <w:trHeight w:val="82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112,174,319.28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60,762,511.25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left"/>
            </w:pPr>
            <w:r>
              <w:rPr>
                <w:color w:val="000000"/>
                <w:spacing w:val="0"/>
                <w:w w:val="100"/>
                <w:position w:val="0"/>
              </w:rPr>
              <w:t>研发费用本年数比上年数增加</w:t>
            </w:r>
            <w:r>
              <w:rPr>
                <w:rFonts w:ascii="Times New Roman" w:eastAsia="Times New Roman" w:hAnsi="Times New Roman" w:cs="Times New Roman"/>
                <w:color w:val="000000"/>
                <w:spacing w:val="0"/>
                <w:w w:val="100"/>
                <w:position w:val="0"/>
                <w:sz w:val="18"/>
                <w:szCs w:val="18"/>
              </w:rPr>
              <w:t>5,141.18</w:t>
            </w:r>
            <w:r>
              <w:rPr>
                <w:color w:val="000000"/>
                <w:spacing w:val="0"/>
                <w:w w:val="100"/>
                <w:position w:val="0"/>
              </w:rPr>
              <w:t xml:space="preserve">万元，增长比例为 </w:t>
            </w:r>
            <w:r>
              <w:rPr>
                <w:rFonts w:ascii="Times New Roman" w:eastAsia="Times New Roman" w:hAnsi="Times New Roman" w:cs="Times New Roman"/>
                <w:color w:val="000000"/>
                <w:spacing w:val="0"/>
                <w:w w:val="100"/>
                <w:position w:val="0"/>
                <w:sz w:val="18"/>
                <w:szCs w:val="18"/>
              </w:rPr>
              <w:t>84.61%</w:t>
            </w:r>
            <w:r>
              <w:rPr>
                <w:color w:val="000000"/>
                <w:spacing w:val="0"/>
                <w:w w:val="100"/>
                <w:position w:val="0"/>
              </w:rPr>
              <w:t>，主要系本报告期互联网财税板块继续加大研发投入，部 分研发投入未达到资本化条件计入当期研发费用所致。</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、研发投入</w:t>
      </w:r>
      <w:bookmarkEnd w:id="168"/>
      <w:bookmarkEnd w:id="169"/>
      <w:bookmarkEnd w:id="171"/>
    </w:p>
    <w:p>
      <w:pPr>
        <w:pStyle w:val="Style35"/>
        <w:keepNext w:val="0"/>
        <w:keepLines w:val="0"/>
        <w:widowControl w:val="0"/>
        <w:shd w:val="clear" w:color="auto" w:fill="auto"/>
        <w:bidi w:val="0"/>
        <w:spacing w:before="0" w:after="22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798" w:val="left"/>
        </w:tabs>
        <w:bidi w:val="0"/>
        <w:spacing w:before="0" w:after="0" w:line="314" w:lineRule="exact"/>
        <w:ind w:left="0" w:right="0"/>
        <w:jc w:val="both"/>
      </w:pPr>
      <w:bookmarkStart w:id="172" w:name="bookmark172"/>
      <w:r>
        <w:rPr>
          <w:b/>
          <w:bCs/>
          <w:color w:val="000000"/>
          <w:spacing w:val="0"/>
          <w:w w:val="100"/>
          <w:position w:val="0"/>
        </w:rPr>
        <w:t>（</w:t>
      </w:r>
      <w:bookmarkEnd w:id="17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互联网财税业务</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公司定位是一家以数据和技术驱动的财税产业数字化平台型企业。利用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多年涉税基础服务积累的海量用户资源和技 术能力，通过数据和技术赋能线下财税服务机构和专业人士，实现财税行业的数字化转型升级；面向中小企业和家庭个人“合 规、降负、增利”的新财税服务需求，提供更专业、更优质、更高性价比的“财税、金融”新财税体验。</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年的研发重点围绕着打造支撑</w:t>
      </w:r>
      <w:r>
        <w:rPr>
          <w:rFonts w:ascii="Times New Roman" w:eastAsia="Times New Roman" w:hAnsi="Times New Roman" w:cs="Times New Roman"/>
          <w:color w:val="000000"/>
          <w:spacing w:val="0"/>
          <w:w w:val="100"/>
          <w:position w:val="0"/>
          <w:sz w:val="18"/>
          <w:szCs w:val="18"/>
        </w:rPr>
        <w:t>S2B2C</w:t>
      </w:r>
      <w:r>
        <w:rPr>
          <w:color w:val="000000"/>
          <w:spacing w:val="0"/>
          <w:w w:val="100"/>
          <w:position w:val="0"/>
        </w:rPr>
        <w:t>商业模式的财税产业数字化平台，主要研发投入情况如下：</w:t>
      </w:r>
    </w:p>
    <w:p>
      <w:pPr>
        <w:pStyle w:val="Style35"/>
        <w:keepNext w:val="0"/>
        <w:keepLines w:val="0"/>
        <w:widowControl w:val="0"/>
        <w:numPr>
          <w:ilvl w:val="0"/>
          <w:numId w:val="11"/>
        </w:numPr>
        <w:shd w:val="clear" w:color="auto" w:fill="auto"/>
        <w:tabs>
          <w:tab w:pos="676" w:val="left"/>
        </w:tabs>
        <w:bidi w:val="0"/>
        <w:spacing w:before="0" w:after="0" w:line="314" w:lineRule="exact"/>
        <w:ind w:left="0" w:right="0"/>
        <w:jc w:val="both"/>
      </w:pPr>
      <w:bookmarkStart w:id="173" w:name="bookmark173"/>
      <w:bookmarkEnd w:id="173"/>
      <w:r>
        <w:rPr>
          <w:b/>
          <w:bCs/>
          <w:color w:val="000000"/>
          <w:spacing w:val="0"/>
          <w:w w:val="100"/>
          <w:position w:val="0"/>
        </w:rPr>
        <w:t>面向平台企业的金财云商产品线</w:t>
      </w:r>
      <w:r>
        <w:rPr>
          <w:color w:val="000000"/>
          <w:spacing w:val="0"/>
          <w:w w:val="100"/>
          <w:position w:val="0"/>
        </w:rPr>
        <w:t>。基于区块链技术推出的金财云商产品线，面向平台企业的商户提供集工商注册、 银行开户、税务登记、开票、记账、报税一体化的在线服务，通过平台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服务的完整体系，促进微电商平台及微电商等在业 务经营过程中的合规性。</w:t>
      </w:r>
    </w:p>
    <w:p>
      <w:pPr>
        <w:pStyle w:val="Style35"/>
        <w:keepNext w:val="0"/>
        <w:keepLines w:val="0"/>
        <w:widowControl w:val="0"/>
        <w:numPr>
          <w:ilvl w:val="0"/>
          <w:numId w:val="11"/>
        </w:numPr>
        <w:shd w:val="clear" w:color="auto" w:fill="auto"/>
        <w:tabs>
          <w:tab w:pos="662" w:val="left"/>
        </w:tabs>
        <w:bidi w:val="0"/>
        <w:spacing w:before="0" w:after="0" w:line="312" w:lineRule="exact"/>
        <w:ind w:left="0" w:right="0"/>
        <w:jc w:val="both"/>
      </w:pPr>
      <w:bookmarkStart w:id="174" w:name="bookmark174"/>
      <w:bookmarkEnd w:id="174"/>
      <w:r>
        <w:rPr>
          <w:b/>
          <w:bCs/>
          <w:color w:val="000000"/>
          <w:spacing w:val="0"/>
          <w:w w:val="100"/>
          <w:position w:val="0"/>
        </w:rPr>
        <w:t>面向财税机构的金财代账产品线</w:t>
      </w:r>
      <w:r>
        <w:rPr>
          <w:color w:val="000000"/>
          <w:spacing w:val="0"/>
          <w:w w:val="100"/>
          <w:position w:val="0"/>
        </w:rPr>
        <w:t>。在优化金财代账产品的基础上，相继推出面向财税机构的金财智店、金财运营产 品，解决财税机构数字化营销问题，提供包括生产、营销、服务、运营等的全系列产品，支撑财税机构数字化转型。</w:t>
      </w:r>
    </w:p>
    <w:p>
      <w:pPr>
        <w:pStyle w:val="Style35"/>
        <w:keepNext w:val="0"/>
        <w:keepLines w:val="0"/>
        <w:widowControl w:val="0"/>
        <w:numPr>
          <w:ilvl w:val="0"/>
          <w:numId w:val="11"/>
        </w:numPr>
        <w:shd w:val="clear" w:color="auto" w:fill="auto"/>
        <w:tabs>
          <w:tab w:pos="671" w:val="left"/>
        </w:tabs>
        <w:bidi w:val="0"/>
        <w:spacing w:before="0" w:after="0" w:line="312" w:lineRule="exact"/>
        <w:ind w:left="0" w:right="0"/>
        <w:jc w:val="both"/>
      </w:pPr>
      <w:bookmarkStart w:id="175" w:name="bookmark175"/>
      <w:bookmarkEnd w:id="175"/>
      <w:r>
        <w:rPr>
          <w:b/>
          <w:bCs/>
          <w:color w:val="000000"/>
          <w:spacing w:val="0"/>
          <w:w w:val="100"/>
          <w:position w:val="0"/>
        </w:rPr>
        <w:t>面向税企之间的征纳互动产品线</w:t>
      </w:r>
      <w:r>
        <w:rPr>
          <w:color w:val="000000"/>
          <w:spacing w:val="0"/>
          <w:w w:val="100"/>
          <w:position w:val="0"/>
        </w:rPr>
        <w:t>。抓住新冠肺炎疫情对行业的影响，及时打造线上服务产品、强化线上服务能力， 实现税企之间征纳互动通道的建设，推出了征纳互动产品。</w:t>
      </w:r>
    </w:p>
    <w:p>
      <w:pPr>
        <w:pStyle w:val="Style35"/>
        <w:keepNext w:val="0"/>
        <w:keepLines w:val="0"/>
        <w:widowControl w:val="0"/>
        <w:numPr>
          <w:ilvl w:val="0"/>
          <w:numId w:val="11"/>
        </w:numPr>
        <w:shd w:val="clear" w:color="auto" w:fill="auto"/>
        <w:tabs>
          <w:tab w:pos="676" w:val="left"/>
        </w:tabs>
        <w:bidi w:val="0"/>
        <w:spacing w:before="0" w:after="0" w:line="317" w:lineRule="exact"/>
        <w:ind w:left="0" w:right="0"/>
        <w:jc w:val="both"/>
      </w:pPr>
      <w:bookmarkStart w:id="176" w:name="bookmark176"/>
      <w:bookmarkEnd w:id="176"/>
      <w:r>
        <w:rPr>
          <w:b/>
          <w:bCs/>
          <w:color w:val="000000"/>
          <w:spacing w:val="0"/>
          <w:w w:val="100"/>
          <w:position w:val="0"/>
        </w:rPr>
        <w:t>积极推进信息产业国产化</w:t>
      </w:r>
      <w:r>
        <w:rPr>
          <w:color w:val="000000"/>
          <w:spacing w:val="0"/>
          <w:w w:val="100"/>
          <w:position w:val="0"/>
        </w:rPr>
        <w:t>。公司作为税务系统及财税服务领域的领军者，积极推进国产化的适配，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年和华为深 度合作，基于鲲鹏服务器，完成了电子税务局、</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智能咨询、社保以及纳税服务管理平台等核心产品的国产化验证，并得 到相关政府和技术主管单位认可。</w:t>
      </w:r>
    </w:p>
    <w:p>
      <w:pPr>
        <w:pStyle w:val="Style35"/>
        <w:keepNext w:val="0"/>
        <w:keepLines w:val="0"/>
        <w:widowControl w:val="0"/>
        <w:shd w:val="clear" w:color="auto" w:fill="auto"/>
        <w:bidi w:val="0"/>
        <w:spacing w:before="0" w:after="100" w:line="314" w:lineRule="exact"/>
        <w:ind w:left="0" w:right="0"/>
        <w:jc w:val="both"/>
      </w:pPr>
      <w:r>
        <w:rPr>
          <w:color w:val="000000"/>
          <w:spacing w:val="0"/>
          <w:w w:val="100"/>
          <w:position w:val="0"/>
        </w:rPr>
        <w:t>为保障战略业务的发展，公司积极开展知识产权保护工作，加强了专利、著作权、商标等的挖掘和保护；为了保障各项 业务的合规、合法，公司加强了各项资质的申请和维持工作。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年申请并获得软件著作权</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个，申请专利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个、商标</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个；截止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日，公司共取得商标注册证</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个，著作权</w:t>
      </w:r>
      <w:r>
        <w:rPr>
          <w:rFonts w:ascii="Times New Roman" w:eastAsia="Times New Roman" w:hAnsi="Times New Roman" w:cs="Times New Roman"/>
          <w:color w:val="000000"/>
          <w:spacing w:val="0"/>
          <w:w w:val="100"/>
          <w:position w:val="0"/>
          <w:sz w:val="18"/>
          <w:szCs w:val="18"/>
        </w:rPr>
        <w:t>433</w:t>
      </w:r>
      <w:r>
        <w:rPr>
          <w:color w:val="000000"/>
          <w:spacing w:val="0"/>
          <w:w w:val="100"/>
          <w:position w:val="0"/>
        </w:rPr>
        <w:t>个，申请专利</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个。目前资质体系已覆盖了：信 息安全服务、系统集成及服务、运维服务、电信经营许可，质量管理、开发成熟度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w:t>
      </w:r>
      <w:r>
        <w:rPr>
          <w:color w:val="000000"/>
          <w:spacing w:val="0"/>
          <w:w w:val="100"/>
          <w:position w:val="0"/>
        </w:rPr>
        <w:t>诚信、知识产权、涉密等领 域。</w:t>
      </w:r>
    </w:p>
    <w:p>
      <w:pPr>
        <w:pStyle w:val="Style35"/>
        <w:keepNext w:val="0"/>
        <w:keepLines w:val="0"/>
        <w:widowControl w:val="0"/>
        <w:shd w:val="clear" w:color="auto" w:fill="auto"/>
        <w:tabs>
          <w:tab w:pos="798" w:val="left"/>
        </w:tabs>
        <w:bidi w:val="0"/>
        <w:spacing w:before="0" w:after="100" w:line="314" w:lineRule="exact"/>
        <w:ind w:left="0" w:right="0"/>
        <w:jc w:val="both"/>
      </w:pPr>
      <w:bookmarkStart w:id="177" w:name="bookmark177"/>
      <w:r>
        <w:rPr>
          <w:b/>
          <w:bCs/>
          <w:color w:val="000000"/>
          <w:spacing w:val="0"/>
          <w:w w:val="100"/>
          <w:position w:val="0"/>
        </w:rPr>
        <w:t>（</w:t>
      </w:r>
      <w:bookmarkEnd w:id="17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热处理业务</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报告期内，公司热处理板块研发投入金额为</w:t>
      </w:r>
      <w:r>
        <w:rPr>
          <w:rFonts w:ascii="Times New Roman" w:eastAsia="Times New Roman" w:hAnsi="Times New Roman" w:cs="Times New Roman"/>
          <w:color w:val="000000"/>
          <w:spacing w:val="0"/>
          <w:w w:val="100"/>
          <w:position w:val="0"/>
          <w:sz w:val="18"/>
          <w:szCs w:val="18"/>
        </w:rPr>
        <w:t>3,560.00</w:t>
      </w:r>
      <w:r>
        <w:rPr>
          <w:color w:val="000000"/>
          <w:spacing w:val="0"/>
          <w:w w:val="100"/>
          <w:position w:val="0"/>
        </w:rPr>
        <w:t>万元，主要研发情况如下：</w:t>
      </w:r>
    </w:p>
    <w:p>
      <w:pPr>
        <w:pStyle w:val="Style35"/>
        <w:keepNext w:val="0"/>
        <w:keepLines w:val="0"/>
        <w:widowControl w:val="0"/>
        <w:numPr>
          <w:ilvl w:val="0"/>
          <w:numId w:val="13"/>
        </w:numPr>
        <w:shd w:val="clear" w:color="auto" w:fill="auto"/>
        <w:tabs>
          <w:tab w:pos="676" w:val="left"/>
        </w:tabs>
        <w:bidi w:val="0"/>
        <w:spacing w:before="0" w:after="0" w:line="318" w:lineRule="exact"/>
        <w:ind w:left="0" w:right="0"/>
        <w:jc w:val="both"/>
      </w:pPr>
      <w:bookmarkStart w:id="178" w:name="bookmark178"/>
      <w:bookmarkEnd w:id="178"/>
      <w:r>
        <w:rPr>
          <w:color w:val="000000"/>
          <w:spacing w:val="0"/>
          <w:w w:val="100"/>
          <w:position w:val="0"/>
        </w:rPr>
        <w:t>公司热处理创新中心“无人化智能热处理生产线”正式投入运行。该生产线由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BBHG-1500</w:t>
      </w:r>
      <w:r>
        <w:rPr>
          <w:color w:val="000000"/>
          <w:spacing w:val="0"/>
          <w:w w:val="100"/>
          <w:position w:val="0"/>
        </w:rPr>
        <w:t>加热炉、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 xml:space="preserve">HWBV </w:t>
      </w:r>
      <w:r>
        <w:rPr>
          <w:color w:val="000000"/>
          <w:spacing w:val="0"/>
          <w:w w:val="100"/>
          <w:position w:val="0"/>
        </w:rPr>
        <w:t>真空清洗机、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BTF</w:t>
      </w:r>
      <w:r>
        <w:rPr>
          <w:color w:val="000000"/>
          <w:spacing w:val="0"/>
          <w:w w:val="100"/>
          <w:position w:val="0"/>
        </w:rPr>
        <w:t>回火炉、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位线边库等组成。采用工业物联网技术建立各设备无缝连接，实现各模块互联互通、</w:t>
      </w:r>
      <w:r>
        <w:rPr>
          <w:rFonts w:ascii="Times New Roman" w:eastAsia="Times New Roman" w:hAnsi="Times New Roman" w:cs="Times New Roman"/>
          <w:color w:val="000000"/>
          <w:spacing w:val="0"/>
          <w:w w:val="100"/>
          <w:position w:val="0"/>
          <w:sz w:val="18"/>
          <w:szCs w:val="18"/>
        </w:rPr>
        <w:t xml:space="preserve">APS </w:t>
      </w:r>
      <w:r>
        <w:rPr>
          <w:color w:val="000000"/>
          <w:spacing w:val="0"/>
          <w:w w:val="100"/>
          <w:position w:val="0"/>
        </w:rPr>
        <w:t>自动排产、</w:t>
      </w:r>
      <w:r>
        <w:rPr>
          <w:rFonts w:ascii="Times New Roman" w:eastAsia="Times New Roman" w:hAnsi="Times New Roman" w:cs="Times New Roman"/>
          <w:color w:val="000000"/>
          <w:spacing w:val="0"/>
          <w:w w:val="100"/>
          <w:position w:val="0"/>
          <w:sz w:val="18"/>
          <w:szCs w:val="18"/>
        </w:rPr>
        <w:t>LMS</w:t>
      </w:r>
      <w:r>
        <w:rPr>
          <w:color w:val="000000"/>
          <w:spacing w:val="0"/>
          <w:w w:val="100"/>
          <w:position w:val="0"/>
        </w:rPr>
        <w:t>智能产线管理、智能设备维保。公司于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日上海国际热处理展览会上正式对外发布此项新 技术，助力热处理行业智能化转型升级。</w:t>
      </w:r>
    </w:p>
    <w:p>
      <w:pPr>
        <w:pStyle w:val="Style35"/>
        <w:keepNext w:val="0"/>
        <w:keepLines w:val="0"/>
        <w:widowControl w:val="0"/>
        <w:numPr>
          <w:ilvl w:val="0"/>
          <w:numId w:val="13"/>
        </w:numPr>
        <w:shd w:val="clear" w:color="auto" w:fill="auto"/>
        <w:tabs>
          <w:tab w:pos="676" w:val="left"/>
        </w:tabs>
        <w:bidi w:val="0"/>
        <w:spacing w:before="0" w:after="0" w:line="318" w:lineRule="exact"/>
        <w:ind w:left="0" w:right="0"/>
        <w:jc w:val="both"/>
      </w:pPr>
      <w:bookmarkStart w:id="179" w:name="bookmark179"/>
      <w:bookmarkEnd w:id="179"/>
      <w:r>
        <w:rPr>
          <w:rFonts w:ascii="Times New Roman" w:eastAsia="Times New Roman" w:hAnsi="Times New Roman" w:cs="Times New Roman"/>
          <w:color w:val="000000"/>
          <w:spacing w:val="0"/>
          <w:w w:val="100"/>
          <w:position w:val="0"/>
          <w:sz w:val="18"/>
          <w:szCs w:val="18"/>
        </w:rPr>
        <w:t>VBF</w:t>
      </w:r>
      <w:r>
        <w:rPr>
          <w:color w:val="000000"/>
          <w:spacing w:val="0"/>
          <w:w w:val="100"/>
          <w:position w:val="0"/>
        </w:rPr>
        <w:t>真空少无氧渗碳炉项目，已完成设备安装调试、真空渗碳工艺试验、减压气体渗碳数据测试。可实现“真空渗 碳+气氛渗碳”多功能复合热处理，提高渗碳质量和效率，减少渗碳气体消耗，促进节能减排。本项目计划于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全部完成。</w:t>
      </w:r>
    </w:p>
    <w:p>
      <w:pPr>
        <w:pStyle w:val="Style35"/>
        <w:keepNext w:val="0"/>
        <w:keepLines w:val="0"/>
        <w:widowControl w:val="0"/>
        <w:numPr>
          <w:ilvl w:val="0"/>
          <w:numId w:val="13"/>
        </w:numPr>
        <w:shd w:val="clear" w:color="auto" w:fill="auto"/>
        <w:tabs>
          <w:tab w:pos="676" w:val="left"/>
        </w:tabs>
        <w:bidi w:val="0"/>
        <w:spacing w:before="0" w:after="0" w:line="314" w:lineRule="exact"/>
        <w:ind w:left="0" w:right="0"/>
        <w:jc w:val="both"/>
      </w:pPr>
      <w:bookmarkStart w:id="180" w:name="bookmark180"/>
      <w:bookmarkEnd w:id="180"/>
      <w:r>
        <w:rPr>
          <w:color w:val="000000"/>
          <w:spacing w:val="0"/>
          <w:w w:val="100"/>
          <w:position w:val="0"/>
        </w:rPr>
        <w:t>完成多款热处理设备新产品研发制造，包括：</w:t>
      </w:r>
      <w:r>
        <w:rPr>
          <w:rFonts w:ascii="Times New Roman" w:eastAsia="Times New Roman" w:hAnsi="Times New Roman" w:cs="Times New Roman"/>
          <w:color w:val="000000"/>
          <w:spacing w:val="0"/>
          <w:w w:val="100"/>
          <w:position w:val="0"/>
          <w:sz w:val="18"/>
          <w:szCs w:val="18"/>
        </w:rPr>
        <w:t>UPE-250270</w:t>
      </w:r>
      <w:r>
        <w:rPr>
          <w:color w:val="000000"/>
          <w:spacing w:val="0"/>
          <w:w w:val="100"/>
          <w:position w:val="0"/>
        </w:rPr>
        <w:t>大型井式渗碳炉生产线、</w:t>
      </w:r>
      <w:r>
        <w:rPr>
          <w:rFonts w:ascii="Times New Roman" w:eastAsia="Times New Roman" w:hAnsi="Times New Roman" w:cs="Times New Roman"/>
          <w:color w:val="000000"/>
          <w:spacing w:val="0"/>
          <w:w w:val="100"/>
          <w:position w:val="0"/>
          <w:sz w:val="18"/>
          <w:szCs w:val="18"/>
        </w:rPr>
        <w:t>UMG-10090</w:t>
      </w:r>
      <w:r>
        <w:rPr>
          <w:color w:val="000000"/>
          <w:spacing w:val="0"/>
          <w:w w:val="100"/>
          <w:position w:val="0"/>
        </w:rPr>
        <w:t>大型燃气加热网带 炉生产线、</w:t>
      </w:r>
      <w:r>
        <w:rPr>
          <w:rFonts w:ascii="Times New Roman" w:eastAsia="Times New Roman" w:hAnsi="Times New Roman" w:cs="Times New Roman"/>
          <w:color w:val="000000"/>
          <w:spacing w:val="0"/>
          <w:w w:val="100"/>
          <w:position w:val="0"/>
          <w:sz w:val="18"/>
          <w:szCs w:val="18"/>
        </w:rPr>
        <w:t>URH750750250</w:t>
      </w:r>
      <w:r>
        <w:rPr>
          <w:color w:val="000000"/>
          <w:spacing w:val="0"/>
          <w:w w:val="100"/>
          <w:position w:val="0"/>
        </w:rPr>
        <w:t>辊棒盐浴炉生产线、</w:t>
      </w:r>
      <w:r>
        <w:rPr>
          <w:rFonts w:ascii="Times New Roman" w:eastAsia="Times New Roman" w:hAnsi="Times New Roman" w:cs="Times New Roman"/>
          <w:color w:val="000000"/>
          <w:spacing w:val="0"/>
          <w:w w:val="100"/>
          <w:position w:val="0"/>
          <w:sz w:val="18"/>
          <w:szCs w:val="18"/>
        </w:rPr>
        <w:t>DCS</w:t>
      </w:r>
      <w:r>
        <w:rPr>
          <w:color w:val="000000"/>
          <w:spacing w:val="0"/>
          <w:w w:val="100"/>
          <w:position w:val="0"/>
        </w:rPr>
        <w:t>系列铝合金固熔炉生产线等。公司热处理设备产品线进一步拓宽，项</w:t>
      </w:r>
    </w:p>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目管理能力进一步提升。</w:t>
      </w:r>
    </w:p>
    <w:p>
      <w:pPr>
        <w:pStyle w:val="Style35"/>
        <w:keepNext w:val="0"/>
        <w:keepLines w:val="0"/>
        <w:widowControl w:val="0"/>
        <w:numPr>
          <w:ilvl w:val="0"/>
          <w:numId w:val="13"/>
        </w:numPr>
        <w:shd w:val="clear" w:color="auto" w:fill="auto"/>
        <w:tabs>
          <w:tab w:pos="681" w:val="left"/>
        </w:tabs>
        <w:bidi w:val="0"/>
        <w:spacing w:before="0" w:after="0" w:line="314" w:lineRule="exact"/>
        <w:ind w:left="0" w:right="0"/>
        <w:jc w:val="both"/>
      </w:pPr>
      <w:bookmarkStart w:id="181" w:name="bookmark181"/>
      <w:bookmarkEnd w:id="181"/>
      <w:r>
        <w:rPr>
          <w:color w:val="000000"/>
          <w:spacing w:val="0"/>
          <w:w w:val="100"/>
          <w:position w:val="0"/>
        </w:rPr>
        <w:t>“国家重点研发计划轴齿类清洁热处理”课题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“可控气氛精密控制及减量化技术”，按计划顺利完成中期研发 任务；子课题“可控气氛回收装置”，已完成设计、制造、工艺测试，达到预期的回收效果，可实现气氛减量约</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，后 期将在量产工艺验证的基础上，进一步完善、应用、推广。</w:t>
      </w:r>
    </w:p>
    <w:p>
      <w:pPr>
        <w:pStyle w:val="Style35"/>
        <w:keepNext w:val="0"/>
        <w:keepLines w:val="0"/>
        <w:widowControl w:val="0"/>
        <w:numPr>
          <w:ilvl w:val="0"/>
          <w:numId w:val="13"/>
        </w:numPr>
        <w:shd w:val="clear" w:color="auto" w:fill="auto"/>
        <w:tabs>
          <w:tab w:pos="676" w:val="left"/>
        </w:tabs>
        <w:bidi w:val="0"/>
        <w:spacing w:before="0" w:after="0" w:line="317" w:lineRule="exact"/>
        <w:ind w:left="0" w:right="0"/>
        <w:jc w:val="both"/>
      </w:pPr>
      <w:bookmarkStart w:id="182" w:name="bookmark182"/>
      <w:bookmarkEnd w:id="182"/>
      <w:r>
        <w:rPr>
          <w:color w:val="000000"/>
          <w:spacing w:val="0"/>
          <w:w w:val="100"/>
          <w:position w:val="0"/>
        </w:rPr>
        <w:t>完成“江苏省重点领域共性技术攻关研发项目</w:t>
      </w:r>
      <w:r>
        <w:rPr>
          <w:color w:val="000000"/>
          <w:spacing w:val="0"/>
          <w:w w:val="100"/>
          <w:position w:val="0"/>
        </w:rPr>
        <w:t>一</w:t>
      </w:r>
      <w:r>
        <w:rPr>
          <w:color w:val="000000"/>
          <w:spacing w:val="0"/>
          <w:w w:val="100"/>
          <w:position w:val="0"/>
        </w:rPr>
        <w:t>齿轮热处理的虚拟仿真建模及应用研究”各项研发任务，公司齿轮 热处理仿真技术处于国内领先水平，顺利通过江苏省工业和信息化厅组织的项目终验收。</w:t>
      </w:r>
    </w:p>
    <w:p>
      <w:pPr>
        <w:pStyle w:val="Style35"/>
        <w:keepNext w:val="0"/>
        <w:keepLines w:val="0"/>
        <w:widowControl w:val="0"/>
        <w:shd w:val="clear" w:color="auto" w:fill="auto"/>
        <w:bidi w:val="0"/>
        <w:spacing w:before="0" w:after="180" w:line="317" w:lineRule="exact"/>
        <w:ind w:left="0" w:right="0"/>
        <w:jc w:val="both"/>
      </w:pPr>
      <w:r>
        <w:rPr>
          <w:color w:val="000000"/>
          <w:spacing w:val="0"/>
          <w:w w:val="100"/>
          <w:position w:val="0"/>
        </w:rPr>
        <w:t>公司研发投入情况</w:t>
      </w:r>
    </w:p>
    <w:tbl>
      <w:tblPr>
        <w:tblOverlap w:val="never"/>
        <w:jc w:val="center"/>
        <w:tblLayout w:type="fixed"/>
      </w:tblPr>
      <w:tblGrid>
        <w:gridCol w:w="3302"/>
        <w:gridCol w:w="2126"/>
        <w:gridCol w:w="2131"/>
        <w:gridCol w:w="208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3302"/>
        <w:gridCol w:w="2126"/>
        <w:gridCol w:w="2131"/>
        <w:gridCol w:w="208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229,137,947.00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210,503,398.55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5.98</w:t>
            </w:r>
            <w:r>
              <w:rPr>
                <w:color w:val="000000"/>
                <w:spacing w:val="0"/>
                <w:w w:val="100"/>
                <w:position w:val="0"/>
              </w:rPr>
              <w:t>个百分点</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116,963,627.72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149,740,887.30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个百分点</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研发投入总额占营业收入的比重较上年发生显著变化的原因</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138"/>
        <w:gridCol w:w="5674"/>
        <w:gridCol w:w="1090"/>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研发资本化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实施进度</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pPr>
            <w:r>
              <w:rPr>
                <w:color w:val="000000"/>
                <w:spacing w:val="0"/>
                <w:w w:val="100"/>
                <w:position w:val="0"/>
              </w:rPr>
              <w:t>企业大数据创新服务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企业征信系统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3,875,729.05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企业征信系统主要面向金融机构、供应链核心企业提供授权企业的财税 征信服务，以此降低为该企业提供服务而带来的风险。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智能感知电子税务局 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33,818,361.12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智能感知电子税务局软件通过业务数字化将参与各方财税业务和数据进 行集中与整合，使纳税人基于互联网享受高效、精准、智慧的涉税服务。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全渠道智能服务应用 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5,258,767.98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全渠道智能服务应用软件基于人工智能技术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财税领域大数据，为用户提 供多元化、精准化、个性化、人性化的咨询服务。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税务流程自动化公共 应用支撑软件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4,841,164.98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税务流程自动化公共应用支撑软件是非网报区业务拓展的基石</w:t>
            </w:r>
            <w:r>
              <w:rPr>
                <w:color w:val="000000"/>
                <w:spacing w:val="0"/>
                <w:w w:val="100"/>
                <w:position w:val="0"/>
                <w:sz w:val="18"/>
                <w:szCs w:val="18"/>
              </w:rPr>
              <w:t>，</w:t>
            </w:r>
            <w:r>
              <w:rPr>
                <w:color w:val="000000"/>
                <w:spacing w:val="0"/>
                <w:w w:val="100"/>
                <w:position w:val="0"/>
              </w:rPr>
              <w:t>通过机 器人应用提供相关技术服务，拓展金财业务在非网报区域的产品覆盖面。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财税风险检测软件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1,489,147.16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财税风险检测软件以企业帐务、税务、发票等数据为中心，依托统计分 析、数据挖掘及机器学习等技术为手段，面向企业提供良好、精准的财 税风险评估服务。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惠用车智能服务应用 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2,288,663.63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惠用车智能服务应用软件是闲置车辆租赁创新服务平台，为有用车需求 的企业提供中长期用车租赁服务，可切实帮助企业降低用车成本，综合 优化用车服务体验。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微税宝服务软件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10,802,965.83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微税宝服务软件依托微信及小程序开发，构建全新智能办税模式，努力 实现纳税人缴费人轻松办理税费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一次不用跑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中小企业财税聚合云 应用软件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14,830,749.61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both"/>
            </w:pPr>
            <w:r>
              <w:rPr>
                <w:color w:val="000000"/>
                <w:spacing w:val="0"/>
                <w:w w:val="100"/>
                <w:position w:val="0"/>
              </w:rPr>
              <w:t>中小企业财税聚合云应用软件是一款面向自建账企业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云应用软件， 帮助财税从业人员提高业务能力、提升工作效率、消除执业风险，帮助 自建账企业减负增效。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基于互联网的财税基 础服务软件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5,915,423.85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pPr>
            <w:r>
              <w:rPr>
                <w:color w:val="000000"/>
                <w:spacing w:val="0"/>
                <w:w w:val="100"/>
                <w:position w:val="0"/>
              </w:rPr>
              <w:t>基于互联网的财税基础服务软件向前端产品提供发票、报税基础服务， 为产品赋能。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功能研发 阶段</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数字企业中台应用软 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5,198,372.49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数字企业中台应用软件基于开源的互联网云计算技术研发公司级的统一 应用开发、测试、运维平台，赋能公司的产品研发与项目实施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功能研发 阶段</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掌税保服务软件（面 向中大型企业数据风 控及财务模型管理）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8,038,613.92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pPr>
            <w:r>
              <w:rPr>
                <w:color w:val="000000"/>
                <w:spacing w:val="0"/>
                <w:w w:val="100"/>
                <w:position w:val="0"/>
              </w:rPr>
              <w:t>掌税保服务软件是公司办税领域的统一定制门户，具备业财税一体化服 务能力，为企业老板提供企业财务状况的健康程度、监控企业财税情况， 提升企业工作效率，降低税务风险。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云上共享申报软件研</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究与开发项目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11,070,829.58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pPr>
            <w:r>
              <w:rPr>
                <w:color w:val="000000"/>
                <w:spacing w:val="0"/>
                <w:w w:val="100"/>
                <w:position w:val="0"/>
              </w:rPr>
              <w:t>云上共享申报软件是基于服务共享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合作伙伴共赢理念，为大中型集团企 业、三方财税服务公司、代账公司等客群提供的高内聚低耦合、智能高 效且完全标准化的综合</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申报解决方案。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研发完毕， 已上线服务</w:t>
            </w:r>
          </w:p>
        </w:tc>
      </w:tr>
      <w:tr>
        <w:trPr>
          <w:trHeight w:val="10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纳服综合管理应用软 件研究与开发项目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1,242,538.44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纳服综合管理应用软件帮助各级纳税服务部门对外提供线上服务；对内 提供管理、调度、分析等功能。可以帮助纳税服务部门优化服务流程、 降低服务成本、提高服务效率，帮助纳税服务部门更好的开展纳税服务 工作。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功能研发 阶段</w:t>
            </w:r>
          </w:p>
        </w:tc>
      </w:tr>
      <w:tr>
        <w:trPr>
          <w:trHeight w:val="82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面向代账行业业财税 一体化服务软件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382,335.34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面向代账行业业财税一体化服务软件通过智能化、大数据化手段，实现 票据的自动采集、自动化智能化报税和记账、提升代账效率、提升代账 公司管理水平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研发完毕， 已上线服务</w:t>
            </w:r>
          </w:p>
        </w:tc>
      </w:tr>
    </w:tbl>
    <w:p>
      <w:pPr>
        <w:sectPr>
          <w:footnotePr>
            <w:pos w:val="pageBottom"/>
            <w:numFmt w:val="decimal"/>
            <w:numRestart w:val="continuous"/>
          </w:footnotePr>
          <w:pgSz w:w="11900" w:h="16840"/>
          <w:pgMar w:top="1441" w:right="882" w:bottom="1455" w:left="890" w:header="0" w:footer="3" w:gutter="0"/>
          <w:cols w:space="720"/>
          <w:noEndnote/>
          <w:rtlGutter w:val="0"/>
          <w:docGrid w:linePitch="360"/>
        </w:sectPr>
      </w:pPr>
    </w:p>
    <w:tbl>
      <w:tblPr>
        <w:tblOverlap w:val="never"/>
        <w:jc w:val="center"/>
        <w:tblLayout w:type="fixed"/>
      </w:tblPr>
      <w:tblGrid>
        <w:gridCol w:w="1742"/>
        <w:gridCol w:w="1138"/>
        <w:gridCol w:w="5674"/>
        <w:gridCol w:w="1090"/>
      </w:tblGrid>
      <w:tr>
        <w:trPr>
          <w:trHeight w:val="10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财税服务降本增效应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1,643,984.09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财税服务降本增效应用软件是为代账机构提供的客户管理应用软件，以 专业合理的服务流程来营客，更好的服务中小微企业；以强大的财务管 理来预警收费、支出，降低企业坏账风险助力代账机构开源节流，降本 增效。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研发完毕， 已上线服务</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企业数据智能采集转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504,932.85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企业数据智能采集转换软件针对企业的财务及固定资产数据进行智能化 批量化采集转换，为企业数据共享与应用提供底层能力支撑，助力企业 数字化转型发展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研发完毕， 已上线服务</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金财云商服务软件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1,530,909.11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pPr>
            <w:r>
              <w:rPr>
                <w:color w:val="000000"/>
                <w:spacing w:val="0"/>
                <w:w w:val="100"/>
                <w:position w:val="0"/>
              </w:rPr>
              <w:t>金财云商服务软件采用互联网及移动技术，依托云计算、云存储，实现 网页端与移动端数据共享，为平台型企业提供企业经营全生命周期的服 务；为平台经济中涉及的相关监管机构提供信息的协助监管服务。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研发完毕， 已上线服务</w:t>
            </w:r>
          </w:p>
        </w:tc>
      </w:tr>
      <w:tr>
        <w:trPr>
          <w:trHeight w:val="82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中小微企业智能化财 税服务软件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4,230,138.69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中小微企业智能化财税服务软件为中小微企业财税业务赋能，通过大数 据、智能化手段，实现业务财务税务数据打通，让中小微企业财务更合 规，更高效。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研发完毕， 已上线服务</w:t>
            </w:r>
          </w:p>
        </w:tc>
      </w:tr>
    </w:tbl>
    <w:p>
      <w:pPr>
        <w:widowControl w:val="0"/>
        <w:spacing w:after="179" w:line="1" w:lineRule="exact"/>
      </w:pPr>
    </w:p>
    <w:p>
      <w:pPr>
        <w:pStyle w:val="Style35"/>
        <w:keepNext w:val="0"/>
        <w:keepLines w:val="0"/>
        <w:widowControl w:val="0"/>
        <w:shd w:val="clear" w:color="auto" w:fill="auto"/>
        <w:bidi w:val="0"/>
        <w:spacing w:before="0" w:after="120" w:line="240" w:lineRule="auto"/>
        <w:ind w:left="0" w:right="0"/>
        <w:jc w:val="left"/>
      </w:pPr>
      <w:r>
        <w:rPr>
          <w:color w:val="000000"/>
          <w:spacing w:val="0"/>
          <w:w w:val="100"/>
          <w:position w:val="0"/>
        </w:rPr>
        <w:t>研发投入资本化率大幅变动的原因及其合理性说明</w:t>
      </w:r>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46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bookmarkEnd w:id="185"/>
      <w:r>
        <w:rPr>
          <w:color w:val="000000"/>
          <w:spacing w:val="0"/>
          <w:w w:val="100"/>
          <w:position w:val="0"/>
        </w:rPr>
        <w:t>、现金流</w:t>
      </w:r>
      <w:bookmarkEnd w:id="183"/>
      <w:bookmarkEnd w:id="184"/>
      <w:bookmarkEnd w:id="1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63"/>
        <w:gridCol w:w="2266"/>
        <w:gridCol w:w="2131"/>
        <w:gridCol w:w="2083"/>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1,335,912,102.33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1,216,502,383.56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1,342,063,563.67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1,275,455,551.06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-6,151,461.34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-58,953,167.50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1,359,729,567.07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910,508,711.79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1,397,779,767.32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1,009,109,687.74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-38,050,200.25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-98,600,975.95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479,700,933.92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175,129,652.71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173.91%</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345,950,439.62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229,307,143.58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133,750,494.30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-54,177,490.87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89,070,164.14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-212,355,572.71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141.94%</w:t>
            </w:r>
          </w:p>
        </w:tc>
      </w:tr>
    </w:tbl>
    <w:p>
      <w:pPr>
        <w:widowControl w:val="0"/>
        <w:spacing w:after="59" w:line="1" w:lineRule="exact"/>
      </w:pPr>
    </w:p>
    <w:p>
      <w:pPr>
        <w:pStyle w:val="Style35"/>
        <w:keepNext w:val="0"/>
        <w:keepLines w:val="0"/>
        <w:widowControl w:val="0"/>
        <w:shd w:val="clear" w:color="auto" w:fill="auto"/>
        <w:bidi w:val="0"/>
        <w:spacing w:before="0" w:after="120" w:line="307" w:lineRule="exact"/>
        <w:ind w:left="0" w:right="0"/>
        <w:jc w:val="left"/>
      </w:pPr>
      <w:r>
        <w:rPr>
          <w:color w:val="000000"/>
          <w:spacing w:val="0"/>
          <w:w w:val="100"/>
          <w:position w:val="0"/>
        </w:rPr>
        <w:t>相关数据同比发生重大变动的主要影响因素说明</w:t>
      </w:r>
    </w:p>
    <w:p>
      <w:pPr>
        <w:pStyle w:val="Style35"/>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numPr>
          <w:ilvl w:val="0"/>
          <w:numId w:val="15"/>
        </w:numPr>
        <w:shd w:val="clear" w:color="auto" w:fill="auto"/>
        <w:tabs>
          <w:tab w:pos="773" w:val="left"/>
        </w:tabs>
        <w:bidi w:val="0"/>
        <w:spacing w:before="0" w:after="120" w:line="307" w:lineRule="exact"/>
        <w:ind w:left="0" w:right="0"/>
        <w:jc w:val="left"/>
      </w:pPr>
      <w:bookmarkStart w:id="187" w:name="bookmark187"/>
      <w:bookmarkEnd w:id="187"/>
      <w:r>
        <w:rPr>
          <w:color w:val="000000"/>
          <w:spacing w:val="0"/>
          <w:w w:val="100"/>
          <w:position w:val="0"/>
        </w:rPr>
        <w:t>经营活动产生的现金流量净额本年比上年同期增长</w:t>
      </w:r>
      <w:r>
        <w:rPr>
          <w:rFonts w:ascii="Times New Roman" w:eastAsia="Times New Roman" w:hAnsi="Times New Roman" w:cs="Times New Roman"/>
          <w:color w:val="000000"/>
          <w:spacing w:val="0"/>
          <w:w w:val="100"/>
          <w:position w:val="0"/>
          <w:sz w:val="18"/>
          <w:szCs w:val="18"/>
        </w:rPr>
        <w:t>89.57%</w:t>
      </w:r>
      <w:r>
        <w:rPr>
          <w:color w:val="000000"/>
          <w:spacing w:val="0"/>
          <w:w w:val="100"/>
          <w:position w:val="0"/>
        </w:rPr>
        <w:t>，主要系本年加强收款管理，增加收款所致。</w:t>
      </w:r>
    </w:p>
    <w:p>
      <w:pPr>
        <w:pStyle w:val="Style35"/>
        <w:keepNext w:val="0"/>
        <w:keepLines w:val="0"/>
        <w:widowControl w:val="0"/>
        <w:numPr>
          <w:ilvl w:val="0"/>
          <w:numId w:val="15"/>
        </w:numPr>
        <w:shd w:val="clear" w:color="auto" w:fill="auto"/>
        <w:tabs>
          <w:tab w:pos="773" w:val="left"/>
        </w:tabs>
        <w:bidi w:val="0"/>
        <w:spacing w:before="0" w:after="120" w:line="307" w:lineRule="exact"/>
        <w:ind w:left="0" w:right="0"/>
        <w:jc w:val="left"/>
      </w:pPr>
      <w:bookmarkStart w:id="188" w:name="bookmark188"/>
      <w:bookmarkEnd w:id="188"/>
      <w:r>
        <w:rPr>
          <w:color w:val="000000"/>
          <w:spacing w:val="0"/>
          <w:w w:val="100"/>
          <w:position w:val="0"/>
        </w:rPr>
        <w:t>投资活动产生的现金流量净额本年比上年同期增长</w:t>
      </w:r>
      <w:r>
        <w:rPr>
          <w:rFonts w:ascii="Times New Roman" w:eastAsia="Times New Roman" w:hAnsi="Times New Roman" w:cs="Times New Roman"/>
          <w:color w:val="000000"/>
          <w:spacing w:val="0"/>
          <w:w w:val="100"/>
          <w:position w:val="0"/>
          <w:sz w:val="18"/>
          <w:szCs w:val="18"/>
        </w:rPr>
        <w:t>61.41%</w:t>
      </w:r>
      <w:r>
        <w:rPr>
          <w:color w:val="000000"/>
          <w:spacing w:val="0"/>
          <w:w w:val="100"/>
          <w:position w:val="0"/>
        </w:rPr>
        <w:t>，主要系本年公司投资净额减少所致。</w:t>
      </w:r>
    </w:p>
    <w:p>
      <w:pPr>
        <w:pStyle w:val="Style35"/>
        <w:keepNext w:val="0"/>
        <w:keepLines w:val="0"/>
        <w:widowControl w:val="0"/>
        <w:numPr>
          <w:ilvl w:val="0"/>
          <w:numId w:val="15"/>
        </w:numPr>
        <w:shd w:val="clear" w:color="auto" w:fill="auto"/>
        <w:tabs>
          <w:tab w:pos="773" w:val="left"/>
        </w:tabs>
        <w:bidi w:val="0"/>
        <w:spacing w:before="0" w:after="120" w:line="307" w:lineRule="exact"/>
        <w:ind w:left="0" w:right="0"/>
        <w:jc w:val="left"/>
      </w:pPr>
      <w:bookmarkStart w:id="189" w:name="bookmark189"/>
      <w:bookmarkEnd w:id="189"/>
      <w:r>
        <w:rPr>
          <w:color w:val="000000"/>
          <w:spacing w:val="0"/>
          <w:w w:val="100"/>
          <w:position w:val="0"/>
        </w:rPr>
        <w:t>筹资活动产生的现金流量净额本年比上年同期增长</w:t>
      </w:r>
      <w:r>
        <w:rPr>
          <w:rFonts w:ascii="Times New Roman" w:eastAsia="Times New Roman" w:hAnsi="Times New Roman" w:cs="Times New Roman"/>
          <w:color w:val="000000"/>
          <w:spacing w:val="0"/>
          <w:w w:val="100"/>
          <w:position w:val="0"/>
          <w:sz w:val="18"/>
          <w:szCs w:val="18"/>
        </w:rPr>
        <w:t>346.87%</w:t>
      </w:r>
      <w:r>
        <w:rPr>
          <w:color w:val="000000"/>
          <w:spacing w:val="0"/>
          <w:w w:val="100"/>
          <w:position w:val="0"/>
        </w:rPr>
        <w:t>，主要系本年公司借款增加所致。</w:t>
      </w:r>
    </w:p>
    <w:p>
      <w:pPr>
        <w:pStyle w:val="Style35"/>
        <w:keepNext w:val="0"/>
        <w:keepLines w:val="0"/>
        <w:widowControl w:val="0"/>
        <w:shd w:val="clear" w:color="auto" w:fill="auto"/>
        <w:bidi w:val="0"/>
        <w:spacing w:before="0" w:after="120" w:line="307" w:lineRule="exact"/>
        <w:ind w:left="0" w:right="0"/>
        <w:jc w:val="left"/>
      </w:pPr>
      <w:r>
        <w:rPr>
          <w:color w:val="000000"/>
          <w:spacing w:val="0"/>
          <w:w w:val="100"/>
          <w:position w:val="0"/>
        </w:rPr>
        <w:t>报告期内公司经营活动产生的现金净流量与本年度净利润存在重大差异的原因说明</w:t>
      </w:r>
    </w:p>
    <w:p>
      <w:pPr>
        <w:pStyle w:val="Style35"/>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120" w:line="307" w:lineRule="exact"/>
        <w:ind w:left="0" w:right="0"/>
        <w:jc w:val="left"/>
      </w:pPr>
      <w:r>
        <w:rPr>
          <w:color w:val="000000"/>
          <w:spacing w:val="0"/>
          <w:w w:val="100"/>
          <w:position w:val="0"/>
        </w:rPr>
        <w:t>报告期内，公司经营活动产生的现金净流量与本年度净利润存在</w:t>
      </w:r>
      <w:r>
        <w:rPr>
          <w:rFonts w:ascii="Times New Roman" w:eastAsia="Times New Roman" w:hAnsi="Times New Roman" w:cs="Times New Roman"/>
          <w:color w:val="000000"/>
          <w:spacing w:val="0"/>
          <w:w w:val="100"/>
          <w:position w:val="0"/>
          <w:sz w:val="18"/>
          <w:szCs w:val="18"/>
        </w:rPr>
        <w:t>121,725.21</w:t>
      </w:r>
      <w:r>
        <w:rPr>
          <w:color w:val="000000"/>
          <w:spacing w:val="0"/>
          <w:w w:val="100"/>
          <w:position w:val="0"/>
        </w:rPr>
        <w:t>万元的差异，主要系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年度公司计提资产 减值准备共计</w:t>
      </w:r>
      <w:r>
        <w:rPr>
          <w:rFonts w:ascii="Times New Roman" w:eastAsia="Times New Roman" w:hAnsi="Times New Roman" w:cs="Times New Roman"/>
          <w:color w:val="000000"/>
          <w:spacing w:val="0"/>
          <w:w w:val="100"/>
          <w:position w:val="0"/>
          <w:sz w:val="18"/>
          <w:szCs w:val="18"/>
        </w:rPr>
        <w:t>115,409.14</w:t>
      </w:r>
      <w:r>
        <w:rPr>
          <w:color w:val="000000"/>
          <w:spacing w:val="0"/>
          <w:w w:val="100"/>
          <w:position w:val="0"/>
        </w:rPr>
        <w:t>万元。</w:t>
      </w:r>
      <w:r>
        <w:br w:type="page"/>
      </w:r>
    </w:p>
    <w:p>
      <w:pPr>
        <w:pStyle w:val="Style29"/>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三</w:t>
      </w:r>
      <w:bookmarkEnd w:id="192"/>
      <w:r>
        <w:rPr>
          <w:color w:val="000000"/>
          <w:spacing w:val="0"/>
          <w:w w:val="100"/>
          <w:position w:val="0"/>
          <w:sz w:val="24"/>
          <w:szCs w:val="24"/>
        </w:rPr>
        <w:t>、非主营业务分析</w:t>
      </w:r>
      <w:bookmarkEnd w:id="190"/>
      <w:bookmarkEnd w:id="191"/>
      <w:bookmarkEnd w:id="193"/>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277"/>
        <w:gridCol w:w="1133"/>
        <w:gridCol w:w="4680"/>
        <w:gridCol w:w="955"/>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占利润总额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是否具有 可持续性</w:t>
            </w:r>
          </w:p>
        </w:tc>
      </w:tr>
      <w:tr>
        <w:trPr>
          <w:trHeight w:val="10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18,148,829.13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26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使用暂时闲置的募集资金及自有资金理财产生的收益；</w:t>
            </w:r>
          </w:p>
          <w:p>
            <w:pPr>
              <w:pStyle w:val="Style25"/>
              <w:keepNext w:val="0"/>
              <w:keepLines w:val="0"/>
              <w:widowControl w:val="0"/>
              <w:shd w:val="clear" w:color="auto" w:fill="auto"/>
              <w:tabs>
                <w:tab w:pos="28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合营企业的投资收益；</w:t>
            </w:r>
          </w:p>
          <w:p>
            <w:pPr>
              <w:pStyle w:val="Style25"/>
              <w:keepNext w:val="0"/>
              <w:keepLines w:val="0"/>
              <w:widowControl w:val="0"/>
              <w:shd w:val="clear" w:color="auto" w:fill="auto"/>
              <w:tabs>
                <w:tab w:pos="250"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其他权益工具投资在持有期间取得的股利收入。</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269" w:val="left"/>
              </w:tabs>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否</w:t>
            </w:r>
          </w:p>
          <w:p>
            <w:pPr>
              <w:pStyle w:val="Style25"/>
              <w:keepNext w:val="0"/>
              <w:keepLines w:val="0"/>
              <w:widowControl w:val="0"/>
              <w:shd w:val="clear" w:color="auto" w:fill="auto"/>
              <w:tabs>
                <w:tab w:pos="283" w:val="left"/>
              </w:tabs>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是</w:t>
            </w:r>
          </w:p>
          <w:p>
            <w:pPr>
              <w:pStyle w:val="Style25"/>
              <w:keepNext w:val="0"/>
              <w:keepLines w:val="0"/>
              <w:widowControl w:val="0"/>
              <w:shd w:val="clear" w:color="auto" w:fill="auto"/>
              <w:tabs>
                <w:tab w:pos="274" w:val="left"/>
              </w:tabs>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是</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主要系本年对期末未到期的银行理财产品预估收益。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7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-985,524,043.39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主要系本年对方欣科技资产组计提商誉减值准备</w:t>
            </w:r>
            <w:r>
              <w:rPr>
                <w:rFonts w:ascii="Times New Roman" w:eastAsia="Times New Roman" w:hAnsi="Times New Roman" w:cs="Times New Roman"/>
                <w:color w:val="000000"/>
                <w:spacing w:val="0"/>
                <w:w w:val="100"/>
                <w:position w:val="0"/>
                <w:sz w:val="18"/>
                <w:szCs w:val="18"/>
              </w:rPr>
              <w:t>7.98</w:t>
            </w:r>
            <w:r>
              <w:rPr>
                <w:color w:val="000000"/>
                <w:spacing w:val="0"/>
                <w:w w:val="100"/>
                <w:position w:val="0"/>
              </w:rPr>
              <w:t>亿元 所致。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35,438,342.57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主要系政府补助和无需支付的股权转让款收益。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2,910,239.82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主要系公益性捐赠支出、质量赔款、非流动资产报废损失。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sz w:val="24"/>
          <w:szCs w:val="24"/>
        </w:rPr>
        <w:t>四</w:t>
      </w:r>
      <w:bookmarkEnd w:id="196"/>
      <w:r>
        <w:rPr>
          <w:color w:val="000000"/>
          <w:spacing w:val="0"/>
          <w:w w:val="100"/>
          <w:position w:val="0"/>
          <w:sz w:val="24"/>
          <w:szCs w:val="24"/>
        </w:rPr>
        <w:t>、资产及负债状况分析</w:t>
      </w:r>
      <w:bookmarkEnd w:id="194"/>
      <w:bookmarkEnd w:id="195"/>
      <w:bookmarkEnd w:id="197"/>
    </w:p>
    <w:p>
      <w:pPr>
        <w:pStyle w:val="Style39"/>
        <w:keepNext/>
        <w:keepLines/>
        <w:widowControl w:val="0"/>
        <w:shd w:val="clear" w:color="auto" w:fill="auto"/>
        <w:bidi w:val="0"/>
        <w:spacing w:before="0" w:line="240" w:lineRule="auto"/>
        <w:ind w:left="0" w:right="0" w:firstLine="40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、资产构成重大变动情况</w:t>
      </w:r>
      <w:bookmarkEnd w:id="198"/>
      <w:bookmarkEnd w:id="199"/>
      <w:bookmarkEnd w:id="201"/>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25"/>
        <w:gridCol w:w="1277"/>
        <w:gridCol w:w="1277"/>
        <w:gridCol w:w="1282"/>
        <w:gridCol w:w="989"/>
        <w:gridCol w:w="2088"/>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674,635,122.69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587,932,848.34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406,923,039.17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584,526,647.23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297,195,907.21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270,820,355.14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31,581,577.57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32,349,777.57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114,279,280.53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114,629,578.67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624,794,987.49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600,209,558.29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107,008,452.64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42,839,078.98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203,835,528.38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41,500,693.51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76,178,912.15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82,347,590.17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40,267,436.73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27,671,055.13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40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、以公允价值计量的资产和负债</w:t>
      </w:r>
      <w:bookmarkEnd w:id="202"/>
      <w:bookmarkEnd w:id="203"/>
      <w:bookmarkEnd w:id="205"/>
    </w:p>
    <w:p>
      <w:pPr>
        <w:pStyle w:val="Style35"/>
        <w:keepNext w:val="0"/>
        <w:keepLines w:val="0"/>
        <w:widowControl w:val="0"/>
        <w:shd w:val="clear" w:color="auto" w:fill="auto"/>
        <w:bidi w:val="0"/>
        <w:spacing w:before="0" w:after="340" w:line="240" w:lineRule="auto"/>
        <w:ind w:left="0" w:right="0"/>
        <w:jc w:val="lef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441" w:right="882" w:bottom="1455" w:left="890" w:header="0" w:footer="3" w:gutter="0"/>
          <w:cols w:space="720"/>
          <w:noEndnote/>
          <w:titlePg/>
          <w:rtlGutter w:val="0"/>
          <w:docGrid w:linePitch="360"/>
        </w:sectPr>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80" w:line="653" w:lineRule="exact"/>
        <w:ind w:left="5920" w:right="160" w:firstLine="0"/>
        <w:jc w:val="righ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单位：元</w:t>
      </w:r>
    </w:p>
    <w:tbl>
      <w:tblPr>
        <w:tblOverlap w:val="never"/>
        <w:jc w:val="center"/>
        <w:tblLayout w:type="fixed"/>
      </w:tblPr>
      <w:tblGrid>
        <w:gridCol w:w="1320"/>
        <w:gridCol w:w="1133"/>
        <w:gridCol w:w="869"/>
        <w:gridCol w:w="1090"/>
        <w:gridCol w:w="1022"/>
        <w:gridCol w:w="1162"/>
        <w:gridCol w:w="1248"/>
        <w:gridCol w:w="989"/>
        <w:gridCol w:w="1171"/>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 购买金额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 出售金额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258,979,798.63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644,569.71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1,190,010,000.00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1,338,210,000.00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-2,079,798.63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109,344,569.71</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21,796,374.50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-80,308,055.95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-6,628,055.95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18,918,318.55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280,776,173.13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-80,308,055.95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-6,628,055.95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1,193,760,000.00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1,338,210,000.00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-2,079,798.63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128,262,888.26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280,776,173.13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-80,308,055.95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-6,628,055.95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1,193,760,000.00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1,338,210,000.00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-2,079,798.63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128,262,888.26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报告期内公司主要资产计量属性是否发生重大变化</w:t>
      </w:r>
    </w:p>
    <w:p>
      <w:pPr>
        <w:pStyle w:val="Style35"/>
        <w:keepNext w:val="0"/>
        <w:keepLines w:val="0"/>
        <w:widowControl w:val="0"/>
        <w:shd w:val="clear" w:color="auto" w:fill="auto"/>
        <w:bidi w:val="0"/>
        <w:spacing w:before="0" w:after="34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after="340" w:line="240" w:lineRule="auto"/>
        <w:ind w:left="0" w:right="0" w:firstLine="60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、截至报告期末的资产权利受限情况</w:t>
      </w:r>
      <w:bookmarkEnd w:id="206"/>
      <w:bookmarkEnd w:id="207"/>
      <w:bookmarkEnd w:id="209"/>
    </w:p>
    <w:tbl>
      <w:tblPr>
        <w:tblOverlap w:val="never"/>
        <w:jc w:val="center"/>
        <w:tblLayout w:type="fixed"/>
      </w:tblPr>
      <w:tblGrid>
        <w:gridCol w:w="3077"/>
        <w:gridCol w:w="3288"/>
        <w:gridCol w:w="320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r>
              <w:rPr>
                <w:color w:val="000000"/>
                <w:spacing w:val="0"/>
                <w:w w:val="100"/>
                <w:position w:val="0"/>
                <w:sz w:val="18"/>
                <w:szCs w:val="18"/>
              </w:rPr>
              <w:t>一</w:t>
            </w: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5,701,352.72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履约保函及票据保证金</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208,002,488.55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抵押</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26,016,471.40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抵押</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31,581,577.57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抵押</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00" w:right="0" w:firstLine="0"/>
              <w:jc w:val="left"/>
            </w:pPr>
            <w:r>
              <w:rPr>
                <w:color w:val="000000"/>
                <w:spacing w:val="0"/>
                <w:w w:val="100"/>
                <w:position w:val="0"/>
              </w:rPr>
              <w:t>质押</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273,801,890.24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140"/>
        <w:jc w:val="both"/>
      </w:pPr>
      <w:bookmarkStart w:id="210" w:name="bookmark210"/>
      <w:bookmarkStart w:id="211" w:name="bookmark211"/>
      <w:bookmarkStart w:id="212" w:name="bookmark212"/>
      <w:bookmarkStart w:id="213" w:name="bookmark213"/>
      <w:r>
        <w:rPr>
          <w:color w:val="000000"/>
          <w:spacing w:val="0"/>
          <w:w w:val="100"/>
          <w:position w:val="0"/>
          <w:sz w:val="24"/>
          <w:szCs w:val="24"/>
        </w:rPr>
        <w:t>五</w:t>
      </w:r>
      <w:bookmarkEnd w:id="212"/>
      <w:r>
        <w:rPr>
          <w:color w:val="000000"/>
          <w:spacing w:val="0"/>
          <w:w w:val="100"/>
          <w:position w:val="0"/>
          <w:sz w:val="24"/>
          <w:szCs w:val="24"/>
        </w:rPr>
        <w:t>、投资状况分析</w:t>
      </w:r>
      <w:bookmarkEnd w:id="210"/>
      <w:bookmarkEnd w:id="211"/>
      <w:bookmarkEnd w:id="213"/>
    </w:p>
    <w:p>
      <w:pPr>
        <w:pStyle w:val="Style39"/>
        <w:keepNext/>
        <w:keepLines/>
        <w:widowControl w:val="0"/>
        <w:shd w:val="clear" w:color="auto" w:fill="auto"/>
        <w:bidi w:val="0"/>
        <w:spacing w:before="0" w:after="380" w:line="240" w:lineRule="auto"/>
        <w:ind w:left="0" w:right="0" w:firstLine="60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、总体情况</w:t>
      </w:r>
      <w:bookmarkEnd w:id="214"/>
      <w:bookmarkEnd w:id="215"/>
      <w:bookmarkEnd w:id="217"/>
    </w:p>
    <w:p>
      <w:pPr>
        <w:pStyle w:val="Style35"/>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30"/>
        <w:gridCol w:w="3192"/>
        <w:gridCol w:w="322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89,570,000.00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105,085,562.74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60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、报告期内获取的重大的股权投资情况</w:t>
      </w:r>
      <w:bookmarkEnd w:id="218"/>
      <w:bookmarkEnd w:id="219"/>
      <w:bookmarkEnd w:id="221"/>
    </w:p>
    <w:p>
      <w:pPr>
        <w:pStyle w:val="Style35"/>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160" w:firstLine="0"/>
        <w:jc w:val="right"/>
      </w:pPr>
      <w:r>
        <w:rPr>
          <w:color w:val="000000"/>
          <w:spacing w:val="0"/>
          <w:w w:val="100"/>
          <w:position w:val="0"/>
        </w:rPr>
        <w:t>单位：元</w:t>
      </w:r>
    </w:p>
    <w:p>
      <w:pPr>
        <w:widowControl w:val="0"/>
        <w:spacing w:line="1" w:lineRule="exac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495" w:right="954" w:bottom="1157" w:left="944" w:header="67" w:footer="3" w:gutter="0"/>
          <w:cols w:space="720"/>
          <w:noEndnote/>
          <w:rtlGutter w:val="0"/>
          <w:docGrid w:linePitch="360"/>
        </w:sectPr>
      </w:pPr>
      <w:r>
        <mc:AlternateContent>
          <mc:Choice Requires="wps">
            <w:drawing>
              <wp:anchor distT="24130" distB="12065" distL="0" distR="0" simplePos="0" relativeHeight="125829378" behindDoc="0" locked="0" layoutInCell="1" allowOverlap="1">
                <wp:simplePos x="0" y="0"/>
                <wp:positionH relativeFrom="page">
                  <wp:posOffset>760730</wp:posOffset>
                </wp:positionH>
                <wp:positionV relativeFrom="paragraph">
                  <wp:posOffset>24130</wp:posOffset>
                </wp:positionV>
                <wp:extent cx="326390" cy="509270"/>
                <wp:wrapTopAndBottom/>
                <wp:docPr id="101" name="Shape 101"/>
                <a:graphic xmlns:a="http://schemas.openxmlformats.org/drawingml/2006/main">
                  <a:graphicData uri="http://schemas.microsoft.com/office/word/2010/wordprocessingShape">
                    <wps:wsp>
                      <wps:cNvSpPr txBox="1"/>
                      <wps:spPr>
                        <a:xfrm>
                          <a:ext cx="326390" cy="509270"/>
                        </a:xfrm>
                        <a:prstGeom prst="rect"/>
                        <a:noFill/>
                      </wps:spPr>
                      <wps:txbx>
                        <w:txbxContent>
                          <w:p>
                            <w:pPr>
                              <w:pStyle w:val="Style5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被投资</w:t>
                              <w:br/>
                              <w:t>公司</w:t>
                              <w:br/>
                              <w:t>名称</w:t>
                            </w:r>
                          </w:p>
                        </w:txbxContent>
                      </wps:txbx>
                      <wps:bodyPr lIns="0" tIns="0" rIns="0" bIns="0">
                        <a:noAutoFit/>
                      </wps:bodyPr>
                    </wps:wsp>
                  </a:graphicData>
                </a:graphic>
              </wp:anchor>
            </w:drawing>
          </mc:Choice>
          <mc:Fallback>
            <w:pict>
              <v:shape id="_x0000_s1127" type="#_x0000_t202" style="position:absolute;margin-left:59.899999999999999pt;margin-top:1.9000000000000001pt;width:25.699999999999999pt;height:40.100000000000001pt;z-index:-125829375;mso-wrap-distance-left:0;mso-wrap-distance-top:1.9000000000000001pt;mso-wrap-distance-right:0;mso-wrap-distance-bottom:0.95000000000000007pt;mso-position-horizontal-relative:page" filled="f" stroked="f">
                <v:textbox inset="0,0,0,0">
                  <w:txbxContent>
                    <w:p>
                      <w:pPr>
                        <w:pStyle w:val="Style5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被投资</w:t>
                        <w:br/>
                        <w:t>公司</w:t>
                        <w:br/>
                        <w:t>名称</w:t>
                      </w:r>
                    </w:p>
                  </w:txbxContent>
                </v:textbox>
                <w10:wrap type="topAndBottom" anchorx="page"/>
              </v:shape>
            </w:pict>
          </mc:Fallback>
        </mc:AlternateContent>
      </w:r>
      <w:r>
        <mc:AlternateContent>
          <mc:Choice Requires="wps">
            <w:drawing>
              <wp:anchor distT="231775" distB="182880" distL="0" distR="0" simplePos="0" relativeHeight="125829380" behindDoc="0" locked="0" layoutInCell="1" allowOverlap="1">
                <wp:simplePos x="0" y="0"/>
                <wp:positionH relativeFrom="page">
                  <wp:posOffset>1388745</wp:posOffset>
                </wp:positionH>
                <wp:positionV relativeFrom="paragraph">
                  <wp:posOffset>231775</wp:posOffset>
                </wp:positionV>
                <wp:extent cx="423545" cy="130810"/>
                <wp:wrapTopAndBottom/>
                <wp:docPr id="103" name="Shape 103"/>
                <a:graphic xmlns:a="http://schemas.openxmlformats.org/drawingml/2006/main">
                  <a:graphicData uri="http://schemas.microsoft.com/office/word/2010/wordprocessingShape">
                    <wps:wsp>
                      <wps:cNvSpPr txBox="1"/>
                      <wps:spPr>
                        <a:xfrm>
                          <a:ext cx="423545" cy="1308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xbxContent>
                      </wps:txbx>
                      <wps:bodyPr wrap="none" lIns="0" tIns="0" rIns="0" bIns="0">
                        <a:noAutoFit/>
                      </wps:bodyPr>
                    </wps:wsp>
                  </a:graphicData>
                </a:graphic>
              </wp:anchor>
            </w:drawing>
          </mc:Choice>
          <mc:Fallback>
            <w:pict>
              <v:shape id="_x0000_s1129" type="#_x0000_t202" style="position:absolute;margin-left:109.35000000000001pt;margin-top:18.25pt;width:33.350000000000001pt;height:10.300000000000001pt;z-index:-125829373;mso-wrap-distance-left:0;mso-wrap-distance-top:18.25pt;mso-wrap-distance-right:0;mso-wrap-distance-bottom:14.4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xbxContent>
                </v:textbox>
                <w10:wrap type="topAndBottom" anchorx="page"/>
              </v:shape>
            </w:pict>
          </mc:Fallback>
        </mc:AlternateContent>
      </w:r>
      <w:r>
        <mc:AlternateContent>
          <mc:Choice Requires="wps">
            <w:drawing>
              <wp:anchor distT="121920" distB="100330" distL="0" distR="0" simplePos="0" relativeHeight="125829382" behindDoc="0" locked="0" layoutInCell="1" allowOverlap="1">
                <wp:simplePos x="0" y="0"/>
                <wp:positionH relativeFrom="page">
                  <wp:posOffset>2089785</wp:posOffset>
                </wp:positionH>
                <wp:positionV relativeFrom="paragraph">
                  <wp:posOffset>121920</wp:posOffset>
                </wp:positionV>
                <wp:extent cx="225425" cy="323215"/>
                <wp:wrapTopAndBottom/>
                <wp:docPr id="105" name="Shape 105"/>
                <a:graphic xmlns:a="http://schemas.openxmlformats.org/drawingml/2006/main">
                  <a:graphicData uri="http://schemas.microsoft.com/office/word/2010/wordprocessingShape">
                    <wps:wsp>
                      <wps:cNvSpPr txBox="1"/>
                      <wps:spPr>
                        <a:xfrm>
                          <a:ext cx="225425" cy="323215"/>
                        </a:xfrm>
                        <a:prstGeom prst="rect"/>
                        <a:noFill/>
                      </wps:spPr>
                      <wps:txbx>
                        <w:txbxContent>
                          <w:p>
                            <w:pPr>
                              <w:pStyle w:val="Style51"/>
                              <w:keepNext w:val="0"/>
                              <w:keepLines w:val="0"/>
                              <w:widowControl w:val="0"/>
                              <w:shd w:val="clear" w:color="auto" w:fill="auto"/>
                              <w:bidi w:val="0"/>
                              <w:spacing w:before="0" w:after="0"/>
                              <w:ind w:left="0" w:right="0" w:firstLine="0"/>
                              <w:jc w:val="left"/>
                            </w:pPr>
                            <w:r>
                              <w:rPr>
                                <w:color w:val="000000"/>
                                <w:spacing w:val="0"/>
                                <w:w w:val="100"/>
                                <w:position w:val="0"/>
                              </w:rPr>
                              <w:t>投资 方式</w:t>
                            </w:r>
                          </w:p>
                        </w:txbxContent>
                      </wps:txbx>
                      <wps:bodyPr lIns="0" tIns="0" rIns="0" bIns="0">
                        <a:noAutoFit/>
                      </wps:bodyPr>
                    </wps:wsp>
                  </a:graphicData>
                </a:graphic>
              </wp:anchor>
            </w:drawing>
          </mc:Choice>
          <mc:Fallback>
            <w:pict>
              <v:shape id="_x0000_s1131" type="#_x0000_t202" style="position:absolute;margin-left:164.55000000000001pt;margin-top:9.5999999999999996pt;width:17.75pt;height:25.449999999999999pt;z-index:-125829371;mso-wrap-distance-left:0;mso-wrap-distance-top:9.5999999999999996pt;mso-wrap-distance-right:0;mso-wrap-distance-bottom:7.9000000000000004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left"/>
                      </w:pPr>
                      <w:r>
                        <w:rPr>
                          <w:color w:val="000000"/>
                          <w:spacing w:val="0"/>
                          <w:w w:val="100"/>
                          <w:position w:val="0"/>
                        </w:rPr>
                        <w:t>投资 方式</w:t>
                      </w:r>
                    </w:p>
                  </w:txbxContent>
                </v:textbox>
                <w10:wrap type="topAndBottom" anchorx="page"/>
              </v:shape>
            </w:pict>
          </mc:Fallback>
        </mc:AlternateContent>
      </w:r>
      <w:r>
        <mc:AlternateContent>
          <mc:Choice Requires="wps">
            <w:drawing>
              <wp:anchor distT="143510" distB="90805" distL="0" distR="0" simplePos="0" relativeHeight="125829384" behindDoc="0" locked="0" layoutInCell="1" allowOverlap="1">
                <wp:simplePos x="0" y="0"/>
                <wp:positionH relativeFrom="page">
                  <wp:posOffset>2403475</wp:posOffset>
                </wp:positionH>
                <wp:positionV relativeFrom="paragraph">
                  <wp:posOffset>143510</wp:posOffset>
                </wp:positionV>
                <wp:extent cx="225425" cy="311150"/>
                <wp:wrapTopAndBottom/>
                <wp:docPr id="107" name="Shape 107"/>
                <a:graphic xmlns:a="http://schemas.openxmlformats.org/drawingml/2006/main">
                  <a:graphicData uri="http://schemas.microsoft.com/office/word/2010/wordprocessingShape">
                    <wps:wsp>
                      <wps:cNvSpPr txBox="1"/>
                      <wps:spPr>
                        <a:xfrm>
                          <a:ext cx="225425" cy="311150"/>
                        </a:xfrm>
                        <a:prstGeom prst="rect"/>
                        <a:noFill/>
                      </wps:spPr>
                      <wps:txbx>
                        <w:txbxContent>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xbxContent>
                      </wps:txbx>
                      <wps:bodyPr lIns="0" tIns="0" rIns="0" bIns="0">
                        <a:noAutoFit/>
                      </wps:bodyPr>
                    </wps:wsp>
                  </a:graphicData>
                </a:graphic>
              </wp:anchor>
            </w:drawing>
          </mc:Choice>
          <mc:Fallback>
            <w:pict>
              <v:shape id="_x0000_s1133" type="#_x0000_t202" style="position:absolute;margin-left:189.25pt;margin-top:11.300000000000001pt;width:17.75pt;height:24.5pt;z-index:-125829369;mso-wrap-distance-left:0;mso-wrap-distance-top:11.300000000000001pt;mso-wrap-distance-right:0;mso-wrap-distance-bottom:7.1500000000000004pt;mso-position-horizontal-relative:page" filled="f" stroked="f">
                <v:textbox inset="0,0,0,0">
                  <w:txbxContent>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xbxContent>
                </v:textbox>
                <w10:wrap type="topAndBottom" anchorx="page"/>
              </v:shape>
            </w:pict>
          </mc:Fallback>
        </mc:AlternateContent>
      </w:r>
      <w:r>
        <mc:AlternateContent>
          <mc:Choice Requires="wps">
            <w:drawing>
              <wp:anchor distT="143510" distB="93980" distL="0" distR="0" simplePos="0" relativeHeight="125829386" behindDoc="0" locked="0" layoutInCell="1" allowOverlap="1">
                <wp:simplePos x="0" y="0"/>
                <wp:positionH relativeFrom="page">
                  <wp:posOffset>2720340</wp:posOffset>
                </wp:positionH>
                <wp:positionV relativeFrom="paragraph">
                  <wp:posOffset>143510</wp:posOffset>
                </wp:positionV>
                <wp:extent cx="225425" cy="307975"/>
                <wp:wrapTopAndBottom/>
                <wp:docPr id="109" name="Shape 109"/>
                <a:graphic xmlns:a="http://schemas.openxmlformats.org/drawingml/2006/main">
                  <a:graphicData uri="http://schemas.microsoft.com/office/word/2010/wordprocessingShape">
                    <wps:wsp>
                      <wps:cNvSpPr txBox="1"/>
                      <wps:spPr>
                        <a:xfrm>
                          <a:ext cx="225425" cy="307975"/>
                        </a:xfrm>
                        <a:prstGeom prst="rect"/>
                        <a:noFill/>
                      </wps:spPr>
                      <wps:txbx>
                        <w:txbxContent>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xbxContent>
                      </wps:txbx>
                      <wps:bodyPr lIns="0" tIns="0" rIns="0" bIns="0">
                        <a:noAutoFit/>
                      </wps:bodyPr>
                    </wps:wsp>
                  </a:graphicData>
                </a:graphic>
              </wp:anchor>
            </w:drawing>
          </mc:Choice>
          <mc:Fallback>
            <w:pict>
              <v:shape id="_x0000_s1135" type="#_x0000_t202" style="position:absolute;margin-left:214.20000000000002pt;margin-top:11.300000000000001pt;width:17.75pt;height:24.25pt;z-index:-125829367;mso-wrap-distance-left:0;mso-wrap-distance-top:11.300000000000001pt;mso-wrap-distance-right:0;mso-wrap-distance-bottom:7.4000000000000004pt;mso-position-horizontal-relative:page" filled="f" stroked="f">
                <v:textbox inset="0,0,0,0">
                  <w:txbxContent>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xbxContent>
                </v:textbox>
                <w10:wrap type="topAndBottom" anchorx="page"/>
              </v:shape>
            </w:pict>
          </mc:Fallback>
        </mc:AlternateContent>
      </w:r>
      <w:r>
        <mc:AlternateContent>
          <mc:Choice Requires="wps">
            <w:drawing>
              <wp:anchor distT="143510" distB="88265" distL="0" distR="0" simplePos="0" relativeHeight="125829388" behindDoc="0" locked="0" layoutInCell="1" allowOverlap="1">
                <wp:simplePos x="0" y="0"/>
                <wp:positionH relativeFrom="page">
                  <wp:posOffset>2985770</wp:posOffset>
                </wp:positionH>
                <wp:positionV relativeFrom="paragraph">
                  <wp:posOffset>143510</wp:posOffset>
                </wp:positionV>
                <wp:extent cx="231775" cy="313690"/>
                <wp:wrapTopAndBottom/>
                <wp:docPr id="111" name="Shape 111"/>
                <a:graphic xmlns:a="http://schemas.openxmlformats.org/drawingml/2006/main">
                  <a:graphicData uri="http://schemas.microsoft.com/office/word/2010/wordprocessingShape">
                    <wps:wsp>
                      <wps:cNvSpPr txBox="1"/>
                      <wps:spPr>
                        <a:xfrm>
                          <a:ext cx="231775" cy="313690"/>
                        </a:xfrm>
                        <a:prstGeom prst="rect"/>
                        <a:noFill/>
                      </wps:spPr>
                      <wps:txbx>
                        <w:txbxContent>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xbxContent>
                      </wps:txbx>
                      <wps:bodyPr lIns="0" tIns="0" rIns="0" bIns="0">
                        <a:noAutoFit/>
                      </wps:bodyPr>
                    </wps:wsp>
                  </a:graphicData>
                </a:graphic>
              </wp:anchor>
            </w:drawing>
          </mc:Choice>
          <mc:Fallback>
            <w:pict>
              <v:shape id="_x0000_s1137" type="#_x0000_t202" style="position:absolute;margin-left:235.09999999999999pt;margin-top:11.300000000000001pt;width:18.25pt;height:24.699999999999999pt;z-index:-125829365;mso-wrap-distance-left:0;mso-wrap-distance-top:11.300000000000001pt;mso-wrap-distance-right:0;mso-wrap-distance-bottom:6.9500000000000002pt;mso-position-horizontal-relative:page" filled="f" stroked="f">
                <v:textbox inset="0,0,0,0">
                  <w:txbxContent>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xbxContent>
                </v:textbox>
                <w10:wrap type="topAndBottom" anchorx="page"/>
              </v:shape>
            </w:pict>
          </mc:Fallback>
        </mc:AlternateContent>
      </w:r>
      <w:r>
        <mc:AlternateContent>
          <mc:Choice Requires="wps">
            <w:drawing>
              <wp:anchor distT="231775" distB="179705" distL="0" distR="0" simplePos="0" relativeHeight="125829390" behindDoc="0" locked="0" layoutInCell="1" allowOverlap="1">
                <wp:simplePos x="0" y="0"/>
                <wp:positionH relativeFrom="page">
                  <wp:posOffset>3299460</wp:posOffset>
                </wp:positionH>
                <wp:positionV relativeFrom="paragraph">
                  <wp:posOffset>231775</wp:posOffset>
                </wp:positionV>
                <wp:extent cx="328930" cy="133985"/>
                <wp:wrapTopAndBottom/>
                <wp:docPr id="113" name="Shape 113"/>
                <a:graphic xmlns:a="http://schemas.openxmlformats.org/drawingml/2006/main">
                  <a:graphicData uri="http://schemas.microsoft.com/office/word/2010/wordprocessingShape">
                    <wps:wsp>
                      <wps:cNvSpPr txBox="1"/>
                      <wps:spPr>
                        <a:xfrm>
                          <a:ext cx="328930" cy="13398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xbxContent>
                      </wps:txbx>
                      <wps:bodyPr wrap="none" lIns="0" tIns="0" rIns="0" bIns="0">
                        <a:noAutoFit/>
                      </wps:bodyPr>
                    </wps:wsp>
                  </a:graphicData>
                </a:graphic>
              </wp:anchor>
            </w:drawing>
          </mc:Choice>
          <mc:Fallback>
            <w:pict>
              <v:shape id="_x0000_s1139" type="#_x0000_t202" style="position:absolute;margin-left:259.80000000000001pt;margin-top:18.25pt;width:25.900000000000002pt;height:10.550000000000001pt;z-index:-125829363;mso-wrap-distance-left:0;mso-wrap-distance-top:18.25pt;mso-wrap-distance-right:0;mso-wrap-distance-bottom:14.1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xbxContent>
                </v:textbox>
                <w10:wrap type="topAndBottom" anchorx="page"/>
              </v:shape>
            </w:pict>
          </mc:Fallback>
        </mc:AlternateContent>
      </w:r>
      <w:r>
        <mc:AlternateContent>
          <mc:Choice Requires="wps">
            <w:drawing>
              <wp:anchor distT="143510" distB="88265" distL="0" distR="0" simplePos="0" relativeHeight="125829392" behindDoc="0" locked="0" layoutInCell="1" allowOverlap="1">
                <wp:simplePos x="0" y="0"/>
                <wp:positionH relativeFrom="page">
                  <wp:posOffset>3845560</wp:posOffset>
                </wp:positionH>
                <wp:positionV relativeFrom="paragraph">
                  <wp:posOffset>143510</wp:posOffset>
                </wp:positionV>
                <wp:extent cx="225425" cy="313690"/>
                <wp:wrapTopAndBottom/>
                <wp:docPr id="115" name="Shape 115"/>
                <a:graphic xmlns:a="http://schemas.openxmlformats.org/drawingml/2006/main">
                  <a:graphicData uri="http://schemas.microsoft.com/office/word/2010/wordprocessingShape">
                    <wps:wsp>
                      <wps:cNvSpPr txBox="1"/>
                      <wps:spPr>
                        <a:xfrm>
                          <a:ext cx="225425" cy="313690"/>
                        </a:xfrm>
                        <a:prstGeom prst="rect"/>
                        <a:noFill/>
                      </wps:spPr>
                      <wps:txbx>
                        <w:txbxContent>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xbxContent>
                      </wps:txbx>
                      <wps:bodyPr lIns="0" tIns="0" rIns="0" bIns="0">
                        <a:noAutoFit/>
                      </wps:bodyPr>
                    </wps:wsp>
                  </a:graphicData>
                </a:graphic>
              </wp:anchor>
            </w:drawing>
          </mc:Choice>
          <mc:Fallback>
            <w:pict>
              <v:shape id="_x0000_s1141" type="#_x0000_t202" style="position:absolute;margin-left:302.80000000000001pt;margin-top:11.300000000000001pt;width:17.75pt;height:24.699999999999999pt;z-index:-125829361;mso-wrap-distance-left:0;mso-wrap-distance-top:11.300000000000001pt;mso-wrap-distance-right:0;mso-wrap-distance-bottom:6.9500000000000002pt;mso-position-horizontal-relative:page" filled="f" stroked="f">
                <v:textbox inset="0,0,0,0">
                  <w:txbxContent>
                    <w:p>
                      <w:pPr>
                        <w:pStyle w:val="Style5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xbxContent>
                </v:textbox>
                <w10:wrap type="topAndBottom" anchorx="page"/>
              </v:shape>
            </w:pict>
          </mc:Fallback>
        </mc:AlternateContent>
      </w:r>
      <w:r>
        <mc:AlternateContent>
          <mc:Choice Requires="wps">
            <w:drawing>
              <wp:anchor distT="118745" distB="103505" distL="0" distR="0" simplePos="0" relativeHeight="125829394" behindDoc="0" locked="0" layoutInCell="1" allowOverlap="1">
                <wp:simplePos x="0" y="0"/>
                <wp:positionH relativeFrom="page">
                  <wp:posOffset>4247515</wp:posOffset>
                </wp:positionH>
                <wp:positionV relativeFrom="paragraph">
                  <wp:posOffset>118745</wp:posOffset>
                </wp:positionV>
                <wp:extent cx="231775" cy="323215"/>
                <wp:wrapTopAndBottom/>
                <wp:docPr id="117" name="Shape 117"/>
                <a:graphic xmlns:a="http://schemas.openxmlformats.org/drawingml/2006/main">
                  <a:graphicData uri="http://schemas.microsoft.com/office/word/2010/wordprocessingShape">
                    <wps:wsp>
                      <wps:cNvSpPr txBox="1"/>
                      <wps:spPr>
                        <a:xfrm>
                          <a:ext cx="231775" cy="323215"/>
                        </a:xfrm>
                        <a:prstGeom prst="rect"/>
                        <a:noFill/>
                      </wps:spPr>
                      <wps:txbx>
                        <w:txbxContent>
                          <w:p>
                            <w:pPr>
                              <w:pStyle w:val="Style51"/>
                              <w:keepNext w:val="0"/>
                              <w:keepLines w:val="0"/>
                              <w:widowControl w:val="0"/>
                              <w:shd w:val="clear" w:color="auto" w:fill="auto"/>
                              <w:bidi w:val="0"/>
                              <w:spacing w:before="0" w:after="0"/>
                              <w:ind w:left="0" w:right="0" w:firstLine="0"/>
                              <w:jc w:val="both"/>
                            </w:pPr>
                            <w:r>
                              <w:rPr>
                                <w:color w:val="000000"/>
                                <w:spacing w:val="0"/>
                                <w:w w:val="100"/>
                                <w:position w:val="0"/>
                              </w:rPr>
                              <w:t>产品 类型</w:t>
                            </w:r>
                          </w:p>
                        </w:txbxContent>
                      </wps:txbx>
                      <wps:bodyPr lIns="0" tIns="0" rIns="0" bIns="0">
                        <a:noAutoFit/>
                      </wps:bodyPr>
                    </wps:wsp>
                  </a:graphicData>
                </a:graphic>
              </wp:anchor>
            </w:drawing>
          </mc:Choice>
          <mc:Fallback>
            <w:pict>
              <v:shape id="_x0000_s1143" type="#_x0000_t202" style="position:absolute;margin-left:334.44999999999999pt;margin-top:9.3499999999999996pt;width:18.25pt;height:25.449999999999999pt;z-index:-125829359;mso-wrap-distance-left:0;mso-wrap-distance-top:9.3499999999999996pt;mso-wrap-distance-right:0;mso-wrap-distance-bottom:8.1500000000000004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both"/>
                      </w:pPr>
                      <w:r>
                        <w:rPr>
                          <w:color w:val="000000"/>
                          <w:spacing w:val="0"/>
                          <w:w w:val="100"/>
                          <w:position w:val="0"/>
                        </w:rPr>
                        <w:t>产品 类型</w:t>
                      </w:r>
                    </w:p>
                  </w:txbxContent>
                </v:textbox>
                <w10:wrap type="topAndBottom" anchorx="page"/>
              </v:shape>
            </w:pict>
          </mc:Fallback>
        </mc:AlternateContent>
      </w:r>
      <w:r>
        <mc:AlternateContent>
          <mc:Choice Requires="wps">
            <w:drawing>
              <wp:anchor distT="48895" distB="24130" distL="0" distR="0" simplePos="0" relativeHeight="125829396" behindDoc="0" locked="0" layoutInCell="1" allowOverlap="1">
                <wp:simplePos x="0" y="0"/>
                <wp:positionH relativeFrom="page">
                  <wp:posOffset>4516120</wp:posOffset>
                </wp:positionH>
                <wp:positionV relativeFrom="paragraph">
                  <wp:posOffset>48895</wp:posOffset>
                </wp:positionV>
                <wp:extent cx="499745" cy="472440"/>
                <wp:wrapTopAndBottom/>
                <wp:docPr id="119" name="Shape 119"/>
                <a:graphic xmlns:a="http://schemas.openxmlformats.org/drawingml/2006/main">
                  <a:graphicData uri="http://schemas.microsoft.com/office/word/2010/wordprocessingShape">
                    <wps:wsp>
                      <wps:cNvSpPr txBox="1"/>
                      <wps:spPr>
                        <a:xfrm>
                          <a:ext cx="499745" cy="472440"/>
                        </a:xfrm>
                        <a:prstGeom prst="rect"/>
                        <a:noFill/>
                      </wps:spPr>
                      <wps:txbx>
                        <w:txbxContent>
                          <w:p>
                            <w:pPr>
                              <w:pStyle w:val="Style51"/>
                              <w:keepNext w:val="0"/>
                              <w:keepLines w:val="0"/>
                              <w:widowControl w:val="0"/>
                              <w:shd w:val="clear" w:color="auto" w:fill="auto"/>
                              <w:bidi w:val="0"/>
                              <w:spacing w:before="0" w:after="0" w:line="242" w:lineRule="exact"/>
                              <w:ind w:left="0" w:right="0" w:firstLine="0"/>
                              <w:jc w:val="center"/>
                              <w:rPr>
                                <w:sz w:val="14"/>
                                <w:szCs w:val="14"/>
                              </w:rPr>
                            </w:pPr>
                            <w:r>
                              <w:rPr>
                                <w:color w:val="000000"/>
                                <w:spacing w:val="0"/>
                                <w:w w:val="100"/>
                                <w:position w:val="0"/>
                                <w:sz w:val="14"/>
                                <w:szCs w:val="14"/>
                              </w:rPr>
                              <w:t>截至资产负</w:t>
                              <w:br/>
                              <w:t>债表日的进</w:t>
                              <w:br/>
                              <w:t>展情况</w:t>
                            </w:r>
                          </w:p>
                        </w:txbxContent>
                      </wps:txbx>
                      <wps:bodyPr lIns="0" tIns="0" rIns="0" bIns="0">
                        <a:noAutoFit/>
                      </wps:bodyPr>
                    </wps:wsp>
                  </a:graphicData>
                </a:graphic>
              </wp:anchor>
            </w:drawing>
          </mc:Choice>
          <mc:Fallback>
            <w:pict>
              <v:shape id="_x0000_s1145" type="#_x0000_t202" style="position:absolute;margin-left:355.60000000000002pt;margin-top:3.8500000000000001pt;width:39.350000000000001pt;height:37.200000000000003pt;z-index:-125829357;mso-wrap-distance-left:0;mso-wrap-distance-top:3.8500000000000001pt;mso-wrap-distance-right:0;mso-wrap-distance-bottom:1.9000000000000001pt;mso-position-horizontal-relative:page" filled="f" stroked="f">
                <v:textbox inset="0,0,0,0">
                  <w:txbxContent>
                    <w:p>
                      <w:pPr>
                        <w:pStyle w:val="Style51"/>
                        <w:keepNext w:val="0"/>
                        <w:keepLines w:val="0"/>
                        <w:widowControl w:val="0"/>
                        <w:shd w:val="clear" w:color="auto" w:fill="auto"/>
                        <w:bidi w:val="0"/>
                        <w:spacing w:before="0" w:after="0" w:line="242" w:lineRule="exact"/>
                        <w:ind w:left="0" w:right="0" w:firstLine="0"/>
                        <w:jc w:val="center"/>
                        <w:rPr>
                          <w:sz w:val="14"/>
                          <w:szCs w:val="14"/>
                        </w:rPr>
                      </w:pPr>
                      <w:r>
                        <w:rPr>
                          <w:color w:val="000000"/>
                          <w:spacing w:val="0"/>
                          <w:w w:val="100"/>
                          <w:position w:val="0"/>
                          <w:sz w:val="14"/>
                          <w:szCs w:val="14"/>
                        </w:rPr>
                        <w:t>截至资产负</w:t>
                        <w:br/>
                        <w:t>债表日的进</w:t>
                        <w:br/>
                        <w:t>展情况</w:t>
                      </w:r>
                    </w:p>
                  </w:txbxContent>
                </v:textbox>
                <w10:wrap type="topAndBottom" anchorx="page"/>
              </v:shape>
            </w:pict>
          </mc:Fallback>
        </mc:AlternateContent>
      </w:r>
      <w:r>
        <mc:AlternateContent>
          <mc:Choice Requires="wps">
            <w:drawing>
              <wp:anchor distT="85090" distB="88265" distL="0" distR="0" simplePos="0" relativeHeight="125829398" behindDoc="0" locked="0" layoutInCell="1" allowOverlap="1">
                <wp:simplePos x="0" y="0"/>
                <wp:positionH relativeFrom="page">
                  <wp:posOffset>5064760</wp:posOffset>
                </wp:positionH>
                <wp:positionV relativeFrom="paragraph">
                  <wp:posOffset>85090</wp:posOffset>
                </wp:positionV>
                <wp:extent cx="853440" cy="372110"/>
                <wp:wrapTopAndBottom/>
                <wp:docPr id="121" name="Shape 121"/>
                <a:graphic xmlns:a="http://schemas.openxmlformats.org/drawingml/2006/main">
                  <a:graphicData uri="http://schemas.microsoft.com/office/word/2010/wordprocessingShape">
                    <wps:wsp>
                      <wps:cNvSpPr txBox="1"/>
                      <wps:spPr>
                        <a:xfrm>
                          <a:ext cx="853440" cy="372110"/>
                        </a:xfrm>
                        <a:prstGeom prst="rect"/>
                        <a:noFill/>
                      </wps:spPr>
                      <wps:txbx>
                        <w:txbxContent>
                          <w:p>
                            <w:pPr>
                              <w:pStyle w:val="Style51"/>
                              <w:keepNext w:val="0"/>
                              <w:keepLines w:val="0"/>
                              <w:widowControl w:val="0"/>
                              <w:shd w:val="clear" w:color="auto" w:fill="auto"/>
                              <w:bidi w:val="0"/>
                              <w:spacing w:before="0" w:after="0" w:line="283" w:lineRule="exact"/>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sz w:val="16"/>
                                <w:szCs w:val="16"/>
                              </w:rPr>
                              <w:t>I</w:t>
                            </w:r>
                            <w:r>
                              <w:rPr>
                                <w:color w:val="000000"/>
                                <w:spacing w:val="0"/>
                                <w:w w:val="100"/>
                                <w:position w:val="0"/>
                              </w:rPr>
                              <w:t>本期投</w:t>
                            </w:r>
                            <w:r>
                              <w:rPr>
                                <w:rFonts w:ascii="Times New Roman" w:eastAsia="Times New Roman" w:hAnsi="Times New Roman" w:cs="Times New Roman"/>
                                <w:color w:val="000000"/>
                                <w:spacing w:val="0"/>
                                <w:w w:val="100"/>
                                <w:position w:val="0"/>
                                <w:sz w:val="16"/>
                                <w:szCs w:val="16"/>
                              </w:rPr>
                              <w:t>I</w:t>
                            </w:r>
                            <w:r>
                              <w:rPr>
                                <w:color w:val="000000"/>
                                <w:spacing w:val="0"/>
                                <w:w w:val="100"/>
                                <w:position w:val="0"/>
                              </w:rPr>
                              <w:t>是否 收益</w:t>
                            </w:r>
                            <w:r>
                              <w:rPr>
                                <w:rFonts w:ascii="Times New Roman" w:eastAsia="Times New Roman" w:hAnsi="Times New Roman" w:cs="Times New Roman"/>
                                <w:color w:val="000000"/>
                                <w:spacing w:val="0"/>
                                <w:w w:val="100"/>
                                <w:position w:val="0"/>
                                <w:sz w:val="16"/>
                                <w:szCs w:val="16"/>
                              </w:rPr>
                              <w:t>I</w:t>
                            </w:r>
                            <w:r>
                              <w:rPr>
                                <w:color w:val="000000"/>
                                <w:spacing w:val="0"/>
                                <w:w w:val="100"/>
                                <w:position w:val="0"/>
                              </w:rPr>
                              <w:t>资盈亏</w:t>
                            </w:r>
                            <w:r>
                              <w:rPr>
                                <w:rFonts w:ascii="Times New Roman" w:eastAsia="Times New Roman" w:hAnsi="Times New Roman" w:cs="Times New Roman"/>
                                <w:color w:val="000000"/>
                                <w:spacing w:val="0"/>
                                <w:w w:val="100"/>
                                <w:position w:val="0"/>
                                <w:sz w:val="16"/>
                                <w:szCs w:val="16"/>
                              </w:rPr>
                              <w:t>I</w:t>
                            </w:r>
                            <w:r>
                              <w:rPr>
                                <w:color w:val="000000"/>
                                <w:spacing w:val="0"/>
                                <w:w w:val="100"/>
                                <w:position w:val="0"/>
                              </w:rPr>
                              <w:t>涉诉</w:t>
                            </w:r>
                          </w:p>
                        </w:txbxContent>
                      </wps:txbx>
                      <wps:bodyPr lIns="0" tIns="0" rIns="0" bIns="0">
                        <a:noAutoFit/>
                      </wps:bodyPr>
                    </wps:wsp>
                  </a:graphicData>
                </a:graphic>
              </wp:anchor>
            </w:drawing>
          </mc:Choice>
          <mc:Fallback>
            <w:pict>
              <v:shape id="_x0000_s1147" type="#_x0000_t202" style="position:absolute;margin-left:398.80000000000001pt;margin-top:6.7000000000000002pt;width:67.200000000000003pt;height:29.300000000000001pt;z-index:-125829355;mso-wrap-distance-left:0;mso-wrap-distance-top:6.7000000000000002pt;mso-wrap-distance-right:0;mso-wrap-distance-bottom:6.9500000000000002pt;mso-position-horizontal-relative:page" filled="f" stroked="f">
                <v:textbox inset="0,0,0,0">
                  <w:txbxContent>
                    <w:p>
                      <w:pPr>
                        <w:pStyle w:val="Style51"/>
                        <w:keepNext w:val="0"/>
                        <w:keepLines w:val="0"/>
                        <w:widowControl w:val="0"/>
                        <w:shd w:val="clear" w:color="auto" w:fill="auto"/>
                        <w:bidi w:val="0"/>
                        <w:spacing w:before="0" w:after="0" w:line="283" w:lineRule="exact"/>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sz w:val="16"/>
                          <w:szCs w:val="16"/>
                        </w:rPr>
                        <w:t>I</w:t>
                      </w:r>
                      <w:r>
                        <w:rPr>
                          <w:color w:val="000000"/>
                          <w:spacing w:val="0"/>
                          <w:w w:val="100"/>
                          <w:position w:val="0"/>
                        </w:rPr>
                        <w:t>本期投</w:t>
                      </w:r>
                      <w:r>
                        <w:rPr>
                          <w:rFonts w:ascii="Times New Roman" w:eastAsia="Times New Roman" w:hAnsi="Times New Roman" w:cs="Times New Roman"/>
                          <w:color w:val="000000"/>
                          <w:spacing w:val="0"/>
                          <w:w w:val="100"/>
                          <w:position w:val="0"/>
                          <w:sz w:val="16"/>
                          <w:szCs w:val="16"/>
                        </w:rPr>
                        <w:t>I</w:t>
                      </w:r>
                      <w:r>
                        <w:rPr>
                          <w:color w:val="000000"/>
                          <w:spacing w:val="0"/>
                          <w:w w:val="100"/>
                          <w:position w:val="0"/>
                        </w:rPr>
                        <w:t>是否 收益</w:t>
                      </w:r>
                      <w:r>
                        <w:rPr>
                          <w:rFonts w:ascii="Times New Roman" w:eastAsia="Times New Roman" w:hAnsi="Times New Roman" w:cs="Times New Roman"/>
                          <w:color w:val="000000"/>
                          <w:spacing w:val="0"/>
                          <w:w w:val="100"/>
                          <w:position w:val="0"/>
                          <w:sz w:val="16"/>
                          <w:szCs w:val="16"/>
                        </w:rPr>
                        <w:t>I</w:t>
                      </w:r>
                      <w:r>
                        <w:rPr>
                          <w:color w:val="000000"/>
                          <w:spacing w:val="0"/>
                          <w:w w:val="100"/>
                          <w:position w:val="0"/>
                        </w:rPr>
                        <w:t>资盈亏</w:t>
                      </w:r>
                      <w:r>
                        <w:rPr>
                          <w:rFonts w:ascii="Times New Roman" w:eastAsia="Times New Roman" w:hAnsi="Times New Roman" w:cs="Times New Roman"/>
                          <w:color w:val="000000"/>
                          <w:spacing w:val="0"/>
                          <w:w w:val="100"/>
                          <w:position w:val="0"/>
                          <w:sz w:val="16"/>
                          <w:szCs w:val="16"/>
                        </w:rPr>
                        <w:t>I</w:t>
                      </w:r>
                      <w:r>
                        <w:rPr>
                          <w:color w:val="000000"/>
                          <w:spacing w:val="0"/>
                          <w:w w:val="100"/>
                          <w:position w:val="0"/>
                        </w:rPr>
                        <w:t>涉诉</w:t>
                      </w:r>
                    </w:p>
                  </w:txbxContent>
                </v:textbox>
                <w10:wrap type="topAndBottom" anchorx="page"/>
              </v:shape>
            </w:pict>
          </mc:Fallback>
        </mc:AlternateContent>
      </w:r>
      <w:r>
        <mc:AlternateContent>
          <mc:Choice Requires="wps">
            <w:drawing>
              <wp:anchor distT="0" distB="0" distL="0" distR="0" simplePos="0" relativeHeight="125829400" behindDoc="0" locked="0" layoutInCell="1" allowOverlap="1">
                <wp:simplePos x="0" y="0"/>
                <wp:positionH relativeFrom="page">
                  <wp:posOffset>6003290</wp:posOffset>
                </wp:positionH>
                <wp:positionV relativeFrom="paragraph">
                  <wp:posOffset>0</wp:posOffset>
                </wp:positionV>
                <wp:extent cx="368935" cy="545465"/>
                <wp:wrapTopAndBottom/>
                <wp:docPr id="123" name="Shape 123"/>
                <a:graphic xmlns:a="http://schemas.openxmlformats.org/drawingml/2006/main">
                  <a:graphicData uri="http://schemas.microsoft.com/office/word/2010/wordprocessingShape">
                    <wps:wsp>
                      <wps:cNvSpPr txBox="1"/>
                      <wps:spPr>
                        <a:xfrm>
                          <a:ext cx="368935" cy="545465"/>
                        </a:xfrm>
                        <a:prstGeom prst="rect"/>
                        <a:noFill/>
                      </wps:spPr>
                      <wps:txbx>
                        <w:txbxContent>
                          <w:p>
                            <w:pPr>
                              <w:pStyle w:val="Style51"/>
                              <w:keepNext w:val="0"/>
                              <w:keepLines w:val="0"/>
                              <w:widowControl w:val="0"/>
                              <w:shd w:val="clear" w:color="auto" w:fill="auto"/>
                              <w:bidi w:val="0"/>
                              <w:spacing w:before="0" w:after="0" w:line="281" w:lineRule="exact"/>
                              <w:ind w:left="0" w:right="0" w:firstLine="0"/>
                              <w:jc w:val="left"/>
                            </w:pPr>
                            <w:r>
                              <w:rPr>
                                <w:color w:val="000000"/>
                                <w:spacing w:val="0"/>
                                <w:w w:val="100"/>
                                <w:position w:val="0"/>
                              </w:rPr>
                              <w:t>披露 日期 （如有）</w:t>
                            </w:r>
                          </w:p>
                        </w:txbxContent>
                      </wps:txbx>
                      <wps:bodyPr lIns="0" tIns="0" rIns="0" bIns="0">
                        <a:noAutoFit/>
                      </wps:bodyPr>
                    </wps:wsp>
                  </a:graphicData>
                </a:graphic>
              </wp:anchor>
            </w:drawing>
          </mc:Choice>
          <mc:Fallback>
            <w:pict>
              <v:shape id="_x0000_s1149" type="#_x0000_t202" style="position:absolute;margin-left:472.69999999999999pt;margin-top:0;width:29.050000000000001pt;height:42.950000000000003pt;z-index:-125829353;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81" w:lineRule="exact"/>
                        <w:ind w:left="0" w:right="0" w:firstLine="0"/>
                        <w:jc w:val="left"/>
                      </w:pPr>
                      <w:r>
                        <w:rPr>
                          <w:color w:val="000000"/>
                          <w:spacing w:val="0"/>
                          <w:w w:val="100"/>
                          <w:position w:val="0"/>
                        </w:rPr>
                        <w:t>披露 日期 （如有）</w:t>
                      </w:r>
                    </w:p>
                  </w:txbxContent>
                </v:textbox>
                <w10:wrap type="topAndBottom" anchorx="page"/>
              </v:shape>
            </w:pict>
          </mc:Fallback>
        </mc:AlternateContent>
      </w:r>
      <w:r>
        <mc:AlternateContent>
          <mc:Choice Requires="wps">
            <w:drawing>
              <wp:anchor distT="0" distB="0" distL="0" distR="0" simplePos="0" relativeHeight="125829402" behindDoc="0" locked="0" layoutInCell="1" allowOverlap="1">
                <wp:simplePos x="0" y="0"/>
                <wp:positionH relativeFrom="page">
                  <wp:posOffset>6451600</wp:posOffset>
                </wp:positionH>
                <wp:positionV relativeFrom="paragraph">
                  <wp:posOffset>0</wp:posOffset>
                </wp:positionV>
                <wp:extent cx="377825" cy="545465"/>
                <wp:wrapTopAndBottom/>
                <wp:docPr id="125" name="Shape 125"/>
                <a:graphic xmlns:a="http://schemas.openxmlformats.org/drawingml/2006/main">
                  <a:graphicData uri="http://schemas.microsoft.com/office/word/2010/wordprocessingShape">
                    <wps:wsp>
                      <wps:cNvSpPr txBox="1"/>
                      <wps:spPr>
                        <a:xfrm>
                          <a:ext cx="377825" cy="545465"/>
                        </a:xfrm>
                        <a:prstGeom prst="rect"/>
                        <a:noFill/>
                      </wps:spPr>
                      <wps:txbx>
                        <w:txbxContent>
                          <w:p>
                            <w:pPr>
                              <w:pStyle w:val="Style51"/>
                              <w:keepNext w:val="0"/>
                              <w:keepLines w:val="0"/>
                              <w:widowControl w:val="0"/>
                              <w:shd w:val="clear" w:color="auto" w:fill="auto"/>
                              <w:bidi w:val="0"/>
                              <w:spacing w:before="0" w:after="0" w:line="281" w:lineRule="exact"/>
                              <w:ind w:left="0" w:right="0" w:firstLine="0"/>
                              <w:jc w:val="left"/>
                            </w:pPr>
                            <w:r>
                              <w:rPr>
                                <w:color w:val="000000"/>
                                <w:spacing w:val="0"/>
                                <w:w w:val="100"/>
                                <w:position w:val="0"/>
                              </w:rPr>
                              <w:t>披露 索引 （如有）</w:t>
                            </w:r>
                          </w:p>
                        </w:txbxContent>
                      </wps:txbx>
                      <wps:bodyPr lIns="0" tIns="0" rIns="0" bIns="0">
                        <a:noAutoFit/>
                      </wps:bodyPr>
                    </wps:wsp>
                  </a:graphicData>
                </a:graphic>
              </wp:anchor>
            </w:drawing>
          </mc:Choice>
          <mc:Fallback>
            <w:pict>
              <v:shape id="_x0000_s1151" type="#_x0000_t202" style="position:absolute;margin-left:508.pt;margin-top:0;width:29.75pt;height:42.950000000000003pt;z-index:-125829351;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81" w:lineRule="exact"/>
                        <w:ind w:left="0" w:right="0" w:firstLine="0"/>
                        <w:jc w:val="left"/>
                      </w:pPr>
                      <w:r>
                        <w:rPr>
                          <w:color w:val="000000"/>
                          <w:spacing w:val="0"/>
                          <w:w w:val="100"/>
                          <w:position w:val="0"/>
                        </w:rPr>
                        <w:t>披露 索引 （如有）</w:t>
                      </w:r>
                    </w:p>
                  </w:txbxContent>
                </v:textbox>
                <w10:wrap type="topAndBottom" anchorx="page"/>
              </v:shape>
            </w:pict>
          </mc:Fallback>
        </mc:AlternateContent>
      </w:r>
    </w:p>
    <w:tbl>
      <w:tblPr>
        <w:tblOverlap w:val="never"/>
        <w:jc w:val="center"/>
        <w:tblLayout w:type="fixed"/>
      </w:tblPr>
      <w:tblGrid>
        <w:gridCol w:w="696"/>
        <w:gridCol w:w="1474"/>
        <w:gridCol w:w="427"/>
        <w:gridCol w:w="566"/>
        <w:gridCol w:w="422"/>
        <w:gridCol w:w="427"/>
        <w:gridCol w:w="710"/>
        <w:gridCol w:w="850"/>
        <w:gridCol w:w="427"/>
        <w:gridCol w:w="854"/>
        <w:gridCol w:w="422"/>
        <w:gridCol w:w="566"/>
        <w:gridCol w:w="427"/>
        <w:gridCol w:w="710"/>
        <w:gridCol w:w="667"/>
      </w:tblGrid>
      <w:tr>
        <w:trPr>
          <w:trHeight w:val="19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0" w:lineRule="exact"/>
              <w:ind w:left="0" w:right="0" w:firstLine="0"/>
              <w:jc w:val="left"/>
              <w:rPr>
                <w:sz w:val="15"/>
                <w:szCs w:val="15"/>
              </w:rPr>
            </w:pPr>
            <w:r>
              <w:rPr>
                <w:color w:val="000000"/>
                <w:spacing w:val="0"/>
                <w:w w:val="100"/>
                <w:position w:val="0"/>
                <w:sz w:val="15"/>
                <w:szCs w:val="15"/>
              </w:rPr>
              <w:t>重庆丰 东金属 表面处 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3" w:lineRule="exact"/>
              <w:ind w:left="0" w:right="0" w:firstLine="0"/>
              <w:jc w:val="both"/>
              <w:rPr>
                <w:sz w:val="15"/>
                <w:szCs w:val="15"/>
              </w:rPr>
            </w:pPr>
            <w:r>
              <w:rPr>
                <w:color w:val="000000"/>
                <w:spacing w:val="0"/>
                <w:w w:val="100"/>
                <w:position w:val="0"/>
                <w:sz w:val="15"/>
                <w:szCs w:val="15"/>
              </w:rPr>
              <w:t>金属零部件热处理 及表面加工（不含电 镀）；热处理设备、 机电设备及零部件、 工装的生产、安装、 销售及售后维修服 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12,000,</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60.00</w:t>
            </w:r>
          </w:p>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15"/>
                <w:szCs w:val="15"/>
              </w:rPr>
            </w:pPr>
            <w:r>
              <w:rPr>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both"/>
              <w:rPr>
                <w:sz w:val="15"/>
                <w:szCs w:val="15"/>
              </w:rPr>
            </w:pPr>
            <w:r>
              <w:rPr>
                <w:color w:val="000000"/>
                <w:spacing w:val="0"/>
                <w:w w:val="100"/>
                <w:position w:val="0"/>
                <w:sz w:val="15"/>
                <w:szCs w:val="15"/>
              </w:rPr>
              <w:t>重庆政翰 机械有限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2018-12-17</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至永久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both"/>
              <w:rPr>
                <w:sz w:val="15"/>
                <w:szCs w:val="15"/>
              </w:rPr>
            </w:pPr>
            <w:r>
              <w:rPr>
                <w:color w:val="000000"/>
                <w:spacing w:val="0"/>
                <w:w w:val="100"/>
                <w:position w:val="0"/>
                <w:sz w:val="15"/>
                <w:szCs w:val="15"/>
              </w:rPr>
              <w:t>热处 理加 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5"/>
                <w:szCs w:val="15"/>
              </w:rPr>
              <w:t>公司正常</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未达披</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32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热处理技术开发、咨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东热处</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询服务；热处理设备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热处</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公司正常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2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出资</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2019-03-06</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理加</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-853,15</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34"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理技术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及其辅助设备的研</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经营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0"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发、制造、销售、保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养、维修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82" w:hRule="exact"/>
        </w:trPr>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武汉丰</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东热技</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金属表面处理及热</w:t>
            </w:r>
          </w:p>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处理加工；热处理设</w:t>
            </w:r>
          </w:p>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备及辅助设备的研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both"/>
              <w:rPr>
                <w:sz w:val="15"/>
                <w:szCs w:val="15"/>
              </w:rPr>
            </w:pPr>
            <w:r>
              <w:rPr>
                <w:color w:val="000000"/>
                <w:spacing w:val="0"/>
                <w:w w:val="100"/>
                <w:position w:val="0"/>
                <w:sz w:val="15"/>
                <w:szCs w:val="15"/>
              </w:rPr>
              <w:t>盐城大丰 东鑫投资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热处</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已完成工</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0" w:hRule="exact"/>
        </w:trPr>
        <w:tc>
          <w:tcPr>
            <w:vMerge/>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2020-01-15</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-1,184,</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30" w:hRule="exact"/>
        </w:trPr>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术有限</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发、制造、销售、批</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管理合伙</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理加</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4" w:hRule="exact"/>
        </w:trPr>
        <w:tc>
          <w:tcPr>
            <w:vMerge/>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747.09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192"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发零售、保修维修；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企业（有</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59" w:hRule="exact"/>
        </w:trPr>
        <w:tc>
          <w:tcPr>
            <w:vMerge/>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金属零件的热处理</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加工等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限合伙）</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59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艾普零</w:t>
            </w:r>
          </w:p>
          <w:p>
            <w:pPr>
              <w:pStyle w:val="Style25"/>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件制造</w:t>
            </w:r>
          </w:p>
          <w:p>
            <w:pPr>
              <w:pStyle w:val="Style25"/>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（苏州）</w:t>
            </w:r>
          </w:p>
          <w:p>
            <w:pPr>
              <w:pStyle w:val="Style25"/>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股份有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rPr>
                <w:sz w:val="15"/>
                <w:szCs w:val="15"/>
              </w:rPr>
            </w:pPr>
            <w:r>
              <w:rPr>
                <w:color w:val="000000"/>
                <w:spacing w:val="0"/>
                <w:w w:val="100"/>
                <w:position w:val="0"/>
                <w:sz w:val="15"/>
                <w:szCs w:val="15"/>
              </w:rPr>
              <w:t>加工、制造机械零部 件及提供热处理加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上海宝华</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7" w:lineRule="exact"/>
              <w:ind w:left="0" w:right="0" w:firstLine="0"/>
              <w:jc w:val="both"/>
              <w:rPr>
                <w:sz w:val="15"/>
                <w:szCs w:val="15"/>
              </w:rPr>
            </w:pPr>
            <w:r>
              <w:rPr>
                <w:color w:val="000000"/>
                <w:spacing w:val="0"/>
                <w:w w:val="100"/>
                <w:position w:val="0"/>
                <w:sz w:val="15"/>
                <w:szCs w:val="15"/>
              </w:rPr>
              <w:t>热处 理加 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已完成工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4" w:hRule="exact"/>
        </w:trPr>
        <w:tc>
          <w:tcPr>
            <w:vMerge/>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工服务；销售本公司</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收购</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15,960,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81.35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威热处理</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2006-03-31</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5,454,5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259" w:hRule="exact"/>
        </w:trPr>
        <w:tc>
          <w:tcPr>
            <w:vMerge/>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所生产的产品并提</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设备有限</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47.54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206" w:hRule="exact"/>
        </w:trPr>
        <w:tc>
          <w:tcPr>
            <w:vMerge/>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rPr>
                <w:sz w:val="15"/>
                <w:szCs w:val="15"/>
              </w:rPr>
            </w:pPr>
            <w:r>
              <w:rPr>
                <w:color w:val="000000"/>
                <w:spacing w:val="0"/>
                <w:w w:val="100"/>
                <w:position w:val="0"/>
                <w:sz w:val="15"/>
                <w:szCs w:val="15"/>
              </w:rPr>
              <w:t>供相关技术支持及 服务-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125"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06"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62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rPr>
                <w:sz w:val="15"/>
                <w:szCs w:val="15"/>
              </w:rPr>
            </w:pPr>
            <w:r>
              <w:rPr>
                <w:color w:val="000000"/>
                <w:spacing w:val="0"/>
                <w:w w:val="100"/>
                <w:position w:val="0"/>
                <w:sz w:val="15"/>
                <w:szCs w:val="15"/>
              </w:rPr>
              <w:t>热处理工程设计、施 工；金属热处理加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vMerge w:val="restart"/>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常州鑫</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润丰东</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rPr>
                <w:sz w:val="15"/>
                <w:szCs w:val="15"/>
              </w:rPr>
            </w:pPr>
            <w:r>
              <w:rPr>
                <w:color w:val="000000"/>
                <w:spacing w:val="0"/>
                <w:w w:val="100"/>
                <w:position w:val="0"/>
                <w:sz w:val="15"/>
                <w:szCs w:val="15"/>
              </w:rPr>
              <w:t>工；机械零部件制 造、加工、销售；热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热处</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增资</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8,670,0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蔡益新</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2005-07-19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1,774,2</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u w:val="single"/>
              </w:rPr>
              <w:t>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3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热处理</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处理设备销售及售</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理加</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3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后服务；道路货物运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rPr>
                <w:sz w:val="15"/>
                <w:szCs w:val="15"/>
              </w:rPr>
            </w:pPr>
            <w:r>
              <w:rPr>
                <w:color w:val="000000"/>
                <w:spacing w:val="0"/>
                <w:w w:val="100"/>
                <w:position w:val="0"/>
                <w:sz w:val="15"/>
                <w:szCs w:val="15"/>
              </w:rPr>
              <w:t>司正常经 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59"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both"/>
              <w:rPr>
                <w:sz w:val="15"/>
                <w:szCs w:val="15"/>
              </w:rPr>
            </w:pPr>
            <w:r>
              <w:rPr>
                <w:color w:val="000000"/>
                <w:spacing w:val="0"/>
                <w:w w:val="100"/>
                <w:position w:val="0"/>
                <w:sz w:val="15"/>
                <w:szCs w:val="15"/>
              </w:rPr>
              <w:t>输（限《道路运输经 营许可证》核定范 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259"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12"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金属表面处理及热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热处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公司目前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9"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东热工</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处理加工，智能化等</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出资</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9,150,0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75.00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吴俊平</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2018-02-28</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理加</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正常运营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-419,43</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30"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r>
      <w:tr>
        <w:trPr>
          <w:trHeight w:val="14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技术有</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离子及高端热工装</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8.82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25"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备研发、制造等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惠州市</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rPr>
                <w:sz w:val="15"/>
                <w:szCs w:val="15"/>
              </w:rPr>
            </w:pPr>
            <w:r>
              <w:rPr>
                <w:color w:val="000000"/>
                <w:spacing w:val="0"/>
                <w:w w:val="100"/>
                <w:position w:val="0"/>
                <w:sz w:val="15"/>
                <w:szCs w:val="15"/>
              </w:rPr>
              <w:t>互联技术推广</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数据 处理和存储服务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惠州市互</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125"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金财互</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144" w:hRule="exact"/>
        </w:trPr>
        <w:tc>
          <w:tcPr>
            <w:vMerge/>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息电子技术服务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联互通创</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2020-1-6 </w:t>
            </w:r>
            <w:r>
              <w:rPr>
                <w:color w:val="000000"/>
                <w:spacing w:val="0"/>
                <w:w w:val="100"/>
                <w:position w:val="0"/>
                <w:sz w:val="15"/>
                <w:szCs w:val="15"/>
              </w:rPr>
              <w:t>至</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0"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联技术</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客科技有</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9" w:hRule="exact"/>
        </w:trPr>
        <w:tc>
          <w:tcPr>
            <w:vMerge/>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络、电子、通信与自</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在开办期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1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11"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15"/>
                <w:szCs w:val="15"/>
              </w:rPr>
            </w:pPr>
            <w:r>
              <w:rPr>
                <w:color w:val="000000"/>
                <w:spacing w:val="0"/>
                <w:w w:val="100"/>
                <w:position w:val="0"/>
                <w:sz w:val="15"/>
                <w:szCs w:val="15"/>
              </w:rPr>
              <w:t>动控制技术研发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科 技信息咨询服务等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283" w:hRule="exact"/>
        </w:trPr>
        <w:tc>
          <w:tcPr>
            <w:vMerge/>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56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15"/>
                <w:szCs w:val="15"/>
              </w:rPr>
            </w:pPr>
            <w:r>
              <w:rPr>
                <w:color w:val="000000"/>
                <w:spacing w:val="0"/>
                <w:w w:val="100"/>
                <w:position w:val="0"/>
                <w:sz w:val="15"/>
                <w:szCs w:val="15"/>
              </w:rPr>
              <w:t>金财云 商（青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广州方源</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企业管理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5"/>
                <w:szCs w:val="15"/>
              </w:rPr>
              <w:t>已完成工</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4" w:hRule="exact"/>
        </w:trPr>
        <w:tc>
          <w:tcPr>
            <w:vMerge/>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信息系统集成服务</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51.00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2020-1-21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-897,91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3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岛）数据</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合伙企业</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u w:val="single"/>
              </w:rPr>
              <w:t>否</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4"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（有限合</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02" w:hRule="exact"/>
        </w:trPr>
        <w:tc>
          <w:tcPr>
            <w:vMerge/>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31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6"/>
        <w:gridCol w:w="1474"/>
        <w:gridCol w:w="427"/>
        <w:gridCol w:w="566"/>
        <w:gridCol w:w="422"/>
        <w:gridCol w:w="427"/>
        <w:gridCol w:w="710"/>
        <w:gridCol w:w="850"/>
        <w:gridCol w:w="427"/>
        <w:gridCol w:w="854"/>
        <w:gridCol w:w="422"/>
        <w:gridCol w:w="566"/>
        <w:gridCol w:w="427"/>
        <w:gridCol w:w="710"/>
        <w:gridCol w:w="667"/>
      </w:tblGrid>
      <w:tr>
        <w:trPr>
          <w:trHeight w:val="8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center"/>
              <w:rPr>
                <w:sz w:val="15"/>
                <w:szCs w:val="15"/>
              </w:rPr>
            </w:pPr>
            <w:r>
              <w:rPr>
                <w:color w:val="000000"/>
                <w:spacing w:val="0"/>
                <w:w w:val="100"/>
                <w:position w:val="0"/>
                <w:sz w:val="15"/>
                <w:szCs w:val="15"/>
              </w:rPr>
              <w:t>被投资 公司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主要业务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投资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投资</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持股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5"/>
                <w:szCs w:val="15"/>
              </w:rPr>
              <w:t>资金</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合作方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投资</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产品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4"/>
                <w:szCs w:val="14"/>
              </w:rPr>
            </w:pPr>
            <w:r>
              <w:rPr>
                <w:color w:val="000000"/>
                <w:spacing w:val="0"/>
                <w:w w:val="100"/>
                <w:position w:val="0"/>
                <w:sz w:val="14"/>
                <w:szCs w:val="14"/>
              </w:rPr>
              <w:t>截至资产负 债表日的进 展情况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预计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本期投 资盈亏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是否</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涉诉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rPr>
                <w:sz w:val="15"/>
                <w:szCs w:val="15"/>
              </w:rPr>
            </w:pPr>
            <w:r>
              <w:rPr>
                <w:color w:val="000000"/>
                <w:spacing w:val="0"/>
                <w:w w:val="100"/>
                <w:position w:val="0"/>
                <w:sz w:val="15"/>
                <w:szCs w:val="15"/>
              </w:rPr>
              <w:t>披露 日期 （如有）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140"/>
              <w:jc w:val="both"/>
              <w:rPr>
                <w:sz w:val="15"/>
                <w:szCs w:val="15"/>
              </w:rPr>
            </w:pPr>
            <w:r>
              <w:rPr>
                <w:color w:val="000000"/>
                <w:spacing w:val="0"/>
                <w:w w:val="100"/>
                <w:position w:val="0"/>
                <w:sz w:val="15"/>
                <w:szCs w:val="15"/>
              </w:rPr>
              <w:t>披露 索引 （如有）</w:t>
            </w:r>
          </w:p>
        </w:tc>
      </w:tr>
      <w:tr>
        <w:trPr>
          <w:trHeight w:val="33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金财互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联智链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both"/>
              <w:rPr>
                <w:sz w:val="15"/>
                <w:szCs w:val="15"/>
              </w:rPr>
            </w:pPr>
            <w:r>
              <w:rPr>
                <w:color w:val="000000"/>
                <w:spacing w:val="0"/>
                <w:w w:val="100"/>
                <w:position w:val="0"/>
                <w:sz w:val="15"/>
                <w:szCs w:val="15"/>
              </w:rPr>
              <w:t>互联 网财 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研究院</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区块链技术相关软</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2020-1-21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-3,397,</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25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件和服务</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070.51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26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软件开发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广州方源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集成服务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数据处理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9"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金财云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和存储服务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信息技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合伙企业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06" w:hRule="exact"/>
        </w:trPr>
        <w:tc>
          <w:tcPr>
            <w:vMerge/>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术咨询服务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电子、通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（有限合</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 xml:space="preserve">2020-5-8 </w:t>
            </w:r>
            <w:r>
              <w:rPr>
                <w:color w:val="000000"/>
                <w:spacing w:val="0"/>
                <w:w w:val="100"/>
                <w:position w:val="0"/>
                <w:sz w:val="15"/>
                <w:szCs w:val="15"/>
              </w:rPr>
              <w:t>至</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0"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盟数字</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r>
      <w:tr>
        <w:trPr>
          <w:trHeight w:val="139" w:hRule="exact"/>
        </w:trPr>
        <w:tc>
          <w:tcPr>
            <w:vMerge/>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信与自动控制技术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伙）、广东</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商登记，尚</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科技有</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06"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研究、开发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互联网区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标博信息</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在开办期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69" w:hRule="exact"/>
        </w:trPr>
        <w:tc>
          <w:tcPr>
            <w:vMerge/>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块链技术研究开发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计算机技术开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发、技术服务等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811" w:hRule="exact"/>
        </w:trPr>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15"/>
                <w:szCs w:val="15"/>
              </w:rPr>
            </w:pPr>
            <w:r>
              <w:rPr>
                <w:color w:val="000000"/>
                <w:spacing w:val="0"/>
                <w:w w:val="100"/>
                <w:position w:val="0"/>
                <w:sz w:val="15"/>
                <w:szCs w:val="15"/>
              </w:rPr>
              <w:t>金财互 联（江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企业财务咨询服务</w:t>
            </w: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rPr>
                <w:sz w:val="15"/>
                <w:szCs w:val="15"/>
              </w:rPr>
            </w:pPr>
            <w:r>
              <w:rPr>
                <w:color w:val="000000"/>
                <w:spacing w:val="0"/>
                <w:w w:val="100"/>
                <w:position w:val="0"/>
                <w:sz w:val="15"/>
                <w:szCs w:val="15"/>
              </w:rPr>
              <w:t>天津益欣 企业管理 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9" w:hRule="exact"/>
        </w:trPr>
        <w:tc>
          <w:tcPr>
            <w:vMerge/>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税务咨询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数据处理</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71.00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2020-5-28</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-222,22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30"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门）财税</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合伙企业</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r>
      <w:tr>
        <w:trPr>
          <w:trHeight w:val="149" w:hRule="exact"/>
        </w:trPr>
        <w:tc>
          <w:tcPr>
            <w:vMerge/>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和存储服务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信息系</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统集成服务等</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5"/>
                <w:szCs w:val="15"/>
              </w:rPr>
              <w:t>司正常经</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0"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服务有</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（有限合</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134"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02"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伙）、郑瑞</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288" w:hRule="exact"/>
        </w:trPr>
        <w:tc>
          <w:tcPr>
            <w:vMerge/>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6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广州天佑</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技术进出口</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科技信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合伙企业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渡链数</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息咨询服务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网络信</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750,00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（有限合</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2020-6-24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-84,784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4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据服务</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息技术推广服务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伙）、广州</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商登记，尚</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20" w:hRule="exact"/>
        </w:trPr>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息电子技术服务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鼎兴企业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在开办期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8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息技术咨询服务等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rPr>
                <w:sz w:val="15"/>
                <w:szCs w:val="15"/>
              </w:rPr>
            </w:pPr>
            <w:r>
              <w:rPr>
                <w:color w:val="000000"/>
                <w:spacing w:val="0"/>
                <w:w w:val="100"/>
                <w:position w:val="0"/>
                <w:sz w:val="15"/>
                <w:szCs w:val="15"/>
              </w:rPr>
              <w:t>管理合伙 企业（有 限合伙）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山东欣</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软件开发；软件外包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税软件</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服务；数据处理和存</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朱洪</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2020-04-20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379,18</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有限公</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储支持服务；信息系</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28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统集成服务等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青岛方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4"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欣儒商</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信息技术开发及信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青岛儒商</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05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74,594.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9"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r>
      <w:tr>
        <w:trPr>
          <w:trHeight w:val="14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信息科</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息技术服务；计算机</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信息技术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08</w:t>
            </w:r>
            <w:r>
              <w:rPr>
                <w:color w:val="000000"/>
                <w:spacing w:val="0"/>
                <w:w w:val="100"/>
                <w:position w:val="0"/>
                <w:sz w:val="15"/>
                <w:szCs w:val="15"/>
              </w:rPr>
              <w:t>日至</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u w:val="single"/>
              </w:rPr>
              <w:t>否</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1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技有限</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软硬件开发等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9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四川方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信息技术开发、技术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6"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欣全方</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咨询、技术服务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计算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2019-9-24</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r>
      <w:tr>
        <w:trPr>
          <w:trHeight w:val="14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数据科</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机软硬件开发及销</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付晓华</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-19,927</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技有限</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售</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电子技术开发、技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9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术服务等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6"/>
        <w:gridCol w:w="1474"/>
        <w:gridCol w:w="427"/>
        <w:gridCol w:w="566"/>
        <w:gridCol w:w="422"/>
        <w:gridCol w:w="427"/>
        <w:gridCol w:w="710"/>
        <w:gridCol w:w="850"/>
        <w:gridCol w:w="427"/>
        <w:gridCol w:w="854"/>
        <w:gridCol w:w="422"/>
        <w:gridCol w:w="566"/>
        <w:gridCol w:w="427"/>
        <w:gridCol w:w="710"/>
        <w:gridCol w:w="667"/>
      </w:tblGrid>
      <w:tr>
        <w:trPr>
          <w:trHeight w:val="8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center"/>
              <w:rPr>
                <w:sz w:val="15"/>
                <w:szCs w:val="15"/>
              </w:rPr>
            </w:pPr>
            <w:r>
              <w:rPr>
                <w:color w:val="000000"/>
                <w:spacing w:val="0"/>
                <w:w w:val="100"/>
                <w:position w:val="0"/>
                <w:sz w:val="15"/>
                <w:szCs w:val="15"/>
              </w:rPr>
              <w:t>被投资 公司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投资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投资</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持股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5"/>
                <w:szCs w:val="15"/>
              </w:rPr>
            </w:pPr>
            <w:r>
              <w:rPr>
                <w:color w:val="000000"/>
                <w:spacing w:val="0"/>
                <w:w w:val="100"/>
                <w:position w:val="0"/>
                <w:sz w:val="15"/>
                <w:szCs w:val="15"/>
              </w:rPr>
              <w:t>资金</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合作方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投资</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产品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4"/>
                <w:szCs w:val="14"/>
              </w:rPr>
            </w:pPr>
            <w:r>
              <w:rPr>
                <w:color w:val="000000"/>
                <w:spacing w:val="0"/>
                <w:w w:val="100"/>
                <w:position w:val="0"/>
                <w:sz w:val="14"/>
                <w:szCs w:val="14"/>
              </w:rPr>
              <w:t>截至资产负 债表日的进 展情况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预计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本期投 资盈亏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是否</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涉诉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rPr>
                <w:sz w:val="15"/>
                <w:szCs w:val="15"/>
              </w:rPr>
            </w:pPr>
            <w:r>
              <w:rPr>
                <w:color w:val="000000"/>
                <w:spacing w:val="0"/>
                <w:w w:val="100"/>
                <w:position w:val="0"/>
                <w:sz w:val="15"/>
                <w:szCs w:val="15"/>
              </w:rPr>
              <w:t>披露 日期 （如有）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140"/>
              <w:jc w:val="both"/>
              <w:rPr>
                <w:sz w:val="15"/>
                <w:szCs w:val="15"/>
              </w:rPr>
            </w:pPr>
            <w:r>
              <w:rPr>
                <w:color w:val="000000"/>
                <w:spacing w:val="0"/>
                <w:w w:val="100"/>
                <w:position w:val="0"/>
                <w:sz w:val="15"/>
                <w:szCs w:val="15"/>
              </w:rPr>
              <w:t>披露 索引 （如有）</w:t>
            </w:r>
          </w:p>
        </w:tc>
      </w:tr>
      <w:tr>
        <w:trPr>
          <w:trHeight w:val="677" w:hRule="exact"/>
        </w:trPr>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浙江协 企财务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许可项目：代理记 账-一般项目：财务 咨询；税务服务；档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许建英、 嘉兴金财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已完成工 商登记，公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34" w:hRule="exact"/>
        </w:trPr>
        <w:tc>
          <w:tcPr>
            <w:vMerge/>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2020-04-23</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677,34</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10" w:hRule="exact"/>
        </w:trPr>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案整理服务；技术服</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企业管理</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30" w:hRule="exact"/>
        </w:trPr>
        <w:tc>
          <w:tcPr>
            <w:vMerge/>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rPr>
                <w:sz w:val="15"/>
                <w:szCs w:val="15"/>
              </w:rPr>
            </w:pPr>
            <w:r>
              <w:rPr>
                <w:color w:val="000000"/>
                <w:spacing w:val="0"/>
                <w:w w:val="100"/>
                <w:position w:val="0"/>
                <w:sz w:val="15"/>
                <w:szCs w:val="15"/>
              </w:rPr>
              <w:t>税</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9.16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115"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务、技术开发、技术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120" w:hRule="exact"/>
        </w:trPr>
        <w:tc>
          <w:tcPr>
            <w:vMerge/>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r>
      <w:tr>
        <w:trPr>
          <w:trHeight w:val="178" w:hRule="exact"/>
        </w:trPr>
        <w:tc>
          <w:tcPr>
            <w:vMerge/>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咨询、技术交流、技 术转让、技术推广。</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5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代理记账；财务咨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杭州泓</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询；税务服务；档案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许建英、</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互联 网财 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德财务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整理服务；技术服</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嘉兴金财</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2020-07-27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404,89</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23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管理有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务、技术开发、技术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企业管理</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7.66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245"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咨询、技术交流、技 术转让、技术推广等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230" w:hRule="exact"/>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73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软件开发，信息系统 集成服务，数据处理 和存储支持服务，信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天津益欣 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金财（高 安）云商</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息技术咨询服务，集</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成电路芯片设计及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2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咨询服务</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2020-08-06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25"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服务，区块链技术相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20"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合伙企业</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1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技有限</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关软件和服务，技术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（有限合</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伙）</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40"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服务、技术开发、技 术咨询、技术交流、 技术转让、技术推广 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245" w:hRule="exact"/>
        </w:trPr>
        <w:tc>
          <w:tcPr>
            <w:vMerge/>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40" w:hRule="exact"/>
        </w:trPr>
        <w:tc>
          <w:tcPr>
            <w:vMerge/>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26" w:hRule="exact"/>
        </w:trPr>
        <w:tc>
          <w:tcPr>
            <w:vMerge/>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73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人力资源服务（不含 职业中介活动、劳务 派遣服务）；建筑劳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1" w:lineRule="exact"/>
              <w:ind w:left="0" w:right="0" w:firstLine="0"/>
              <w:jc w:val="both"/>
              <w:rPr>
                <w:sz w:val="15"/>
                <w:szCs w:val="15"/>
              </w:rPr>
            </w:pPr>
            <w:r>
              <w:rPr>
                <w:color w:val="000000"/>
                <w:spacing w:val="0"/>
                <w:w w:val="100"/>
                <w:position w:val="0"/>
                <w:sz w:val="15"/>
                <w:szCs w:val="15"/>
              </w:rPr>
              <w:t>北京慧海 扬帆人力 资源管理 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务分包-从事智能、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互联 网财 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财盛慧</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信息、工业、物联网、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2020-08-05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-10,971</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24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自动化、计算机、通</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240"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讯、软件科技领域内 的技术开发、技术转 让、技术咨询、技术 服务等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240" w:hRule="exact"/>
        </w:trPr>
        <w:tc>
          <w:tcPr>
            <w:vMerge/>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66" w:hRule="exact"/>
        </w:trPr>
        <w:tc>
          <w:tcPr>
            <w:vMerge/>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74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数字内容制作服务 （不含出版发行）；</w:t>
            </w:r>
          </w:p>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软件开发；信息系统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福建麦</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集成服务；数据处理 和存储支持服务；信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徐州云觉 企业管理</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15"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税数字</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2020-10-26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25" w:hRule="exact"/>
        </w:trPr>
        <w:tc>
          <w:tcPr>
            <w:vMerge/>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息技术咨询服务；区</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咨询合伙</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2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科技有</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司正常经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178"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块链技术相关软件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企业（有</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40" w:hRule="exact"/>
        </w:trPr>
        <w:tc>
          <w:tcPr>
            <w:vMerge/>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both"/>
              <w:rPr>
                <w:sz w:val="15"/>
                <w:szCs w:val="15"/>
              </w:rPr>
            </w:pPr>
            <w:r>
              <w:rPr>
                <w:color w:val="000000"/>
                <w:spacing w:val="0"/>
                <w:w w:val="100"/>
                <w:position w:val="0"/>
                <w:sz w:val="15"/>
                <w:szCs w:val="15"/>
              </w:rPr>
              <w:t>和服务；技术服务、 技术开发、技术咨 询、技术交流、技术 转让、技术推广等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限合伙）</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26" w:hRule="exact"/>
        </w:trPr>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互联网数据服务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数 据处理和存储支持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vMerge w:val="restart"/>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众企数</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字科技</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信息咨询服务</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（不含许可类信息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已完成工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未达披</w:t>
            </w:r>
          </w:p>
        </w:tc>
      </w:tr>
      <w:tr>
        <w:trPr>
          <w:trHeight w:val="11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新设</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李春华</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2020-11-20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商登记，公</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-356,18</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r>
      <w:tr>
        <w:trPr>
          <w:trHeight w:val="13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咨询服务）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网络技术</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资金</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网财</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露标准</w:t>
            </w:r>
          </w:p>
        </w:tc>
      </w:tr>
      <w:tr>
        <w:trPr>
          <w:trHeight w:val="110"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税</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rPr>
                <w:sz w:val="15"/>
                <w:szCs w:val="15"/>
              </w:rPr>
            </w:pPr>
            <w:r>
              <w:rPr>
                <w:color w:val="000000"/>
                <w:spacing w:val="0"/>
                <w:w w:val="100"/>
                <w:position w:val="0"/>
                <w:sz w:val="15"/>
                <w:szCs w:val="15"/>
              </w:rPr>
              <w:t>司正常经 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178" w:hRule="exact"/>
        </w:trPr>
        <w:tc>
          <w:tcPr>
            <w:vMerge/>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服务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技术服务、技术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240" w:hRule="exact"/>
        </w:trPr>
        <w:tc>
          <w:tcPr>
            <w:vMerge w:val="restart"/>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司</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开发、技术咨询、技 术交流、技术转让、 技术推广等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r>
      <w:tr>
        <w:trPr>
          <w:trHeight w:val="475" w:hRule="exact"/>
        </w:trPr>
        <w:tc>
          <w:tcPr>
            <w:vMerge/>
            <w:tcBorders>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696"/>
        <w:gridCol w:w="1474"/>
        <w:gridCol w:w="427"/>
        <w:gridCol w:w="566"/>
        <w:gridCol w:w="422"/>
        <w:gridCol w:w="427"/>
        <w:gridCol w:w="710"/>
        <w:gridCol w:w="850"/>
        <w:gridCol w:w="427"/>
        <w:gridCol w:w="854"/>
        <w:gridCol w:w="422"/>
        <w:gridCol w:w="566"/>
        <w:gridCol w:w="427"/>
        <w:gridCol w:w="710"/>
        <w:gridCol w:w="667"/>
      </w:tblGrid>
      <w:tr>
        <w:trPr>
          <w:trHeight w:val="8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center"/>
              <w:rPr>
                <w:sz w:val="15"/>
                <w:szCs w:val="15"/>
              </w:rPr>
            </w:pPr>
            <w:r>
              <w:rPr>
                <w:color w:val="000000"/>
                <w:spacing w:val="0"/>
                <w:w w:val="100"/>
                <w:position w:val="0"/>
                <w:sz w:val="15"/>
                <w:szCs w:val="15"/>
              </w:rPr>
              <w:t>被投资 公司 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投资 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投资</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持股</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资金</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合作方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投资</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产品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4"/>
                <w:szCs w:val="14"/>
              </w:rPr>
            </w:pPr>
            <w:r>
              <w:rPr>
                <w:color w:val="000000"/>
                <w:spacing w:val="0"/>
                <w:w w:val="100"/>
                <w:position w:val="0"/>
                <w:sz w:val="14"/>
                <w:szCs w:val="14"/>
              </w:rPr>
              <w:t>截至资产负 债表日的进 展情况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5"/>
                <w:szCs w:val="15"/>
              </w:rPr>
            </w:pPr>
            <w:r>
              <w:rPr>
                <w:color w:val="000000"/>
                <w:spacing w:val="0"/>
                <w:w w:val="100"/>
                <w:position w:val="0"/>
                <w:sz w:val="15"/>
                <w:szCs w:val="15"/>
              </w:rPr>
              <w:t>预计</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本期投 资盈亏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5"/>
                <w:szCs w:val="15"/>
              </w:rPr>
            </w:pPr>
            <w:r>
              <w:rPr>
                <w:color w:val="000000"/>
                <w:spacing w:val="0"/>
                <w:w w:val="100"/>
                <w:position w:val="0"/>
                <w:sz w:val="15"/>
                <w:szCs w:val="15"/>
              </w:rPr>
              <w:t>是否</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涉诉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rPr>
                <w:sz w:val="15"/>
                <w:szCs w:val="15"/>
              </w:rPr>
            </w:pPr>
            <w:r>
              <w:rPr>
                <w:color w:val="000000"/>
                <w:spacing w:val="0"/>
                <w:w w:val="100"/>
                <w:position w:val="0"/>
                <w:sz w:val="15"/>
                <w:szCs w:val="15"/>
              </w:rPr>
              <w:t>披露 日期 （如有）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140"/>
              <w:jc w:val="left"/>
              <w:rPr>
                <w:sz w:val="15"/>
                <w:szCs w:val="15"/>
              </w:rPr>
            </w:pPr>
            <w:r>
              <w:rPr>
                <w:color w:val="000000"/>
                <w:spacing w:val="0"/>
                <w:w w:val="100"/>
                <w:position w:val="0"/>
                <w:sz w:val="15"/>
                <w:szCs w:val="15"/>
              </w:rPr>
              <w:t>披露 索引 （如有）</w:t>
            </w:r>
          </w:p>
        </w:tc>
      </w:tr>
      <w:tr>
        <w:trPr>
          <w:trHeight w:val="20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left"/>
              <w:rPr>
                <w:sz w:val="15"/>
                <w:szCs w:val="15"/>
              </w:rPr>
            </w:pPr>
            <w:r>
              <w:rPr>
                <w:color w:val="000000"/>
                <w:spacing w:val="0"/>
                <w:w w:val="100"/>
                <w:position w:val="0"/>
                <w:sz w:val="15"/>
                <w:szCs w:val="15"/>
              </w:rPr>
              <w:t>高安益 东金财 数字产 业园发 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both"/>
              <w:rPr>
                <w:sz w:val="15"/>
                <w:szCs w:val="15"/>
              </w:rPr>
            </w:pPr>
            <w:r>
              <w:rPr>
                <w:color w:val="000000"/>
                <w:spacing w:val="0"/>
                <w:w w:val="100"/>
                <w:position w:val="0"/>
                <w:sz w:val="15"/>
                <w:szCs w:val="15"/>
              </w:rPr>
              <w:t>房地产开发经营；数 字产业园区的开发、 经营管理及配套服 务，物业管理，技术 服务、技术开发、技 术咨询、技术交流、 技术转让、技术推广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w:t>
            </w:r>
          </w:p>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7" w:lineRule="exact"/>
              <w:ind w:left="0" w:right="0" w:firstLine="0"/>
              <w:jc w:val="both"/>
              <w:rPr>
                <w:sz w:val="15"/>
                <w:szCs w:val="15"/>
              </w:rPr>
            </w:pPr>
            <w:r>
              <w:rPr>
                <w:color w:val="000000"/>
                <w:spacing w:val="0"/>
                <w:w w:val="100"/>
                <w:position w:val="0"/>
                <w:sz w:val="15"/>
                <w:szCs w:val="15"/>
              </w:rPr>
              <w:t>广州方源 企业管理 合伙企业</w:t>
            </w:r>
          </w:p>
          <w:p>
            <w:pPr>
              <w:pStyle w:val="Style25"/>
              <w:keepNext w:val="0"/>
              <w:keepLines w:val="0"/>
              <w:widowControl w:val="0"/>
              <w:shd w:val="clear" w:color="auto" w:fill="auto"/>
              <w:bidi w:val="0"/>
              <w:spacing w:before="0" w:after="0" w:line="237" w:lineRule="exact"/>
              <w:ind w:left="0" w:right="0" w:firstLine="0"/>
              <w:jc w:val="both"/>
              <w:rPr>
                <w:sz w:val="15"/>
                <w:szCs w:val="15"/>
              </w:rPr>
            </w:pPr>
            <w:r>
              <w:rPr>
                <w:color w:val="000000"/>
                <w:spacing w:val="0"/>
                <w:w w:val="100"/>
                <w:position w:val="0"/>
                <w:sz w:val="15"/>
                <w:szCs w:val="15"/>
              </w:rPr>
              <w:t>（有限合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2020-08-04</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互联 网财 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rPr>
                <w:sz w:val="15"/>
                <w:szCs w:val="15"/>
              </w:rPr>
            </w:pPr>
            <w:r>
              <w:rPr>
                <w:color w:val="000000"/>
                <w:spacing w:val="0"/>
                <w:w w:val="100"/>
                <w:position w:val="0"/>
                <w:sz w:val="15"/>
                <w:szCs w:val="15"/>
              </w:rPr>
              <w:t>已完成工 商登记，公 司正常经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未达披 露标准</w:t>
            </w:r>
          </w:p>
        </w:tc>
      </w:tr>
      <w:tr>
        <w:trPr>
          <w:trHeight w:val="15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3" w:lineRule="exact"/>
              <w:ind w:left="0" w:right="0" w:firstLine="0"/>
              <w:jc w:val="left"/>
              <w:rPr>
                <w:sz w:val="15"/>
                <w:szCs w:val="15"/>
              </w:rPr>
            </w:pPr>
            <w:r>
              <w:rPr>
                <w:color w:val="000000"/>
                <w:spacing w:val="0"/>
                <w:w w:val="100"/>
                <w:position w:val="0"/>
                <w:sz w:val="15"/>
                <w:szCs w:val="15"/>
              </w:rPr>
              <w:t>江西金 财数据 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计算机软件开发；计 算机系统集成；计算 机网络工程；计算机 软硬件及辅助设备、 电子产品的销售及 维修等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510,00</w:t>
            </w:r>
          </w:p>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51.00</w:t>
            </w:r>
          </w:p>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江西省方 欣网络科 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2019-12-27</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互联 网财 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3" w:lineRule="exact"/>
              <w:ind w:left="0" w:right="0" w:firstLine="0"/>
              <w:jc w:val="left"/>
              <w:rPr>
                <w:sz w:val="15"/>
                <w:szCs w:val="15"/>
              </w:rPr>
            </w:pPr>
            <w:r>
              <w:rPr>
                <w:color w:val="000000"/>
                <w:spacing w:val="0"/>
                <w:w w:val="100"/>
                <w:position w:val="0"/>
                <w:sz w:val="15"/>
                <w:szCs w:val="15"/>
              </w:rPr>
              <w:t>已完成工 商登记，公 司正常经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794,06</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未达披 露标准</w:t>
            </w:r>
          </w:p>
        </w:tc>
      </w:tr>
      <w:tr>
        <w:trPr>
          <w:trHeight w:val="22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left"/>
              <w:rPr>
                <w:sz w:val="15"/>
                <w:szCs w:val="15"/>
              </w:rPr>
            </w:pPr>
            <w:r>
              <w:rPr>
                <w:color w:val="000000"/>
                <w:spacing w:val="0"/>
                <w:w w:val="100"/>
                <w:position w:val="0"/>
                <w:sz w:val="15"/>
                <w:szCs w:val="15"/>
              </w:rPr>
              <w:t>东莞市 龙达灵 狮产业 孵化运 营有限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科技企业孵化、产业 园区开发及管理、产 业链管理及相关配 套服务；科技技术推 广、科技中介服务； 为孵化企业提供孵 化场所和共享设施、 物业租赁、物业管理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w:t>
            </w:r>
          </w:p>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75.00</w:t>
            </w:r>
          </w:p>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林浩钊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2019-04-18</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5"/>
                <w:szCs w:val="15"/>
              </w:rPr>
            </w:pPr>
            <w:r>
              <w:rPr>
                <w:color w:val="000000"/>
                <w:spacing w:val="0"/>
                <w:w w:val="100"/>
                <w:position w:val="0"/>
                <w:sz w:val="15"/>
                <w:szCs w:val="15"/>
              </w:rPr>
              <w:t>互联 网财 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公司正常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126,71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未达披 露标准</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89,770,</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1,219,3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tabs>
          <w:tab w:pos="838" w:val="left"/>
        </w:tabs>
        <w:bidi w:val="0"/>
        <w:spacing w:before="0" w:line="240" w:lineRule="auto"/>
        <w:ind w:left="0" w:right="0" w:firstLine="46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3</w:t>
      </w:r>
      <w:bookmarkEnd w:id="224"/>
      <w:r>
        <w:rPr>
          <w:color w:val="000000"/>
          <w:spacing w:val="0"/>
          <w:w w:val="100"/>
          <w:position w:val="0"/>
        </w:rPr>
        <w:t>、</w:t>
        <w:tab/>
        <w:t>报告期内正在进行的重大的非股权投资情况</w:t>
      </w:r>
      <w:bookmarkEnd w:id="222"/>
      <w:bookmarkEnd w:id="223"/>
      <w:bookmarkEnd w:id="225"/>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838" w:val="left"/>
        </w:tabs>
        <w:bidi w:val="0"/>
        <w:spacing w:before="0" w:line="240" w:lineRule="auto"/>
        <w:ind w:left="0" w:right="0" w:firstLine="46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4</w:t>
      </w:r>
      <w:bookmarkEnd w:id="228"/>
      <w:r>
        <w:rPr>
          <w:color w:val="000000"/>
          <w:spacing w:val="0"/>
          <w:w w:val="100"/>
          <w:position w:val="0"/>
        </w:rPr>
        <w:t>、</w:t>
        <w:tab/>
        <w:t>金融资产投资</w:t>
      </w:r>
      <w:bookmarkEnd w:id="226"/>
      <w:bookmarkEnd w:id="227"/>
      <w:bookmarkEnd w:id="229"/>
    </w:p>
    <w:p>
      <w:pPr>
        <w:pStyle w:val="Style45"/>
        <w:keepNext/>
        <w:keepLines/>
        <w:widowControl w:val="0"/>
        <w:shd w:val="clear" w:color="auto" w:fill="auto"/>
        <w:tabs>
          <w:tab w:pos="953" w:val="left"/>
        </w:tabs>
        <w:bidi w:val="0"/>
        <w:spacing w:before="0" w:after="360" w:line="240" w:lineRule="auto"/>
        <w:ind w:left="0" w:right="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30"/>
      <w:bookmarkEnd w:id="231"/>
      <w:bookmarkEnd w:id="233"/>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公司报告期不存在证券投资。</w:t>
      </w:r>
    </w:p>
    <w:p>
      <w:pPr>
        <w:pStyle w:val="Style45"/>
        <w:keepNext/>
        <w:keepLines/>
        <w:widowControl w:val="0"/>
        <w:shd w:val="clear" w:color="auto" w:fill="auto"/>
        <w:tabs>
          <w:tab w:pos="953" w:val="left"/>
        </w:tabs>
        <w:bidi w:val="0"/>
        <w:spacing w:before="0" w:after="360" w:line="240" w:lineRule="auto"/>
        <w:ind w:left="0" w:right="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34"/>
      <w:bookmarkEnd w:id="235"/>
      <w:bookmarkEnd w:id="237"/>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公司报告期不存在衍生品投资。</w:t>
      </w:r>
    </w:p>
    <w:p>
      <w:pPr>
        <w:pStyle w:val="Style39"/>
        <w:keepNext/>
        <w:keepLines/>
        <w:widowControl w:val="0"/>
        <w:shd w:val="clear" w:color="auto" w:fill="auto"/>
        <w:tabs>
          <w:tab w:pos="838" w:val="left"/>
        </w:tabs>
        <w:bidi w:val="0"/>
        <w:spacing w:before="0" w:line="240" w:lineRule="auto"/>
        <w:ind w:left="0" w:right="0" w:firstLine="46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5</w:t>
      </w:r>
      <w:bookmarkEnd w:id="240"/>
      <w:r>
        <w:rPr>
          <w:color w:val="000000"/>
          <w:spacing w:val="0"/>
          <w:w w:val="100"/>
          <w:position w:val="0"/>
        </w:rPr>
        <w:t>、</w:t>
        <w:tab/>
        <w:t>募集资金使用情况</w:t>
      </w:r>
      <w:bookmarkEnd w:id="238"/>
      <w:bookmarkEnd w:id="239"/>
      <w:bookmarkEnd w:id="241"/>
    </w:p>
    <w:p>
      <w:pPr>
        <w:pStyle w:val="Style35"/>
        <w:keepNext w:val="0"/>
        <w:keepLines w:val="0"/>
        <w:widowControl w:val="0"/>
        <w:shd w:val="clear" w:color="auto" w:fill="auto"/>
        <w:bidi w:val="0"/>
        <w:spacing w:before="0" w:after="360" w:line="240" w:lineRule="auto"/>
        <w:ind w:left="0" w:right="0"/>
        <w:jc w:val="left"/>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441" w:right="1060" w:bottom="1475" w:left="102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after="360" w:line="240" w:lineRule="auto"/>
        <w:ind w:left="0" w:right="0" w:firstLine="58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w:t>
      </w:r>
      <w:bookmarkEnd w:id="24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2"/>
      <w:bookmarkEnd w:id="243"/>
      <w:bookmarkEnd w:id="245"/>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893"/>
        <w:gridCol w:w="864"/>
        <w:gridCol w:w="878"/>
        <w:gridCol w:w="869"/>
        <w:gridCol w:w="869"/>
        <w:gridCol w:w="869"/>
        <w:gridCol w:w="878"/>
        <w:gridCol w:w="869"/>
        <w:gridCol w:w="869"/>
        <w:gridCol w:w="869"/>
        <w:gridCol w:w="902"/>
      </w:tblGrid>
      <w:tr>
        <w:trPr>
          <w:trHeight w:val="10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累计变更 用途的募 集资金总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尚未使用 募集资金 用途及去</w:t>
            </w:r>
          </w:p>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闲置两年 以上募集 资金金额</w:t>
            </w:r>
          </w:p>
        </w:tc>
      </w:tr>
      <w:tr>
        <w:trPr>
          <w:trHeight w:val="14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非公开发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93,359.35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 公司尚未 使用的募 集资金均 存放于专 户中。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93,359.35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23,071.37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240" w:lineRule="auto"/>
        <w:ind w:left="3706" w:right="0" w:firstLine="0"/>
        <w:jc w:val="left"/>
      </w:pPr>
      <w:r>
        <w:rPr>
          <w:color w:val="000000"/>
          <w:spacing w:val="0"/>
          <w:w w:val="100"/>
          <w:position w:val="0"/>
        </w:rPr>
        <w:t>募集资金总体使用情况说明</w:t>
      </w:r>
    </w:p>
    <w:p>
      <w:pPr>
        <w:widowControl w:val="0"/>
        <w:spacing w:after="59" w:line="1" w:lineRule="exact"/>
      </w:pP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根据中国证券监督管理委员会《关于核准江苏丰东热技术股份有限公司向徐正军等发行股份购买资产并募集配套资金 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2334</w:t>
      </w:r>
      <w:r>
        <w:rPr>
          <w:color w:val="000000"/>
          <w:spacing w:val="0"/>
          <w:w w:val="100"/>
          <w:position w:val="0"/>
        </w:rPr>
        <w:t>号），核准本公司非公开发行不超过</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股新股募集本次发行股份购买资产的配套 资金，分别由朱文明、束昱辉、民生方欣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号计划、谢兵及徐锦宏以现金按</w:t>
      </w:r>
      <w:r>
        <w:rPr>
          <w:rFonts w:ascii="Times New Roman" w:eastAsia="Times New Roman" w:hAnsi="Times New Roman" w:cs="Times New Roman"/>
          <w:color w:val="000000"/>
          <w:spacing w:val="0"/>
          <w:w w:val="100"/>
          <w:position w:val="0"/>
          <w:sz w:val="18"/>
          <w:szCs w:val="18"/>
        </w:rPr>
        <w:t>16.14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股认购，募集资金总额为</w:t>
      </w:r>
      <w:r>
        <w:rPr>
          <w:rFonts w:ascii="Times New Roman" w:eastAsia="Times New Roman" w:hAnsi="Times New Roman" w:cs="Times New Roman"/>
          <w:color w:val="000000"/>
          <w:spacing w:val="0"/>
          <w:w w:val="100"/>
          <w:position w:val="0"/>
          <w:sz w:val="18"/>
          <w:szCs w:val="18"/>
        </w:rPr>
        <w:t xml:space="preserve">1,199,999,961.60 </w:t>
      </w:r>
      <w:r>
        <w:rPr>
          <w:color w:val="000000"/>
          <w:spacing w:val="0"/>
          <w:w w:val="100"/>
          <w:position w:val="0"/>
        </w:rPr>
        <w:t>元，扣除公司依据财务顾问协议应支付给浙商证券的财务顾问费用（含税）</w:t>
      </w:r>
      <w:r>
        <w:rPr>
          <w:rFonts w:ascii="Times New Roman" w:eastAsia="Times New Roman" w:hAnsi="Times New Roman" w:cs="Times New Roman"/>
          <w:color w:val="000000"/>
          <w:spacing w:val="0"/>
          <w:w w:val="100"/>
          <w:position w:val="0"/>
          <w:sz w:val="18"/>
          <w:szCs w:val="18"/>
        </w:rPr>
        <w:t>21,200,000.00</w:t>
      </w:r>
      <w:r>
        <w:rPr>
          <w:color w:val="000000"/>
          <w:spacing w:val="0"/>
          <w:w w:val="100"/>
          <w:position w:val="0"/>
        </w:rPr>
        <w:t xml:space="preserve">元后，募集资金余额为 </w:t>
      </w:r>
      <w:r>
        <w:rPr>
          <w:rFonts w:ascii="Times New Roman" w:eastAsia="Times New Roman" w:hAnsi="Times New Roman" w:cs="Times New Roman"/>
          <w:color w:val="000000"/>
          <w:spacing w:val="0"/>
          <w:w w:val="100"/>
          <w:position w:val="0"/>
          <w:sz w:val="18"/>
          <w:szCs w:val="18"/>
        </w:rPr>
        <w:t>1,178,799,961.60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日全部存入本公司在江苏大丰农村商业银行股份有限公司开立的募集资金验资专户 </w:t>
      </w:r>
      <w:r>
        <w:rPr>
          <w:rFonts w:ascii="Times New Roman" w:eastAsia="Times New Roman" w:hAnsi="Times New Roman" w:cs="Times New Roman"/>
          <w:color w:val="000000"/>
          <w:spacing w:val="0"/>
          <w:w w:val="100"/>
          <w:position w:val="0"/>
          <w:sz w:val="18"/>
          <w:szCs w:val="18"/>
        </w:rPr>
        <w:t xml:space="preserve">3209820521010000040819 </w:t>
      </w:r>
      <w:r>
        <w:rPr>
          <w:color w:val="000000"/>
          <w:spacing w:val="0"/>
          <w:w w:val="100"/>
          <w:position w:val="0"/>
        </w:rPr>
        <w:t>账户中。</w:t>
      </w:r>
    </w:p>
    <w:p>
      <w:pPr>
        <w:pStyle w:val="Style35"/>
        <w:keepNext w:val="0"/>
        <w:keepLines w:val="0"/>
        <w:widowControl w:val="0"/>
        <w:pBdr>
          <w:bottom w:val="single" w:sz="4" w:space="0" w:color="auto"/>
        </w:pBdr>
        <w:shd w:val="clear" w:color="auto" w:fill="auto"/>
        <w:bidi w:val="0"/>
        <w:spacing w:before="0" w:after="420" w:line="310" w:lineRule="exact"/>
        <w:ind w:left="0" w:right="0"/>
        <w:jc w:val="both"/>
      </w:pPr>
      <w:r>
        <w:rPr>
          <w:color w:val="000000"/>
          <w:spacing w:val="0"/>
          <w:w w:val="100"/>
          <w:position w:val="0"/>
        </w:rPr>
        <w:t>上述募集资金总额扣减本次非公开发行直接相关的财务顾问费、律师费、会计师费及其他发行费用</w:t>
      </w:r>
      <w:r>
        <w:rPr>
          <w:rFonts w:ascii="Times New Roman" w:eastAsia="Times New Roman" w:hAnsi="Times New Roman" w:cs="Times New Roman"/>
          <w:color w:val="000000"/>
          <w:spacing w:val="0"/>
          <w:w w:val="100"/>
          <w:position w:val="0"/>
          <w:sz w:val="18"/>
          <w:szCs w:val="18"/>
        </w:rPr>
        <w:t>33,672,397.97</w:t>
      </w:r>
      <w:r>
        <w:rPr>
          <w:color w:val="000000"/>
          <w:spacing w:val="0"/>
          <w:w w:val="100"/>
          <w:position w:val="0"/>
        </w:rPr>
        <w:t>元（不 含税）后，募集资金净额为</w:t>
      </w:r>
      <w:r>
        <w:rPr>
          <w:rFonts w:ascii="Times New Roman" w:eastAsia="Times New Roman" w:hAnsi="Times New Roman" w:cs="Times New Roman"/>
          <w:color w:val="000000"/>
          <w:spacing w:val="0"/>
          <w:w w:val="100"/>
          <w:position w:val="0"/>
          <w:sz w:val="18"/>
          <w:szCs w:val="18"/>
        </w:rPr>
        <w:t>1,166,327,563.63</w:t>
      </w:r>
      <w:r>
        <w:rPr>
          <w:color w:val="000000"/>
          <w:spacing w:val="0"/>
          <w:w w:val="100"/>
          <w:position w:val="0"/>
        </w:rPr>
        <w:t>元。众华会计师事务所（特殊普通合伙）已于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日对公司本次 非公开发行的募集资金到位情况进行了验资，并出具了众会字（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6131</w:t>
      </w:r>
      <w:r>
        <w:rPr>
          <w:color w:val="000000"/>
          <w:spacing w:val="0"/>
          <w:w w:val="100"/>
          <w:position w:val="0"/>
        </w:rPr>
        <w:t>号《江苏丰东热技术股份有限公司验资报 告》验资确认。扣除发行费增值税</w:t>
      </w:r>
      <w:r>
        <w:rPr>
          <w:rFonts w:ascii="Times New Roman" w:eastAsia="Times New Roman" w:hAnsi="Times New Roman" w:cs="Times New Roman"/>
          <w:color w:val="000000"/>
          <w:spacing w:val="0"/>
          <w:w w:val="100"/>
          <w:position w:val="0"/>
          <w:sz w:val="18"/>
          <w:szCs w:val="18"/>
        </w:rPr>
        <w:t>2,020,343.88</w:t>
      </w:r>
      <w:r>
        <w:rPr>
          <w:color w:val="000000"/>
          <w:spacing w:val="0"/>
          <w:w w:val="100"/>
          <w:position w:val="0"/>
        </w:rPr>
        <w:t>元，实际募集资金余额为</w:t>
      </w:r>
      <w:r>
        <w:rPr>
          <w:rFonts w:ascii="Times New Roman" w:eastAsia="Times New Roman" w:hAnsi="Times New Roman" w:cs="Times New Roman"/>
          <w:color w:val="000000"/>
          <w:spacing w:val="0"/>
          <w:w w:val="100"/>
          <w:position w:val="0"/>
          <w:sz w:val="18"/>
          <w:szCs w:val="18"/>
        </w:rPr>
        <w:t>1,164,307,219.75</w:t>
      </w:r>
      <w:r>
        <w:rPr>
          <w:color w:val="000000"/>
          <w:spacing w:val="0"/>
          <w:w w:val="100"/>
          <w:position w:val="0"/>
        </w:rPr>
        <w:t>元。</w:t>
      </w:r>
    </w:p>
    <w:p>
      <w:pPr>
        <w:pStyle w:val="Style45"/>
        <w:keepNext/>
        <w:keepLines/>
        <w:widowControl w:val="0"/>
        <w:shd w:val="clear" w:color="auto" w:fill="auto"/>
        <w:bidi w:val="0"/>
        <w:spacing w:before="0" w:after="360" w:line="240" w:lineRule="auto"/>
        <w:ind w:left="0" w:right="0" w:firstLine="58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6"/>
      <w:bookmarkEnd w:id="247"/>
      <w:bookmarkEnd w:id="249"/>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14"/>
        <w:gridCol w:w="778"/>
        <w:gridCol w:w="782"/>
        <w:gridCol w:w="778"/>
        <w:gridCol w:w="778"/>
        <w:gridCol w:w="782"/>
        <w:gridCol w:w="778"/>
        <w:gridCol w:w="926"/>
        <w:gridCol w:w="706"/>
        <w:gridCol w:w="710"/>
        <w:gridCol w:w="811"/>
      </w:tblGrid>
      <w:tr>
        <w:trPr>
          <w:trHeight w:val="10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3"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5" w:lineRule="exact"/>
              <w:ind w:left="0" w:right="0" w:firstLine="0"/>
              <w:jc w:val="center"/>
            </w:pPr>
            <w:r>
              <w:rPr>
                <w:color w:val="000000"/>
                <w:spacing w:val="0"/>
                <w:w w:val="100"/>
                <w:position w:val="0"/>
              </w:rPr>
              <w:t>调整后投 资总额</w:t>
            </w:r>
          </w:p>
          <w:p>
            <w:pPr>
              <w:pStyle w:val="Style25"/>
              <w:keepNext w:val="0"/>
              <w:keepLines w:val="0"/>
              <w:widowControl w:val="0"/>
              <w:shd w:val="clear" w:color="auto" w:fill="auto"/>
              <w:bidi w:val="0"/>
              <w:spacing w:before="0" w:after="0" w:line="28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5" w:lineRule="exact"/>
              <w:ind w:left="0" w:right="0" w:firstLine="0"/>
              <w:jc w:val="right"/>
            </w:pPr>
            <w:r>
              <w:rPr>
                <w:color w:val="000000"/>
                <w:spacing w:val="0"/>
                <w:w w:val="100"/>
                <w:position w:val="0"/>
              </w:rPr>
              <w:t>截至期末 投资进度</w:t>
            </w:r>
          </w:p>
          <w:p>
            <w:pPr>
              <w:pStyle w:val="Style25"/>
              <w:keepNext w:val="0"/>
              <w:keepLines w:val="0"/>
              <w:widowControl w:val="0"/>
              <w:shd w:val="clear" w:color="auto" w:fill="auto"/>
              <w:bidi w:val="0"/>
              <w:spacing w:before="0" w:after="0" w:line="283"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5"/>
              <w:keepNext w:val="0"/>
              <w:keepLines w:val="0"/>
              <w:widowControl w:val="0"/>
              <w:shd w:val="clear" w:color="auto" w:fill="auto"/>
              <w:bidi w:val="0"/>
              <w:spacing w:before="0" w:after="0" w:line="283"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pPr>
            <w:r>
              <w:rPr>
                <w:color w:val="000000"/>
                <w:spacing w:val="0"/>
                <w:w w:val="100"/>
                <w:position w:val="0"/>
              </w:rPr>
              <w:t>项目达到 预定可使 用状态日</w:t>
            </w:r>
          </w:p>
          <w:p>
            <w:pPr>
              <w:pStyle w:val="Style25"/>
              <w:keepNext w:val="0"/>
              <w:keepLines w:val="0"/>
              <w:widowControl w:val="0"/>
              <w:shd w:val="clear" w:color="auto" w:fill="auto"/>
              <w:bidi w:val="0"/>
              <w:spacing w:before="0" w:after="0" w:line="242" w:lineRule="exact"/>
              <w:ind w:left="0" w:right="0" w:firstLine="360"/>
              <w:jc w:val="both"/>
            </w:pPr>
            <w:r>
              <w:rPr>
                <w:color w:val="000000"/>
                <w:spacing w:val="0"/>
                <w:w w:val="100"/>
                <w:position w:val="0"/>
              </w:rPr>
              <w:t>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是否达 到预计 效益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项目可行 性是否发 生重大变</w:t>
            </w:r>
          </w:p>
          <w:p>
            <w:pPr>
              <w:pStyle w:val="Style25"/>
              <w:keepNext w:val="0"/>
              <w:keepLines w:val="0"/>
              <w:widowControl w:val="0"/>
              <w:shd w:val="clear" w:color="auto" w:fill="auto"/>
              <w:bidi w:val="0"/>
              <w:spacing w:before="0" w:after="0" w:line="240" w:lineRule="exact"/>
              <w:ind w:left="0" w:right="0" w:firstLine="300"/>
              <w:jc w:val="left"/>
            </w:pPr>
            <w:r>
              <w:rPr>
                <w:color w:val="000000"/>
                <w:spacing w:val="0"/>
                <w:w w:val="100"/>
                <w:position w:val="0"/>
              </w:rPr>
              <w:t>化</w:t>
            </w:r>
          </w:p>
        </w:tc>
      </w:tr>
      <w:tr>
        <w:trPr>
          <w:trHeight w:val="403" w:hRule="exact"/>
        </w:trPr>
        <w:tc>
          <w:tcPr>
            <w:gridSpan w:val="11"/>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158" w:lineRule="exact"/>
              <w:ind w:left="0" w:right="0" w:firstLine="0"/>
              <w:jc w:val="left"/>
            </w:pPr>
            <w:r>
              <w:rPr>
                <w:color w:val="000000"/>
                <w:spacing w:val="0"/>
                <w:w w:val="100"/>
                <w:position w:val="0"/>
              </w:rPr>
              <w:t>智慧财税服务互联平 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10,314.55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47,454.94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-11,978.43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企业大数据创新服务 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4,574.23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14,473.69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补充标的公司流动资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left"/>
            </w:pPr>
            <w:r>
              <w:rPr>
                <w:color w:val="000000"/>
                <w:spacing w:val="0"/>
                <w:w w:val="100"/>
                <w:position w:val="0"/>
              </w:rPr>
              <w:t>支付本次交易的相关 税费后结余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4"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116,430.72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116,430.72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16,319.50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93,359.35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-12,175.35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bl>
      <w:tblPr>
        <w:tblOverlap w:val="never"/>
        <w:jc w:val="center"/>
        <w:tblLayout w:type="fixed"/>
      </w:tblPr>
      <w:tblGrid>
        <w:gridCol w:w="1800"/>
        <w:gridCol w:w="778"/>
        <w:gridCol w:w="782"/>
        <w:gridCol w:w="778"/>
        <w:gridCol w:w="778"/>
        <w:gridCol w:w="782"/>
        <w:gridCol w:w="782"/>
        <w:gridCol w:w="926"/>
        <w:gridCol w:w="706"/>
        <w:gridCol w:w="710"/>
        <w:gridCol w:w="806"/>
      </w:tblGrid>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116,430.72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116,430.72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16,319.50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93,359.35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-12,175.35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1814"/>
        <w:gridCol w:w="7829"/>
      </w:tblGrid>
      <w:tr>
        <w:trPr>
          <w:trHeight w:val="26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380"/>
              <w:jc w:val="both"/>
            </w:pPr>
            <w:r>
              <w:rPr>
                <w:color w:val="000000"/>
                <w:spacing w:val="0"/>
                <w:w w:val="100"/>
                <w:position w:val="0"/>
              </w:rPr>
              <w:t>报告期内，方欣科技按照募集资金计划用途使用，募集资金投资项目具体进展为：</w:t>
            </w:r>
          </w:p>
          <w:p>
            <w:pPr>
              <w:pStyle w:val="Style25"/>
              <w:keepNext w:val="0"/>
              <w:keepLines w:val="0"/>
              <w:widowControl w:val="0"/>
              <w:shd w:val="clear" w:color="auto" w:fill="auto"/>
              <w:tabs>
                <w:tab w:pos="610" w:val="left"/>
              </w:tabs>
              <w:bidi w:val="0"/>
              <w:spacing w:before="0" w:after="0" w:line="23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“智慧财税服务互联平台”项目：该项目计划投资额</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 xml:space="preserve">万元，报告期内投入金额为 </w:t>
            </w:r>
            <w:r>
              <w:rPr>
                <w:rFonts w:ascii="Times New Roman" w:eastAsia="Times New Roman" w:hAnsi="Times New Roman" w:cs="Times New Roman"/>
                <w:color w:val="000000"/>
                <w:spacing w:val="0"/>
                <w:w w:val="100"/>
                <w:position w:val="0"/>
                <w:sz w:val="18"/>
                <w:szCs w:val="18"/>
              </w:rPr>
              <w:t>10,314.55</w:t>
            </w:r>
            <w:r>
              <w:rPr>
                <w:color w:val="000000"/>
                <w:spacing w:val="0"/>
                <w:w w:val="100"/>
                <w:position w:val="0"/>
              </w:rPr>
              <w:t>万元，截至报告期末累计投入金额为</w:t>
            </w:r>
            <w:r>
              <w:rPr>
                <w:rFonts w:ascii="Times New Roman" w:eastAsia="Times New Roman" w:hAnsi="Times New Roman" w:cs="Times New Roman"/>
                <w:color w:val="000000"/>
                <w:spacing w:val="0"/>
                <w:w w:val="100"/>
                <w:position w:val="0"/>
                <w:sz w:val="18"/>
                <w:szCs w:val="18"/>
              </w:rPr>
              <w:t>47,454.94</w:t>
            </w:r>
            <w:r>
              <w:rPr>
                <w:color w:val="000000"/>
                <w:spacing w:val="0"/>
                <w:w w:val="100"/>
                <w:position w:val="0"/>
              </w:rPr>
              <w:t>万元，截至报告期末投资进度为</w:t>
            </w:r>
            <w:r>
              <w:rPr>
                <w:rFonts w:ascii="Times New Roman" w:eastAsia="Times New Roman" w:hAnsi="Times New Roman" w:cs="Times New Roman"/>
                <w:color w:val="000000"/>
                <w:spacing w:val="0"/>
                <w:w w:val="100"/>
                <w:position w:val="0"/>
                <w:sz w:val="18"/>
                <w:szCs w:val="18"/>
              </w:rPr>
              <w:t>86.28%</w:t>
            </w:r>
            <w:r>
              <w:rPr>
                <w:color w:val="000000"/>
                <w:spacing w:val="0"/>
                <w:w w:val="100"/>
                <w:position w:val="0"/>
              </w:rPr>
              <w:t>。</w:t>
            </w:r>
          </w:p>
          <w:p>
            <w:pPr>
              <w:pStyle w:val="Style25"/>
              <w:keepNext w:val="0"/>
              <w:keepLines w:val="0"/>
              <w:widowControl w:val="0"/>
              <w:shd w:val="clear" w:color="auto" w:fill="auto"/>
              <w:bidi w:val="0"/>
              <w:spacing w:before="0" w:after="0" w:line="250" w:lineRule="exact"/>
              <w:ind w:left="0" w:right="0" w:firstLine="380"/>
              <w:jc w:val="both"/>
            </w:pPr>
            <w:r>
              <w:rPr>
                <w:color w:val="000000"/>
                <w:spacing w:val="0"/>
                <w:w w:val="100"/>
                <w:position w:val="0"/>
              </w:rPr>
              <w:t>该募集资金投资项目报告期内实现收益</w:t>
            </w:r>
            <w:r>
              <w:rPr>
                <w:rFonts w:ascii="Times New Roman" w:eastAsia="Times New Roman" w:hAnsi="Times New Roman" w:cs="Times New Roman"/>
                <w:color w:val="000000"/>
                <w:spacing w:val="0"/>
                <w:w w:val="100"/>
                <w:position w:val="0"/>
                <w:sz w:val="18"/>
                <w:szCs w:val="18"/>
              </w:rPr>
              <w:t>-11,978.43</w:t>
            </w:r>
            <w:r>
              <w:rPr>
                <w:color w:val="000000"/>
                <w:spacing w:val="0"/>
                <w:w w:val="100"/>
                <w:position w:val="0"/>
              </w:rPr>
              <w:t>万元，截至报告期末累计实现收益</w:t>
            </w:r>
            <w:r>
              <w:rPr>
                <w:rFonts w:ascii="Times New Roman" w:eastAsia="Times New Roman" w:hAnsi="Times New Roman" w:cs="Times New Roman"/>
                <w:color w:val="000000"/>
                <w:spacing w:val="0"/>
                <w:w w:val="100"/>
                <w:position w:val="0"/>
                <w:sz w:val="18"/>
                <w:szCs w:val="18"/>
              </w:rPr>
              <w:t xml:space="preserve">1,400.52 </w:t>
            </w:r>
            <w:r>
              <w:rPr>
                <w:color w:val="000000"/>
                <w:spacing w:val="0"/>
                <w:w w:val="100"/>
                <w:position w:val="0"/>
              </w:rPr>
              <w:t>万元。</w:t>
            </w:r>
          </w:p>
          <w:p>
            <w:pPr>
              <w:pStyle w:val="Style25"/>
              <w:keepNext w:val="0"/>
              <w:keepLines w:val="0"/>
              <w:widowControl w:val="0"/>
              <w:shd w:val="clear" w:color="auto" w:fill="auto"/>
              <w:tabs>
                <w:tab w:pos="629" w:val="left"/>
              </w:tabs>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“企业大数据创新服务平台”项目：该项目计划投资额</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 xml:space="preserve">万元，报告期内投入金额为 </w:t>
            </w:r>
            <w:r>
              <w:rPr>
                <w:rFonts w:ascii="Times New Roman" w:eastAsia="Times New Roman" w:hAnsi="Times New Roman" w:cs="Times New Roman"/>
                <w:color w:val="000000"/>
                <w:spacing w:val="0"/>
                <w:w w:val="100"/>
                <w:position w:val="0"/>
                <w:sz w:val="18"/>
                <w:szCs w:val="18"/>
              </w:rPr>
              <w:t>4,574.23</w:t>
            </w:r>
            <w:r>
              <w:rPr>
                <w:color w:val="000000"/>
                <w:spacing w:val="0"/>
                <w:w w:val="100"/>
                <w:position w:val="0"/>
              </w:rPr>
              <w:t>万元，截至报告期末累计投入金额为</w:t>
            </w:r>
            <w:r>
              <w:rPr>
                <w:rFonts w:ascii="Times New Roman" w:eastAsia="Times New Roman" w:hAnsi="Times New Roman" w:cs="Times New Roman"/>
                <w:color w:val="000000"/>
                <w:spacing w:val="0"/>
                <w:w w:val="100"/>
                <w:position w:val="0"/>
                <w:sz w:val="18"/>
                <w:szCs w:val="18"/>
              </w:rPr>
              <w:t>14,473.69</w:t>
            </w:r>
            <w:r>
              <w:rPr>
                <w:color w:val="000000"/>
                <w:spacing w:val="0"/>
                <w:w w:val="100"/>
                <w:position w:val="0"/>
              </w:rPr>
              <w:t>万元，截至报告期末投资进度为</w:t>
            </w:r>
            <w:r>
              <w:rPr>
                <w:rFonts w:ascii="Times New Roman" w:eastAsia="Times New Roman" w:hAnsi="Times New Roman" w:cs="Times New Roman"/>
                <w:color w:val="000000"/>
                <w:spacing w:val="0"/>
                <w:w w:val="100"/>
                <w:position w:val="0"/>
                <w:sz w:val="18"/>
                <w:szCs w:val="18"/>
              </w:rPr>
              <w:t>48.25%</w:t>
            </w:r>
            <w:r>
              <w:rPr>
                <w:color w:val="000000"/>
                <w:spacing w:val="0"/>
                <w:w w:val="100"/>
                <w:position w:val="0"/>
              </w:rPr>
              <w:t>。</w:t>
            </w:r>
          </w:p>
          <w:p>
            <w:pPr>
              <w:pStyle w:val="Style25"/>
              <w:keepNext w:val="0"/>
              <w:keepLines w:val="0"/>
              <w:widowControl w:val="0"/>
              <w:shd w:val="clear" w:color="auto" w:fill="auto"/>
              <w:bidi w:val="0"/>
              <w:spacing w:before="0" w:after="0" w:line="264" w:lineRule="exact"/>
              <w:ind w:left="0" w:right="0" w:firstLine="380"/>
              <w:jc w:val="both"/>
            </w:pPr>
            <w:r>
              <w:rPr>
                <w:color w:val="000000"/>
                <w:spacing w:val="0"/>
                <w:w w:val="100"/>
                <w:position w:val="0"/>
              </w:rPr>
              <w:t>该募集资金投资项目报告期内实现收益</w:t>
            </w:r>
            <w:r>
              <w:rPr>
                <w:rFonts w:ascii="Times New Roman" w:eastAsia="Times New Roman" w:hAnsi="Times New Roman" w:cs="Times New Roman"/>
                <w:color w:val="000000"/>
                <w:spacing w:val="0"/>
                <w:w w:val="100"/>
                <w:position w:val="0"/>
                <w:sz w:val="18"/>
                <w:szCs w:val="18"/>
              </w:rPr>
              <w:t>-196.92</w:t>
            </w:r>
            <w:r>
              <w:rPr>
                <w:color w:val="000000"/>
                <w:spacing w:val="0"/>
                <w:w w:val="100"/>
                <w:position w:val="0"/>
              </w:rPr>
              <w:t>万元,截至报告期末累计实现收益</w:t>
            </w:r>
            <w:r>
              <w:rPr>
                <w:rFonts w:ascii="Times New Roman" w:eastAsia="Times New Roman" w:hAnsi="Times New Roman" w:cs="Times New Roman"/>
                <w:color w:val="000000"/>
                <w:spacing w:val="0"/>
                <w:w w:val="100"/>
                <w:position w:val="0"/>
                <w:sz w:val="18"/>
                <w:szCs w:val="18"/>
              </w:rPr>
              <w:t>1,279.18</w:t>
            </w:r>
            <w:r>
              <w:rPr>
                <w:color w:val="000000"/>
                <w:spacing w:val="0"/>
                <w:w w:val="100"/>
                <w:position w:val="0"/>
              </w:rPr>
              <w:t>万元。 综上，上述募投项目经过四年的实施，在实际执行过程中受到多方面因素影响，实施进展相对 缓慢-</w:t>
            </w:r>
          </w:p>
        </w:tc>
      </w:tr>
      <w:tr>
        <w:trPr>
          <w:trHeight w:val="221" w:hRule="exact"/>
        </w:trPr>
        <w:tc>
          <w:tcPr>
            <w:gridSpan w:val="2"/>
            <w:tcBorders>
              <w:top w:val="single" w:sz="4"/>
            </w:tcBorders>
            <w:shd w:val="clear" w:color="auto" w:fill="FFFFFF"/>
            <w:vAlign w:val="bottom"/>
          </w:tcPr>
          <w:p>
            <w:pPr>
              <w:pStyle w:val="Style25"/>
              <w:keepNext w:val="0"/>
              <w:keepLines w:val="0"/>
              <w:widowControl w:val="0"/>
              <w:shd w:val="clear" w:color="auto" w:fill="auto"/>
              <w:tabs>
                <w:tab w:pos="2198" w:val="left"/>
              </w:tabs>
              <w:bidi w:val="0"/>
              <w:spacing w:before="0" w:after="0" w:line="240" w:lineRule="auto"/>
              <w:ind w:left="1800" w:right="0" w:firstLine="0"/>
              <w:jc w:val="left"/>
            </w:pPr>
            <w:r>
              <w:rPr>
                <w:rFonts w:ascii="Arial" w:eastAsia="Arial" w:hAnsi="Arial" w:cs="Arial"/>
                <w:color w:val="000000"/>
                <w:spacing w:val="0"/>
                <w:w w:val="100"/>
                <w:position w:val="0"/>
                <w:sz w:val="28"/>
                <w:szCs w:val="28"/>
              </w:rPr>
              <w:t>1</w:t>
              <w:tab/>
            </w:r>
            <w:r>
              <w:rPr>
                <w:color w:val="000000"/>
                <w:spacing w:val="0"/>
                <w:w w:val="100"/>
                <w:position w:val="0"/>
              </w:rPr>
              <w:t>报告期内,项目可行性发生重大变化</w:t>
            </w:r>
          </w:p>
        </w:tc>
      </w:tr>
      <w:tr>
        <w:trPr>
          <w:trHeight w:val="3350" w:hRule="exact"/>
        </w:trPr>
        <w:tc>
          <w:tcPr>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380"/>
              <w:jc w:val="both"/>
            </w:pPr>
            <w:r>
              <w:rPr>
                <w:color w:val="000000"/>
                <w:spacing w:val="0"/>
                <w:w w:val="100"/>
                <w:position w:val="0"/>
              </w:rPr>
              <w:t>•方面，随着人工智能、区块链、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等技术的成熟应用以及外部环境的变化，业务模式也在发 生转变，新冠疫情的出现更是起到加速的作用，各行业的服务模式都在由线下转线上，或转为线下 线上相结合的方式，公司对客户的服务逐渐全面线上化；另一方面，国家对大数据行业的监管政策 不断加强导致业务不确定性。随着中国《网络安全法》（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日）、《数据安全管理办法》（</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日意见征集稿）等一系列法律、法规和管理办法的出台，强化监管与隐私保护已经是大数 据行业所面临的局面，企业财税信息数据安全的要求起来越高；此外，传统基于线下的连接、触达、 协同等商务方式受疫情影响加速转为互联网纯线上方式，从而极大推动了互联网领域的各类公共服 务，企业的推广运营基本不再需要自建基于流媒体支撑的展示系统。</w:t>
            </w:r>
          </w:p>
          <w:p>
            <w:pPr>
              <w:pStyle w:val="Style25"/>
              <w:keepNext w:val="0"/>
              <w:keepLines w:val="0"/>
              <w:widowControl w:val="0"/>
              <w:shd w:val="clear" w:color="auto" w:fill="auto"/>
              <w:bidi w:val="0"/>
              <w:spacing w:before="0" w:after="0" w:line="240" w:lineRule="exact"/>
              <w:ind w:left="0" w:right="0" w:firstLine="380"/>
              <w:jc w:val="both"/>
            </w:pPr>
            <w:r>
              <w:rPr>
                <w:color w:val="000000"/>
                <w:spacing w:val="0"/>
                <w:w w:val="100"/>
                <w:position w:val="0"/>
              </w:rPr>
              <w:t>综上，鉴于目前行业监管政策及技术环境的不断变化，“智慧财税服务互联平台”项目和“企业 大数据创新服务平台”项目的可行性发生较大变化。</w:t>
            </w:r>
          </w:p>
          <w:p>
            <w:pPr>
              <w:pStyle w:val="Style25"/>
              <w:keepNext w:val="0"/>
              <w:keepLines w:val="0"/>
              <w:widowControl w:val="0"/>
              <w:shd w:val="clear" w:color="auto" w:fill="auto"/>
              <w:bidi w:val="0"/>
              <w:spacing w:before="0" w:after="0" w:line="24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年第一次临时股东大会审议通过了《关于终止募集资金投资项目 并将剩余募集资金永久性补充流动资金的议案》，同意公司终止上述募集资金投资项目，并将剩余募 集资金永久性补充流动资金。</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超募资金的金额、用途 及使用进展情况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募集资金投资项目实 施地点变更情况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募集资金投资项目实 施方式调整情况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适用</w:t>
            </w:r>
          </w:p>
        </w:tc>
      </w:tr>
      <w:tr>
        <w:trPr>
          <w:trHeight w:val="17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380"/>
              <w:jc w:val="both"/>
            </w:pPr>
            <w:r>
              <w:rPr>
                <w:color w:val="000000"/>
                <w:spacing w:val="0"/>
                <w:w w:val="100"/>
                <w:position w:val="0"/>
              </w:rPr>
              <w:t>募集资金到位前，方欣科技根据项目实际进度需要，以自有资金预先投入募集资金投资项目。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日，方欣科技预先以自有资金投入金额</w:t>
            </w:r>
            <w:r>
              <w:rPr>
                <w:rFonts w:ascii="Times New Roman" w:eastAsia="Times New Roman" w:hAnsi="Times New Roman" w:cs="Times New Roman"/>
                <w:color w:val="000000"/>
                <w:spacing w:val="0"/>
                <w:w w:val="100"/>
                <w:position w:val="0"/>
                <w:sz w:val="18"/>
                <w:szCs w:val="18"/>
              </w:rPr>
              <w:t>2,481.42</w:t>
            </w:r>
            <w:r>
              <w:rPr>
                <w:color w:val="000000"/>
                <w:spacing w:val="0"/>
                <w:w w:val="100"/>
                <w:position w:val="0"/>
              </w:rPr>
              <w:t>万元，已经众华会计师事务所 （特殊普通合伙）出具的《募集资金置换专项审核报告》（众会字（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3306</w:t>
            </w:r>
            <w:r>
              <w:rPr>
                <w:color w:val="000000"/>
                <w:spacing w:val="0"/>
                <w:w w:val="100"/>
                <w:position w:val="0"/>
              </w:rPr>
              <w:t>号）审验确认。</w:t>
            </w:r>
          </w:p>
          <w:p>
            <w:pPr>
              <w:pStyle w:val="Style25"/>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日公司第四届董事会第五次会议审议通过了《关于使用募集资金置换先期投入的议 案》，同意使用募集资金置换已预先投入募集资金投资项目的自筹资金，置换资金总额为</w:t>
            </w:r>
            <w:r>
              <w:rPr>
                <w:rFonts w:ascii="Times New Roman" w:eastAsia="Times New Roman" w:hAnsi="Times New Roman" w:cs="Times New Roman"/>
                <w:color w:val="000000"/>
                <w:spacing w:val="0"/>
                <w:w w:val="100"/>
                <w:position w:val="0"/>
                <w:sz w:val="18"/>
                <w:szCs w:val="18"/>
              </w:rPr>
              <w:t xml:space="preserve">2,481.42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日，方欣科技从募集资金专户中置换转出前期以自有资金投入的 </w:t>
            </w:r>
            <w:r>
              <w:rPr>
                <w:rFonts w:ascii="Times New Roman" w:eastAsia="Times New Roman" w:hAnsi="Times New Roman" w:cs="Times New Roman"/>
                <w:color w:val="000000"/>
                <w:spacing w:val="0"/>
                <w:w w:val="100"/>
                <w:position w:val="0"/>
                <w:sz w:val="18"/>
                <w:szCs w:val="18"/>
              </w:rPr>
              <w:t>2,481.42</w:t>
            </w:r>
            <w:r>
              <w:rPr>
                <w:color w:val="000000"/>
                <w:spacing w:val="0"/>
                <w:w w:val="100"/>
                <w:position w:val="0"/>
              </w:rPr>
              <w:t>万元，前期置换转出没有发生违规操作。</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用闲置募集资金暂时 补充流动资金情况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项目实施出现募集资 金结余的金额及原因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不适用</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尚未使用的募集资金 用途及去向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报告期内，公司尚未使用的募集资金均存放于专户中。</w:t>
            </w:r>
          </w:p>
        </w:tc>
      </w:tr>
    </w:tbl>
    <w:p>
      <w:pPr>
        <w:widowControl w:val="0"/>
        <w:spacing w:line="1" w:lineRule="exact"/>
      </w:pPr>
      <w:r>
        <w:br w:type="page"/>
      </w:r>
    </w:p>
    <w:tbl>
      <w:tblPr>
        <w:tblOverlap w:val="never"/>
        <w:jc w:val="center"/>
        <w:tblLayout w:type="fixed"/>
      </w:tblPr>
      <w:tblGrid>
        <w:gridCol w:w="1814"/>
        <w:gridCol w:w="7829"/>
      </w:tblGrid>
      <w:tr>
        <w:trPr>
          <w:trHeight w:val="82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380"/>
              <w:jc w:val="left"/>
            </w:pPr>
            <w:r>
              <w:rPr>
                <w:color w:val="000000"/>
                <w:spacing w:val="0"/>
                <w:w w:val="100"/>
                <w:position w:val="0"/>
              </w:rPr>
              <w:t>经审查，报告期内，公司已按照《深圳证券交易所股票上市规则》、《深圳证券交易所上市公司 规范运作指引》等相关规定披露募集资金存放与使用情况，不存在募集资金管理的违规情形。</w:t>
            </w:r>
          </w:p>
        </w:tc>
      </w:tr>
    </w:tbl>
    <w:p>
      <w:pPr>
        <w:widowControl w:val="0"/>
        <w:spacing w:after="319" w:line="1" w:lineRule="exact"/>
      </w:pPr>
    </w:p>
    <w:p>
      <w:pPr>
        <w:pStyle w:val="Style45"/>
        <w:keepNext/>
        <w:keepLines/>
        <w:widowControl w:val="0"/>
        <w:numPr>
          <w:ilvl w:val="0"/>
          <w:numId w:val="17"/>
        </w:numPr>
        <w:shd w:val="clear" w:color="auto" w:fill="auto"/>
        <w:bidi w:val="0"/>
        <w:spacing w:before="0" w:after="380" w:line="240" w:lineRule="auto"/>
        <w:ind w:left="0" w:right="0" w:firstLine="580"/>
        <w:jc w:val="both"/>
      </w:pPr>
      <w:bookmarkStart w:id="250" w:name="bookmark250"/>
      <w:bookmarkStart w:id="251" w:name="bookmark251"/>
      <w:bookmarkStart w:id="252" w:name="bookmark252"/>
      <w:bookmarkStart w:id="253" w:name="bookmark253"/>
      <w:bookmarkEnd w:id="252"/>
      <w:r>
        <w:rPr>
          <w:color w:val="000000"/>
          <w:spacing w:val="0"/>
          <w:w w:val="100"/>
          <w:position w:val="0"/>
        </w:rPr>
        <w:t>募集资金变更项目情况</w:t>
      </w:r>
      <w:bookmarkEnd w:id="250"/>
      <w:bookmarkEnd w:id="251"/>
      <w:bookmarkEnd w:id="253"/>
    </w:p>
    <w:p>
      <w:pPr>
        <w:pStyle w:val="Style35"/>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984"/>
        <w:gridCol w:w="960"/>
        <w:gridCol w:w="955"/>
        <w:gridCol w:w="960"/>
        <w:gridCol w:w="955"/>
        <w:gridCol w:w="955"/>
        <w:gridCol w:w="965"/>
        <w:gridCol w:w="955"/>
        <w:gridCol w:w="955"/>
        <w:gridCol w:w="989"/>
      </w:tblGrid>
      <w:tr>
        <w:trPr>
          <w:trHeight w:val="10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38" w:lineRule="exact"/>
              <w:ind w:left="0" w:right="0" w:firstLine="0"/>
              <w:jc w:val="center"/>
            </w:pPr>
            <w:r>
              <w:rPr>
                <w:color w:val="000000"/>
                <w:spacing w:val="0"/>
                <w:w w:val="100"/>
                <w:position w:val="0"/>
              </w:rPr>
              <w:t>变更后项目 拟投入募集 资金总额</w:t>
            </w:r>
          </w:p>
          <w:p>
            <w:pPr>
              <w:pStyle w:val="Style25"/>
              <w:keepNext w:val="0"/>
              <w:keepLines w:val="0"/>
              <w:widowControl w:val="0"/>
              <w:shd w:val="clear" w:color="auto" w:fill="auto"/>
              <w:bidi w:val="0"/>
              <w:spacing w:before="0" w:after="0" w:line="27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exact"/>
              <w:ind w:left="0" w:right="0" w:firstLine="0"/>
              <w:jc w:val="center"/>
            </w:pPr>
            <w:r>
              <w:rPr>
                <w:color w:val="000000"/>
                <w:spacing w:val="0"/>
                <w:w w:val="100"/>
                <w:position w:val="0"/>
              </w:rPr>
              <w:t>截至期末投 资进度</w:t>
            </w:r>
          </w:p>
          <w:p>
            <w:pPr>
              <w:pStyle w:val="Style25"/>
              <w:keepNext w:val="0"/>
              <w:keepLines w:val="0"/>
              <w:widowControl w:val="0"/>
              <w:shd w:val="clear" w:color="auto" w:fill="auto"/>
              <w:bidi w:val="0"/>
              <w:spacing w:before="0" w:after="0" w:line="27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是否达到预 计效益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变更后的项 目可行性是 否发生重大</w:t>
            </w:r>
          </w:p>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变化</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补充流动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支付本次交 易的相关税 费后节余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39" w:lineRule="exact"/>
        <w:ind w:left="2940" w:right="0" w:firstLine="360"/>
        <w:jc w:val="both"/>
      </w:pPr>
      <w:r>
        <w:rPr>
          <w:color w:val="000000"/>
          <w:spacing w:val="0"/>
          <w:w w:val="100"/>
          <w:position w:val="0"/>
        </w:rPr>
        <w:t>变更原因：公司实施重大资产重组项目时仅与中介机构达成了中介机构相关费用 的计费原则与框架，未有具体的金额，因此当时确定的“支付本次交易的相关税费” 也只是估算的大致金额。实际在支付中介机构相关费用过程中，各相关方从项目的实 际情况出发，本着节约、合理、有效的原则，结合市场行情，最终确定支付财务顾问 费、律师费、会计师费及其他发行费用合计</w:t>
      </w:r>
      <w:r>
        <w:rPr>
          <w:rFonts w:ascii="Times New Roman" w:eastAsia="Times New Roman" w:hAnsi="Times New Roman" w:cs="Times New Roman"/>
          <w:color w:val="000000"/>
          <w:spacing w:val="0"/>
          <w:w w:val="100"/>
          <w:position w:val="0"/>
          <w:sz w:val="18"/>
          <w:szCs w:val="18"/>
        </w:rPr>
        <w:t>3,367.24</w:t>
      </w:r>
      <w:r>
        <w:rPr>
          <w:color w:val="000000"/>
          <w:spacing w:val="0"/>
          <w:w w:val="100"/>
          <w:position w:val="0"/>
        </w:rPr>
        <w:t>万元，缴纳发行费增值税</w:t>
      </w:r>
      <w:r>
        <w:rPr>
          <w:rFonts w:ascii="Times New Roman" w:eastAsia="Times New Roman" w:hAnsi="Times New Roman" w:cs="Times New Roman"/>
          <w:color w:val="000000"/>
          <w:spacing w:val="0"/>
          <w:w w:val="100"/>
          <w:position w:val="0"/>
          <w:sz w:val="18"/>
          <w:szCs w:val="18"/>
        </w:rPr>
        <w:t xml:space="preserve">202.04 </w:t>
      </w:r>
      <w:r>
        <w:rPr>
          <w:color w:val="000000"/>
          <w:spacing w:val="0"/>
          <w:w w:val="100"/>
          <w:position w:val="0"/>
        </w:rPr>
        <w:t>万元。以上费用从“支付本次交易的相关税费”项目中列支</w:t>
      </w:r>
      <w:r>
        <w:rPr>
          <w:rFonts w:ascii="Times New Roman" w:eastAsia="Times New Roman" w:hAnsi="Times New Roman" w:cs="Times New Roman"/>
          <w:color w:val="000000"/>
          <w:spacing w:val="0"/>
          <w:w w:val="100"/>
          <w:position w:val="0"/>
          <w:sz w:val="18"/>
          <w:szCs w:val="18"/>
        </w:rPr>
        <w:t>3,569.28</w:t>
      </w:r>
      <w:r>
        <w:rPr>
          <w:color w:val="000000"/>
          <w:spacing w:val="0"/>
          <w:w w:val="100"/>
          <w:position w:val="0"/>
        </w:rPr>
        <w:t>万元，与重组报 告书预算的</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 xml:space="preserve">万元相比，形成了 </w:t>
      </w:r>
      <w:r>
        <w:rPr>
          <w:rFonts w:ascii="Times New Roman" w:eastAsia="Times New Roman" w:hAnsi="Times New Roman" w:cs="Times New Roman"/>
          <w:color w:val="000000"/>
          <w:spacing w:val="0"/>
          <w:w w:val="100"/>
          <w:position w:val="0"/>
          <w:sz w:val="18"/>
          <w:szCs w:val="18"/>
        </w:rPr>
        <w:t>1,430.72</w:t>
      </w:r>
      <w:r>
        <w:rPr>
          <w:color w:val="000000"/>
          <w:spacing w:val="0"/>
          <w:w w:val="100"/>
          <w:position w:val="0"/>
        </w:rPr>
        <w:t>万元的资金节余。</w:t>
      </w:r>
    </w:p>
    <w:p>
      <w:pPr>
        <w:pStyle w:val="Style35"/>
        <w:keepNext w:val="0"/>
        <w:keepLines w:val="0"/>
        <w:widowControl w:val="0"/>
        <w:shd w:val="clear" w:color="auto" w:fill="auto"/>
        <w:tabs>
          <w:tab w:pos="3211" w:val="left"/>
        </w:tabs>
        <w:bidi w:val="0"/>
        <w:spacing w:before="0" w:after="0" w:line="239" w:lineRule="exact"/>
        <w:ind w:left="0" w:right="0" w:firstLine="0"/>
        <w:jc w:val="both"/>
      </w:pPr>
      <w:r>
        <w:rPr>
          <w:color w:val="000000"/>
          <w:spacing w:val="0"/>
          <w:w w:val="100"/>
          <w:position w:val="0"/>
        </w:rPr>
        <w:t>变更原因、决策程序及信息披露情况</w:t>
        <w:tab/>
        <w:t>为提高募集资金的使用效率，满足公司日常运营的需要，公司将募投项目“支付</w:t>
      </w:r>
    </w:p>
    <w:p>
      <w:pPr>
        <w:pStyle w:val="Style35"/>
        <w:keepNext w:val="0"/>
        <w:keepLines w:val="0"/>
        <w:widowControl w:val="0"/>
        <w:shd w:val="clear" w:color="auto" w:fill="auto"/>
        <w:tabs>
          <w:tab w:pos="2846" w:val="left"/>
        </w:tabs>
        <w:bidi w:val="0"/>
        <w:spacing w:before="0" w:after="0" w:line="245"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分具体项目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本次交易的相关税费”完成后的节余募集资金</w:t>
      </w:r>
      <w:r>
        <w:rPr>
          <w:rFonts w:ascii="Times New Roman" w:eastAsia="Times New Roman" w:hAnsi="Times New Roman" w:cs="Times New Roman"/>
          <w:color w:val="000000"/>
          <w:spacing w:val="0"/>
          <w:w w:val="100"/>
          <w:position w:val="0"/>
          <w:sz w:val="18"/>
          <w:szCs w:val="18"/>
        </w:rPr>
        <w:t>1,430.72</w:t>
      </w:r>
      <w:r>
        <w:rPr>
          <w:color w:val="000000"/>
          <w:spacing w:val="0"/>
          <w:w w:val="100"/>
          <w:position w:val="0"/>
        </w:rPr>
        <w:t>万元永久性补充流动资金。公</w:t>
      </w:r>
    </w:p>
    <w:p>
      <w:pPr>
        <w:pStyle w:val="Style35"/>
        <w:keepNext w:val="0"/>
        <w:keepLines w:val="0"/>
        <w:widowControl w:val="0"/>
        <w:shd w:val="clear" w:color="auto" w:fill="auto"/>
        <w:bidi w:val="0"/>
        <w:spacing w:before="0" w:after="0" w:line="245" w:lineRule="exact"/>
        <w:ind w:left="2940" w:right="0" w:firstLine="0"/>
        <w:jc w:val="left"/>
      </w:pPr>
      <w:r>
        <w:rPr>
          <w:color w:val="000000"/>
          <w:spacing w:val="0"/>
          <w:w w:val="100"/>
          <w:position w:val="0"/>
        </w:rPr>
        <w:t>司此次部分募投项目完成并将节余募集资金永久性补充流动资金，有利于满足公司日 常运营对流动资金的需求，符合公司及全体股东的利益。</w:t>
      </w:r>
    </w:p>
    <w:p>
      <w:pPr>
        <w:pStyle w:val="Style35"/>
        <w:keepNext w:val="0"/>
        <w:keepLines w:val="0"/>
        <w:widowControl w:val="0"/>
        <w:shd w:val="clear" w:color="auto" w:fill="auto"/>
        <w:bidi w:val="0"/>
        <w:spacing w:before="0" w:after="180" w:line="236" w:lineRule="exact"/>
        <w:ind w:left="2940" w:right="0" w:firstLine="360"/>
        <w:jc w:val="left"/>
      </w:pPr>
      <w:r>
        <w:rPr>
          <w:color w:val="000000"/>
          <w:spacing w:val="0"/>
          <w:w w:val="100"/>
          <w:position w:val="0"/>
        </w:rPr>
        <w:t xml:space="preserve">此次部分募投项目完成并将节余募集资金永久性补充流动资金事项已经公司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年年度股东大会审议通过，相关公告已披露在巨潮资讯网等指定信息媒体：</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日《关于部分募投项目完成并将节余募集资金永久性补充流动资金的公告》 (公告编号：</w:t>
      </w:r>
      <w:r>
        <w:rPr>
          <w:rFonts w:ascii="Times New Roman" w:eastAsia="Times New Roman" w:hAnsi="Times New Roman" w:cs="Times New Roman"/>
          <w:color w:val="000000"/>
          <w:spacing w:val="0"/>
          <w:w w:val="100"/>
          <w:position w:val="0"/>
          <w:sz w:val="18"/>
          <w:szCs w:val="18"/>
        </w:rPr>
        <w:t>2020-033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年年度股东大会决议公告》(公告 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p>
    <w:p>
      <w:pPr>
        <w:pStyle w:val="Style35"/>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114300" distR="114300" simplePos="0" relativeHeight="125829404" behindDoc="0" locked="0" layoutInCell="1" allowOverlap="1">
                <wp:simplePos x="0" y="0"/>
                <wp:positionH relativeFrom="page">
                  <wp:posOffset>2768600</wp:posOffset>
                </wp:positionH>
                <wp:positionV relativeFrom="paragraph">
                  <wp:posOffset>101600</wp:posOffset>
                </wp:positionV>
                <wp:extent cx="368935" cy="140335"/>
                <wp:wrapSquare wrapText="left"/>
                <wp:docPr id="144" name="Shape 144"/>
                <a:graphic xmlns:a="http://schemas.openxmlformats.org/drawingml/2006/main">
                  <a:graphicData uri="http://schemas.microsoft.com/office/word/2010/wordprocessingShape">
                    <wps:wsp>
                      <wps:cNvSpPr txBox="1"/>
                      <wps:spPr>
                        <a:xfrm>
                          <a:ext cx="36893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170" type="#_x0000_t202" style="position:absolute;margin-left:218.pt;margin-top:8.pt;width:29.050000000000001pt;height:11.050000000000001pt;z-index:-125829349;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type="square" side="left" anchorx="page"/>
              </v:shape>
            </w:pict>
          </mc:Fallback>
        </mc:AlternateContent>
      </w:r>
      <w:r>
        <w:rPr>
          <w:color w:val="000000"/>
          <w:spacing w:val="0"/>
          <w:w w:val="100"/>
          <w:position w:val="0"/>
        </w:rPr>
        <w:t>未达到计划进度或预计收益的情况</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p>
      <w:pPr>
        <w:widowControl w:val="0"/>
        <w:spacing w:line="1" w:lineRule="exact"/>
      </w:pPr>
      <w:r>
        <mc:AlternateContent>
          <mc:Choice Requires="wps">
            <w:drawing>
              <wp:anchor distT="0" distB="0" distL="0" distR="0" simplePos="0" relativeHeight="125829406" behindDoc="0" locked="0" layoutInCell="1" allowOverlap="1">
                <wp:simplePos x="0" y="0"/>
                <wp:positionH relativeFrom="page">
                  <wp:posOffset>716915</wp:posOffset>
                </wp:positionH>
                <wp:positionV relativeFrom="paragraph">
                  <wp:posOffset>0</wp:posOffset>
                </wp:positionV>
                <wp:extent cx="1740535" cy="414655"/>
                <wp:wrapTopAndBottom/>
                <wp:docPr id="146" name="Shape 146"/>
                <a:graphic xmlns:a="http://schemas.openxmlformats.org/drawingml/2006/main">
                  <a:graphicData uri="http://schemas.microsoft.com/office/word/2010/wordprocessingShape">
                    <wps:wsp>
                      <wps:cNvSpPr txBox="1"/>
                      <wps:spPr>
                        <a:xfrm>
                          <a:ext cx="1740535" cy="414655"/>
                        </a:xfrm>
                        <a:prstGeom prst="rect"/>
                        <a:noFill/>
                      </wps:spPr>
                      <wps:txbx>
                        <w:txbxContent>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xbxContent>
                      </wps:txbx>
                      <wps:bodyPr lIns="0" tIns="0" rIns="0" bIns="0">
                        <a:noAutoFit/>
                      </wps:bodyPr>
                    </wps:wsp>
                  </a:graphicData>
                </a:graphic>
              </wp:anchor>
            </w:drawing>
          </mc:Choice>
          <mc:Fallback>
            <w:pict>
              <v:shape id="_x0000_s1172" type="#_x0000_t202" style="position:absolute;margin-left:56.450000000000003pt;margin-top:0;width:137.05000000000001pt;height:32.649999999999999pt;z-index:-125829347;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xbxContent>
                </v:textbox>
                <w10:wrap type="topAndBottom" anchorx="page"/>
              </v:shape>
            </w:pict>
          </mc:Fallback>
        </mc:AlternateContent>
      </w:r>
      <w:r>
        <mc:AlternateContent>
          <mc:Choice Requires="wps">
            <w:drawing>
              <wp:anchor distT="164465" distB="109855" distL="0" distR="0" simplePos="0" relativeHeight="125829408" behindDoc="0" locked="0" layoutInCell="1" allowOverlap="1">
                <wp:simplePos x="0" y="0"/>
                <wp:positionH relativeFrom="page">
                  <wp:posOffset>2767965</wp:posOffset>
                </wp:positionH>
                <wp:positionV relativeFrom="paragraph">
                  <wp:posOffset>164465</wp:posOffset>
                </wp:positionV>
                <wp:extent cx="368935" cy="140335"/>
                <wp:wrapTopAndBottom/>
                <wp:docPr id="148" name="Shape 148"/>
                <a:graphic xmlns:a="http://schemas.openxmlformats.org/drawingml/2006/main">
                  <a:graphicData uri="http://schemas.microsoft.com/office/word/2010/wordprocessingShape">
                    <wps:wsp>
                      <wps:cNvSpPr txBox="1"/>
                      <wps:spPr>
                        <a:xfrm>
                          <a:ext cx="36893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174" type="#_x0000_t202" style="position:absolute;margin-left:217.95000000000002pt;margin-top:12.950000000000001pt;width:29.050000000000001pt;height:11.050000000000001pt;z-index:-125829345;mso-wrap-distance-left:0;mso-wrap-distance-top:12.950000000000001pt;mso-wrap-distance-right:0;mso-wrap-distance-bottom:8.6500000000000004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type="topAndBottom" anchorx="page"/>
              </v:shape>
            </w:pict>
          </mc:Fallback>
        </mc:AlternateContent>
      </w:r>
    </w:p>
    <w:p>
      <w:pPr>
        <w:pStyle w:val="Style29"/>
        <w:keepNext/>
        <w:keepLines/>
        <w:widowControl w:val="0"/>
        <w:shd w:val="clear" w:color="auto" w:fill="auto"/>
        <w:bidi w:val="0"/>
        <w:spacing w:before="0" w:after="3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六</w:t>
      </w:r>
      <w:bookmarkEnd w:id="256"/>
      <w:r>
        <w:rPr>
          <w:color w:val="000000"/>
          <w:spacing w:val="0"/>
          <w:w w:val="100"/>
          <w:position w:val="0"/>
          <w:sz w:val="24"/>
          <w:szCs w:val="24"/>
        </w:rPr>
        <w:t>、重大资产和股权出售</w:t>
      </w:r>
      <w:bookmarkEnd w:id="254"/>
      <w:bookmarkEnd w:id="255"/>
      <w:bookmarkEnd w:id="257"/>
    </w:p>
    <w:p>
      <w:pPr>
        <w:pStyle w:val="Style39"/>
        <w:keepNext/>
        <w:keepLines/>
        <w:widowControl w:val="0"/>
        <w:shd w:val="clear" w:color="auto" w:fill="auto"/>
        <w:bidi w:val="0"/>
        <w:spacing w:before="0" w:after="380" w:line="240" w:lineRule="auto"/>
        <w:ind w:left="0" w:right="0" w:firstLine="460"/>
        <w:jc w:val="both"/>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、出售重大资产情况</w:t>
      </w:r>
      <w:bookmarkEnd w:id="258"/>
      <w:bookmarkEnd w:id="259"/>
      <w:bookmarkEnd w:id="261"/>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公司报告期未出售重大资产。</w:t>
      </w:r>
    </w:p>
    <w:p>
      <w:pPr>
        <w:pStyle w:val="Style39"/>
        <w:keepNext/>
        <w:keepLines/>
        <w:widowControl w:val="0"/>
        <w:shd w:val="clear" w:color="auto" w:fill="auto"/>
        <w:bidi w:val="0"/>
        <w:spacing w:before="0" w:after="380" w:line="240" w:lineRule="auto"/>
        <w:ind w:left="0" w:right="0" w:firstLine="460"/>
        <w:jc w:val="both"/>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、出售重大股权情况</w:t>
      </w:r>
      <w:bookmarkEnd w:id="262"/>
      <w:bookmarkEnd w:id="263"/>
      <w:bookmarkEnd w:id="265"/>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七</w:t>
      </w:r>
      <w:bookmarkEnd w:id="268"/>
      <w:r>
        <w:rPr>
          <w:color w:val="000000"/>
          <w:spacing w:val="0"/>
          <w:w w:val="100"/>
          <w:position w:val="0"/>
          <w:sz w:val="24"/>
          <w:szCs w:val="24"/>
        </w:rPr>
        <w:t>、主要控股参股公司分析</w:t>
      </w:r>
      <w:bookmarkEnd w:id="266"/>
      <w:bookmarkEnd w:id="267"/>
      <w:bookmarkEnd w:id="269"/>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7"/>
        <w:gridCol w:w="850"/>
        <w:gridCol w:w="1450"/>
        <w:gridCol w:w="960"/>
        <w:gridCol w:w="1133"/>
        <w:gridCol w:w="1051"/>
        <w:gridCol w:w="1046"/>
        <w:gridCol w:w="1042"/>
        <w:gridCol w:w="1075"/>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28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方欣科技有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left"/>
            </w:pPr>
            <w:r>
              <w:rPr>
                <w:color w:val="000000"/>
                <w:spacing w:val="0"/>
                <w:w w:val="100"/>
                <w:position w:val="0"/>
              </w:rPr>
              <w:t>计算机技术开发、 技术服务；网络技 术的研究、开发； 信息系统集成服 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 </w:t>
            </w:r>
            <w:r>
              <w:rPr>
                <w:color w:val="000000"/>
                <w:spacing w:val="0"/>
                <w:w w:val="100"/>
                <w:position w:val="0"/>
              </w:rPr>
              <w:t>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1,385,574,153.55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967,199,156.38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293,477,459.41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-544,670,084.91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-488,059,449.09</w:t>
            </w:r>
          </w:p>
        </w:tc>
      </w:tr>
      <w:tr>
        <w:trPr>
          <w:trHeight w:val="82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江苏丰东热 技术有限公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热处理设备及其 辅助设备的研发、 制造、销售等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26,800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1,029,975,342.15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793,219,151.16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215,480,658.25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39,075,260.03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38,484,991.68</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46"/>
        <w:gridCol w:w="2981"/>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江西金财数据技术有限公司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四川方欣全方数据科技有限公司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山东欣税软件有限公司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青岛方欣儒商信息科技有限公司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浙江协企财务管理有限公司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杭州泓德财务管理有限公司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金财互联智链研究院（青岛）有限公司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惠州市金财互联技术有限公司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金财云商（青岛）数据科技有限公司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金财互联（江门）财税服务有限公司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金财云盟数字科技有限公司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金财（高安）云商信息科技有限公司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上海金财盛慧科技有限公司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福建麦税数字科技有限公司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浙江金财共享智能科技有限公司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武汉丰东热技术有限公司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八</w:t>
      </w:r>
      <w:bookmarkEnd w:id="272"/>
      <w:r>
        <w:rPr>
          <w:color w:val="000000"/>
          <w:spacing w:val="0"/>
          <w:w w:val="100"/>
          <w:position w:val="0"/>
          <w:sz w:val="24"/>
          <w:szCs w:val="24"/>
        </w:rPr>
        <w:t>、公司控制的结构化主体情况</w:t>
      </w:r>
      <w:bookmarkEnd w:id="270"/>
      <w:bookmarkEnd w:id="271"/>
      <w:bookmarkEnd w:id="273"/>
    </w:p>
    <w:p>
      <w:pPr>
        <w:pStyle w:val="Style35"/>
        <w:keepNext w:val="0"/>
        <w:keepLines w:val="0"/>
        <w:widowControl w:val="0"/>
        <w:shd w:val="clear" w:color="auto" w:fill="auto"/>
        <w:bidi w:val="0"/>
        <w:spacing w:before="0" w:after="140" w:line="240" w:lineRule="auto"/>
        <w:ind w:left="0" w:right="0"/>
        <w:jc w:val="lef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41" w:right="1060" w:bottom="1475" w:left="102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九</w:t>
      </w:r>
      <w:bookmarkEnd w:id="276"/>
      <w:r>
        <w:rPr>
          <w:color w:val="000000"/>
          <w:spacing w:val="0"/>
          <w:w w:val="100"/>
          <w:position w:val="0"/>
          <w:sz w:val="24"/>
          <w:szCs w:val="24"/>
        </w:rPr>
        <w:t>、公司未来发展的展望</w:t>
      </w:r>
      <w:bookmarkEnd w:id="274"/>
      <w:bookmarkEnd w:id="275"/>
      <w:bookmarkEnd w:id="277"/>
    </w:p>
    <w:p>
      <w:pPr>
        <w:pStyle w:val="Style35"/>
        <w:keepNext w:val="0"/>
        <w:keepLines w:val="0"/>
        <w:widowControl w:val="0"/>
        <w:shd w:val="clear" w:color="auto" w:fill="auto"/>
        <w:bidi w:val="0"/>
        <w:spacing w:before="0" w:after="0" w:line="360" w:lineRule="auto"/>
        <w:ind w:left="0" w:right="0"/>
        <w:jc w:val="both"/>
      </w:pPr>
      <w:bookmarkStart w:id="278" w:name="bookmark278"/>
      <w:r>
        <w:rPr>
          <w:rFonts w:ascii="Times New Roman" w:eastAsia="Times New Roman" w:hAnsi="Times New Roman" w:cs="Times New Roman"/>
          <w:b/>
          <w:bCs/>
          <w:color w:val="000000"/>
          <w:spacing w:val="0"/>
          <w:w w:val="100"/>
          <w:position w:val="0"/>
          <w:sz w:val="18"/>
          <w:szCs w:val="18"/>
        </w:rPr>
        <w:t>1</w:t>
      </w:r>
      <w:bookmarkEnd w:id="278"/>
      <w:r>
        <w:rPr>
          <w:b/>
          <w:bCs/>
          <w:color w:val="000000"/>
          <w:spacing w:val="0"/>
          <w:w w:val="100"/>
          <w:position w:val="0"/>
        </w:rPr>
        <w:t>、互联网财税业务</w:t>
      </w:r>
    </w:p>
    <w:p>
      <w:pPr>
        <w:pStyle w:val="Style35"/>
        <w:keepNext w:val="0"/>
        <w:keepLines w:val="0"/>
        <w:widowControl w:val="0"/>
        <w:shd w:val="clear" w:color="auto" w:fill="auto"/>
        <w:tabs>
          <w:tab w:pos="790" w:val="left"/>
        </w:tabs>
        <w:bidi w:val="0"/>
        <w:spacing w:before="0" w:after="0" w:line="313" w:lineRule="exact"/>
        <w:ind w:left="0" w:right="0"/>
        <w:jc w:val="both"/>
      </w:pPr>
      <w:bookmarkStart w:id="279" w:name="bookmark279"/>
      <w:r>
        <w:rPr>
          <w:b/>
          <w:bCs/>
          <w:color w:val="000000"/>
          <w:spacing w:val="0"/>
          <w:w w:val="100"/>
          <w:position w:val="0"/>
        </w:rPr>
        <w:t>（</w:t>
      </w:r>
      <w:bookmarkEnd w:id="27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行业格局与趋势</w:t>
      </w:r>
    </w:p>
    <w:p>
      <w:pPr>
        <w:pStyle w:val="Style35"/>
        <w:keepNext w:val="0"/>
        <w:keepLines w:val="0"/>
        <w:widowControl w:val="0"/>
        <w:numPr>
          <w:ilvl w:val="0"/>
          <w:numId w:val="19"/>
        </w:numPr>
        <w:shd w:val="clear" w:color="auto" w:fill="auto"/>
        <w:tabs>
          <w:tab w:pos="713" w:val="left"/>
        </w:tabs>
        <w:bidi w:val="0"/>
        <w:spacing w:before="0" w:after="0" w:line="313" w:lineRule="exact"/>
        <w:ind w:left="0" w:right="0"/>
        <w:jc w:val="both"/>
      </w:pPr>
      <w:bookmarkStart w:id="280" w:name="bookmark280"/>
      <w:bookmarkEnd w:id="280"/>
      <w:r>
        <w:rPr>
          <w:b/>
          <w:bCs/>
          <w:color w:val="000000"/>
          <w:spacing w:val="0"/>
          <w:w w:val="100"/>
          <w:position w:val="0"/>
        </w:rPr>
        <w:t>国际国内经营环境情况</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数字经济正在席卷全球。数字经济是继农业经济、工业经济之后全新的社会经济发展形态，也是世界经济创新发展的主 流模式。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年，数字经济在全球服务业、工业和农业的渗透率分别达到了 </w:t>
      </w:r>
      <w:r>
        <w:rPr>
          <w:rFonts w:ascii="Times New Roman" w:eastAsia="Times New Roman" w:hAnsi="Times New Roman" w:cs="Times New Roman"/>
          <w:color w:val="000000"/>
          <w:spacing w:val="0"/>
          <w:w w:val="100"/>
          <w:position w:val="0"/>
          <w:sz w:val="18"/>
          <w:szCs w:val="18"/>
        </w:rPr>
        <w:t>39.4%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。而今年，在新冠肺炎疫 情的冲击下，数字经济仍然逆风飞扬，以不可阻挡的势头席卷全球。中国作为数字经济的领头羊，已经全面进入数字经济时 代。</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数字政府的升级不断加速。自十九大提出“打造数字政府、培育数字经济、构建数字社会”后，为了适应数字经济时代 的发展，中国政府利用云计算、大数据、人工智能等手段快速推进国家治理的现代化，促进政府管理和社会治理的创新，以 适应整个数字经济时代的发展要求。根据两办在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日公布的《关于进一步深化税收征管改革的意见》，国家税务总局预 计将以发票电子化改革为突破口、以税收大数据为驱动力的具有高集成功能、高安全性能、高应用效能的智慧税务，深入推 进精确执法、精细服务、精准监管、精诚共治，到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年实现税务执法、服务、监管与大数据智能化应用深度融合、高效联 动、全面升级。</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基础设施的数字化。在新型基础设施方面，国新办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日发布会表示，今年将出台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新型基础设施建设规划，大 力发展数字经济，拓展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应用，加快工业互联网、数据中心等建设。国家层面新基建的大规模投资计划，不仅仅是为了应 对疫情影响，更重要是为了顺应时代发展需求，由国家投资打造数字经济时代的基础设施，推动整个国家向数字经济时代转 型。在此大背景下，企业数字化市场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w:t>
      </w:r>
      <w:r>
        <w:rPr>
          <w:color w:val="000000"/>
          <w:spacing w:val="0"/>
          <w:w w:val="100"/>
          <w:position w:val="0"/>
        </w:rPr>
        <w:t>也在各行各业迎来蓬勃发展。</w:t>
      </w:r>
    </w:p>
    <w:p>
      <w:pPr>
        <w:pStyle w:val="Style35"/>
        <w:keepNext w:val="0"/>
        <w:keepLines w:val="0"/>
        <w:widowControl w:val="0"/>
        <w:numPr>
          <w:ilvl w:val="0"/>
          <w:numId w:val="19"/>
        </w:numPr>
        <w:shd w:val="clear" w:color="auto" w:fill="auto"/>
        <w:tabs>
          <w:tab w:pos="713" w:val="left"/>
        </w:tabs>
        <w:bidi w:val="0"/>
        <w:spacing w:before="0" w:after="0" w:line="313" w:lineRule="exact"/>
        <w:ind w:left="0" w:right="0"/>
        <w:jc w:val="both"/>
      </w:pPr>
      <w:bookmarkStart w:id="281" w:name="bookmark281"/>
      <w:bookmarkEnd w:id="281"/>
      <w:r>
        <w:rPr>
          <w:b/>
          <w:bCs/>
          <w:color w:val="000000"/>
          <w:spacing w:val="0"/>
          <w:w w:val="100"/>
          <w:position w:val="0"/>
        </w:rPr>
        <w:t>公司所处行业的发展情况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我国财税服务领域正处于数字化转型升级的历史窗口期。随着国家“十四五”规划纲要出台、进一步深化税收征管改革 意见发布、金税四期建设的正式启动、发票电子化的迅猛推进，新一轮数字化产业革命将从根本上改变财税行业的商业模式， 大数据、人工智能、区块链技术的不断发展成熟，一个在线连接、数字驱动、网络协同的数字化财税服务财税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新时代已 经到来。</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国家“十四五”规划纲要中提出：加强关键数字技术创新应用，加快推进数字产业化和产业数字化，完善数字治理体系， 提升数字服务水平；以数字化转型整体驱动生产方式、生活方式和治理方式变革，促进高质量发展；发挥数据生产要素的关 键作用，激活数据要素潜力，进一步完善数据生态；打造数字经济新优势，培育数字经济发展新动能，催生新产业、新业态、 新模式。“十四五”规划纲要将数字化提升到了前所未有的战略高度。另一方面，金税四期工程开始启动建设，发票电子化 改革也推进的如火如荼，大数据时代下的新型税收征管改革也已经形成了明确的时间表，到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年将形成以“信用+风险” 监管为基础、从“以票管税”向“以数治税”分类精准监管的税务监管新体系。随着政府信息化全面走向数字化监管，税惠 普及性、税负公平性、税收规范性力度达到前所未有高度，“合规、降负”的新财税服务需求呈井喷之势。</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数字化新经济环境下，随着《电子商务法》和《网络交易监督管理办法》的实施，以网店、微商、代购、直播等新经济 为代表的经营群体不再属于征管机构监管的“灰色地带”，家庭个人财税服务蓝海亟待爆发，涉税服务群体将成倍增长。而 与此同时，随着发票的“电子化凭证”管理要求、人工成本的不断增加以及客户数字化需求的不断提升，传统财税服务机构 以工商、代理记账、鉴证、审计为主的劳动密集型业务模式已经无法适应数字化新时代的需求，亟待利用数字化手段进行转 型升级。另一方面，国家税务总局发布（税总发</w:t>
      </w:r>
      <w:r>
        <w:rPr>
          <w:rFonts w:ascii="Times New Roman" w:eastAsia="Times New Roman" w:hAnsi="Times New Roman" w:cs="Times New Roman"/>
          <w:color w:val="000000"/>
          <w:spacing w:val="0"/>
          <w:w w:val="100"/>
          <w:position w:val="0"/>
          <w:sz w:val="18"/>
          <w:szCs w:val="18"/>
        </w:rPr>
        <w:t>[2019]44</w:t>
      </w:r>
      <w:r>
        <w:rPr>
          <w:color w:val="000000"/>
          <w:spacing w:val="0"/>
          <w:w w:val="100"/>
          <w:position w:val="0"/>
        </w:rPr>
        <w:t>号），以税务机构为核心的营商环境大大改善，与税务机构相关联 的涉税收费一去不复返，依靠市场化手段为企业提供“合规、降负、增利”的增值服务模式迎来了发展机遇。</w:t>
      </w:r>
    </w:p>
    <w:p>
      <w:pPr>
        <w:pStyle w:val="Style35"/>
        <w:keepNext w:val="0"/>
        <w:keepLines w:val="0"/>
        <w:widowControl w:val="0"/>
        <w:shd w:val="clear" w:color="auto" w:fill="auto"/>
        <w:tabs>
          <w:tab w:pos="790" w:val="left"/>
        </w:tabs>
        <w:bidi w:val="0"/>
        <w:spacing w:before="0" w:after="0" w:line="313" w:lineRule="exact"/>
        <w:ind w:left="0" w:right="0"/>
        <w:jc w:val="both"/>
      </w:pPr>
      <w:bookmarkStart w:id="282" w:name="bookmark282"/>
      <w:r>
        <w:rPr>
          <w:b/>
          <w:bCs/>
          <w:color w:val="000000"/>
          <w:spacing w:val="0"/>
          <w:w w:val="100"/>
          <w:position w:val="0"/>
        </w:rPr>
        <w:t>（</w:t>
      </w:r>
      <w:bookmarkEnd w:id="28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公司发展战略</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公司整体战略总结为“一个平台、两条主线”。</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一个平台即打造一个财税产业数字化平台，对财税产业的产品、生产、营销、服务及运营的各个环节进行数字化赋能， 进而重塑业态结构与生态圈，实现财税产业链上、下游各方高效协作的智能化财税服务新模式，致力于打造精准化、场景化、 智慧化的财税服务新体验。</w:t>
      </w:r>
    </w:p>
    <w:p>
      <w:pPr>
        <w:pStyle w:val="Style35"/>
        <w:keepNext w:val="0"/>
        <w:keepLines w:val="0"/>
        <w:widowControl w:val="0"/>
        <w:shd w:val="clear" w:color="auto" w:fill="auto"/>
        <w:bidi w:val="0"/>
        <w:spacing w:before="0" w:after="0" w:line="313" w:lineRule="exact"/>
        <w:ind w:left="0" w:right="0"/>
        <w:jc w:val="both"/>
        <w:sectPr>
          <w:headerReference w:type="default" r:id="rId55"/>
          <w:footerReference w:type="default" r:id="rId56"/>
          <w:headerReference w:type="even" r:id="rId57"/>
          <w:footerReference w:type="even" r:id="rId58"/>
          <w:footnotePr>
            <w:pos w:val="pageBottom"/>
            <w:numFmt w:val="decimal"/>
            <w:numRestart w:val="continuous"/>
          </w:footnotePr>
          <w:type w:val="continuous"/>
          <w:pgSz w:w="11900" w:h="16840"/>
          <w:pgMar w:top="1441" w:right="1060" w:bottom="1475" w:left="1024" w:header="0" w:footer="3" w:gutter="0"/>
          <w:cols w:space="720"/>
          <w:noEndnote/>
          <w:rtlGutter w:val="0"/>
          <w:docGrid w:linePitch="360"/>
        </w:sectPr>
      </w:pPr>
      <w:r>
        <w:rPr>
          <w:color w:val="000000"/>
          <w:spacing w:val="0"/>
          <w:w w:val="100"/>
          <w:position w:val="0"/>
        </w:rPr>
        <w:t>两条主线是指基于数字化时代的商业基础设施，一条主线是帮助税务机关进行数字化转型升级，打造“大中台、小前端、</w:t>
      </w:r>
    </w:p>
    <w:p>
      <w:pPr>
        <w:pStyle w:val="Style35"/>
        <w:keepNext w:val="0"/>
        <w:keepLines w:val="0"/>
        <w:widowControl w:val="0"/>
        <w:shd w:val="clear" w:color="auto" w:fill="auto"/>
        <w:bidi w:val="0"/>
        <w:spacing w:before="0" w:after="0" w:line="480" w:lineRule="exact"/>
        <w:ind w:left="0" w:right="0" w:firstLine="5820"/>
        <w:jc w:val="both"/>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富生态”架构的数字化税局，面向纳税人提供公共、均等化的服务；另一条主线是通过数据和技术赋能线下财税服务机构和 财税专业人士等，打造社会化的财税服务平台，提供个性化、专业化的服务，实现财税行业的数字化转型升级。</w:t>
      </w:r>
    </w:p>
    <w:p>
      <w:pPr>
        <w:pStyle w:val="Style35"/>
        <w:keepNext w:val="0"/>
        <w:keepLines w:val="0"/>
        <w:widowControl w:val="0"/>
        <w:shd w:val="clear" w:color="auto" w:fill="auto"/>
        <w:bidi w:val="0"/>
        <w:spacing w:before="0" w:after="0" w:line="319" w:lineRule="exact"/>
        <w:ind w:left="0" w:right="0"/>
        <w:jc w:val="both"/>
      </w:pPr>
      <w:r>
        <w:rPr>
          <w:rFonts w:ascii="Arial" w:eastAsia="Arial" w:hAnsi="Arial" w:cs="Arial"/>
          <w:color w:val="000000"/>
          <w:spacing w:val="0"/>
          <w:w w:val="100"/>
          <w:position w:val="0"/>
        </w:rPr>
        <w:t>2021</w:t>
      </w:r>
      <w:r>
        <w:rPr>
          <w:color w:val="000000"/>
          <w:spacing w:val="0"/>
          <w:w w:val="100"/>
          <w:position w:val="0"/>
        </w:rPr>
        <w:t>年将紧抓国家改革和发展机遇期，在数字化新经济时代，立足创新发展理念，进一步统一思想，创造性地应对政策 变化带来的新挑战，以服务国家战略和服务中小企业为立足点，以“十四五”发展规划为指引，加快转型升级发展步伐，聚 焦高质量发展，实现规模化营收。</w:t>
      </w:r>
    </w:p>
    <w:p>
      <w:pPr>
        <w:pStyle w:val="Style35"/>
        <w:keepNext w:val="0"/>
        <w:keepLines w:val="0"/>
        <w:widowControl w:val="0"/>
        <w:numPr>
          <w:ilvl w:val="0"/>
          <w:numId w:val="21"/>
        </w:numPr>
        <w:shd w:val="clear" w:color="auto" w:fill="auto"/>
        <w:bidi w:val="0"/>
        <w:spacing w:before="0" w:after="0" w:line="317" w:lineRule="exact"/>
        <w:ind w:left="0" w:right="0"/>
        <w:jc w:val="both"/>
      </w:pPr>
      <w:bookmarkStart w:id="283" w:name="bookmark283"/>
      <w:bookmarkEnd w:id="283"/>
      <w:r>
        <w:rPr>
          <w:b/>
          <w:bCs/>
          <w:color w:val="000000"/>
          <w:spacing w:val="0"/>
          <w:w w:val="100"/>
          <w:position w:val="0"/>
        </w:rPr>
        <w:t>经营计划</w:t>
      </w:r>
    </w:p>
    <w:p>
      <w:pPr>
        <w:pStyle w:val="Style35"/>
        <w:keepNext w:val="0"/>
        <w:keepLines w:val="0"/>
        <w:widowControl w:val="0"/>
        <w:numPr>
          <w:ilvl w:val="0"/>
          <w:numId w:val="23"/>
        </w:numPr>
        <w:shd w:val="clear" w:color="auto" w:fill="auto"/>
        <w:tabs>
          <w:tab w:pos="713" w:val="left"/>
        </w:tabs>
        <w:bidi w:val="0"/>
        <w:spacing w:before="0" w:after="0" w:line="317" w:lineRule="exact"/>
        <w:ind w:left="0" w:right="0"/>
        <w:jc w:val="both"/>
      </w:pPr>
      <w:bookmarkStart w:id="284" w:name="bookmark284"/>
      <w:bookmarkEnd w:id="284"/>
      <w:r>
        <w:rPr>
          <w:b/>
          <w:bCs/>
          <w:color w:val="000000"/>
          <w:spacing w:val="0"/>
          <w:w w:val="100"/>
          <w:position w:val="0"/>
        </w:rPr>
        <w:t>回顾前期披露的发展战略和经营计划在报告期内的进展</w:t>
      </w:r>
    </w:p>
    <w:p>
      <w:pPr>
        <w:pStyle w:val="Style35"/>
        <w:keepNext w:val="0"/>
        <w:keepLines w:val="0"/>
        <w:widowControl w:val="0"/>
        <w:numPr>
          <w:ilvl w:val="0"/>
          <w:numId w:val="25"/>
        </w:numPr>
        <w:shd w:val="clear" w:color="auto" w:fill="auto"/>
        <w:tabs>
          <w:tab w:pos="601" w:val="left"/>
        </w:tabs>
        <w:bidi w:val="0"/>
        <w:spacing w:before="0" w:after="0" w:line="317" w:lineRule="exact"/>
        <w:ind w:left="0" w:right="0"/>
        <w:jc w:val="both"/>
      </w:pPr>
      <w:bookmarkStart w:id="285" w:name="bookmark285"/>
      <w:bookmarkEnd w:id="285"/>
      <w:r>
        <w:rPr>
          <w:color w:val="000000"/>
          <w:spacing w:val="0"/>
          <w:w w:val="100"/>
          <w:position w:val="0"/>
        </w:rPr>
        <w:t>报告期内，公司互联网财税业务板块实现营业收入</w:t>
      </w:r>
      <w:r>
        <w:rPr>
          <w:rFonts w:ascii="Times New Roman" w:eastAsia="Times New Roman" w:hAnsi="Times New Roman" w:cs="Times New Roman"/>
          <w:color w:val="000000"/>
          <w:spacing w:val="0"/>
          <w:w w:val="100"/>
          <w:position w:val="0"/>
          <w:sz w:val="18"/>
          <w:szCs w:val="18"/>
        </w:rPr>
        <w:t>47,229.98</w:t>
      </w:r>
      <w:r>
        <w:rPr>
          <w:color w:val="000000"/>
          <w:spacing w:val="0"/>
          <w:w w:val="100"/>
          <w:position w:val="0"/>
        </w:rPr>
        <w:t>万元，比上年下降</w:t>
      </w:r>
      <w:r>
        <w:rPr>
          <w:rFonts w:ascii="Times New Roman" w:eastAsia="Times New Roman" w:hAnsi="Times New Roman" w:cs="Times New Roman"/>
          <w:color w:val="000000"/>
          <w:spacing w:val="0"/>
          <w:w w:val="100"/>
          <w:position w:val="0"/>
          <w:sz w:val="18"/>
          <w:szCs w:val="18"/>
        </w:rPr>
        <w:t>29.51%</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-67,279.48</w:t>
      </w:r>
      <w:r>
        <w:rPr>
          <w:color w:val="000000"/>
          <w:spacing w:val="0"/>
          <w:w w:val="100"/>
          <w:position w:val="0"/>
        </w:rPr>
        <w:t>万元，归 属于母公司股东的净利润</w:t>
      </w:r>
      <w:r>
        <w:rPr>
          <w:rFonts w:ascii="Times New Roman" w:eastAsia="Times New Roman" w:hAnsi="Times New Roman" w:cs="Times New Roman"/>
          <w:color w:val="000000"/>
          <w:spacing w:val="0"/>
          <w:w w:val="100"/>
          <w:position w:val="0"/>
          <w:sz w:val="18"/>
          <w:szCs w:val="18"/>
        </w:rPr>
        <w:t>-63,868.54</w:t>
      </w:r>
      <w:r>
        <w:rPr>
          <w:color w:val="000000"/>
          <w:spacing w:val="0"/>
          <w:w w:val="100"/>
          <w:position w:val="0"/>
        </w:rPr>
        <w:t>万元，分别比上年下降</w:t>
      </w:r>
      <w:r>
        <w:rPr>
          <w:rFonts w:ascii="Times New Roman" w:eastAsia="Times New Roman" w:hAnsi="Times New Roman" w:cs="Times New Roman"/>
          <w:color w:val="000000"/>
          <w:spacing w:val="0"/>
          <w:w w:val="100"/>
          <w:position w:val="0"/>
          <w:sz w:val="18"/>
          <w:szCs w:val="18"/>
        </w:rPr>
        <w:t>785.37%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938.99%</w:t>
      </w:r>
      <w:r>
        <w:rPr>
          <w:color w:val="000000"/>
          <w:spacing w:val="0"/>
          <w:w w:val="100"/>
          <w:position w:val="0"/>
        </w:rPr>
        <w:t>。</w:t>
      </w:r>
    </w:p>
    <w:p>
      <w:pPr>
        <w:pStyle w:val="Style35"/>
        <w:keepNext w:val="0"/>
        <w:keepLines w:val="0"/>
        <w:widowControl w:val="0"/>
        <w:numPr>
          <w:ilvl w:val="0"/>
          <w:numId w:val="25"/>
        </w:numPr>
        <w:shd w:val="clear" w:color="auto" w:fill="auto"/>
        <w:tabs>
          <w:tab w:pos="606" w:val="left"/>
        </w:tabs>
        <w:bidi w:val="0"/>
        <w:spacing w:before="0" w:after="0" w:line="330" w:lineRule="exact"/>
        <w:ind w:left="0" w:right="0"/>
        <w:jc w:val="both"/>
      </w:pPr>
      <w:bookmarkStart w:id="286" w:name="bookmark286"/>
      <w:bookmarkEnd w:id="286"/>
      <w:r>
        <w:rPr>
          <w:color w:val="000000"/>
          <w:spacing w:val="0"/>
          <w:w w:val="100"/>
          <w:position w:val="0"/>
        </w:rPr>
        <w:t>抓住新冠肺炎疫情对行业的影响，及时打造线上服务产品、强化线上服务能力，推出了征纳互动产品，并在贵州、福 建、厦门等地上线，推动了征纳互动线上化的发展，打造了基础的成熟可推广的系统版本。</w:t>
      </w:r>
    </w:p>
    <w:p>
      <w:pPr>
        <w:pStyle w:val="Style35"/>
        <w:keepNext w:val="0"/>
        <w:keepLines w:val="0"/>
        <w:widowControl w:val="0"/>
        <w:numPr>
          <w:ilvl w:val="0"/>
          <w:numId w:val="25"/>
        </w:numPr>
        <w:shd w:val="clear" w:color="auto" w:fill="auto"/>
        <w:tabs>
          <w:tab w:pos="615" w:val="left"/>
        </w:tabs>
        <w:bidi w:val="0"/>
        <w:spacing w:before="0" w:after="0" w:line="330" w:lineRule="exact"/>
        <w:ind w:left="0" w:right="0"/>
        <w:jc w:val="both"/>
      </w:pPr>
      <w:bookmarkStart w:id="287" w:name="bookmark287"/>
      <w:bookmarkEnd w:id="287"/>
      <w:r>
        <w:rPr>
          <w:color w:val="000000"/>
          <w:spacing w:val="0"/>
          <w:w w:val="100"/>
          <w:position w:val="0"/>
        </w:rPr>
        <w:t>重视对国家税务总局的全方位持续关注，加大投入保障效果。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年公司加大电子税务局的投入，所服务区域在总局 组织的年度满意度排名中取得进步和良好成绩，由公安系统组织的攻防演练护网行动中实现零失分，得到各地客户的认可。</w:t>
      </w:r>
    </w:p>
    <w:p>
      <w:pPr>
        <w:pStyle w:val="Style35"/>
        <w:keepNext w:val="0"/>
        <w:keepLines w:val="0"/>
        <w:widowControl w:val="0"/>
        <w:numPr>
          <w:ilvl w:val="0"/>
          <w:numId w:val="25"/>
        </w:numPr>
        <w:shd w:val="clear" w:color="auto" w:fill="auto"/>
        <w:tabs>
          <w:tab w:pos="601" w:val="left"/>
        </w:tabs>
        <w:bidi w:val="0"/>
        <w:spacing w:before="0" w:after="0" w:line="330" w:lineRule="exact"/>
        <w:ind w:left="0" w:right="0"/>
        <w:jc w:val="both"/>
      </w:pPr>
      <w:bookmarkStart w:id="288" w:name="bookmark288"/>
      <w:bookmarkEnd w:id="288"/>
      <w:r>
        <w:rPr>
          <w:color w:val="000000"/>
          <w:spacing w:val="0"/>
          <w:w w:val="100"/>
          <w:position w:val="0"/>
        </w:rPr>
        <w:t>进一步开拓</w:t>
      </w:r>
      <w:r>
        <w:rPr>
          <w:rFonts w:ascii="Times New Roman" w:eastAsia="Times New Roman" w:hAnsi="Times New Roman" w:cs="Times New Roman"/>
          <w:color w:val="000000"/>
          <w:spacing w:val="0"/>
          <w:w w:val="100"/>
          <w:position w:val="0"/>
          <w:sz w:val="18"/>
          <w:szCs w:val="18"/>
        </w:rPr>
        <w:t>12366</w:t>
      </w:r>
      <w:r>
        <w:rPr>
          <w:color w:val="000000"/>
          <w:spacing w:val="0"/>
          <w:w w:val="100"/>
          <w:position w:val="0"/>
        </w:rPr>
        <w:t>政策咨询、操作咨询类服务。相续在北京、广东、上海、四川、贵州、江西、陕西、青海等地提供 了此类服务。</w:t>
      </w:r>
    </w:p>
    <w:p>
      <w:pPr>
        <w:pStyle w:val="Style35"/>
        <w:keepNext w:val="0"/>
        <w:keepLines w:val="0"/>
        <w:widowControl w:val="0"/>
        <w:numPr>
          <w:ilvl w:val="0"/>
          <w:numId w:val="25"/>
        </w:numPr>
        <w:shd w:val="clear" w:color="auto" w:fill="auto"/>
        <w:tabs>
          <w:tab w:pos="615" w:val="left"/>
        </w:tabs>
        <w:bidi w:val="0"/>
        <w:spacing w:before="0" w:after="0" w:line="322" w:lineRule="exact"/>
        <w:ind w:left="0" w:right="0"/>
        <w:jc w:val="both"/>
      </w:pPr>
      <w:bookmarkStart w:id="289" w:name="bookmark289"/>
      <w:bookmarkEnd w:id="289"/>
      <w:r>
        <w:rPr>
          <w:color w:val="000000"/>
          <w:spacing w:val="0"/>
          <w:w w:val="100"/>
          <w:position w:val="0"/>
        </w:rPr>
        <w:t>为了满足财税云服务业务板块的快速发展，在搭建起全国销售团队的同时，建立了线上线下联动的获客渠道，加强了 线上运营的比例，并持续扩大用户流量池。</w:t>
      </w:r>
    </w:p>
    <w:p>
      <w:pPr>
        <w:pStyle w:val="Style35"/>
        <w:keepNext w:val="0"/>
        <w:keepLines w:val="0"/>
        <w:widowControl w:val="0"/>
        <w:numPr>
          <w:ilvl w:val="0"/>
          <w:numId w:val="25"/>
        </w:numPr>
        <w:shd w:val="clear" w:color="auto" w:fill="auto"/>
        <w:tabs>
          <w:tab w:pos="615" w:val="left"/>
        </w:tabs>
        <w:bidi w:val="0"/>
        <w:spacing w:before="0" w:after="0" w:line="317" w:lineRule="exact"/>
        <w:ind w:left="0" w:right="0"/>
        <w:jc w:val="both"/>
      </w:pPr>
      <w:bookmarkStart w:id="290" w:name="bookmark290"/>
      <w:bookmarkEnd w:id="290"/>
      <w:r>
        <w:rPr>
          <w:color w:val="000000"/>
          <w:spacing w:val="0"/>
          <w:w w:val="100"/>
          <w:position w:val="0"/>
        </w:rPr>
        <w:t>深化平台企业落地解决方案，大力推进金财云商业务的发展。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年电商法出台后，公司推出了金财云商系列产品， 核心价值是通过平台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服务，促进微电商平台及微电商等在业务经营过程中的合规性。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年，金财云商团队针对平台企业 行业的差异性，分别推出了数字工程、数字经纪、数字健康、数字电商和网络货运五大板块的行业解决方案及服务产品，拓 宽了云商业务的应用范围，并通过打造头部样板客户的方式展开推广。</w:t>
      </w:r>
    </w:p>
    <w:p>
      <w:pPr>
        <w:pStyle w:val="Style35"/>
        <w:keepNext w:val="0"/>
        <w:keepLines w:val="0"/>
        <w:widowControl w:val="0"/>
        <w:numPr>
          <w:ilvl w:val="0"/>
          <w:numId w:val="25"/>
        </w:numPr>
        <w:shd w:val="clear" w:color="auto" w:fill="auto"/>
        <w:tabs>
          <w:tab w:pos="606" w:val="left"/>
        </w:tabs>
        <w:bidi w:val="0"/>
        <w:spacing w:before="0" w:after="0" w:line="317" w:lineRule="exact"/>
        <w:ind w:left="0" w:right="0"/>
        <w:jc w:val="both"/>
      </w:pPr>
      <w:bookmarkStart w:id="291" w:name="bookmark291"/>
      <w:bookmarkEnd w:id="291"/>
      <w:r>
        <w:rPr>
          <w:color w:val="000000"/>
          <w:spacing w:val="0"/>
          <w:w w:val="100"/>
          <w:position w:val="0"/>
        </w:rPr>
        <w:t>强化公司技术中台建设。搭建开放平台的统一开发框架、</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网关等公共技术的稳定性和完善性得到提升，进一步提 高了各产品线的开发效率；联合</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部门组建专有团队保障私有云的稳定性和安全性，推动大数据平台、财税机器人、金财云 商、电子发票、金财学院、云上电局等生产环境从公有云迁移到私有云，最大限度保障了用户数据安全。同时建立了培训机 制，在公司内部对技术中台的能力及使用效果进行宣传，提高员工意识，并逐步要求各产品线遵循和采用技术中台的规范和 能力。</w:t>
      </w:r>
    </w:p>
    <w:p>
      <w:pPr>
        <w:pStyle w:val="Style35"/>
        <w:keepNext w:val="0"/>
        <w:keepLines w:val="0"/>
        <w:widowControl w:val="0"/>
        <w:numPr>
          <w:ilvl w:val="0"/>
          <w:numId w:val="23"/>
        </w:numPr>
        <w:shd w:val="clear" w:color="auto" w:fill="auto"/>
        <w:tabs>
          <w:tab w:pos="713" w:val="left"/>
        </w:tabs>
        <w:bidi w:val="0"/>
        <w:spacing w:before="0" w:after="0" w:line="317" w:lineRule="exact"/>
        <w:ind w:left="0" w:right="0"/>
        <w:jc w:val="both"/>
      </w:pPr>
      <w:bookmarkStart w:id="292" w:name="bookmark292"/>
      <w:bookmarkEnd w:id="292"/>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年经营目标</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为了继续推进“一个平台，两条主线”的战略目标，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年在夯实财税产业数字化平台基础上，精准定位主营业务、战 略业务、种子业务的发展策略，做好人力、物力、财力的资源再分配，坚持金税、金财两条业务主线的双轮推进。金税聚焦 金四紧抓商机，同步对现有</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个省市进行业务深挖；金财加速推进平台企业产品线的变现，财税机构产品线的网点布局，中 小企业产品线的用户增长。确保主营业务在去年基础上实现稳步经营，战略业务完成全国布局，种子业务完成孵化。</w:t>
      </w:r>
    </w:p>
    <w:p>
      <w:pPr>
        <w:pStyle w:val="Style35"/>
        <w:keepNext w:val="0"/>
        <w:keepLines w:val="0"/>
        <w:widowControl w:val="0"/>
        <w:numPr>
          <w:ilvl w:val="0"/>
          <w:numId w:val="23"/>
        </w:numPr>
        <w:shd w:val="clear" w:color="auto" w:fill="auto"/>
        <w:tabs>
          <w:tab w:pos="713" w:val="left"/>
        </w:tabs>
        <w:bidi w:val="0"/>
        <w:spacing w:before="0" w:after="0" w:line="317" w:lineRule="exact"/>
        <w:ind w:left="0" w:right="0"/>
        <w:jc w:val="both"/>
      </w:pPr>
      <w:bookmarkStart w:id="293" w:name="bookmark293"/>
      <w:bookmarkEnd w:id="293"/>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35"/>
        <w:keepNext w:val="0"/>
        <w:keepLines w:val="0"/>
        <w:widowControl w:val="0"/>
        <w:numPr>
          <w:ilvl w:val="0"/>
          <w:numId w:val="27"/>
        </w:numPr>
        <w:shd w:val="clear" w:color="auto" w:fill="auto"/>
        <w:tabs>
          <w:tab w:pos="601" w:val="left"/>
        </w:tabs>
        <w:bidi w:val="0"/>
        <w:spacing w:before="0" w:after="0" w:line="315" w:lineRule="exact"/>
        <w:ind w:left="0" w:right="0"/>
        <w:jc w:val="both"/>
      </w:pPr>
      <w:bookmarkStart w:id="294" w:name="bookmark294"/>
      <w:bookmarkEnd w:id="294"/>
      <w:r>
        <w:rPr>
          <w:color w:val="000000"/>
          <w:spacing w:val="0"/>
          <w:w w:val="100"/>
          <w:position w:val="0"/>
        </w:rPr>
        <w:t>金税业务：固根基，稳固和发展齐头并进。一是，对现有的市场占有进一步从技术、产品、服务交付、市场沟通支持 等各方面进行稳固，确保客户口碑及纳税人使用的满意度，确保各区域的基本业务收入得到保障；二是，以中办、国办印发 的《关于进一步深化税收征管改革的意见》为纲领和以“金四”为契机，加强和国家税务总局各层面的沟通，整合相关资源， 积极争取参与到“金四”的建设项目中；三是，成立研创中心，适应国家税务总局接下来税收征管数字化升级和智能化改造 需要以及优质高效智能税费服务的目标，规划落地建设新一代智慧电子税务局，满足总局建设“以发票电子化改革为突破口、 以税收大数据为驱动力”的具有高集成功能、高安全性能、高应用效能的智慧税务的时间要求。</w:t>
      </w:r>
    </w:p>
    <w:p>
      <w:pPr>
        <w:pStyle w:val="Style35"/>
        <w:keepNext w:val="0"/>
        <w:keepLines w:val="0"/>
        <w:widowControl w:val="0"/>
        <w:numPr>
          <w:ilvl w:val="0"/>
          <w:numId w:val="27"/>
        </w:numPr>
        <w:shd w:val="clear" w:color="auto" w:fill="auto"/>
        <w:tabs>
          <w:tab w:pos="610" w:val="left"/>
        </w:tabs>
        <w:bidi w:val="0"/>
        <w:spacing w:before="0" w:after="0" w:line="317" w:lineRule="exact"/>
        <w:ind w:left="0" w:right="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591" w:right="1020" w:bottom="1157" w:left="1073" w:header="163" w:footer="3" w:gutter="0"/>
          <w:cols w:space="720"/>
          <w:noEndnote/>
          <w:rtlGutter w:val="0"/>
          <w:docGrid w:linePitch="360"/>
        </w:sectPr>
      </w:pPr>
      <w:bookmarkStart w:id="295" w:name="bookmark295"/>
      <w:bookmarkEnd w:id="295"/>
      <w:r>
        <w:rPr>
          <w:color w:val="000000"/>
          <w:spacing w:val="0"/>
          <w:w w:val="100"/>
          <w:position w:val="0"/>
        </w:rPr>
        <w:t>财税云业务：巩固扩大成熟产品及营销体系和成果，构建线上运营转化及付费服务支撑体系。一是，在现有财税云已 有的成熟产品、销售、交付服务、运营及绩效体系的基础上，加大投入进一步提高市场占有率；二是，构建线上运营转化及 付费服务支撑体系。以专票电子化为契机，围绕企业电子发票的开具、归集、报销、记账、存档的刚性需求为抓手，实现企 业用户的在线转化。</w:t>
      </w:r>
    </w:p>
    <w:p>
      <w:pPr>
        <w:pStyle w:val="Style35"/>
        <w:keepNext w:val="0"/>
        <w:keepLines w:val="0"/>
        <w:widowControl w:val="0"/>
        <w:numPr>
          <w:ilvl w:val="0"/>
          <w:numId w:val="27"/>
        </w:numPr>
        <w:shd w:val="clear" w:color="auto" w:fill="auto"/>
        <w:bidi w:val="0"/>
        <w:spacing w:before="0" w:after="0" w:line="315" w:lineRule="exact"/>
        <w:ind w:left="0" w:right="0"/>
        <w:jc w:val="both"/>
      </w:pPr>
      <w:bookmarkStart w:id="296" w:name="bookmark296"/>
      <w:bookmarkEnd w:id="296"/>
      <w:r>
        <w:rPr>
          <w:color w:val="000000"/>
          <w:spacing w:val="0"/>
          <w:w w:val="100"/>
          <w:position w:val="0"/>
        </w:rPr>
        <w:t>金财云商业务：基于已有的成果与基础，以“两大聚焦三条主线”的主要策略推进工作，形成规模收益。一是，“两 个聚焦”，即聚焦标杆行业与聚焦重点园区。通过聚焦并重点突破数字工程、数字经纪、数字健康、数字电商和网络货运这 五大行业的标杆示范客户，来形成可复制可规模化推广的解决方案。聚焦目前已经相对成熟的园区，最终打造“园区宣传与 培育基地”，作为云商整体能力孵化的训练基地，也作为各类推介、考察的标杆基地。通过两个聚焦，让我们的解决方案和 服务产品可以做到可规模化复制推广，批量化交付服务，是规模营收的基础。二是，“三条主线”，即运用三大营销网线： 互联网运营、园区政府资源对接、网格化渠道，构建云商的营销体系，大大增强快速获客营销能力。</w:t>
      </w:r>
    </w:p>
    <w:p>
      <w:pPr>
        <w:pStyle w:val="Style35"/>
        <w:keepNext w:val="0"/>
        <w:keepLines w:val="0"/>
        <w:widowControl w:val="0"/>
        <w:numPr>
          <w:ilvl w:val="0"/>
          <w:numId w:val="21"/>
        </w:numPr>
        <w:shd w:val="clear" w:color="auto" w:fill="auto"/>
        <w:bidi w:val="0"/>
        <w:spacing w:before="0" w:after="0" w:line="315" w:lineRule="exact"/>
        <w:ind w:left="0" w:right="0"/>
        <w:jc w:val="both"/>
      </w:pPr>
      <w:bookmarkStart w:id="297" w:name="bookmark297"/>
      <w:bookmarkEnd w:id="297"/>
      <w:r>
        <w:rPr>
          <w:b/>
          <w:bCs/>
          <w:color w:val="000000"/>
          <w:spacing w:val="0"/>
          <w:w w:val="100"/>
          <w:position w:val="0"/>
        </w:rPr>
        <w:t>公司面临的风险和应对措施</w:t>
      </w:r>
    </w:p>
    <w:p>
      <w:pPr>
        <w:pStyle w:val="Style35"/>
        <w:keepNext w:val="0"/>
        <w:keepLines w:val="0"/>
        <w:widowControl w:val="0"/>
        <w:numPr>
          <w:ilvl w:val="0"/>
          <w:numId w:val="29"/>
        </w:numPr>
        <w:shd w:val="clear" w:color="auto" w:fill="auto"/>
        <w:tabs>
          <w:tab w:pos="668" w:val="left"/>
        </w:tabs>
        <w:bidi w:val="0"/>
        <w:spacing w:before="0" w:after="0" w:line="315" w:lineRule="exact"/>
        <w:ind w:left="0" w:right="0"/>
        <w:jc w:val="both"/>
      </w:pPr>
      <w:bookmarkStart w:id="298" w:name="bookmark298"/>
      <w:bookmarkEnd w:id="298"/>
      <w:r>
        <w:rPr>
          <w:color w:val="000000"/>
          <w:spacing w:val="0"/>
          <w:w w:val="100"/>
          <w:position w:val="0"/>
        </w:rPr>
        <w:t>公司人才重塑以及组织重构的速度与业务高速发展匹配的风险。互联网财税服务是财税知识、运营和信息技术高度结 合的领域，财税知识、运营和信息技术都是专业化程度较高的领域，而精通财税知识、运营和信息技术的人才更为稀缺，并 且大多数类似人才需要依靠企业自行培养，且培养周期偏长。计划将针对专业型人才尤其是互联网财税运营方面的稀缺人才 扩大招聘与培养力度，避免阻碍业务开拓与发展。</w:t>
      </w:r>
    </w:p>
    <w:p>
      <w:pPr>
        <w:pStyle w:val="Style35"/>
        <w:keepNext w:val="0"/>
        <w:keepLines w:val="0"/>
        <w:widowControl w:val="0"/>
        <w:numPr>
          <w:ilvl w:val="0"/>
          <w:numId w:val="29"/>
        </w:numPr>
        <w:shd w:val="clear" w:color="auto" w:fill="auto"/>
        <w:tabs>
          <w:tab w:pos="668" w:val="left"/>
        </w:tabs>
        <w:bidi w:val="0"/>
        <w:spacing w:before="0" w:after="0" w:line="314" w:lineRule="exact"/>
        <w:ind w:left="0" w:right="0"/>
        <w:jc w:val="both"/>
      </w:pPr>
      <w:bookmarkStart w:id="299" w:name="bookmark299"/>
      <w:bookmarkEnd w:id="299"/>
      <w:r>
        <w:rPr>
          <w:color w:val="000000"/>
          <w:spacing w:val="0"/>
          <w:w w:val="100"/>
          <w:position w:val="0"/>
        </w:rPr>
        <w:t>市场竞争加剧的风险。数字经济的发展已经逐步进入下半场，产业互联网成为当前资本投资以及创业的热点，财税服 务领域作为企业服务领域最具价值的细分领域之一，更是处于高度聚焦状态。近期</w:t>
      </w:r>
      <w:r>
        <w:rPr>
          <w:rFonts w:ascii="Times New Roman" w:eastAsia="Times New Roman" w:hAnsi="Times New Roman" w:cs="Times New Roman"/>
          <w:color w:val="000000"/>
          <w:spacing w:val="0"/>
          <w:w w:val="100"/>
          <w:position w:val="0"/>
          <w:sz w:val="18"/>
          <w:szCs w:val="18"/>
        </w:rPr>
        <w:t>ToC</w:t>
      </w:r>
      <w:r>
        <w:rPr>
          <w:color w:val="000000"/>
          <w:spacing w:val="0"/>
          <w:w w:val="100"/>
          <w:position w:val="0"/>
        </w:rPr>
        <w:t>领域的巨头</w:t>
      </w:r>
      <w:r>
        <w:rPr>
          <w:rFonts w:ascii="Times New Roman" w:eastAsia="Times New Roman" w:hAnsi="Times New Roman" w:cs="Times New Roman"/>
          <w:color w:val="000000"/>
          <w:spacing w:val="0"/>
          <w:w w:val="100"/>
          <w:position w:val="0"/>
          <w:sz w:val="18"/>
          <w:szCs w:val="18"/>
        </w:rPr>
        <w:t>BAT</w:t>
      </w:r>
      <w:r>
        <w:rPr>
          <w:color w:val="000000"/>
          <w:spacing w:val="0"/>
          <w:w w:val="100"/>
          <w:position w:val="0"/>
        </w:rPr>
        <w:t>等也纷纷布局财税领 域，加剧了这个市场的竞争程度。由于财税领域的专业性，需要有一个时间窗口完成产品的研发及商业模式的验证，计划将 利用这个时间窗口快速积累用户和吸引合作伙伴，形成市场壁垒。</w:t>
      </w:r>
    </w:p>
    <w:p>
      <w:pPr>
        <w:pStyle w:val="Style35"/>
        <w:keepNext w:val="0"/>
        <w:keepLines w:val="0"/>
        <w:widowControl w:val="0"/>
        <w:numPr>
          <w:ilvl w:val="0"/>
          <w:numId w:val="29"/>
        </w:numPr>
        <w:shd w:val="clear" w:color="auto" w:fill="auto"/>
        <w:tabs>
          <w:tab w:pos="668" w:val="left"/>
        </w:tabs>
        <w:bidi w:val="0"/>
        <w:spacing w:before="0" w:after="220" w:line="316" w:lineRule="exact"/>
        <w:ind w:left="0" w:right="0"/>
        <w:jc w:val="both"/>
      </w:pPr>
      <w:bookmarkStart w:id="300" w:name="bookmark300"/>
      <w:bookmarkEnd w:id="300"/>
      <w:r>
        <w:rPr>
          <w:color w:val="000000"/>
          <w:spacing w:val="0"/>
          <w:w w:val="100"/>
          <w:position w:val="0"/>
        </w:rPr>
        <w:t>国家税务总局缩减财政预算投入，金税四期建设启动加剧竞争。虽然目前新冠疫苗接种正在逐步开展，疫情正在向逐 步受控的方向发展，但因疫情带来的不利影响仍将在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年度持续，因而政府机关的财政经费预算还将面临新一轮的削减。 国家税务总局金税四期工程从规划阶段走向了建设阶段，无疑会对未来几年的发展产生深远的影响，并随着《关于进一步深 化税收征管改革的意见》的逐步落地，市场格局将发生变化，市场竞争将进一步加剧。计划将加大在各省市推动创新性项目 的力度以持续开拓业务，避免面临收入萎缩的风险。</w:t>
      </w:r>
    </w:p>
    <w:p>
      <w:pPr>
        <w:pStyle w:val="Style35"/>
        <w:keepNext w:val="0"/>
        <w:keepLines w:val="0"/>
        <w:widowControl w:val="0"/>
        <w:shd w:val="clear" w:color="auto" w:fill="auto"/>
        <w:bidi w:val="0"/>
        <w:spacing w:before="0" w:after="0" w:line="360" w:lineRule="auto"/>
        <w:ind w:left="0" w:right="0"/>
        <w:jc w:val="both"/>
      </w:pPr>
      <w:bookmarkStart w:id="301" w:name="bookmark301"/>
      <w:r>
        <w:rPr>
          <w:rFonts w:ascii="Times New Roman" w:eastAsia="Times New Roman" w:hAnsi="Times New Roman" w:cs="Times New Roman"/>
          <w:b/>
          <w:bCs/>
          <w:color w:val="000000"/>
          <w:spacing w:val="0"/>
          <w:w w:val="100"/>
          <w:position w:val="0"/>
          <w:sz w:val="18"/>
          <w:szCs w:val="18"/>
        </w:rPr>
        <w:t>2</w:t>
      </w:r>
      <w:bookmarkEnd w:id="301"/>
      <w:r>
        <w:rPr>
          <w:b/>
          <w:bCs/>
          <w:color w:val="000000"/>
          <w:spacing w:val="0"/>
          <w:w w:val="100"/>
          <w:position w:val="0"/>
        </w:rPr>
        <w:t>、热处理业务</w:t>
      </w:r>
    </w:p>
    <w:p>
      <w:pPr>
        <w:pStyle w:val="Style35"/>
        <w:keepNext w:val="0"/>
        <w:keepLines w:val="0"/>
        <w:widowControl w:val="0"/>
        <w:numPr>
          <w:ilvl w:val="0"/>
          <w:numId w:val="31"/>
        </w:numPr>
        <w:shd w:val="clear" w:color="auto" w:fill="auto"/>
        <w:tabs>
          <w:tab w:pos="790" w:val="left"/>
        </w:tabs>
        <w:bidi w:val="0"/>
        <w:spacing w:before="0" w:after="0" w:line="315" w:lineRule="exact"/>
        <w:ind w:left="0" w:right="0"/>
        <w:jc w:val="both"/>
      </w:pPr>
      <w:bookmarkStart w:id="302" w:name="bookmark302"/>
      <w:bookmarkEnd w:id="302"/>
      <w:r>
        <w:rPr>
          <w:b/>
          <w:bCs/>
          <w:color w:val="000000"/>
          <w:spacing w:val="0"/>
          <w:w w:val="100"/>
          <w:position w:val="0"/>
        </w:rPr>
        <w:t>行业格局和趋势</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制造强国战略和国内企业转型升级需求给国内热处理行业带来良好发展机遇。在绿色制造和“智能+”时代到来的双重 影响下，机器人等数字化、智能化装备和系统将会成为驱动“新基建”投资结构的重要力量，而应用数字技术的智能制造和 新能源等技术正是推动热处理产业绿色化、智能化、服务化和定制化，帮助热处理企业提高生产效率，减少物料和能源消耗 及污染物排放，有效缓解人力成本上涨压力，向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专、精、特、新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方向发展，培育并强化性能、质量、品牌、个性化定制等 新的热处理产业能力的重要途径。</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针对上述行业发展趋势，丰东提前做好相关布局，抢占先机，保持竞争优势。</w:t>
      </w:r>
    </w:p>
    <w:p>
      <w:pPr>
        <w:pStyle w:val="Style35"/>
        <w:keepNext w:val="0"/>
        <w:keepLines w:val="0"/>
        <w:widowControl w:val="0"/>
        <w:numPr>
          <w:ilvl w:val="0"/>
          <w:numId w:val="33"/>
        </w:numPr>
        <w:shd w:val="clear" w:color="auto" w:fill="auto"/>
        <w:tabs>
          <w:tab w:pos="668" w:val="left"/>
        </w:tabs>
        <w:bidi w:val="0"/>
        <w:spacing w:before="0" w:after="0" w:line="314" w:lineRule="exact"/>
        <w:ind w:left="0" w:right="0"/>
        <w:jc w:val="both"/>
      </w:pPr>
      <w:bookmarkStart w:id="303" w:name="bookmark303"/>
      <w:bookmarkEnd w:id="303"/>
      <w:r>
        <w:rPr>
          <w:color w:val="000000"/>
          <w:spacing w:val="0"/>
          <w:w w:val="100"/>
          <w:position w:val="0"/>
        </w:rPr>
        <w:t>引领智能化热处理设备与工艺。推广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无人化智能热处理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研发成果，提升现有热处理设备的先进性、可靠性，融入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能热处理生产物流及仓储系统、智能生产管理系统、热处理工艺远程数值模拟、智能设备远程监控与自诊断系统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等智能化 技术。进一步向丰东各专业热处理服务中心、国内中高端客户推广智能化热处理设备及工艺应用，实现热处理的智能化、高 可靠性、少无人化。</w:t>
      </w:r>
    </w:p>
    <w:p>
      <w:pPr>
        <w:pStyle w:val="Style35"/>
        <w:keepNext w:val="0"/>
        <w:keepLines w:val="0"/>
        <w:widowControl w:val="0"/>
        <w:numPr>
          <w:ilvl w:val="0"/>
          <w:numId w:val="33"/>
        </w:numPr>
        <w:shd w:val="clear" w:color="auto" w:fill="auto"/>
        <w:tabs>
          <w:tab w:pos="673" w:val="left"/>
        </w:tabs>
        <w:bidi w:val="0"/>
        <w:spacing w:before="0" w:after="80" w:line="317" w:lineRule="exact"/>
        <w:ind w:left="0" w:right="0"/>
        <w:jc w:val="both"/>
      </w:pPr>
      <w:bookmarkStart w:id="304" w:name="bookmark304"/>
      <w:bookmarkEnd w:id="304"/>
      <w:r>
        <w:rPr>
          <w:color w:val="000000"/>
          <w:spacing w:val="0"/>
          <w:w w:val="100"/>
          <w:position w:val="0"/>
        </w:rPr>
        <w:t>热处理综合服务转型升级。为客户提供热处理工厂规划、智能化改造、工艺研发与咨询、个性化定制服务、金属材料 检测、管理体系培训、维修保养及工厂托管、环保安全评估与改造等热处理综合服务，并为优质客户提供长期服务、咨询、 合作等。</w:t>
      </w:r>
    </w:p>
    <w:p>
      <w:pPr>
        <w:pStyle w:val="Style35"/>
        <w:keepNext w:val="0"/>
        <w:keepLines w:val="0"/>
        <w:widowControl w:val="0"/>
        <w:numPr>
          <w:ilvl w:val="0"/>
          <w:numId w:val="31"/>
        </w:numPr>
        <w:shd w:val="clear" w:color="auto" w:fill="auto"/>
        <w:tabs>
          <w:tab w:pos="790" w:val="left"/>
        </w:tabs>
        <w:bidi w:val="0"/>
        <w:spacing w:before="0" w:after="0" w:line="315" w:lineRule="exact"/>
        <w:ind w:left="0" w:right="0"/>
        <w:jc w:val="both"/>
      </w:pPr>
      <w:bookmarkStart w:id="305" w:name="bookmark305"/>
      <w:bookmarkEnd w:id="305"/>
      <w:r>
        <w:rPr>
          <w:b/>
          <w:bCs/>
          <w:color w:val="000000"/>
          <w:spacing w:val="0"/>
          <w:w w:val="100"/>
          <w:position w:val="0"/>
        </w:rPr>
        <w:t>发展战略</w:t>
      </w:r>
    </w:p>
    <w:p>
      <w:pPr>
        <w:pStyle w:val="Style35"/>
        <w:keepNext w:val="0"/>
        <w:keepLines w:val="0"/>
        <w:widowControl w:val="0"/>
        <w:shd w:val="clear" w:color="auto" w:fill="auto"/>
        <w:bidi w:val="0"/>
        <w:spacing w:before="0" w:after="80" w:line="317" w:lineRule="exact"/>
        <w:ind w:left="0" w:right="0"/>
        <w:jc w:val="both"/>
      </w:pPr>
      <w:r>
        <w:rPr>
          <w:color w:val="000000"/>
          <w:spacing w:val="0"/>
          <w:w w:val="100"/>
          <w:position w:val="0"/>
        </w:rPr>
        <w:t>公司将积极响应国务院《中国制造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》行动纲领，把握制造强国战略和战略性新兴产业成长为热处理发展注入新动力 的历史机遇，坚持技术创新，深入推进两化融合，为客户提供优质、高效、节能、环保的先进热处理装备及服务。与此同时， 公司正积极布局与新材料领域生产加工有关的技术研发，不断培育新的业务增长点。</w:t>
      </w:r>
    </w:p>
    <w:p>
      <w:pPr>
        <w:pStyle w:val="Style35"/>
        <w:keepNext w:val="0"/>
        <w:keepLines w:val="0"/>
        <w:widowControl w:val="0"/>
        <w:numPr>
          <w:ilvl w:val="0"/>
          <w:numId w:val="31"/>
        </w:numPr>
        <w:shd w:val="clear" w:color="auto" w:fill="auto"/>
        <w:tabs>
          <w:tab w:pos="790" w:val="left"/>
        </w:tabs>
        <w:bidi w:val="0"/>
        <w:spacing w:before="0" w:after="0" w:line="315" w:lineRule="exact"/>
        <w:ind w:left="0" w:right="0"/>
        <w:jc w:val="both"/>
      </w:pPr>
      <w:bookmarkStart w:id="306" w:name="bookmark306"/>
      <w:bookmarkEnd w:id="306"/>
      <w:r>
        <w:rPr>
          <w:b/>
          <w:bCs/>
          <w:color w:val="000000"/>
          <w:spacing w:val="0"/>
          <w:w w:val="100"/>
          <w:position w:val="0"/>
        </w:rPr>
        <w:t>经营计划</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①回顾总结前期披露的发展战略和经营计划在报告期内的进展</w:t>
      </w:r>
    </w:p>
    <w:p>
      <w:pPr>
        <w:pStyle w:val="Style35"/>
        <w:keepNext w:val="0"/>
        <w:keepLines w:val="0"/>
        <w:widowControl w:val="0"/>
        <w:numPr>
          <w:ilvl w:val="0"/>
          <w:numId w:val="35"/>
        </w:numPr>
        <w:shd w:val="clear" w:color="auto" w:fill="auto"/>
        <w:tabs>
          <w:tab w:pos="634" w:val="left"/>
        </w:tabs>
        <w:bidi w:val="0"/>
        <w:spacing w:before="0" w:after="0" w:line="322" w:lineRule="exact"/>
        <w:ind w:left="0" w:right="0"/>
        <w:jc w:val="left"/>
      </w:pPr>
      <w:bookmarkStart w:id="307" w:name="bookmark307"/>
      <w:bookmarkEnd w:id="307"/>
      <w:r>
        <w:rPr>
          <w:color w:val="000000"/>
          <w:spacing w:val="0"/>
          <w:w w:val="100"/>
          <w:position w:val="0"/>
        </w:rPr>
        <w:t>报告期内，公司热处理板块实现营业收入</w:t>
      </w:r>
      <w:r>
        <w:rPr>
          <w:rFonts w:ascii="Times New Roman" w:eastAsia="Times New Roman" w:hAnsi="Times New Roman" w:cs="Times New Roman"/>
          <w:color w:val="000000"/>
          <w:spacing w:val="0"/>
          <w:w w:val="100"/>
          <w:position w:val="0"/>
          <w:sz w:val="18"/>
          <w:szCs w:val="18"/>
        </w:rPr>
        <w:t>53,917.99</w:t>
      </w:r>
      <w:r>
        <w:rPr>
          <w:color w:val="000000"/>
          <w:spacing w:val="0"/>
          <w:w w:val="100"/>
          <w:position w:val="0"/>
        </w:rPr>
        <w:t>万元，较上年下降</w:t>
      </w:r>
      <w:r>
        <w:rPr>
          <w:rFonts w:ascii="Times New Roman" w:eastAsia="Times New Roman" w:hAnsi="Times New Roman" w:cs="Times New Roman"/>
          <w:color w:val="000000"/>
          <w:spacing w:val="0"/>
          <w:w w:val="100"/>
          <w:position w:val="0"/>
          <w:sz w:val="18"/>
          <w:szCs w:val="18"/>
        </w:rPr>
        <w:t>8.98%</w:t>
      </w:r>
      <w:r>
        <w:rPr>
          <w:color w:val="000000"/>
          <w:spacing w:val="0"/>
          <w:w w:val="100"/>
          <w:position w:val="0"/>
        </w:rPr>
        <w:t>,实现归属于母公司股东的净利润</w:t>
      </w:r>
      <w:r>
        <w:rPr>
          <w:rFonts w:ascii="Times New Roman" w:eastAsia="Times New Roman" w:hAnsi="Times New Roman" w:cs="Times New Roman"/>
          <w:color w:val="000000"/>
          <w:spacing w:val="0"/>
          <w:w w:val="100"/>
          <w:position w:val="0"/>
          <w:sz w:val="18"/>
          <w:szCs w:val="18"/>
        </w:rPr>
        <w:t xml:space="preserve">5,203.06 </w:t>
      </w:r>
      <w:r>
        <w:rPr>
          <w:color w:val="000000"/>
          <w:spacing w:val="0"/>
          <w:w w:val="100"/>
          <w:position w:val="0"/>
        </w:rPr>
        <w:t>万元，较上年下降</w:t>
      </w:r>
      <w:r>
        <w:rPr>
          <w:rFonts w:ascii="Times New Roman" w:eastAsia="Times New Roman" w:hAnsi="Times New Roman" w:cs="Times New Roman"/>
          <w:color w:val="000000"/>
          <w:spacing w:val="0"/>
          <w:w w:val="100"/>
          <w:position w:val="0"/>
          <w:sz w:val="18"/>
          <w:szCs w:val="18"/>
        </w:rPr>
        <w:t>10.34%</w:t>
      </w:r>
      <w:r>
        <w:rPr>
          <w:color w:val="000000"/>
          <w:spacing w:val="0"/>
          <w:w w:val="100"/>
          <w:position w:val="0"/>
        </w:rPr>
        <w:t>。</w:t>
      </w:r>
    </w:p>
    <w:p>
      <w:pPr>
        <w:pStyle w:val="Style35"/>
        <w:keepNext w:val="0"/>
        <w:keepLines w:val="0"/>
        <w:widowControl w:val="0"/>
        <w:numPr>
          <w:ilvl w:val="0"/>
          <w:numId w:val="35"/>
        </w:numPr>
        <w:shd w:val="clear" w:color="auto" w:fill="auto"/>
        <w:tabs>
          <w:tab w:pos="643" w:val="left"/>
        </w:tabs>
        <w:bidi w:val="0"/>
        <w:spacing w:before="0" w:after="0" w:line="317" w:lineRule="exact"/>
        <w:ind w:left="0" w:right="0"/>
        <w:jc w:val="left"/>
      </w:pPr>
      <w:bookmarkStart w:id="308" w:name="bookmark308"/>
      <w:bookmarkEnd w:id="308"/>
      <w:r>
        <w:rPr>
          <w:color w:val="000000"/>
          <w:spacing w:val="0"/>
          <w:w w:val="100"/>
          <w:position w:val="0"/>
        </w:rPr>
        <w:t>公司严格执行董事会确定的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年度工作计划，在抢抓市场、技术研发、对外投资、内部管理等方面均得到有效的 落实。同时结合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年度疫情影响和市场行情，公司进一步审视投资进度和节奏，保障投资的收益和效果。</w:t>
      </w:r>
    </w:p>
    <w:p>
      <w:pPr>
        <w:pStyle w:val="Style35"/>
        <w:keepNext w:val="0"/>
        <w:keepLines w:val="0"/>
        <w:widowControl w:val="0"/>
        <w:shd w:val="clear" w:color="auto" w:fill="auto"/>
        <w:bidi w:val="0"/>
        <w:spacing w:before="0" w:after="100" w:line="317" w:lineRule="exact"/>
        <w:ind w:left="0" w:right="0"/>
        <w:jc w:val="left"/>
      </w:pPr>
      <w:r>
        <w:rPr>
          <w:color w:val="000000"/>
          <w:spacing w:val="0"/>
          <w:w w:val="100"/>
          <w:position w:val="0"/>
        </w:rPr>
        <w:t>②下一年度的经营计划</w:t>
      </w:r>
    </w:p>
    <w:p>
      <w:pPr>
        <w:pStyle w:val="Style35"/>
        <w:keepNext w:val="0"/>
        <w:keepLines w:val="0"/>
        <w:widowControl w:val="0"/>
        <w:numPr>
          <w:ilvl w:val="0"/>
          <w:numId w:val="37"/>
        </w:numPr>
        <w:shd w:val="clear" w:color="auto" w:fill="auto"/>
        <w:tabs>
          <w:tab w:pos="683" w:val="left"/>
        </w:tabs>
        <w:bidi w:val="0"/>
        <w:spacing w:before="0" w:after="0" w:line="317" w:lineRule="exact"/>
        <w:ind w:left="0" w:right="0"/>
        <w:jc w:val="left"/>
      </w:pPr>
      <w:bookmarkStart w:id="309" w:name="bookmark309"/>
      <w:bookmarkEnd w:id="309"/>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年度热处理业务总体经营目标</w:t>
      </w:r>
    </w:p>
    <w:p>
      <w:pPr>
        <w:pStyle w:val="Style35"/>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年，国内经济发展环境面临更加深刻复杂的变化，新冠疫情前景未卜，世界经贸环境不稳定、不确定性增大，国内 经济循环面临多重堵点，重大风险隐患不容忽视。但我国发展仍处于重要战略机遇期，经济稳中向好、长期向好的发展趋势 不会发生改变。</w:t>
      </w:r>
    </w:p>
    <w:p>
      <w:pPr>
        <w:pStyle w:val="Style35"/>
        <w:keepNext w:val="0"/>
        <w:keepLines w:val="0"/>
        <w:widowControl w:val="0"/>
        <w:shd w:val="clear" w:color="auto" w:fill="auto"/>
        <w:bidi w:val="0"/>
        <w:spacing w:before="0" w:after="0" w:line="322" w:lineRule="exact"/>
        <w:ind w:left="0" w:right="0"/>
        <w:jc w:val="left"/>
      </w:pPr>
      <w:r>
        <w:rPr>
          <w:color w:val="000000"/>
          <w:spacing w:val="0"/>
          <w:w w:val="100"/>
          <w:position w:val="0"/>
        </w:rPr>
        <w:t>综合分析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年的市场预期、潜在的不确定因素以及公司生产制造能力，确定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年公司热处理板块的经营目标为：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年度实现营业收入及归属于母公司股东的净利润均与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年度保持持平。</w:t>
      </w:r>
    </w:p>
    <w:p>
      <w:pPr>
        <w:pStyle w:val="Style35"/>
        <w:keepNext w:val="0"/>
        <w:keepLines w:val="0"/>
        <w:widowControl w:val="0"/>
        <w:shd w:val="clear" w:color="auto" w:fill="auto"/>
        <w:bidi w:val="0"/>
        <w:spacing w:before="0" w:after="100" w:line="319" w:lineRule="exact"/>
        <w:ind w:left="0" w:right="0"/>
        <w:jc w:val="left"/>
      </w:pPr>
      <w:r>
        <w:rPr>
          <w:color w:val="000000"/>
          <w:spacing w:val="0"/>
          <w:w w:val="100"/>
          <w:position w:val="0"/>
        </w:rPr>
        <w:t>说明：以上目标仅为公司董事会确定的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年度热处理板块经营目标，不代表公司对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年度的盈利预测，实现情况如 何取决于宏观经济环境、行业发展状况、市场状况变化及经营团队的努力程度等诸多因素，存在一定的不确定性，敬请广大 投资者注意投资风险。</w:t>
      </w:r>
    </w:p>
    <w:p>
      <w:pPr>
        <w:pStyle w:val="Style35"/>
        <w:keepNext w:val="0"/>
        <w:keepLines w:val="0"/>
        <w:widowControl w:val="0"/>
        <w:numPr>
          <w:ilvl w:val="0"/>
          <w:numId w:val="37"/>
        </w:numPr>
        <w:shd w:val="clear" w:color="auto" w:fill="auto"/>
        <w:tabs>
          <w:tab w:pos="698" w:val="left"/>
        </w:tabs>
        <w:bidi w:val="0"/>
        <w:spacing w:before="0" w:after="0" w:line="317" w:lineRule="exact"/>
        <w:ind w:left="0" w:right="0"/>
        <w:jc w:val="left"/>
      </w:pPr>
      <w:bookmarkStart w:id="310" w:name="bookmark310"/>
      <w:bookmarkEnd w:id="310"/>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年度的经营计划与措施</w:t>
      </w:r>
    </w:p>
    <w:p>
      <w:pPr>
        <w:pStyle w:val="Style35"/>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多渠道拓展市场，提升设备销售订单的数量和质量。</w:t>
      </w:r>
    </w:p>
    <w:p>
      <w:pPr>
        <w:pStyle w:val="Style35"/>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b-1-1.</w:t>
      </w:r>
      <w:r>
        <w:rPr>
          <w:color w:val="000000"/>
          <w:spacing w:val="0"/>
          <w:w w:val="100"/>
          <w:position w:val="0"/>
        </w:rPr>
        <w:t>提升订单数量</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其一，稳固标准设备的市场份额，加强新开发设备的推广和市场争夺，如辊棒炉、推盘炉等；积极拓展非标设备市场。 其二，稳固优势行业市场，继续重点开拓轴承、汽车零部件、热处理加工行业市场；同时加强齿轮、紧固件、风电等非优势 行业的市场角逐。其三，实现信息软件市场化推广。其四、加强与各加工企业、售后服务事业部的互联互通与信息共享，进 一步拓宽销售信息来源的渠道。</w:t>
      </w:r>
    </w:p>
    <w:p>
      <w:pPr>
        <w:pStyle w:val="Style35"/>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b-1-2.</w:t>
      </w:r>
      <w:r>
        <w:rPr>
          <w:color w:val="000000"/>
          <w:spacing w:val="0"/>
          <w:w w:val="100"/>
          <w:position w:val="0"/>
        </w:rPr>
        <w:t>提高订单质量</w:t>
      </w:r>
    </w:p>
    <w:p>
      <w:pPr>
        <w:pStyle w:val="Style35"/>
        <w:keepNext w:val="0"/>
        <w:keepLines w:val="0"/>
        <w:widowControl w:val="0"/>
        <w:shd w:val="clear" w:color="auto" w:fill="auto"/>
        <w:bidi w:val="0"/>
        <w:spacing w:before="0" w:after="0" w:line="326" w:lineRule="exact"/>
        <w:ind w:left="0" w:right="0"/>
        <w:jc w:val="left"/>
      </w:pPr>
      <w:r>
        <w:rPr>
          <w:color w:val="000000"/>
          <w:spacing w:val="0"/>
          <w:w w:val="100"/>
          <w:position w:val="0"/>
        </w:rPr>
        <w:t>一方面，在客户设备的选型阶段，从客户需求出发，同时结合设备的环保、附加值、稳定性等众多因素，为客户创造价 值，同时体现企业自身价值；另一方面，对非标设备加强方案评估和成本估算，进一步提升订单质量。</w:t>
      </w:r>
    </w:p>
    <w:p>
      <w:pPr>
        <w:pStyle w:val="Style35"/>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b-1-3.</w:t>
      </w:r>
      <w:r>
        <w:rPr>
          <w:color w:val="000000"/>
          <w:spacing w:val="0"/>
          <w:w w:val="100"/>
          <w:position w:val="0"/>
        </w:rPr>
        <w:t>建立售后服务新架构，提升服务能力。</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其一，建立售后事业部的新架构，细分为设备维修业务销售、配件销售、项目管理、物流发运、内部管理，明确责任， 提升服务能力；其二，通过网络平台、公众号、客户走访等方式进行易损件平价销售（辐射管、料盘），力争配件销售实现 新的突破；其三，加大附属设备销售以及非标设备大修项目的销售力度，全面提升丰东在售后服务市场的占有率。</w:t>
      </w:r>
    </w:p>
    <w:p>
      <w:pPr>
        <w:pStyle w:val="Style3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加强技术标准化、模块化，提升项目管理效率。</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VBF</w:t>
      </w:r>
      <w:r>
        <w:rPr>
          <w:color w:val="000000"/>
          <w:spacing w:val="0"/>
          <w:w w:val="100"/>
          <w:position w:val="0"/>
        </w:rPr>
        <w:t>真空少无氧渗碳炉、无人化智能热处理生产线系统的项目定型与优化，使其具备市场销售与推广的条件；进一 步提升辊棒炉技术，提高质量可靠性和项目管理效率；强化多用炉</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UBE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BBH</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FBQ</w:t>
      </w:r>
      <w:r>
        <w:rPr>
          <w:color w:val="000000"/>
          <w:spacing w:val="0"/>
          <w:w w:val="100"/>
          <w:position w:val="0"/>
        </w:rPr>
        <w:t>等炉型）设计标准化及图纸备案，推 行主要零件、部件的标准化及规范化；及时对大型非标设备项目进行总结与分析，提升公司应对和实施非标项目的能力；总 结归纳氮化工艺在实际生产过程中的优劣势，规范并统一氮化炉的工艺设计，形成成熟的工艺体系。</w:t>
      </w:r>
    </w:p>
    <w:p>
      <w:pPr>
        <w:pStyle w:val="Style3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b-3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强化投资项目管理，提升投资收益率。</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进一步加强投资项目管理，一方面对已投资项目在充分可行性论证的基础上协调资金、设备及资源等方面的支持；另一 方面进一步充实公司内部的投资、财务及审计力量，加强投前分析及投后管理，强化对公司投资项目的监督、风险评估、成 本分析等。</w:t>
      </w:r>
    </w:p>
    <w:p>
      <w:pPr>
        <w:pStyle w:val="Style3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 xml:space="preserve">b-4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加强热处理加工平台建设，提升工艺研发水平。</w:t>
      </w:r>
    </w:p>
    <w:p>
      <w:pPr>
        <w:pStyle w:val="Style35"/>
        <w:keepNext w:val="0"/>
        <w:keepLines w:val="0"/>
        <w:widowControl w:val="0"/>
        <w:shd w:val="clear" w:color="auto" w:fill="auto"/>
        <w:bidi w:val="0"/>
        <w:spacing w:before="0" w:after="0" w:line="322" w:lineRule="exact"/>
        <w:ind w:left="0" w:right="0"/>
        <w:jc w:val="both"/>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513" w:right="1020" w:bottom="1753" w:left="1070" w:header="0" w:footer="3" w:gutter="0"/>
          <w:cols w:space="720"/>
          <w:noEndnote/>
          <w:rtlGutter w:val="0"/>
          <w:docGrid w:linePitch="360"/>
        </w:sectPr>
      </w:pPr>
      <w:r>
        <w:rPr>
          <w:color w:val="000000"/>
          <w:spacing w:val="0"/>
          <w:w w:val="100"/>
          <w:position w:val="0"/>
        </w:rPr>
        <w:t>全面推广使用加工服务报价体系，扩大资源共享，充分协调系统内部设备资源；关注新工艺、新需求，发挥工艺委员会 职能，进行工艺研发与总结。</w:t>
      </w:r>
    </w:p>
    <w:p>
      <w:pPr>
        <w:pStyle w:val="Style25"/>
        <w:keepNext w:val="0"/>
        <w:keepLines w:val="0"/>
        <w:widowControl w:val="0"/>
        <w:shd w:val="clear" w:color="auto" w:fill="auto"/>
        <w:bidi w:val="0"/>
        <w:spacing w:before="0" w:after="0" w:line="240" w:lineRule="auto"/>
        <w:ind w:left="0" w:right="0" w:firstLine="220"/>
        <w:jc w:val="left"/>
        <w:rPr>
          <w:sz w:val="20"/>
          <w:szCs w:val="20"/>
        </w:rPr>
      </w:pPr>
      <w:r>
        <w:rPr>
          <w:b/>
          <w:bCs/>
          <w:color w:val="E67821"/>
          <w:spacing w:val="0"/>
          <w:w w:val="100"/>
          <w:position w:val="0"/>
          <w:sz w:val="20"/>
          <w:szCs w:val="20"/>
        </w:rPr>
        <w:t>倒釜财互联</w:t>
      </w:r>
    </w:p>
    <w:p>
      <w:pPr>
        <w:pStyle w:val="Style25"/>
        <w:keepNext w:val="0"/>
        <w:keepLines w:val="0"/>
        <w:widowControl w:val="0"/>
        <w:shd w:val="clear" w:color="auto" w:fill="auto"/>
        <w:bidi w:val="0"/>
        <w:spacing w:before="0" w:after="320" w:line="226" w:lineRule="auto"/>
        <w:ind w:left="0" w:right="0" w:firstLine="620"/>
        <w:jc w:val="both"/>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p>
      <w:pPr>
        <w:pStyle w:val="Style35"/>
        <w:keepNext w:val="0"/>
        <w:keepLines w:val="0"/>
        <w:widowControl w:val="0"/>
        <w:shd w:val="clear" w:color="auto" w:fill="auto"/>
        <w:bidi w:val="0"/>
        <w:spacing w:before="0" w:after="100" w:line="324" w:lineRule="exact"/>
        <w:ind w:left="0" w:right="0"/>
        <w:jc w:val="both"/>
      </w:pPr>
      <w:bookmarkStart w:id="311" w:name="bookmark311"/>
      <w:r>
        <w:rPr>
          <w:b/>
          <w:bCs/>
          <w:color w:val="000000"/>
          <w:spacing w:val="0"/>
          <w:w w:val="100"/>
          <w:position w:val="0"/>
        </w:rPr>
        <w:t>（</w:t>
      </w:r>
      <w:bookmarkEnd w:id="31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）可能面对的风险</w:t>
      </w:r>
    </w:p>
    <w:p>
      <w:pPr>
        <w:pStyle w:val="Style35"/>
        <w:keepNext w:val="0"/>
        <w:keepLines w:val="0"/>
        <w:widowControl w:val="0"/>
        <w:numPr>
          <w:ilvl w:val="0"/>
          <w:numId w:val="39"/>
        </w:numPr>
        <w:shd w:val="clear" w:color="auto" w:fill="auto"/>
        <w:tabs>
          <w:tab w:pos="773" w:val="left"/>
        </w:tabs>
        <w:bidi w:val="0"/>
        <w:spacing w:before="0" w:after="0" w:line="324" w:lineRule="exact"/>
        <w:ind w:left="0" w:right="0"/>
        <w:jc w:val="both"/>
      </w:pPr>
      <w:bookmarkStart w:id="312" w:name="bookmark312"/>
      <w:bookmarkEnd w:id="312"/>
      <w:r>
        <w:rPr>
          <w:b/>
          <w:bCs/>
          <w:color w:val="000000"/>
          <w:spacing w:val="0"/>
          <w:w w:val="100"/>
          <w:position w:val="0"/>
        </w:rPr>
        <w:t>宏观经济环境风险</w:t>
      </w:r>
    </w:p>
    <w:p>
      <w:pPr>
        <w:pStyle w:val="Style35"/>
        <w:keepNext w:val="0"/>
        <w:keepLines w:val="0"/>
        <w:widowControl w:val="0"/>
        <w:shd w:val="clear" w:color="auto" w:fill="auto"/>
        <w:bidi w:val="0"/>
        <w:spacing w:before="0" w:after="0" w:line="324" w:lineRule="exact"/>
        <w:ind w:left="0" w:right="0"/>
        <w:jc w:val="both"/>
      </w:pPr>
      <w:r>
        <w:rPr>
          <w:color w:val="000000"/>
          <w:spacing w:val="0"/>
          <w:w w:val="100"/>
          <w:position w:val="0"/>
        </w:rPr>
        <w:t>随着国际贸易摩擦、新冠疫情等因素影响，国内宏观经济增长的不稳定风险依然存在。公司主要产品所处的行业与国家 宏观经济紧密相关，宏观经济及下游行业周期性波动仍可能对公司未来的业绩产生不确定性影响。</w:t>
      </w:r>
    </w:p>
    <w:p>
      <w:pPr>
        <w:pStyle w:val="Style35"/>
        <w:keepNext w:val="0"/>
        <w:keepLines w:val="0"/>
        <w:widowControl w:val="0"/>
        <w:shd w:val="clear" w:color="auto" w:fill="auto"/>
        <w:bidi w:val="0"/>
        <w:spacing w:before="0" w:after="100" w:line="324" w:lineRule="exact"/>
        <w:ind w:left="0" w:right="0"/>
        <w:jc w:val="both"/>
      </w:pPr>
      <w:r>
        <w:rPr>
          <w:color w:val="000000"/>
          <w:spacing w:val="0"/>
          <w:w w:val="100"/>
          <w:position w:val="0"/>
        </w:rPr>
        <w:t>为此，公司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年将多渠道拓宽市场，提升销售订单总量和质量；充分调动资源，提高项目获得的成功率；同时，加强 新开发设备的推广和市场开拓，以应对复杂多变的市场环境。</w:t>
      </w:r>
    </w:p>
    <w:p>
      <w:pPr>
        <w:pStyle w:val="Style35"/>
        <w:keepNext w:val="0"/>
        <w:keepLines w:val="0"/>
        <w:widowControl w:val="0"/>
        <w:numPr>
          <w:ilvl w:val="0"/>
          <w:numId w:val="39"/>
        </w:numPr>
        <w:shd w:val="clear" w:color="auto" w:fill="auto"/>
        <w:tabs>
          <w:tab w:pos="773" w:val="left"/>
        </w:tabs>
        <w:bidi w:val="0"/>
        <w:spacing w:before="0" w:after="0" w:line="326" w:lineRule="exact"/>
        <w:ind w:left="0" w:right="0"/>
        <w:jc w:val="both"/>
      </w:pPr>
      <w:bookmarkStart w:id="313" w:name="bookmark313"/>
      <w:bookmarkEnd w:id="313"/>
      <w:r>
        <w:rPr>
          <w:b/>
          <w:bCs/>
          <w:color w:val="000000"/>
          <w:spacing w:val="0"/>
          <w:w w:val="100"/>
          <w:position w:val="0"/>
        </w:rPr>
        <w:t>项目成本上升风险</w:t>
      </w:r>
    </w:p>
    <w:p>
      <w:pPr>
        <w:pStyle w:val="Style35"/>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年年初开始，原材料价格涨幅较大，人工成本上升、人力资源紧张等因素，造成项目成本上升，设备业务存在毛利 率下降的风险。</w:t>
      </w:r>
    </w:p>
    <w:p>
      <w:pPr>
        <w:pStyle w:val="Style35"/>
        <w:keepNext w:val="0"/>
        <w:keepLines w:val="0"/>
        <w:widowControl w:val="0"/>
        <w:shd w:val="clear" w:color="auto" w:fill="auto"/>
        <w:bidi w:val="0"/>
        <w:spacing w:before="0" w:after="100" w:line="326" w:lineRule="exact"/>
        <w:ind w:left="0" w:right="0"/>
        <w:jc w:val="both"/>
      </w:pPr>
      <w:r>
        <w:rPr>
          <w:color w:val="000000"/>
          <w:spacing w:val="0"/>
          <w:w w:val="100"/>
          <w:position w:val="0"/>
        </w:rPr>
        <w:t>为此，公司将加强精细化管理，提升项目实施效率和效益。</w:t>
      </w:r>
    </w:p>
    <w:p>
      <w:pPr>
        <w:pStyle w:val="Style35"/>
        <w:keepNext w:val="0"/>
        <w:keepLines w:val="0"/>
        <w:widowControl w:val="0"/>
        <w:numPr>
          <w:ilvl w:val="0"/>
          <w:numId w:val="39"/>
        </w:numPr>
        <w:shd w:val="clear" w:color="auto" w:fill="auto"/>
        <w:tabs>
          <w:tab w:pos="773" w:val="left"/>
        </w:tabs>
        <w:bidi w:val="0"/>
        <w:spacing w:before="0" w:after="0" w:line="324" w:lineRule="exact"/>
        <w:ind w:left="0" w:right="0"/>
        <w:jc w:val="both"/>
      </w:pPr>
      <w:bookmarkStart w:id="314" w:name="bookmark314"/>
      <w:bookmarkEnd w:id="314"/>
      <w:r>
        <w:rPr>
          <w:b/>
          <w:bCs/>
          <w:color w:val="000000"/>
          <w:spacing w:val="0"/>
          <w:w w:val="100"/>
          <w:position w:val="0"/>
        </w:rPr>
        <w:t>人才流失风险</w:t>
      </w:r>
    </w:p>
    <w:p>
      <w:pPr>
        <w:pStyle w:val="Style35"/>
        <w:keepNext w:val="0"/>
        <w:keepLines w:val="0"/>
        <w:widowControl w:val="0"/>
        <w:shd w:val="clear" w:color="auto" w:fill="auto"/>
        <w:bidi w:val="0"/>
        <w:spacing w:before="0" w:after="0" w:line="324" w:lineRule="exact"/>
        <w:ind w:left="0" w:right="0"/>
        <w:jc w:val="both"/>
      </w:pPr>
      <w:r>
        <w:rPr>
          <w:color w:val="000000"/>
          <w:spacing w:val="0"/>
          <w:w w:val="100"/>
          <w:position w:val="0"/>
        </w:rPr>
        <w:t>一方面，随着公司规模的扩大，将对公司管理和技术人才提出更高的要求。</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另一方面，公司高度重视新技术的运用和新产品的开发，优秀的技术人员是公司降低产品成本、提升产品性能、保持核 心竞争力的关键因素。如技术人员出现大量流失，可能导致公司经营业绩受到负面影响，并面临技术泄密的风险。</w:t>
      </w:r>
    </w:p>
    <w:p>
      <w:pPr>
        <w:pStyle w:val="Style35"/>
        <w:keepNext w:val="0"/>
        <w:keepLines w:val="0"/>
        <w:widowControl w:val="0"/>
        <w:shd w:val="clear" w:color="auto" w:fill="auto"/>
        <w:bidi w:val="0"/>
        <w:spacing w:before="0" w:after="360" w:line="322" w:lineRule="exact"/>
        <w:ind w:left="0" w:right="0"/>
        <w:jc w:val="both"/>
      </w:pPr>
      <w:r>
        <w:rPr>
          <w:color w:val="000000"/>
          <w:spacing w:val="0"/>
          <w:w w:val="100"/>
          <w:position w:val="0"/>
        </w:rPr>
        <w:t>针对面临的人才缺乏及人才流失风险，公司一方面将拓宽人才引进渠道，不拘一格招募人才；另一方面尽快建立人才梯 队，大胆起用新人，为核心人才搭建成长与晋升的平台，切实留住优秀人才。</w:t>
      </w:r>
    </w:p>
    <w:p>
      <w:pPr>
        <w:pStyle w:val="Style29"/>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十、接待调研、沟通、采访等活动</w:t>
      </w:r>
      <w:bookmarkEnd w:id="315"/>
      <w:bookmarkEnd w:id="316"/>
      <w:bookmarkEnd w:id="317"/>
    </w:p>
    <w:p>
      <w:pPr>
        <w:pStyle w:val="Style39"/>
        <w:keepNext/>
        <w:keepLines/>
        <w:widowControl w:val="0"/>
        <w:shd w:val="clear" w:color="auto" w:fill="auto"/>
        <w:bidi w:val="0"/>
        <w:spacing w:before="0" w:after="320" w:line="240" w:lineRule="auto"/>
        <w:ind w:left="0" w:right="0" w:firstLine="46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、报告期内接待调研、沟通、采访等活动登记表</w:t>
      </w:r>
      <w:bookmarkEnd w:id="318"/>
      <w:bookmarkEnd w:id="319"/>
      <w:bookmarkEnd w:id="321"/>
    </w:p>
    <w:p>
      <w:pPr>
        <w:pStyle w:val="Style33"/>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93"/>
        <w:gridCol w:w="566"/>
        <w:gridCol w:w="571"/>
        <w:gridCol w:w="706"/>
        <w:gridCol w:w="2693"/>
        <w:gridCol w:w="1709"/>
        <w:gridCol w:w="2510"/>
      </w:tblGrid>
      <w:tr>
        <w:trPr>
          <w:trHeight w:val="75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接待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接待对 象类型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调研的基本情况索引</w:t>
            </w:r>
          </w:p>
        </w:tc>
      </w:tr>
      <w:tr>
        <w:trPr>
          <w:trHeight w:val="22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电话 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电话 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both"/>
            </w:pPr>
            <w:r>
              <w:rPr>
                <w:color w:val="000000"/>
                <w:spacing w:val="0"/>
                <w:w w:val="100"/>
                <w:position w:val="0"/>
              </w:rPr>
              <w:t>天风证券、泰康资产、鹏华基金、 兴业基金、东吴证券、淡水泉投资、 红象投资、泰达宏利基金、华宝 兴业基金、海富通基金、银河基金、 瑞扬投资、华夏基金、国盛证券、 国金证券、广发证券、东方资产管 理、博时基金、华夏未来资本、 大成基金、汇天富基金、拾贝投 资、彤源投资、方正富邦基金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 预告情况介绍，互联 网财税板块业务发展 情况及相关产品介绍 等，未提供相关资料。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auto"/>
              <w:ind w:left="0" w:right="0" w:firstLine="0"/>
              <w:jc w:val="both"/>
              <w:rPr>
                <w:sz w:val="18"/>
                <w:szCs w:val="18"/>
              </w:rPr>
            </w:pPr>
            <w:r>
              <w:fldChar w:fldCharType="begin"/>
            </w:r>
            <w:r>
              <w:rPr/>
              <w:instrText> HYPERLINK "http://www.cninfo.com.cn/new/di" </w:instrText>
            </w:r>
            <w:r>
              <w:fldChar w:fldCharType="separate"/>
            </w:r>
            <w:r>
              <w:rPr>
                <w:rFonts w:ascii="Times New Roman" w:eastAsia="Times New Roman" w:hAnsi="Times New Roman" w:cs="Times New Roman"/>
                <w:color w:val="000000"/>
                <w:spacing w:val="0"/>
                <w:w w:val="100"/>
                <w:position w:val="0"/>
                <w:sz w:val="18"/>
                <w:szCs w:val="18"/>
              </w:rPr>
              <w:t>http://www.cninfo.com.cn/new/di</w:t>
            </w:r>
            <w:r>
              <w:fldChar w:fldCharType="end"/>
            </w:r>
            <w:r>
              <w:rPr>
                <w:rFonts w:ascii="Times New Roman" w:eastAsia="Times New Roman" w:hAnsi="Times New Roman" w:cs="Times New Roman"/>
                <w:color w:val="000000"/>
                <w:spacing w:val="0"/>
                <w:w w:val="100"/>
                <w:position w:val="0"/>
                <w:sz w:val="18"/>
                <w:szCs w:val="18"/>
              </w:rPr>
              <w:t xml:space="preserve"> sclosure/stock?orgId=990001674 7&amp;stockCode=002530</w:t>
            </w:r>
          </w:p>
        </w:tc>
      </w:tr>
      <w:tr>
        <w:trPr>
          <w:trHeight w:val="17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电话 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华夏基金 中信证券 交银康联</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Manulife</w:t>
            </w:r>
          </w:p>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东吴证券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both"/>
            </w:pPr>
            <w:r>
              <w:rPr>
                <w:color w:val="000000"/>
                <w:spacing w:val="0"/>
                <w:w w:val="100"/>
                <w:position w:val="0"/>
              </w:rPr>
              <w:t>江苏丰东热技术有限 公司为全资子公司提 供担保以及热处理板 块涉及新能源汽车产 业的相关情况介绍 等，未提供任何相关 书面材料。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6" w:lineRule="auto"/>
              <w:ind w:left="0" w:right="0" w:firstLine="0"/>
              <w:jc w:val="both"/>
              <w:rPr>
                <w:sz w:val="18"/>
                <w:szCs w:val="18"/>
              </w:rPr>
            </w:pPr>
            <w:r>
              <w:fldChar w:fldCharType="begin"/>
            </w:r>
            <w:r>
              <w:rPr/>
              <w:instrText> HYPERLINK "http://www.cninfb.com.en/new/c" </w:instrText>
            </w:r>
            <w:r>
              <w:fldChar w:fldCharType="separate"/>
            </w:r>
            <w:r>
              <w:rPr>
                <w:rFonts w:ascii="Times New Roman" w:eastAsia="Times New Roman" w:hAnsi="Times New Roman" w:cs="Times New Roman"/>
                <w:color w:val="000000"/>
                <w:spacing w:val="0"/>
                <w:w w:val="100"/>
                <w:position w:val="0"/>
                <w:sz w:val="18"/>
                <w:szCs w:val="18"/>
              </w:rPr>
              <w:t>http://www.cninfb.com.en/new/c</w:t>
            </w:r>
            <w:r>
              <w:fldChar w:fldCharType="end"/>
            </w:r>
            <w:r>
              <w:rPr>
                <w:rFonts w:ascii="Times New Roman" w:eastAsia="Times New Roman" w:hAnsi="Times New Roman" w:cs="Times New Roman"/>
                <w:color w:val="000000"/>
                <w:spacing w:val="0"/>
                <w:w w:val="100"/>
                <w:position w:val="0"/>
                <w:sz w:val="18"/>
                <w:szCs w:val="18"/>
              </w:rPr>
              <w:t xml:space="preserve"> ommonUrl/pageOfSearch?url=di sclosure/list/search&amp;code=00253 0&amp;name=%E9%87%91 %E8%B 4%A2%E4%BA%92%E8%81% 94&amp;orgId=9900016747#szseSme</w:t>
            </w:r>
          </w:p>
        </w:tc>
      </w:tr>
    </w:tbl>
    <w:p>
      <w:pPr>
        <w:sectPr>
          <w:footnotePr>
            <w:pos w:val="pageBottom"/>
            <w:numFmt w:val="decimal"/>
            <w:numRestart w:val="continuous"/>
          </w:footnotePr>
          <w:pgSz w:w="11900" w:h="16840"/>
          <w:pgMar w:top="711" w:right="1102" w:bottom="1157" w:left="1088" w:header="0" w:footer="3" w:gutter="0"/>
          <w:cols w:space="720"/>
          <w:noEndnote/>
          <w:rtlGutter w:val="0"/>
          <w:docGrid w:linePitch="360"/>
        </w:sectPr>
      </w:pPr>
    </w:p>
    <w:p>
      <w:pPr>
        <w:pStyle w:val="Style17"/>
        <w:keepNext/>
        <w:keepLines/>
        <w:widowControl w:val="0"/>
        <w:shd w:val="clear" w:color="auto" w:fill="auto"/>
        <w:bidi w:val="0"/>
        <w:spacing w:before="480" w:after="520" w:line="240" w:lineRule="auto"/>
        <w:ind w:left="0" w:right="0" w:firstLine="0"/>
        <w:jc w:val="center"/>
      </w:pPr>
      <w:bookmarkStart w:id="322" w:name="bookmark322"/>
      <w:bookmarkStart w:id="323" w:name="bookmark323"/>
      <w:bookmarkStart w:id="324" w:name="bookmark324"/>
      <w:r>
        <w:rPr>
          <w:color w:val="000000"/>
          <w:spacing w:val="0"/>
          <w:w w:val="100"/>
          <w:position w:val="0"/>
        </w:rPr>
        <w:t>第五节重要事项</w:t>
      </w:r>
      <w:bookmarkEnd w:id="322"/>
      <w:bookmarkEnd w:id="323"/>
      <w:bookmarkEnd w:id="324"/>
    </w:p>
    <w:p>
      <w:pPr>
        <w:pStyle w:val="Style29"/>
        <w:keepNext/>
        <w:keepLines/>
        <w:widowControl w:val="0"/>
        <w:shd w:val="clear" w:color="auto" w:fill="auto"/>
        <w:bidi w:val="0"/>
        <w:spacing w:before="0" w:line="240" w:lineRule="auto"/>
        <w:ind w:left="0" w:right="0" w:firstLine="280"/>
        <w:jc w:val="left"/>
      </w:pPr>
      <w:bookmarkStart w:id="325" w:name="bookmark325"/>
      <w:bookmarkStart w:id="326" w:name="bookmark326"/>
      <w:bookmarkStart w:id="327" w:name="bookmark327"/>
      <w:r>
        <w:rPr>
          <w:color w:val="000000"/>
          <w:spacing w:val="0"/>
          <w:w w:val="100"/>
          <w:position w:val="0"/>
          <w:sz w:val="24"/>
          <w:szCs w:val="24"/>
        </w:rPr>
        <w:t>、公司普通股利润分配及资本公积金转增股本情况</w:t>
      </w:r>
      <w:bookmarkEnd w:id="325"/>
      <w:bookmarkEnd w:id="326"/>
      <w:bookmarkEnd w:id="327"/>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报告期内普通股利润分配政策，特别是现金分红政策的制定、执行或调整情况</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tbl>
      <w:tblPr>
        <w:tblOverlap w:val="never"/>
        <w:jc w:val="center"/>
        <w:tblLayout w:type="fixed"/>
      </w:tblPr>
      <w:tblGrid>
        <w:gridCol w:w="1459"/>
        <w:gridCol w:w="8256"/>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预案</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年度公司不派发现金红利，不送红股，不以公积金转增股本，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年末未分配利润结转下一年度。</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年度公司不派发现金红利，不送红股，不以公积金转增股本，</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年末未分配利润结转下一年度。</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年度公司不派发现金红利，不送红股，不以公积金转增股本，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年末未分配利润结转下一年度。</w:t>
            </w: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公司近三年（包括本报告期）普通股现金分红情况表</w:t>
      </w:r>
    </w:p>
    <w:p>
      <w:pPr>
        <w:widowControl w:val="0"/>
        <w:spacing w:after="2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93"/>
        <w:gridCol w:w="994"/>
        <w:gridCol w:w="1416"/>
        <w:gridCol w:w="1277"/>
        <w:gridCol w:w="1133"/>
        <w:gridCol w:w="1282"/>
        <w:gridCol w:w="1277"/>
        <w:gridCol w:w="1373"/>
      </w:tblGrid>
      <w:tr>
        <w:trPr>
          <w:trHeight w:val="15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分红年度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rPr>
                <w:sz w:val="16"/>
                <w:szCs w:val="16"/>
              </w:rPr>
            </w:pPr>
            <w:r>
              <w:rPr>
                <w:color w:val="000000"/>
                <w:spacing w:val="0"/>
                <w:w w:val="100"/>
                <w:position w:val="0"/>
                <w:sz w:val="16"/>
                <w:szCs w:val="16"/>
              </w:rPr>
              <w:t>现金分红 金额（含税）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分红年度合并报表 中归属于上市公司 普通股股东的净利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现金分红金额占 合并报表中归属 于上市公司普通 股股东的净利润 的比率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以其他方式</w:t>
            </w:r>
          </w:p>
          <w:p>
            <w:pPr>
              <w:pStyle w:val="Style25"/>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（如回购股 份）现金分红 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3" w:lineRule="exact"/>
              <w:ind w:left="0" w:right="0" w:firstLine="0"/>
              <w:jc w:val="center"/>
              <w:rPr>
                <w:sz w:val="16"/>
                <w:szCs w:val="16"/>
              </w:rPr>
            </w:pPr>
            <w:r>
              <w:rPr>
                <w:color w:val="000000"/>
                <w:spacing w:val="0"/>
                <w:w w:val="100"/>
                <w:position w:val="0"/>
                <w:sz w:val="16"/>
                <w:szCs w:val="16"/>
              </w:rPr>
              <w:t>以其他方式现金 分红金额占合并 报表中归属于上 市公司普通股股 东的净利润的比 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现金分红总额</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（含其他方式）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3" w:lineRule="exact"/>
              <w:ind w:left="0" w:right="0" w:firstLine="0"/>
              <w:jc w:val="center"/>
              <w:rPr>
                <w:sz w:val="16"/>
                <w:szCs w:val="16"/>
              </w:rPr>
            </w:pPr>
            <w:r>
              <w:rPr>
                <w:color w:val="000000"/>
                <w:spacing w:val="0"/>
                <w:w w:val="100"/>
                <w:position w:val="0"/>
                <w:sz w:val="16"/>
                <w:szCs w:val="16"/>
              </w:rPr>
              <w:t>现金分红总额（含 其他方式）占合并 报表中归属于上 市公司普通股股 东的净利润的比 率</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-1,243,619,838.77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-679,068,948.10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291,043,046.39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5"/>
        <w:keepNext w:val="0"/>
        <w:keepLines w:val="0"/>
        <w:widowControl w:val="0"/>
        <w:shd w:val="clear" w:color="auto" w:fill="auto"/>
        <w:bidi w:val="0"/>
        <w:spacing w:before="0" w:after="220" w:line="240" w:lineRule="auto"/>
        <w:ind w:left="0" w:right="0"/>
        <w:jc w:val="left"/>
      </w:pPr>
      <w:r>
        <w:rPr>
          <w:color w:val="000000"/>
          <w:spacing w:val="0"/>
          <w:w w:val="100"/>
          <w:position w:val="0"/>
        </w:rPr>
        <w:t>公司报告期内盈利且母公司可供普通股股东分配利润为正但未提出普通股现金红利分配预案</w:t>
      </w:r>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二</w:t>
      </w:r>
      <w:bookmarkEnd w:id="330"/>
      <w:r>
        <w:rPr>
          <w:color w:val="000000"/>
          <w:spacing w:val="0"/>
          <w:w w:val="100"/>
          <w:position w:val="0"/>
          <w:sz w:val="24"/>
          <w:szCs w:val="24"/>
        </w:rPr>
        <w:t>、</w:t>
        <w:tab/>
        <w:t>本报告期利润分配及资本公积金转增股本情况</w:t>
      </w:r>
      <w:bookmarkEnd w:id="328"/>
      <w:bookmarkEnd w:id="329"/>
      <w:bookmarkEnd w:id="331"/>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tabs>
          <w:tab w:pos="517" w:val="left"/>
        </w:tabs>
        <w:bidi w:val="0"/>
        <w:spacing w:before="0" w:after="30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三</w:t>
      </w:r>
      <w:bookmarkEnd w:id="334"/>
      <w:r>
        <w:rPr>
          <w:color w:val="000000"/>
          <w:spacing w:val="0"/>
          <w:w w:val="100"/>
          <w:position w:val="0"/>
          <w:sz w:val="24"/>
          <w:szCs w:val="24"/>
        </w:rPr>
        <w:t>、</w:t>
        <w:tab/>
        <w:t>承诺事项履行情况</w:t>
      </w:r>
      <w:bookmarkEnd w:id="332"/>
      <w:bookmarkEnd w:id="333"/>
      <w:bookmarkEnd w:id="335"/>
    </w:p>
    <w:p>
      <w:pPr>
        <w:pStyle w:val="Style39"/>
        <w:keepNext/>
        <w:keepLines/>
        <w:widowControl w:val="0"/>
        <w:shd w:val="clear" w:color="auto" w:fill="auto"/>
        <w:bidi w:val="0"/>
        <w:spacing w:before="0" w:line="312" w:lineRule="exact"/>
        <w:ind w:left="0" w:right="0" w:firstLine="40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、公司实际控制人、股东、关联方、收购人以及公司等承诺相关方在报告期内履行完毕及截至报告 期末尚未履行完毕的承诺事项</w:t>
      </w:r>
      <w:bookmarkEnd w:id="336"/>
      <w:bookmarkEnd w:id="337"/>
      <w:bookmarkEnd w:id="339"/>
    </w:p>
    <w:p>
      <w:pPr>
        <w:pStyle w:val="Style35"/>
        <w:keepNext w:val="0"/>
        <w:keepLines w:val="0"/>
        <w:widowControl w:val="0"/>
        <w:shd w:val="clear" w:color="auto" w:fill="auto"/>
        <w:bidi w:val="0"/>
        <w:spacing w:before="0" w:after="26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162"/>
        <w:gridCol w:w="854"/>
        <w:gridCol w:w="566"/>
        <w:gridCol w:w="5246"/>
        <w:gridCol w:w="571"/>
        <w:gridCol w:w="566"/>
        <w:gridCol w:w="734"/>
      </w:tblGrid>
      <w:tr>
        <w:trPr>
          <w:trHeight w:val="61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承诺事由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承诺</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rPr>
                <w:sz w:val="16"/>
                <w:szCs w:val="16"/>
              </w:rPr>
            </w:pPr>
            <w:r>
              <w:rPr>
                <w:color w:val="000000"/>
                <w:spacing w:val="0"/>
                <w:w w:val="100"/>
                <w:position w:val="0"/>
                <w:sz w:val="16"/>
                <w:szCs w:val="16"/>
              </w:rPr>
              <w:t>承诺 时间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rPr>
                <w:sz w:val="16"/>
                <w:szCs w:val="16"/>
              </w:rPr>
            </w:pPr>
            <w:r>
              <w:rPr>
                <w:color w:val="000000"/>
                <w:spacing w:val="0"/>
                <w:w w:val="100"/>
                <w:position w:val="0"/>
                <w:sz w:val="16"/>
                <w:szCs w:val="16"/>
              </w:rPr>
              <w:t>承诺 期限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履行情 况</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left"/>
              <w:rPr>
                <w:sz w:val="16"/>
                <w:szCs w:val="16"/>
              </w:rPr>
            </w:pPr>
            <w:r>
              <w:rPr>
                <w:color w:val="000000"/>
                <w:spacing w:val="0"/>
                <w:w w:val="100"/>
                <w:position w:val="0"/>
                <w:sz w:val="16"/>
                <w:szCs w:val="16"/>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3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资产重组时所</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东润金财 朱文明 束昱辉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避免同 业竞争</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586" w:val="left"/>
              </w:tabs>
              <w:bidi w:val="0"/>
              <w:spacing w:before="0" w:after="0" w:line="262"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tab/>
              <w:t>截止本承诺函签署之日，本企业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本人未在、将来也不会在中国 境内或境外以任何方式（包括但不限于单独经营、通过合资</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合伙经营 或拥有另一公司或企业的股权及其它权益等方式）直接或间接从事或参 与任何与上市公司及其下属子公司相同、相似或在商业上构成任何竞争 的业务及活动，或拥有与上市公司及其下属子公司存在竞争关系的任何 经济实体、机构、经济组织的权益，或以其他任何形式取得该经济实体、 机构、经济组织的控制权，或者为该等与上市公司及其下属子公司业务 构成竞争关系的经济实体、机构、经济组织以劳务、顾问或咨询等方式 提供服务。</w:t>
            </w:r>
          </w:p>
          <w:p>
            <w:pPr>
              <w:pStyle w:val="Style25"/>
              <w:keepNext w:val="0"/>
              <w:keepLines w:val="0"/>
              <w:widowControl w:val="0"/>
              <w:shd w:val="clear" w:color="auto" w:fill="auto"/>
              <w:tabs>
                <w:tab w:pos="552" w:val="left"/>
              </w:tabs>
              <w:bidi w:val="0"/>
              <w:spacing w:before="0" w:after="0" w:line="259"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tab/>
              <w:t>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本人如从任何第三方获得的商业机会与上市公司及其下 属子公司经营的业务构成竞争或可能构成竞争，则应立即通知上市公司 或其下属子公司，并应促成将该商业机会让予上市公司或其下属子公 司。</w:t>
            </w:r>
          </w:p>
          <w:p>
            <w:pPr>
              <w:pStyle w:val="Style25"/>
              <w:keepNext w:val="0"/>
              <w:keepLines w:val="0"/>
              <w:widowControl w:val="0"/>
              <w:shd w:val="clear" w:color="auto" w:fill="auto"/>
              <w:tabs>
                <w:tab w:pos="581" w:val="left"/>
              </w:tabs>
              <w:bidi w:val="0"/>
              <w:spacing w:before="0" w:after="0" w:line="262"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tab/>
              <w:t>若发现本企业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本人及本企业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本人控制的其他企业在以后任何 时间从事与上市公司及其下属子公司的产品或业务存在竞争的业务，则 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本人及本企业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本人控制的其他企业承诺将以停止生产经营相 竞争的业务或产品的方式，或者将相竞争的业务无偿转让给上市公司及 其下属子公司的方式，或者将相竞争的业务转让给无关联关系的第三方 的方式避免同业竞争。</w:t>
            </w:r>
          </w:p>
          <w:p>
            <w:pPr>
              <w:pStyle w:val="Style25"/>
              <w:keepNext w:val="0"/>
              <w:keepLines w:val="0"/>
              <w:widowControl w:val="0"/>
              <w:shd w:val="clear" w:color="auto" w:fill="auto"/>
              <w:tabs>
                <w:tab w:pos="581" w:val="left"/>
              </w:tabs>
              <w:bidi w:val="0"/>
              <w:spacing w:before="0" w:after="0" w:line="274"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tab/>
              <w:t>在本企业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本人作为上市公司控股股东</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实际控制人期间，本承 诺函持续有效，不可撤销。</w:t>
            </w:r>
          </w:p>
          <w:p>
            <w:pPr>
              <w:pStyle w:val="Style25"/>
              <w:keepNext w:val="0"/>
              <w:keepLines w:val="0"/>
              <w:widowControl w:val="0"/>
              <w:shd w:val="clear" w:color="auto" w:fill="auto"/>
              <w:bidi w:val="0"/>
              <w:spacing w:before="0" w:after="0" w:line="264"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 如上述承诺被证明是不真实的或未被遵守，本企业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本人愿意承 担因违反上述承诺而给上市公司造成的全部经济损失。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6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08</w:t>
            </w:r>
          </w:p>
          <w:p>
            <w:pPr>
              <w:pStyle w:val="Style25"/>
              <w:keepNext w:val="0"/>
              <w:keepLines w:val="0"/>
              <w:widowControl w:val="0"/>
              <w:shd w:val="clear" w:color="auto" w:fill="auto"/>
              <w:bidi w:val="0"/>
              <w:spacing w:before="0" w:after="0" w:line="266" w:lineRule="exact"/>
              <w:ind w:left="0" w:right="0" w:firstLine="0"/>
              <w:jc w:val="lef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长期</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1" w:lineRule="exact"/>
              <w:ind w:left="0" w:right="0" w:firstLine="0"/>
              <w:jc w:val="left"/>
              <w:rPr>
                <w:sz w:val="16"/>
                <w:szCs w:val="16"/>
              </w:rPr>
            </w:pPr>
            <w:r>
              <w:rPr>
                <w:color w:val="000000"/>
                <w:spacing w:val="0"/>
                <w:w w:val="100"/>
                <w:position w:val="0"/>
                <w:sz w:val="16"/>
                <w:szCs w:val="16"/>
              </w:rPr>
              <w:t>报告期 内，承诺 人均严 格履行 了承诺 内容。</w:t>
            </w:r>
          </w:p>
        </w:tc>
      </w:tr>
      <w:tr>
        <w:trPr>
          <w:trHeight w:val="568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left"/>
              <w:rPr>
                <w:sz w:val="16"/>
                <w:szCs w:val="16"/>
              </w:rPr>
            </w:pPr>
            <w:r>
              <w:rPr>
                <w:color w:val="000000"/>
                <w:spacing w:val="0"/>
                <w:w w:val="100"/>
                <w:position w:val="0"/>
                <w:sz w:val="16"/>
                <w:szCs w:val="16"/>
              </w:rPr>
              <w:t>东润金财 朱文明 束昱辉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0" w:right="0" w:firstLine="0"/>
              <w:jc w:val="both"/>
              <w:rPr>
                <w:sz w:val="16"/>
                <w:szCs w:val="16"/>
              </w:rPr>
            </w:pPr>
            <w:r>
              <w:rPr>
                <w:color w:val="000000"/>
                <w:spacing w:val="0"/>
                <w:w w:val="100"/>
                <w:position w:val="0"/>
                <w:sz w:val="16"/>
                <w:szCs w:val="16"/>
              </w:rPr>
              <w:t>减少和 规避关 联交易</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605" w:val="left"/>
              </w:tabs>
              <w:bidi w:val="0"/>
              <w:spacing w:before="0" w:after="0" w:line="26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tab/>
              <w:t>于本次交易完成后，本企业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本人将尽量避免或减少本企业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 人及本企业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本人控制的其他企业与上市公司及其子公司（包括方欣科 技及其子公司，下同）之间的关联交易。对于上市公司及其子公司能够 通过市场与第三方之间发生的交易，将由上市公司及其子公司独立与第 三方进行；对于本企业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本人及本企业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本人控制的其他企业与上市公司 及其子公司无法避免的关联交易，均将严格遵守市场化原则，本着平等 互利、等价、有偿的一般原则，公平合理地进行。</w:t>
            </w:r>
          </w:p>
          <w:p>
            <w:pPr>
              <w:pStyle w:val="Style25"/>
              <w:keepNext w:val="0"/>
              <w:keepLines w:val="0"/>
              <w:widowControl w:val="0"/>
              <w:shd w:val="clear" w:color="auto" w:fill="auto"/>
              <w:tabs>
                <w:tab w:pos="562" w:val="left"/>
              </w:tabs>
              <w:bidi w:val="0"/>
              <w:spacing w:before="0" w:after="0" w:line="263"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tab/>
              <w:t>本次交易过程中及交易完成后，除开展正常业务所需备用金外， 不会以任何方式占用或使用上市公司及其子公司的资金、资产或其他资 源，也不会要求上市公司及其子公司为本企业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本人及本企业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本人控制 的其他企业代垫款项、代偿债务，本企业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本人不会以任何直接或间接 的方式从事损害或可能损害上市公司及其子公司利益的行为。</w:t>
            </w:r>
          </w:p>
          <w:p>
            <w:pPr>
              <w:pStyle w:val="Style25"/>
              <w:keepNext w:val="0"/>
              <w:keepLines w:val="0"/>
              <w:widowControl w:val="0"/>
              <w:shd w:val="clear" w:color="auto" w:fill="auto"/>
              <w:tabs>
                <w:tab w:pos="600" w:val="left"/>
              </w:tabs>
              <w:bidi w:val="0"/>
              <w:spacing w:before="0" w:after="0" w:line="262"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tab/>
              <w:t>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本人及本企业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本人控制的其他企业与上市公司及其子 公司发生关联交易时，将严格按照有关法律、法规、规范性文件及《江 苏丰东热技术股份有限公司章程》等公司治理制度的有关规定履行审批 程序和信息披露义务，保证不通过关联交易损害上市公司及其子公司、 广大中小股东的合法权益。本企业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本人在上市公司董事会或股东大会 审议该等关联交易事项时，主动依法履行回避义务，并在议案获得通过 后方可实施。</w:t>
            </w:r>
          </w:p>
          <w:p>
            <w:pPr>
              <w:pStyle w:val="Style25"/>
              <w:keepNext w:val="0"/>
              <w:keepLines w:val="0"/>
              <w:widowControl w:val="0"/>
              <w:shd w:val="clear" w:color="auto" w:fill="auto"/>
              <w:tabs>
                <w:tab w:pos="600" w:val="left"/>
              </w:tabs>
              <w:bidi w:val="0"/>
              <w:spacing w:before="0" w:after="0" w:line="274"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tab/>
              <w:t>如果因违反上述承诺导致上市公司及其子公司利益损失的，该 等损失由本企业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本人承担。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69"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08</w:t>
            </w:r>
          </w:p>
          <w:p>
            <w:pPr>
              <w:pStyle w:val="Style25"/>
              <w:keepNext w:val="0"/>
              <w:keepLines w:val="0"/>
              <w:widowControl w:val="0"/>
              <w:shd w:val="clear" w:color="auto" w:fill="auto"/>
              <w:bidi w:val="0"/>
              <w:spacing w:before="0" w:after="0" w:line="269" w:lineRule="exact"/>
              <w:ind w:left="0" w:right="0" w:firstLine="0"/>
              <w:jc w:val="left"/>
              <w:rPr>
                <w:sz w:val="16"/>
                <w:szCs w:val="16"/>
              </w:rPr>
            </w:pP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长期</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0" w:lineRule="exact"/>
              <w:ind w:left="0" w:right="0" w:firstLine="0"/>
              <w:jc w:val="left"/>
              <w:rPr>
                <w:sz w:val="16"/>
                <w:szCs w:val="16"/>
              </w:rPr>
            </w:pPr>
            <w:r>
              <w:rPr>
                <w:color w:val="000000"/>
                <w:spacing w:val="0"/>
                <w:w w:val="100"/>
                <w:position w:val="0"/>
                <w:sz w:val="16"/>
                <w:szCs w:val="16"/>
              </w:rPr>
              <w:t>报告期 内，承诺 人均严 格履行 了承诺 内容。</w:t>
            </w:r>
          </w:p>
        </w:tc>
      </w:tr>
    </w:tbl>
    <w:p>
      <w:pPr>
        <w:spacing w:lineRule="exact" w:line="1"/>
        <w:rPr>
          <w:sz w:val="2"/>
          <w:szCs w:val="2"/>
        </w:rPr>
      </w:pPr>
      <w:r>
        <w:br w:type="page"/>
      </w:r>
    </w:p>
    <w:tbl>
      <w:tblPr>
        <w:tblOverlap w:val="never"/>
        <w:jc w:val="center"/>
        <w:tblLayout w:type="fixed"/>
      </w:tblPr>
      <w:tblGrid>
        <w:gridCol w:w="1162"/>
        <w:gridCol w:w="854"/>
        <w:gridCol w:w="566"/>
        <w:gridCol w:w="5246"/>
        <w:gridCol w:w="571"/>
        <w:gridCol w:w="566"/>
        <w:gridCol w:w="725"/>
      </w:tblGrid>
      <w:tr>
        <w:trPr>
          <w:trHeight w:val="471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资产重组时所</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left"/>
              <w:rPr>
                <w:sz w:val="16"/>
                <w:szCs w:val="16"/>
              </w:rPr>
            </w:pPr>
            <w:r>
              <w:rPr>
                <w:color w:val="000000"/>
                <w:spacing w:val="0"/>
                <w:w w:val="100"/>
                <w:position w:val="0"/>
                <w:sz w:val="16"/>
                <w:szCs w:val="16"/>
              </w:rPr>
              <w:t>徐正军 王金根 北京众诚 深圳金蝶 苏州松禾 广州西域 曹锋 邓国庭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减少和 规范关 联交易</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586" w:val="left"/>
              </w:tabs>
              <w:bidi w:val="0"/>
              <w:spacing w:before="0" w:after="0" w:line="243"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tab/>
              <w:t>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本企业控制的企业将尽可能避免和减少与 上市公司及其子公司的关联交易，不会利用自身作为上市公司股东之地 位谋求上市公司在业务合作等方面给予优于市场第三方的权利；不会利 用自身作为上市公司股东之地位谋求与上市公司达成交易的优先权利。 对于无法避免或有合理理由存在的关联交易，本人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 业控制的企业将与上市公司及其子公司按照公平、公允、等价、有偿等 原则依法签订协议，并由上市公司按照有关法律、法规、其他规范性文 件以及《江苏丰东热技术股份有限公司章程》等规定，依法履行相关内 部决策批准程序并及时履行信息披露义务。</w:t>
            </w:r>
          </w:p>
          <w:p>
            <w:pPr>
              <w:pStyle w:val="Style25"/>
              <w:keepNext w:val="0"/>
              <w:keepLines w:val="0"/>
              <w:widowControl w:val="0"/>
              <w:shd w:val="clear" w:color="auto" w:fill="auto"/>
              <w:tabs>
                <w:tab w:pos="595" w:val="left"/>
              </w:tabs>
              <w:bidi w:val="0"/>
              <w:spacing w:before="0" w:after="0" w:line="245"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tab/>
              <w:t>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本企业保证本人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本企业控制的企业不以与 市场价格相比显失公允的条件与上市公司及其子公司进行交易，不利用 关联交易非法转移上市公司的资金、利润，亦不利用该类交易从事任何 损害上市公司及其他股东合法权益的行为。</w:t>
            </w:r>
          </w:p>
          <w:p>
            <w:pPr>
              <w:pStyle w:val="Style25"/>
              <w:keepNext w:val="0"/>
              <w:keepLines w:val="0"/>
              <w:widowControl w:val="0"/>
              <w:shd w:val="clear" w:color="auto" w:fill="auto"/>
              <w:tabs>
                <w:tab w:pos="586" w:val="left"/>
              </w:tabs>
              <w:bidi w:val="0"/>
              <w:spacing w:before="0" w:after="0" w:line="243"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tab/>
              <w:t>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本企业保证有权签署本承诺函，且本承诺函一经本人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 企业签署即对本人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本企业构成有效的、合法的、具有约束力的责任， 且在本人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本企业作为上市公司股东期间持续有效，不可撤销。本人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 企业保证严格履行本承诺函中各项承诺，如因违反相关承诺并因此给上 市公司或其子公司造成损失的，本人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本企业将承担相应的法律责任并 赔偿损失。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5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08</w:t>
            </w:r>
          </w:p>
          <w:p>
            <w:pPr>
              <w:pStyle w:val="Style25"/>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长期</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both"/>
              <w:rPr>
                <w:sz w:val="16"/>
                <w:szCs w:val="16"/>
              </w:rPr>
            </w:pPr>
            <w:r>
              <w:rPr>
                <w:color w:val="000000"/>
                <w:spacing w:val="0"/>
                <w:w w:val="100"/>
                <w:position w:val="0"/>
                <w:sz w:val="16"/>
                <w:szCs w:val="16"/>
              </w:rPr>
              <w:t>报告期 内，承诺 人均严 格履行 了承诺 内容。</w:t>
            </w:r>
          </w:p>
        </w:tc>
      </w:tr>
      <w:tr>
        <w:trPr>
          <w:trHeight w:val="9101"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徐正军 王金根 北京众诚 深圳金蝶 苏州松禾 广州西域 曹锋 邓国庭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保持上 市公司 独立性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605"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tab/>
              <w:t>人员独立</w:t>
            </w:r>
          </w:p>
          <w:p>
            <w:pPr>
              <w:pStyle w:val="Style25"/>
              <w:keepNext w:val="0"/>
              <w:keepLines w:val="0"/>
              <w:widowControl w:val="0"/>
              <w:shd w:val="clear" w:color="auto" w:fill="auto"/>
              <w:tabs>
                <w:tab w:pos="619" w:val="left"/>
              </w:tabs>
              <w:bidi w:val="0"/>
              <w:spacing w:before="0" w:after="60" w:line="245"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w:t>
              <w:tab/>
            </w:r>
            <w:r>
              <w:rPr>
                <w:color w:val="000000"/>
                <w:spacing w:val="0"/>
                <w:w w:val="100"/>
                <w:position w:val="0"/>
                <w:sz w:val="16"/>
                <w:szCs w:val="16"/>
              </w:rPr>
              <w:t>保证上市公司的生产经营与行政管理（包括劳动、人事及工资 管理等）完全独立于本人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本企业及其关联方。</w:t>
            </w:r>
          </w:p>
          <w:p>
            <w:pPr>
              <w:pStyle w:val="Style25"/>
              <w:keepNext w:val="0"/>
              <w:keepLines w:val="0"/>
              <w:widowControl w:val="0"/>
              <w:shd w:val="clear" w:color="auto" w:fill="auto"/>
              <w:tabs>
                <w:tab w:pos="619" w:val="left"/>
              </w:tabs>
              <w:bidi w:val="0"/>
              <w:spacing w:before="0" w:after="60" w:line="238"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B</w:t>
            </w:r>
            <w:r>
              <w:rPr>
                <w:color w:val="000000"/>
                <w:spacing w:val="0"/>
                <w:w w:val="100"/>
                <w:position w:val="0"/>
                <w:sz w:val="16"/>
                <w:szCs w:val="16"/>
              </w:rPr>
              <w:t>、</w:t>
              <w:tab/>
            </w:r>
            <w:r>
              <w:rPr>
                <w:color w:val="000000"/>
                <w:spacing w:val="0"/>
                <w:w w:val="100"/>
                <w:position w:val="0"/>
                <w:sz w:val="16"/>
                <w:szCs w:val="16"/>
              </w:rPr>
              <w:t>保证上市公司的总经理、副总经理、财务负责人、董事会秘书 等高级管理人员的独立性，不在本人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本企业控制的企业及其关联方担 任除董事、监事以外的其它职务。</w:t>
            </w:r>
          </w:p>
          <w:p>
            <w:pPr>
              <w:pStyle w:val="Style25"/>
              <w:keepNext w:val="0"/>
              <w:keepLines w:val="0"/>
              <w:widowControl w:val="0"/>
              <w:shd w:val="clear" w:color="auto" w:fill="auto"/>
              <w:tabs>
                <w:tab w:pos="586" w:val="left"/>
              </w:tabs>
              <w:bidi w:val="0"/>
              <w:spacing w:before="0" w:after="0" w:line="233"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C</w:t>
            </w:r>
            <w:r>
              <w:rPr>
                <w:color w:val="000000"/>
                <w:spacing w:val="0"/>
                <w:w w:val="100"/>
                <w:position w:val="0"/>
                <w:sz w:val="16"/>
                <w:szCs w:val="16"/>
              </w:rPr>
              <w:t>、</w:t>
              <w:tab/>
            </w:r>
            <w:r>
              <w:rPr>
                <w:color w:val="000000"/>
                <w:spacing w:val="0"/>
                <w:w w:val="100"/>
                <w:position w:val="0"/>
                <w:sz w:val="16"/>
                <w:szCs w:val="16"/>
              </w:rPr>
              <w:t>保证本人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本企业及关联方提名出任上市公司董事、监事和高级 管理人员的人选都通过合法的程序进行，本人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本企业及关联方不干预 上市公司董事会和股东大会已经作出的人事任免决定。</w:t>
            </w:r>
          </w:p>
          <w:p>
            <w:pPr>
              <w:pStyle w:val="Style25"/>
              <w:keepNext w:val="0"/>
              <w:keepLines w:val="0"/>
              <w:widowControl w:val="0"/>
              <w:shd w:val="clear" w:color="auto" w:fill="auto"/>
              <w:tabs>
                <w:tab w:pos="629"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tab/>
              <w:t>资产独立</w:t>
            </w:r>
          </w:p>
          <w:p>
            <w:pPr>
              <w:pStyle w:val="Style25"/>
              <w:keepNext w:val="0"/>
              <w:keepLines w:val="0"/>
              <w:widowControl w:val="0"/>
              <w:shd w:val="clear" w:color="auto" w:fill="auto"/>
              <w:tabs>
                <w:tab w:pos="590"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w:t>
              <w:tab/>
            </w:r>
            <w:r>
              <w:rPr>
                <w:color w:val="000000"/>
                <w:spacing w:val="0"/>
                <w:w w:val="100"/>
                <w:position w:val="0"/>
                <w:sz w:val="16"/>
                <w:szCs w:val="16"/>
              </w:rPr>
              <w:t>保证上市公司具有独立完整的资产、其资产全部处于上市公司 的控制之下，并为上市公司独立拥有和运营。</w:t>
            </w:r>
          </w:p>
          <w:p>
            <w:pPr>
              <w:pStyle w:val="Style25"/>
              <w:keepNext w:val="0"/>
              <w:keepLines w:val="0"/>
              <w:widowControl w:val="0"/>
              <w:shd w:val="clear" w:color="auto" w:fill="auto"/>
              <w:tabs>
                <w:tab w:pos="581" w:val="left"/>
              </w:tabs>
              <w:bidi w:val="0"/>
              <w:spacing w:before="0" w:after="0" w:line="245"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B</w:t>
            </w:r>
            <w:r>
              <w:rPr>
                <w:color w:val="000000"/>
                <w:spacing w:val="0"/>
                <w:w w:val="100"/>
                <w:position w:val="0"/>
                <w:sz w:val="16"/>
                <w:szCs w:val="16"/>
              </w:rPr>
              <w:t>、</w:t>
              <w:tab/>
            </w:r>
            <w:r>
              <w:rPr>
                <w:color w:val="000000"/>
                <w:spacing w:val="0"/>
                <w:w w:val="100"/>
                <w:position w:val="0"/>
                <w:sz w:val="16"/>
                <w:szCs w:val="16"/>
              </w:rPr>
              <w:t>确保上市公司与本人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本企业及其关联方之间产权关系明确，上 市公司对所属资产拥有完整的所有权，确保上市公司资产的独立完整。</w:t>
            </w:r>
          </w:p>
          <w:p>
            <w:pPr>
              <w:pStyle w:val="Style25"/>
              <w:keepNext w:val="0"/>
              <w:keepLines w:val="0"/>
              <w:widowControl w:val="0"/>
              <w:shd w:val="clear" w:color="auto" w:fill="auto"/>
              <w:tabs>
                <w:tab w:pos="586" w:val="left"/>
              </w:tabs>
              <w:bidi w:val="0"/>
              <w:spacing w:before="0" w:after="0" w:line="245"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C</w:t>
            </w:r>
            <w:r>
              <w:rPr>
                <w:color w:val="000000"/>
                <w:spacing w:val="0"/>
                <w:w w:val="100"/>
                <w:position w:val="0"/>
                <w:sz w:val="16"/>
                <w:szCs w:val="16"/>
              </w:rPr>
              <w:t>、</w:t>
              <w:tab/>
            </w:r>
            <w:r>
              <w:rPr>
                <w:color w:val="000000"/>
                <w:spacing w:val="0"/>
                <w:w w:val="100"/>
                <w:position w:val="0"/>
                <w:sz w:val="16"/>
                <w:szCs w:val="16"/>
              </w:rPr>
              <w:t>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本企业及其关联方本次重组前没有、重组完成后也不以任 何方式违规占用上市公司的资金、资产。</w:t>
            </w:r>
          </w:p>
          <w:p>
            <w:pPr>
              <w:pStyle w:val="Style25"/>
              <w:keepNext w:val="0"/>
              <w:keepLines w:val="0"/>
              <w:widowControl w:val="0"/>
              <w:shd w:val="clear" w:color="auto" w:fill="auto"/>
              <w:tabs>
                <w:tab w:pos="614"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tab/>
              <w:t>财务独立</w:t>
            </w:r>
          </w:p>
          <w:p>
            <w:pPr>
              <w:pStyle w:val="Style25"/>
              <w:keepNext w:val="0"/>
              <w:keepLines w:val="0"/>
              <w:widowControl w:val="0"/>
              <w:shd w:val="clear" w:color="auto" w:fill="auto"/>
              <w:tabs>
                <w:tab w:pos="658"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w:t>
              <w:tab/>
            </w:r>
            <w:r>
              <w:rPr>
                <w:color w:val="000000"/>
                <w:spacing w:val="0"/>
                <w:w w:val="100"/>
                <w:position w:val="0"/>
                <w:sz w:val="16"/>
                <w:szCs w:val="16"/>
              </w:rPr>
              <w:t>保证上市公司拥有独立的财务部门和独立的财务核算体系。</w:t>
            </w:r>
          </w:p>
          <w:p>
            <w:pPr>
              <w:pStyle w:val="Style25"/>
              <w:keepNext w:val="0"/>
              <w:keepLines w:val="0"/>
              <w:widowControl w:val="0"/>
              <w:shd w:val="clear" w:color="auto" w:fill="auto"/>
              <w:tabs>
                <w:tab w:pos="614"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B</w:t>
            </w:r>
            <w:r>
              <w:rPr>
                <w:color w:val="000000"/>
                <w:spacing w:val="0"/>
                <w:w w:val="100"/>
                <w:position w:val="0"/>
                <w:sz w:val="16"/>
                <w:szCs w:val="16"/>
              </w:rPr>
              <w:t>、</w:t>
              <w:tab/>
            </w:r>
            <w:r>
              <w:rPr>
                <w:color w:val="000000"/>
                <w:spacing w:val="0"/>
                <w:w w:val="100"/>
                <w:position w:val="0"/>
                <w:sz w:val="16"/>
                <w:szCs w:val="16"/>
              </w:rPr>
              <w:t>保证上市公司具有规范、独立的财务会计制度和对分公司、子 公司的财务管理制度。</w:t>
            </w:r>
          </w:p>
          <w:p>
            <w:pPr>
              <w:pStyle w:val="Style25"/>
              <w:keepNext w:val="0"/>
              <w:keepLines w:val="0"/>
              <w:widowControl w:val="0"/>
              <w:shd w:val="clear" w:color="auto" w:fill="auto"/>
              <w:tabs>
                <w:tab w:pos="586"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C</w:t>
            </w:r>
            <w:r>
              <w:rPr>
                <w:color w:val="000000"/>
                <w:spacing w:val="0"/>
                <w:w w:val="100"/>
                <w:position w:val="0"/>
                <w:sz w:val="16"/>
                <w:szCs w:val="16"/>
              </w:rPr>
              <w:t>、</w:t>
              <w:tab/>
            </w:r>
            <w:r>
              <w:rPr>
                <w:color w:val="000000"/>
                <w:spacing w:val="0"/>
                <w:w w:val="100"/>
                <w:position w:val="0"/>
                <w:sz w:val="16"/>
                <w:szCs w:val="16"/>
              </w:rPr>
              <w:t>保证上市公司独立在银行开户，不与本人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本企业及其关联方共 用一个银行账户。</w:t>
            </w:r>
          </w:p>
          <w:p>
            <w:pPr>
              <w:pStyle w:val="Style25"/>
              <w:keepNext w:val="0"/>
              <w:keepLines w:val="0"/>
              <w:widowControl w:val="0"/>
              <w:shd w:val="clear" w:color="auto" w:fill="auto"/>
              <w:tabs>
                <w:tab w:pos="653"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D</w:t>
            </w:r>
            <w:r>
              <w:rPr>
                <w:color w:val="000000"/>
                <w:spacing w:val="0"/>
                <w:w w:val="100"/>
                <w:position w:val="0"/>
                <w:sz w:val="16"/>
                <w:szCs w:val="16"/>
              </w:rPr>
              <w:t>、</w:t>
              <w:tab/>
            </w:r>
            <w:r>
              <w:rPr>
                <w:color w:val="000000"/>
                <w:spacing w:val="0"/>
                <w:w w:val="100"/>
                <w:position w:val="0"/>
                <w:sz w:val="16"/>
                <w:szCs w:val="16"/>
              </w:rPr>
              <w:t>保证上市公司能够作出独立的财务决策。</w:t>
            </w:r>
          </w:p>
          <w:p>
            <w:pPr>
              <w:pStyle w:val="Style25"/>
              <w:keepNext w:val="0"/>
              <w:keepLines w:val="0"/>
              <w:widowControl w:val="0"/>
              <w:shd w:val="clear" w:color="auto" w:fill="auto"/>
              <w:tabs>
                <w:tab w:pos="581"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E</w:t>
            </w:r>
            <w:r>
              <w:rPr>
                <w:color w:val="000000"/>
                <w:spacing w:val="0"/>
                <w:w w:val="100"/>
                <w:position w:val="0"/>
                <w:sz w:val="16"/>
                <w:szCs w:val="16"/>
              </w:rPr>
              <w:t>、</w:t>
              <w:tab/>
            </w:r>
            <w:r>
              <w:rPr>
                <w:color w:val="000000"/>
                <w:spacing w:val="0"/>
                <w:w w:val="100"/>
                <w:position w:val="0"/>
                <w:sz w:val="16"/>
                <w:szCs w:val="16"/>
              </w:rPr>
              <w:t>保证上市公司的财务人员独立，不在本人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本企业控制企业及其 关联方处兼职和领取报酬。</w:t>
            </w:r>
          </w:p>
          <w:p>
            <w:pPr>
              <w:pStyle w:val="Style25"/>
              <w:keepNext w:val="0"/>
              <w:keepLines w:val="0"/>
              <w:widowControl w:val="0"/>
              <w:shd w:val="clear" w:color="auto" w:fill="auto"/>
              <w:tabs>
                <w:tab w:pos="629"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F</w:t>
            </w:r>
            <w:r>
              <w:rPr>
                <w:color w:val="000000"/>
                <w:spacing w:val="0"/>
                <w:w w:val="100"/>
                <w:position w:val="0"/>
                <w:sz w:val="16"/>
                <w:szCs w:val="16"/>
              </w:rPr>
              <w:t>、</w:t>
              <w:tab/>
            </w:r>
            <w:r>
              <w:rPr>
                <w:color w:val="000000"/>
                <w:spacing w:val="0"/>
                <w:w w:val="100"/>
                <w:position w:val="0"/>
                <w:sz w:val="16"/>
                <w:szCs w:val="16"/>
              </w:rPr>
              <w:t>保证上市公司依法独立纳税。</w:t>
            </w:r>
          </w:p>
          <w:p>
            <w:pPr>
              <w:pStyle w:val="Style25"/>
              <w:keepNext w:val="0"/>
              <w:keepLines w:val="0"/>
              <w:widowControl w:val="0"/>
              <w:shd w:val="clear" w:color="auto" w:fill="auto"/>
              <w:tabs>
                <w:tab w:pos="619"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tab/>
              <w:t>机构独立</w:t>
            </w:r>
          </w:p>
          <w:p>
            <w:pPr>
              <w:pStyle w:val="Style25"/>
              <w:keepNext w:val="0"/>
              <w:keepLines w:val="0"/>
              <w:widowControl w:val="0"/>
              <w:shd w:val="clear" w:color="auto" w:fill="auto"/>
              <w:tabs>
                <w:tab w:pos="629"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w:t>
              <w:tab/>
            </w:r>
            <w:r>
              <w:rPr>
                <w:color w:val="000000"/>
                <w:spacing w:val="0"/>
                <w:w w:val="100"/>
                <w:position w:val="0"/>
                <w:sz w:val="16"/>
                <w:szCs w:val="16"/>
              </w:rPr>
              <w:t>保证上市公司拥有健全的股份公司法人治理结构，拥有独立、 完整的组织机构。</w:t>
            </w:r>
          </w:p>
          <w:p>
            <w:pPr>
              <w:pStyle w:val="Style25"/>
              <w:keepNext w:val="0"/>
              <w:keepLines w:val="0"/>
              <w:widowControl w:val="0"/>
              <w:shd w:val="clear" w:color="auto" w:fill="auto"/>
              <w:tabs>
                <w:tab w:pos="614"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B</w:t>
            </w:r>
            <w:r>
              <w:rPr>
                <w:color w:val="000000"/>
                <w:spacing w:val="0"/>
                <w:w w:val="100"/>
                <w:position w:val="0"/>
                <w:sz w:val="16"/>
                <w:szCs w:val="16"/>
              </w:rPr>
              <w:t>、</w:t>
              <w:tab/>
            </w:r>
            <w:r>
              <w:rPr>
                <w:color w:val="000000"/>
                <w:spacing w:val="0"/>
                <w:w w:val="100"/>
                <w:position w:val="0"/>
                <w:sz w:val="16"/>
                <w:szCs w:val="16"/>
              </w:rPr>
              <w:t>保证上市公司的股东大会、董事会、独立董事、监事会、总经 理等依照法律、法规和公司章程独立行使职权。</w:t>
            </w:r>
          </w:p>
          <w:p>
            <w:pPr>
              <w:pStyle w:val="Style25"/>
              <w:keepNext w:val="0"/>
              <w:keepLines w:val="0"/>
              <w:widowControl w:val="0"/>
              <w:shd w:val="clear" w:color="auto" w:fill="auto"/>
              <w:tabs>
                <w:tab w:pos="614"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tab/>
              <w:t>业务独立</w:t>
            </w:r>
          </w:p>
          <w:p>
            <w:pPr>
              <w:pStyle w:val="Style25"/>
              <w:keepNext w:val="0"/>
              <w:keepLines w:val="0"/>
              <w:widowControl w:val="0"/>
              <w:shd w:val="clear" w:color="auto" w:fill="auto"/>
              <w:tabs>
                <w:tab w:pos="619"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w:t>
              <w:tab/>
            </w:r>
            <w:r>
              <w:rPr>
                <w:color w:val="000000"/>
                <w:spacing w:val="0"/>
                <w:w w:val="100"/>
                <w:position w:val="0"/>
                <w:sz w:val="16"/>
                <w:szCs w:val="16"/>
              </w:rPr>
              <w:t>保证上市公司拥有独立开展经营活动的资产、人员、资质和能 力，具有面向市场独立自主持续经营的能力。</w:t>
            </w:r>
          </w:p>
          <w:p>
            <w:pPr>
              <w:pStyle w:val="Style25"/>
              <w:keepNext w:val="0"/>
              <w:keepLines w:val="0"/>
              <w:widowControl w:val="0"/>
              <w:shd w:val="clear" w:color="auto" w:fill="auto"/>
              <w:tabs>
                <w:tab w:pos="595"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B</w:t>
            </w:r>
            <w:r>
              <w:rPr>
                <w:color w:val="000000"/>
                <w:spacing w:val="0"/>
                <w:w w:val="100"/>
                <w:position w:val="0"/>
                <w:sz w:val="16"/>
                <w:szCs w:val="16"/>
              </w:rPr>
              <w:t>、</w:t>
              <w:tab/>
            </w:r>
            <w:r>
              <w:rPr>
                <w:color w:val="000000"/>
                <w:spacing w:val="0"/>
                <w:w w:val="100"/>
                <w:position w:val="0"/>
                <w:sz w:val="16"/>
                <w:szCs w:val="16"/>
              </w:rPr>
              <w:t>除通过行使股东权利之外，不对上市公司的业务活动进行干预。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7"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08</w:t>
            </w:r>
          </w:p>
          <w:p>
            <w:pPr>
              <w:pStyle w:val="Style25"/>
              <w:keepNext w:val="0"/>
              <w:keepLines w:val="0"/>
              <w:widowControl w:val="0"/>
              <w:shd w:val="clear" w:color="auto" w:fill="auto"/>
              <w:bidi w:val="0"/>
              <w:spacing w:before="0" w:after="0" w:line="247" w:lineRule="exact"/>
              <w:ind w:left="0" w:right="0" w:firstLine="0"/>
              <w:jc w:val="left"/>
              <w:rPr>
                <w:sz w:val="16"/>
                <w:szCs w:val="16"/>
              </w:rPr>
            </w:pP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长期</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报告期 内，承诺 人均严 格履行 了承诺 内容。</w:t>
            </w:r>
          </w:p>
        </w:tc>
      </w:tr>
    </w:tbl>
    <w:p>
      <w:pPr>
        <w:spacing w:lineRule="exact" w:line="1"/>
        <w:rPr>
          <w:sz w:val="2"/>
          <w:szCs w:val="2"/>
        </w:rPr>
      </w:pPr>
      <w:r>
        <w:br w:type="page"/>
      </w:r>
    </w:p>
    <w:tbl>
      <w:tblPr>
        <w:tblOverlap w:val="never"/>
        <w:jc w:val="center"/>
        <w:tblLayout w:type="fixed"/>
      </w:tblPr>
      <w:tblGrid>
        <w:gridCol w:w="1176"/>
        <w:gridCol w:w="854"/>
        <w:gridCol w:w="566"/>
        <w:gridCol w:w="5246"/>
        <w:gridCol w:w="571"/>
        <w:gridCol w:w="566"/>
        <w:gridCol w:w="725"/>
      </w:tblGrid>
      <w:tr>
        <w:trPr>
          <w:trHeight w:val="443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资产重组时所</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left"/>
              <w:rPr>
                <w:sz w:val="16"/>
                <w:szCs w:val="16"/>
              </w:rPr>
            </w:pPr>
            <w:r>
              <w:rPr>
                <w:color w:val="000000"/>
                <w:spacing w:val="0"/>
                <w:w w:val="100"/>
                <w:position w:val="0"/>
                <w:sz w:val="16"/>
                <w:szCs w:val="16"/>
              </w:rPr>
              <w:t>徐正军 王金根 北京众诚 深圳金蝶 苏州松禾 广州西域 曹锋 邓国庭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避免同 业竞争</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600" w:val="left"/>
              </w:tabs>
              <w:bidi w:val="0"/>
              <w:spacing w:before="0" w:after="0" w:line="243"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tab/>
              <w:t>截至本承诺函签署之日，除方欣科技及其控制的其他企业外， 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本企业目前在中国境内外任何地区没有以任何形式直接或间接从 事和经营与方欣科技及其控制的其他企业构成或可能构成竞争的业务。</w:t>
            </w:r>
          </w:p>
          <w:p>
            <w:pPr>
              <w:pStyle w:val="Style25"/>
              <w:keepNext w:val="0"/>
              <w:keepLines w:val="0"/>
              <w:widowControl w:val="0"/>
              <w:shd w:val="clear" w:color="auto" w:fill="auto"/>
              <w:bidi w:val="0"/>
              <w:spacing w:before="0" w:after="0" w:line="243"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 本次重组完成后，在作为上市公司股东期间，本人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本企业控制 的其他企业不会直接或间接从事任何与上市公司及其下属公司（包括方 欣科技及其子公司，下同）经营业务构成竞争或潜在竞争关系的生产与 经营，亦不会投资任何与上市公司及其下属公司经营业务构成竞争或潜 在竞争关系的其他企业。</w:t>
            </w:r>
          </w:p>
          <w:p>
            <w:pPr>
              <w:pStyle w:val="Style25"/>
              <w:keepNext w:val="0"/>
              <w:keepLines w:val="0"/>
              <w:widowControl w:val="0"/>
              <w:shd w:val="clear" w:color="auto" w:fill="auto"/>
              <w:bidi w:val="0"/>
              <w:spacing w:before="0" w:after="0" w:line="243"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 作为上市公司股东期间，如本人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本企业控制的其他企业获得的 商业机会与上市公司及其下属公司主营业务构成同业竞争或可能构成 同业竞争的，将立即通知上市公司，并优先将该商业机会给予上市公司， 避免与上市公司及其下属公司业务构成同业竞争或潜在同业竞争，以确 保上市公司及上市公司其他股东利益不受损害。</w:t>
            </w:r>
          </w:p>
          <w:p>
            <w:pPr>
              <w:pStyle w:val="Style25"/>
              <w:keepNext w:val="0"/>
              <w:keepLines w:val="0"/>
              <w:widowControl w:val="0"/>
              <w:shd w:val="clear" w:color="auto" w:fill="auto"/>
              <w:tabs>
                <w:tab w:pos="576" w:val="left"/>
              </w:tabs>
              <w:bidi w:val="0"/>
              <w:spacing w:before="0" w:after="0" w:line="243"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tab/>
              <w:t>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本企业保证有权签署本承诺函，且本承诺函一经签署即构 成有效的、合法的、具有约束力的责任，且本人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本企业作为上市公司 股东期间持续有效，不可撤销。本人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本企业保证严格履行本承诺函中 各项承诺，如因违反相关承诺并因此给上市公司造成损失的，本人</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 企业将承担相应的法律责任并赔偿损失。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5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08</w:t>
            </w:r>
          </w:p>
          <w:p>
            <w:pPr>
              <w:pStyle w:val="Style25"/>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作为上 市公司 股东期 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both"/>
              <w:rPr>
                <w:sz w:val="16"/>
                <w:szCs w:val="16"/>
              </w:rPr>
            </w:pPr>
            <w:r>
              <w:rPr>
                <w:color w:val="000000"/>
                <w:spacing w:val="0"/>
                <w:w w:val="100"/>
                <w:position w:val="0"/>
                <w:sz w:val="16"/>
                <w:szCs w:val="16"/>
              </w:rPr>
              <w:t>报告期 内，承诺 人均严 格履行 了承诺 内容。</w:t>
            </w:r>
          </w:p>
        </w:tc>
      </w:tr>
      <w:tr>
        <w:trPr>
          <w:trHeight w:val="148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关于或 有损失 的补偿 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360"/>
              <w:jc w:val="both"/>
              <w:rPr>
                <w:sz w:val="16"/>
                <w:szCs w:val="16"/>
              </w:rPr>
            </w:pPr>
            <w:r>
              <w:rPr>
                <w:color w:val="000000"/>
                <w:spacing w:val="0"/>
                <w:w w:val="100"/>
                <w:position w:val="0"/>
                <w:sz w:val="16"/>
                <w:szCs w:val="16"/>
              </w:rPr>
              <w:t>在本次交易中或交易完成后，如因四川方欣或北京方欣注销而产生 任何负债或损失的，上述全部损失或负债由本人向上市公司或方欣科技 进行全额补偿。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 xml:space="preserve">07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p>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长期</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报告期 内，承诺 人均严 格履行 了承诺 内容。</w:t>
            </w:r>
          </w:p>
        </w:tc>
      </w:tr>
      <w:tr>
        <w:trPr>
          <w:trHeight w:val="491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首次公开发行</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或再融资时所</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公司股东 东方工程 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避免同 业竞争</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566" w:val="left"/>
              </w:tabs>
              <w:bidi w:val="0"/>
              <w:spacing w:before="0" w:after="0" w:line="241"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tab/>
              <w:t>在销售市场方面：在日本国市场上，日本东方可销售自有产品， 本公司不得销售自有产品；在东南亚国家市场，日本东方只向日资控股 的企业销售自有产品，本公司则可向除日资控股的企业以外的所有企业 销售自有产品；对于除日本国及东南亚的世界任何其他市场，日本东方 不得以任何方式销售自有产品，本公司则可自由销售。</w:t>
            </w:r>
          </w:p>
          <w:p>
            <w:pPr>
              <w:pStyle w:val="Style25"/>
              <w:keepNext w:val="0"/>
              <w:keepLines w:val="0"/>
              <w:widowControl w:val="0"/>
              <w:shd w:val="clear" w:color="auto" w:fill="auto"/>
              <w:tabs>
                <w:tab w:pos="605" w:val="left"/>
              </w:tabs>
              <w:bidi w:val="0"/>
              <w:spacing w:before="0" w:after="0" w:line="241"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tab/>
              <w:t>热处理加工业务方面：日本东方可继续在日本国从事热处理加 工业务，但本公司不得在日本国从事该等业务；在东南亚国家，日本东 方只能承接日资控股企业的热处理加工业务，本公司则可承接除日资控 股企业以外的所有企业的热处理加工业务；在除日本国及东南亚的世界 任何其它国家和地区，本公司可从事热处理加工业务，但日本东方不得 从事该等业务。</w:t>
            </w:r>
          </w:p>
          <w:p>
            <w:pPr>
              <w:pStyle w:val="Style25"/>
              <w:keepNext w:val="0"/>
              <w:keepLines w:val="0"/>
              <w:widowControl w:val="0"/>
              <w:shd w:val="clear" w:color="auto" w:fill="auto"/>
              <w:tabs>
                <w:tab w:pos="595" w:val="left"/>
              </w:tabs>
              <w:bidi w:val="0"/>
              <w:spacing w:before="0" w:after="0" w:line="241"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tab/>
              <w:t>在投资方面：本公司可继续在中国以任何方式进行投资以从事 热处理设备销售和热处理加工业务；除</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本协议生效之前，日本东方已 与本公司共同投资设 立的合营企业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且</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合营企业为本公司所控股</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的 情形外，日本东方不得以直接投资、委托投资、受托经营等任何方式在 中国从事热处理设备销售和热处理加工业务。</w:t>
            </w:r>
          </w:p>
          <w:p>
            <w:pPr>
              <w:pStyle w:val="Style25"/>
              <w:keepNext w:val="0"/>
              <w:keepLines w:val="0"/>
              <w:widowControl w:val="0"/>
              <w:shd w:val="clear" w:color="auto" w:fill="auto"/>
              <w:bidi w:val="0"/>
              <w:spacing w:before="0" w:after="0" w:line="241"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 在知识产权的转让方面：除非受让方明确承诺接受本协议的条 款和条件并由其承继日本东方在本协议项下的全部义务和责任，否则日 本东方不得向其他自然人、公司、企业或其它组织转让或许可使用与研 发、生产和销售热处理设备以及从事热处理加工业务有关的知识产权。</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87" w:val="left"/>
              </w:tabs>
              <w:bidi w:val="0"/>
              <w:spacing w:before="0" w:after="0" w:line="24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w:t>
              <w:tab/>
            </w:r>
            <w:r>
              <w:rPr>
                <w:rFonts w:ascii="Times New Roman" w:eastAsia="Times New Roman" w:hAnsi="Times New Roman" w:cs="Times New Roman"/>
                <w:color w:val="000000"/>
                <w:spacing w:val="0"/>
                <w:w w:val="100"/>
                <w:position w:val="0"/>
                <w:sz w:val="16"/>
                <w:szCs w:val="16"/>
              </w:rPr>
              <w:t xml:space="preserve">2007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 xml:space="preserve">03 </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16</w:t>
            </w:r>
          </w:p>
          <w:p>
            <w:pPr>
              <w:pStyle w:val="Style25"/>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日《避 免同业 竞争协 议》</w:t>
            </w:r>
          </w:p>
          <w:p>
            <w:pPr>
              <w:pStyle w:val="Style25"/>
              <w:keepNext w:val="0"/>
              <w:keepLines w:val="0"/>
              <w:widowControl w:val="0"/>
              <w:shd w:val="clear" w:color="auto" w:fill="auto"/>
              <w:tabs>
                <w:tab w:pos="192" w:val="left"/>
              </w:tabs>
              <w:bidi w:val="0"/>
              <w:spacing w:before="0" w:after="0" w:line="24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w:t>
              <w:tab/>
            </w:r>
            <w:r>
              <w:rPr>
                <w:rFonts w:ascii="Times New Roman" w:eastAsia="Times New Roman" w:hAnsi="Times New Roman" w:cs="Times New Roman"/>
                <w:color w:val="000000"/>
                <w:spacing w:val="0"/>
                <w:w w:val="100"/>
                <w:position w:val="0"/>
                <w:sz w:val="16"/>
                <w:szCs w:val="16"/>
              </w:rPr>
              <w:t xml:space="preserve">2008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 xml:space="preserve">07 </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25</w:t>
            </w:r>
          </w:p>
          <w:p>
            <w:pPr>
              <w:pStyle w:val="Style25"/>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日《关 于</w:t>
            </w:r>
            <w:r>
              <w:rPr>
                <w:color w:val="000000"/>
                <w:spacing w:val="0"/>
                <w:w w:val="100"/>
                <w:position w:val="0"/>
                <w:sz w:val="16"/>
                <w:szCs w:val="16"/>
              </w:rPr>
              <w:t>〈</w:t>
            </w:r>
            <w:r>
              <w:rPr>
                <w:color w:val="000000"/>
                <w:spacing w:val="0"/>
                <w:w w:val="100"/>
                <w:position w:val="0"/>
                <w:sz w:val="15"/>
                <w:szCs w:val="15"/>
              </w:rPr>
              <w:t>避 免同业 竞争</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5"/>
                <w:szCs w:val="15"/>
              </w:rPr>
              <w:t>之补充 协议》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长期</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报告期 内，承诺 人严格 履行了 承诺内 容。</w:t>
            </w:r>
          </w:p>
        </w:tc>
      </w:tr>
      <w:tr>
        <w:trPr>
          <w:trHeight w:val="125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公司股东 和华株式 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避免同 业竞争</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586"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tab/>
              <w:t>在日本市场上，和华可销售自有产品，本公司不得销售自有产 品。</w:t>
            </w:r>
          </w:p>
          <w:p>
            <w:pPr>
              <w:pStyle w:val="Style25"/>
              <w:keepNext w:val="0"/>
              <w:keepLines w:val="0"/>
              <w:widowControl w:val="0"/>
              <w:shd w:val="clear" w:color="auto" w:fill="auto"/>
              <w:tabs>
                <w:tab w:pos="566" w:val="left"/>
              </w:tabs>
              <w:bidi w:val="0"/>
              <w:spacing w:before="0" w:after="0" w:line="250" w:lineRule="exact"/>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tab/>
              <w:t>和华不得向除日本国的世界任何市场销售自有产品，本公司可 自由销售自有产品。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2007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 xml:space="preserve">03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16</w:t>
            </w:r>
          </w:p>
          <w:p>
            <w:pPr>
              <w:pStyle w:val="Style25"/>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长期有</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报告期</w:t>
            </w:r>
          </w:p>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内，承诺 人严格履 行了承诺 内容.</w:t>
            </w:r>
          </w:p>
        </w:tc>
      </w:tr>
      <w:tr>
        <w:trPr>
          <w:trHeight w:val="28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股权激励承诺</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22"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其他对公司中 小股东所作承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rPr>
              <w:t>利润</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分配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360"/>
              <w:jc w:val="both"/>
              <w:rPr>
                <w:sz w:val="16"/>
                <w:szCs w:val="16"/>
              </w:rPr>
            </w:pPr>
            <w:r>
              <w:rPr>
                <w:color w:val="000000"/>
                <w:spacing w:val="0"/>
                <w:w w:val="100"/>
                <w:position w:val="0"/>
                <w:sz w:val="16"/>
                <w:szCs w:val="16"/>
              </w:rPr>
              <w:t>未来三年公司利润分配采取现金、股票、现金与股票相结合或者法 律、法规允许的其他式，优先采用现金分红方式分配股利。</w:t>
            </w:r>
          </w:p>
          <w:p>
            <w:pPr>
              <w:pStyle w:val="Style25"/>
              <w:keepNext w:val="0"/>
              <w:keepLines w:val="0"/>
              <w:widowControl w:val="0"/>
              <w:shd w:val="clear" w:color="auto" w:fill="auto"/>
              <w:bidi w:val="0"/>
              <w:spacing w:before="0" w:after="0" w:line="241" w:lineRule="exact"/>
              <w:ind w:left="0" w:right="0" w:firstLine="360"/>
              <w:jc w:val="both"/>
              <w:rPr>
                <w:sz w:val="16"/>
                <w:szCs w:val="16"/>
              </w:rPr>
            </w:pPr>
            <w:r>
              <w:rPr>
                <w:color w:val="000000"/>
                <w:spacing w:val="0"/>
                <w:w w:val="100"/>
                <w:position w:val="0"/>
                <w:sz w:val="16"/>
                <w:szCs w:val="16"/>
              </w:rPr>
              <w:t>在满足现金分红条件、保证公司正常经营和长远发展的前提下，公 司未来三年原则上每年年度股东大会审议通过后进行一次现金分红，公 司董事会可以根据公司的盈利状况及资金需求状况提议公司进行中期 现金分红。公司应保持利润分配政策的连续性和稳定性，在满足现金分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05</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日</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2018.1.</w:t>
            </w:r>
          </w:p>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1~202</w:t>
            </w:r>
          </w:p>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0.12.31</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1" w:lineRule="exact"/>
              <w:ind w:left="0" w:right="0" w:firstLine="0"/>
              <w:jc w:val="both"/>
              <w:rPr>
                <w:sz w:val="16"/>
                <w:szCs w:val="16"/>
              </w:rPr>
            </w:pPr>
            <w:r>
              <w:rPr>
                <w:color w:val="000000"/>
                <w:spacing w:val="0"/>
                <w:w w:val="100"/>
                <w:position w:val="0"/>
                <w:sz w:val="16"/>
                <w:szCs w:val="16"/>
              </w:rPr>
              <w:t>报告期 内，承诺 人严格 履行了 承诺内 容。</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441" w:right="929" w:bottom="1503" w:left="921" w:header="0" w:footer="3" w:gutter="0"/>
          <w:cols w:space="720"/>
          <w:noEndnote/>
          <w:rtlGutter w:val="0"/>
          <w:docGrid w:linePitch="360"/>
        </w:sectPr>
      </w:pPr>
    </w:p>
    <w:tbl>
      <w:tblPr>
        <w:tblOverlap w:val="never"/>
        <w:jc w:val="center"/>
        <w:tblLayout w:type="fixed"/>
      </w:tblPr>
      <w:tblGrid>
        <w:gridCol w:w="1176"/>
        <w:gridCol w:w="854"/>
        <w:gridCol w:w="566"/>
        <w:gridCol w:w="5246"/>
        <w:gridCol w:w="571"/>
        <w:gridCol w:w="566"/>
        <w:gridCol w:w="734"/>
      </w:tblGrid>
      <w:tr>
        <w:trPr>
          <w:trHeight w:val="247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利润</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红条件时，公司每年以现金方式分配的利润不少于当年实现的母公司可 分配利润的</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，且任意三个连续会计年度内，公司以现金方式累计 分配的利润不少于该三年实现的母公司年均可分配利润的</w:t>
            </w: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6"/>
                <w:szCs w:val="16"/>
              </w:rPr>
              <w:t>。</w:t>
            </w:r>
          </w:p>
          <w:p>
            <w:pPr>
              <w:pStyle w:val="Style25"/>
              <w:keepNext w:val="0"/>
              <w:keepLines w:val="0"/>
              <w:widowControl w:val="0"/>
              <w:shd w:val="clear" w:color="auto" w:fill="auto"/>
              <w:bidi w:val="0"/>
              <w:spacing w:before="0" w:after="0" w:line="240" w:lineRule="exact"/>
              <w:ind w:left="0" w:right="0" w:firstLine="360"/>
              <w:jc w:val="both"/>
              <w:rPr>
                <w:sz w:val="16"/>
                <w:szCs w:val="16"/>
              </w:rPr>
            </w:pPr>
            <w:r>
              <w:rPr>
                <w:color w:val="000000"/>
                <w:spacing w:val="0"/>
                <w:w w:val="100"/>
                <w:position w:val="0"/>
                <w:sz w:val="16"/>
                <w:szCs w:val="16"/>
              </w:rPr>
              <w:t>公司经营情况良好，并且董事会认为公司股票价格与公司股本规模 不匹配、发放股票股利有利于公司全体股东整体利益的，可以在满足上 述现金分红之余，提出股票股利分配预案，并经股东大会审议通过后执 行。公司在确定以股票方式分配利润的具体金额时，应充分考虑以股票 方式分配利润后的总股本是否与公司目前的经营规模、盈利增长速度相 适应，并考虑对未来债权融资成本的影响，以确保分配方案符合全体股 东的整体利益。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05</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2018.1.</w:t>
            </w:r>
          </w:p>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1~202</w:t>
            </w:r>
          </w:p>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报告期 内，承诺 人严格 履行了 承诺内 容。</w:t>
            </w:r>
          </w:p>
        </w:tc>
      </w:tr>
      <w:tr>
        <w:trPr>
          <w:trHeight w:val="3206" w:hRule="exact"/>
        </w:trPr>
        <w:tc>
          <w:tcPr>
            <w:tcBorders/>
            <w:shd w:val="clear" w:color="auto" w:fill="FFFFFF"/>
            <w:vAlign w:val="top"/>
          </w:tcPr>
          <w:p>
            <w:pPr>
              <w:pStyle w:val="Style25"/>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其他对公司中 小股东所作承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朱文明 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增持</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为提振市场信心，基于对公司持续稳健发展的信心以及对公司内在价值 的认可，承诺人增持金额合计在</w:t>
            </w:r>
            <w:r>
              <w:rPr>
                <w:rFonts w:ascii="Times New Roman" w:eastAsia="Times New Roman" w:hAnsi="Times New Roman" w:cs="Times New Roman"/>
                <w:color w:val="000000"/>
                <w:spacing w:val="0"/>
                <w:w w:val="100"/>
                <w:position w:val="0"/>
                <w:sz w:val="16"/>
                <w:szCs w:val="16"/>
              </w:rPr>
              <w:t>8,000</w:t>
            </w:r>
            <w:r>
              <w:rPr>
                <w:color w:val="000000"/>
                <w:spacing w:val="0"/>
                <w:w w:val="100"/>
                <w:position w:val="0"/>
                <w:sz w:val="16"/>
                <w:szCs w:val="16"/>
              </w:rPr>
              <w:t>万元至</w:t>
            </w:r>
            <w:r>
              <w:rPr>
                <w:rFonts w:ascii="Times New Roman" w:eastAsia="Times New Roman" w:hAnsi="Times New Roman" w:cs="Times New Roman"/>
                <w:color w:val="000000"/>
                <w:spacing w:val="0"/>
                <w:w w:val="100"/>
                <w:position w:val="0"/>
                <w:sz w:val="16"/>
                <w:szCs w:val="16"/>
              </w:rPr>
              <w:t>10,000</w:t>
            </w:r>
            <w:r>
              <w:rPr>
                <w:color w:val="000000"/>
                <w:spacing w:val="0"/>
                <w:w w:val="100"/>
                <w:position w:val="0"/>
                <w:sz w:val="16"/>
                <w:szCs w:val="16"/>
              </w:rPr>
              <w:t>万元之间，人均增 持金额为</w:t>
            </w:r>
            <w:r>
              <w:rPr>
                <w:rFonts w:ascii="Times New Roman" w:eastAsia="Times New Roman" w:hAnsi="Times New Roman" w:cs="Times New Roman"/>
                <w:color w:val="000000"/>
                <w:spacing w:val="0"/>
                <w:w w:val="100"/>
                <w:position w:val="0"/>
                <w:sz w:val="16"/>
                <w:szCs w:val="16"/>
              </w:rPr>
              <w:t>4,000〜5,000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06</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22</w:t>
            </w:r>
          </w:p>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2018.0</w:t>
            </w:r>
          </w:p>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6.22~2</w:t>
            </w:r>
          </w:p>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020.07.</w:t>
            </w:r>
          </w:p>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 xml:space="preserve">截至本 报告期 末，朱文 明先在 增持承 诺期限 内合计 增持 </w:t>
            </w:r>
            <w:r>
              <w:rPr>
                <w:rFonts w:ascii="Times New Roman" w:eastAsia="Times New Roman" w:hAnsi="Times New Roman" w:cs="Times New Roman"/>
                <w:color w:val="000000"/>
                <w:spacing w:val="0"/>
                <w:w w:val="100"/>
                <w:position w:val="0"/>
                <w:sz w:val="16"/>
                <w:szCs w:val="16"/>
              </w:rPr>
              <w:t xml:space="preserve">1,264.92 </w:t>
            </w:r>
            <w:r>
              <w:rPr>
                <w:color w:val="000000"/>
                <w:spacing w:val="0"/>
                <w:w w:val="100"/>
                <w:position w:val="0"/>
                <w:sz w:val="16"/>
                <w:szCs w:val="16"/>
              </w:rPr>
              <w:t>万元；徐 正军先 生未进 行增持。</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承诺是否按时 履行</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21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如承诺超期未 履行完毕的， 应当详细说明 未完成履行的 具体原因及下 一步的工作计 划</w:t>
            </w:r>
          </w:p>
        </w:tc>
        <w:tc>
          <w:tcPr>
            <w:gridSpan w:val="6"/>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360"/>
              <w:jc w:val="left"/>
              <w:rPr>
                <w:sz w:val="16"/>
                <w:szCs w:val="16"/>
              </w:rPr>
            </w:pPr>
            <w:r>
              <w:rPr>
                <w:color w:val="000000"/>
                <w:spacing w:val="0"/>
                <w:w w:val="100"/>
                <w:position w:val="0"/>
                <w:sz w:val="16"/>
                <w:szCs w:val="16"/>
              </w:rPr>
              <w:t>朱文明、徐正军未按期履行增持承诺。</w:t>
            </w:r>
          </w:p>
          <w:p>
            <w:pPr>
              <w:pStyle w:val="Style25"/>
              <w:keepNext w:val="0"/>
              <w:keepLines w:val="0"/>
              <w:widowControl w:val="0"/>
              <w:numPr>
                <w:ilvl w:val="0"/>
                <w:numId w:val="41"/>
              </w:numPr>
              <w:shd w:val="clear" w:color="auto" w:fill="auto"/>
              <w:tabs>
                <w:tab w:pos="701" w:val="left"/>
              </w:tabs>
              <w:bidi w:val="0"/>
              <w:spacing w:before="0" w:after="0" w:line="242" w:lineRule="exact"/>
              <w:ind w:left="0" w:right="0" w:firstLine="360"/>
              <w:jc w:val="left"/>
              <w:rPr>
                <w:sz w:val="16"/>
                <w:szCs w:val="16"/>
              </w:rPr>
            </w:pPr>
            <w:r>
              <w:rPr>
                <w:color w:val="000000"/>
                <w:spacing w:val="0"/>
                <w:w w:val="100"/>
                <w:position w:val="0"/>
                <w:sz w:val="16"/>
                <w:szCs w:val="16"/>
              </w:rPr>
              <w:t>未完成履行的具体原因</w:t>
            </w:r>
          </w:p>
          <w:p>
            <w:pPr>
              <w:pStyle w:val="Style25"/>
              <w:keepNext w:val="0"/>
              <w:keepLines w:val="0"/>
              <w:widowControl w:val="0"/>
              <w:shd w:val="clear" w:color="auto" w:fill="auto"/>
              <w:bidi w:val="0"/>
              <w:spacing w:before="0" w:after="0" w:line="242" w:lineRule="exact"/>
              <w:ind w:left="0" w:right="0" w:firstLine="360"/>
              <w:jc w:val="both"/>
              <w:rPr>
                <w:sz w:val="16"/>
                <w:szCs w:val="16"/>
              </w:rPr>
            </w:pPr>
            <w:r>
              <w:rPr>
                <w:color w:val="000000"/>
                <w:spacing w:val="0"/>
                <w:w w:val="100"/>
                <w:position w:val="0"/>
                <w:sz w:val="16"/>
                <w:szCs w:val="16"/>
              </w:rPr>
              <w:t>自披露上述增持计划后，增持承诺人朱文明先生、徐正军先生积极筹措资金，朱文明先生在增持承诺期间内合 计增持</w:t>
            </w:r>
            <w:r>
              <w:rPr>
                <w:rFonts w:ascii="Times New Roman" w:eastAsia="Times New Roman" w:hAnsi="Times New Roman" w:cs="Times New Roman"/>
                <w:color w:val="000000"/>
                <w:spacing w:val="0"/>
                <w:w w:val="100"/>
                <w:position w:val="0"/>
                <w:sz w:val="16"/>
                <w:szCs w:val="16"/>
              </w:rPr>
              <w:t>1,264.92</w:t>
            </w:r>
            <w:r>
              <w:rPr>
                <w:color w:val="000000"/>
                <w:spacing w:val="0"/>
                <w:w w:val="100"/>
                <w:position w:val="0"/>
                <w:sz w:val="16"/>
                <w:szCs w:val="16"/>
              </w:rPr>
              <w:t>万元；但由于金融市场环境变化、融资渠道受限等客观原因，增持承诺人实施增持公司股份计划遇 到困难。</w:t>
            </w:r>
          </w:p>
          <w:p>
            <w:pPr>
              <w:pStyle w:val="Style25"/>
              <w:keepNext w:val="0"/>
              <w:keepLines w:val="0"/>
              <w:widowControl w:val="0"/>
              <w:numPr>
                <w:ilvl w:val="0"/>
                <w:numId w:val="41"/>
              </w:numPr>
              <w:shd w:val="clear" w:color="auto" w:fill="auto"/>
              <w:tabs>
                <w:tab w:pos="701" w:val="left"/>
              </w:tabs>
              <w:bidi w:val="0"/>
              <w:spacing w:before="0" w:after="0" w:line="242" w:lineRule="exact"/>
              <w:ind w:left="0" w:right="0" w:firstLine="360"/>
              <w:jc w:val="both"/>
              <w:rPr>
                <w:sz w:val="16"/>
                <w:szCs w:val="16"/>
              </w:rPr>
            </w:pPr>
            <w:r>
              <w:rPr>
                <w:color w:val="000000"/>
                <w:spacing w:val="0"/>
                <w:w w:val="100"/>
                <w:position w:val="0"/>
                <w:sz w:val="16"/>
                <w:szCs w:val="16"/>
              </w:rPr>
              <w:t>下一步的工作计划</w:t>
            </w:r>
          </w:p>
          <w:p>
            <w:pPr>
              <w:pStyle w:val="Style25"/>
              <w:keepNext w:val="0"/>
              <w:keepLines w:val="0"/>
              <w:widowControl w:val="0"/>
              <w:shd w:val="clear" w:color="auto" w:fill="auto"/>
              <w:bidi w:val="0"/>
              <w:spacing w:before="0" w:after="0" w:line="240" w:lineRule="exact"/>
              <w:ind w:left="0" w:right="0" w:firstLine="360"/>
              <w:jc w:val="both"/>
              <w:rPr>
                <w:sz w:val="16"/>
                <w:szCs w:val="16"/>
              </w:rPr>
            </w:pPr>
            <w:r>
              <w:rPr>
                <w:color w:val="000000"/>
                <w:spacing w:val="0"/>
                <w:w w:val="100"/>
                <w:position w:val="0"/>
                <w:sz w:val="16"/>
                <w:szCs w:val="16"/>
              </w:rPr>
              <w:t>公司已于</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日召开第四届董事会第二十八次会议、第四届监事会第二十三次会议，审议通过了《关 于部分持股</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以上股东终止实施增持计的议案》，上述议案亦经公司</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年第一次临时股东大会审议通过。</w:t>
            </w:r>
          </w:p>
        </w:tc>
      </w:tr>
    </w:tbl>
    <w:p>
      <w:pPr>
        <w:widowControl w:val="0"/>
        <w:spacing w:after="239" w:line="1" w:lineRule="exact"/>
      </w:pPr>
    </w:p>
    <w:p>
      <w:pPr>
        <w:pStyle w:val="Style39"/>
        <w:keepNext/>
        <w:keepLines/>
        <w:widowControl w:val="0"/>
        <w:shd w:val="clear" w:color="auto" w:fill="auto"/>
        <w:bidi w:val="0"/>
        <w:spacing w:before="0" w:line="322" w:lineRule="exact"/>
        <w:ind w:left="160" w:right="0" w:firstLine="42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、公司资产或项目存在盈利预测，且报告期仍处在盈利预测期间，公司就资产或项目达到原盈利预 测及其原因做出说明</w:t>
      </w:r>
      <w:bookmarkEnd w:id="340"/>
      <w:bookmarkEnd w:id="341"/>
      <w:bookmarkEnd w:id="343"/>
    </w:p>
    <w:p>
      <w:pPr>
        <w:pStyle w:val="Style35"/>
        <w:keepNext w:val="0"/>
        <w:keepLines w:val="0"/>
        <w:widowControl w:val="0"/>
        <w:shd w:val="clear" w:color="auto" w:fill="auto"/>
        <w:bidi w:val="0"/>
        <w:spacing w:before="0" w:after="36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658" w:val="left"/>
        </w:tabs>
        <w:bidi w:val="0"/>
        <w:spacing w:before="0" w:line="240" w:lineRule="auto"/>
        <w:ind w:left="0" w:right="0" w:firstLine="160"/>
        <w:jc w:val="left"/>
      </w:pPr>
      <w:bookmarkStart w:id="344" w:name="bookmark344"/>
      <w:bookmarkStart w:id="345" w:name="bookmark345"/>
      <w:bookmarkStart w:id="346" w:name="bookmark346"/>
      <w:bookmarkStart w:id="347" w:name="bookmark347"/>
      <w:r>
        <w:rPr>
          <w:color w:val="000000"/>
          <w:spacing w:val="0"/>
          <w:w w:val="100"/>
          <w:position w:val="0"/>
          <w:sz w:val="24"/>
          <w:szCs w:val="24"/>
        </w:rPr>
        <w:t>四</w:t>
      </w:r>
      <w:bookmarkEnd w:id="346"/>
      <w:r>
        <w:rPr>
          <w:color w:val="000000"/>
          <w:spacing w:val="0"/>
          <w:w w:val="100"/>
          <w:position w:val="0"/>
          <w:sz w:val="24"/>
          <w:szCs w:val="24"/>
        </w:rPr>
        <w:t>、</w:t>
        <w:tab/>
        <w:t>控股股东及其关联方对上市公司的非经营性占用资金情况</w:t>
      </w:r>
      <w:bookmarkEnd w:id="344"/>
      <w:bookmarkEnd w:id="345"/>
      <w:bookmarkEnd w:id="347"/>
    </w:p>
    <w:p>
      <w:pPr>
        <w:pStyle w:val="Style35"/>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677" w:val="left"/>
        </w:tabs>
        <w:bidi w:val="0"/>
        <w:spacing w:before="0" w:line="240" w:lineRule="auto"/>
        <w:ind w:left="0" w:right="0" w:firstLine="160"/>
        <w:jc w:val="left"/>
      </w:pPr>
      <w:bookmarkStart w:id="348" w:name="bookmark348"/>
      <w:bookmarkStart w:id="349" w:name="bookmark349"/>
      <w:bookmarkStart w:id="350" w:name="bookmark350"/>
      <w:bookmarkStart w:id="351" w:name="bookmark351"/>
      <w:r>
        <w:rPr>
          <w:color w:val="000000"/>
          <w:spacing w:val="0"/>
          <w:w w:val="100"/>
          <w:position w:val="0"/>
          <w:sz w:val="24"/>
          <w:szCs w:val="24"/>
        </w:rPr>
        <w:t>五</w:t>
      </w:r>
      <w:bookmarkEnd w:id="35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8"/>
      <w:bookmarkEnd w:id="349"/>
      <w:bookmarkEnd w:id="351"/>
    </w:p>
    <w:p>
      <w:pPr>
        <w:pStyle w:val="Style35"/>
        <w:keepNext w:val="0"/>
        <w:keepLines w:val="0"/>
        <w:widowControl w:val="0"/>
        <w:shd w:val="clear" w:color="auto" w:fill="auto"/>
        <w:bidi w:val="0"/>
        <w:spacing w:before="0" w:after="360" w:line="240" w:lineRule="auto"/>
        <w:ind w:left="0" w:right="0" w:firstLine="560"/>
        <w:jc w:val="both"/>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41" w:right="929" w:bottom="1503" w:left="92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380"/>
        <w:jc w:val="left"/>
        <w:rPr>
          <w:sz w:val="20"/>
          <w:szCs w:val="20"/>
        </w:rPr>
      </w:pPr>
      <w:r>
        <w:rPr>
          <w:b/>
          <w:bCs/>
          <w:color w:val="E67821"/>
          <w:spacing w:val="0"/>
          <w:w w:val="100"/>
          <w:position w:val="0"/>
          <w:sz w:val="20"/>
          <w:szCs w:val="20"/>
        </w:rPr>
        <w:t>向金财互联</w:t>
      </w:r>
    </w:p>
    <w:p>
      <w:pPr>
        <w:pStyle w:val="Style25"/>
        <w:keepNext w:val="0"/>
        <w:keepLines w:val="0"/>
        <w:widowControl w:val="0"/>
        <w:shd w:val="clear" w:color="auto" w:fill="auto"/>
        <w:bidi w:val="0"/>
        <w:spacing w:before="0" w:after="360" w:line="226" w:lineRule="auto"/>
        <w:ind w:left="0" w:right="0" w:firstLine="800"/>
        <w:jc w:val="both"/>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p>
      <w:pPr>
        <w:pStyle w:val="Style29"/>
        <w:keepNext/>
        <w:keepLines/>
        <w:widowControl w:val="0"/>
        <w:shd w:val="clear" w:color="auto" w:fill="auto"/>
        <w:bidi w:val="0"/>
        <w:spacing w:before="0" w:line="240" w:lineRule="auto"/>
        <w:ind w:left="0" w:right="0" w:firstLine="160"/>
        <w:jc w:val="left"/>
      </w:pPr>
      <w:bookmarkStart w:id="352" w:name="bookmark352"/>
      <w:bookmarkStart w:id="353" w:name="bookmark353"/>
      <w:bookmarkStart w:id="354" w:name="bookmark354"/>
      <w:bookmarkStart w:id="355" w:name="bookmark355"/>
      <w:r>
        <w:rPr>
          <w:color w:val="000000"/>
          <w:spacing w:val="0"/>
          <w:w w:val="100"/>
          <w:position w:val="0"/>
          <w:sz w:val="24"/>
          <w:szCs w:val="24"/>
        </w:rPr>
        <w:t>六</w:t>
      </w:r>
      <w:bookmarkEnd w:id="354"/>
      <w:r>
        <w:rPr>
          <w:color w:val="000000"/>
          <w:spacing w:val="0"/>
          <w:w w:val="100"/>
          <w:position w:val="0"/>
          <w:sz w:val="24"/>
          <w:szCs w:val="24"/>
        </w:rPr>
        <w:t>、与上年度财务报告相比，会计政策、会计估计和核算方法发生变化的情况说明</w:t>
      </w:r>
      <w:bookmarkEnd w:id="352"/>
      <w:bookmarkEnd w:id="353"/>
      <w:bookmarkEnd w:id="355"/>
    </w:p>
    <w:p>
      <w:pPr>
        <w:pStyle w:val="Style33"/>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314"/>
        <w:gridCol w:w="4738"/>
      </w:tblGrid>
      <w:tr>
        <w:trPr>
          <w:trHeight w:val="41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受重要影响的报表项目名称和金额</w:t>
            </w:r>
          </w:p>
        </w:tc>
      </w:tr>
      <w:tr>
        <w:trPr>
          <w:trHeight w:val="137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46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年颁布了修订后的《企业会计准则第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 —收入》。本公司自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日起施行前述准则，并根 据前述准则关于衔接的规定，于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日对财务报表进 行了相应的调整。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400"/>
              <w:jc w:val="left"/>
              <w:rPr>
                <w:sz w:val="20"/>
                <w:szCs w:val="20"/>
              </w:rPr>
            </w:pPr>
            <w:r>
              <w:rPr>
                <w:color w:val="000000"/>
                <w:spacing w:val="0"/>
                <w:w w:val="100"/>
                <w:position w:val="0"/>
                <w:sz w:val="20"/>
                <w:szCs w:val="20"/>
              </w:rPr>
              <w:t>详见第十二节五</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）首次执行新收入准 则调整首次执行当年年初财务报表相关项目情况</w:t>
            </w:r>
          </w:p>
        </w:tc>
      </w:tr>
    </w:tbl>
    <w:p>
      <w:pPr>
        <w:pStyle w:val="Style35"/>
        <w:keepNext w:val="0"/>
        <w:keepLines w:val="0"/>
        <w:widowControl w:val="0"/>
        <w:shd w:val="clear" w:color="auto" w:fill="auto"/>
        <w:bidi w:val="0"/>
        <w:spacing w:before="0" w:after="0" w:line="315" w:lineRule="exact"/>
        <w:ind w:left="0" w:right="0" w:firstLine="560"/>
        <w:jc w:val="left"/>
      </w:pPr>
      <w:r>
        <w:rPr>
          <w:color w:val="000000"/>
          <w:spacing w:val="0"/>
          <w:w w:val="100"/>
          <w:position w:val="0"/>
        </w:rPr>
        <w:t>新收入准则根据公司履行履约义务与客户付款之间的关系在资产负债表中列示合同资产或合同负债。</w:t>
      </w:r>
    </w:p>
    <w:p>
      <w:pPr>
        <w:pStyle w:val="Style35"/>
        <w:keepNext w:val="0"/>
        <w:keepLines w:val="0"/>
        <w:widowControl w:val="0"/>
        <w:shd w:val="clear" w:color="auto" w:fill="auto"/>
        <w:bidi w:val="0"/>
        <w:spacing w:before="0" w:after="120" w:line="315" w:lineRule="exact"/>
        <w:ind w:left="0" w:right="0" w:firstLine="560"/>
        <w:jc w:val="left"/>
      </w:pPr>
      <w:r>
        <w:rPr>
          <w:color w:val="000000"/>
          <w:spacing w:val="0"/>
          <w:w w:val="100"/>
          <w:position w:val="0"/>
        </w:rPr>
        <w:t>本公司按照新收入准则相关规定，于准则施行日进行以下调整：</w:t>
      </w:r>
    </w:p>
    <w:p>
      <w:pPr>
        <w:pStyle w:val="Style35"/>
        <w:keepNext w:val="0"/>
        <w:keepLines w:val="0"/>
        <w:widowControl w:val="0"/>
        <w:shd w:val="clear" w:color="auto" w:fill="auto"/>
        <w:tabs>
          <w:tab w:pos="894" w:val="left"/>
        </w:tabs>
        <w:bidi w:val="0"/>
        <w:spacing w:before="0" w:after="0" w:line="360" w:lineRule="auto"/>
        <w:ind w:left="0" w:right="0" w:firstLine="560"/>
        <w:jc w:val="left"/>
      </w:pPr>
      <w:bookmarkStart w:id="356" w:name="bookmark356"/>
      <w:r>
        <w:rPr>
          <w:rFonts w:ascii="Times New Roman" w:eastAsia="Times New Roman" w:hAnsi="Times New Roman" w:cs="Times New Roman"/>
          <w:color w:val="000000"/>
          <w:spacing w:val="0"/>
          <w:w w:val="100"/>
          <w:position w:val="0"/>
          <w:sz w:val="18"/>
          <w:szCs w:val="18"/>
        </w:rPr>
        <w:t>1</w:t>
      </w:r>
      <w:bookmarkEnd w:id="356"/>
      <w:r>
        <w:rPr>
          <w:color w:val="000000"/>
          <w:spacing w:val="0"/>
          <w:w w:val="100"/>
          <w:position w:val="0"/>
        </w:rPr>
        <w:t>、</w:t>
        <w:tab/>
        <w:t>本公司将期末符合条件的“应收账款”重分类为“合同资产”，对可比期间数据不做调整。</w:t>
      </w:r>
    </w:p>
    <w:p>
      <w:pPr>
        <w:pStyle w:val="Style35"/>
        <w:keepNext w:val="0"/>
        <w:keepLines w:val="0"/>
        <w:widowControl w:val="0"/>
        <w:shd w:val="clear" w:color="auto" w:fill="auto"/>
        <w:tabs>
          <w:tab w:pos="914" w:val="left"/>
        </w:tabs>
        <w:bidi w:val="0"/>
        <w:spacing w:before="0" w:after="0" w:line="384" w:lineRule="auto"/>
        <w:ind w:left="0" w:right="0" w:firstLine="560"/>
        <w:jc w:val="left"/>
      </w:pPr>
      <w:bookmarkStart w:id="357" w:name="bookmark357"/>
      <w:r>
        <w:rPr>
          <w:rFonts w:ascii="Times New Roman" w:eastAsia="Times New Roman" w:hAnsi="Times New Roman" w:cs="Times New Roman"/>
          <w:color w:val="000000"/>
          <w:spacing w:val="0"/>
          <w:w w:val="100"/>
          <w:position w:val="0"/>
          <w:sz w:val="18"/>
          <w:szCs w:val="18"/>
        </w:rPr>
        <w:t>2</w:t>
      </w:r>
      <w:bookmarkEnd w:id="357"/>
      <w:r>
        <w:rPr>
          <w:color w:val="000000"/>
          <w:spacing w:val="0"/>
          <w:w w:val="100"/>
          <w:position w:val="0"/>
        </w:rPr>
        <w:t>、</w:t>
        <w:tab/>
        <w:t>本公司将期末符合条件的“预收款项”确认为“合同负债”及“其他流动负债”，对可比期间数据不做调整。</w:t>
      </w:r>
    </w:p>
    <w:p>
      <w:pPr>
        <w:pStyle w:val="Style35"/>
        <w:keepNext w:val="0"/>
        <w:keepLines w:val="0"/>
        <w:widowControl w:val="0"/>
        <w:shd w:val="clear" w:color="auto" w:fill="auto"/>
        <w:tabs>
          <w:tab w:pos="869" w:val="left"/>
        </w:tabs>
        <w:bidi w:val="0"/>
        <w:spacing w:before="0" w:after="360" w:line="331" w:lineRule="exact"/>
        <w:ind w:left="160" w:right="0"/>
        <w:jc w:val="both"/>
      </w:pPr>
      <w:bookmarkStart w:id="358" w:name="bookmark358"/>
      <w:r>
        <w:rPr>
          <w:rFonts w:ascii="Times New Roman" w:eastAsia="Times New Roman" w:hAnsi="Times New Roman" w:cs="Times New Roman"/>
          <w:color w:val="000000"/>
          <w:spacing w:val="0"/>
          <w:w w:val="100"/>
          <w:position w:val="0"/>
          <w:sz w:val="18"/>
          <w:szCs w:val="18"/>
        </w:rPr>
        <w:t>3</w:t>
      </w:r>
      <w:bookmarkEnd w:id="358"/>
      <w:r>
        <w:rPr>
          <w:color w:val="000000"/>
          <w:spacing w:val="0"/>
          <w:w w:val="100"/>
          <w:position w:val="0"/>
        </w:rPr>
        <w:t>、</w:t>
        <w:tab/>
        <w:t>本公司将期末不符合收入确认条件的存量业务合同，对相关项目前期已确认的收入和成本及相应的所得税，追溯调 整本报告期期初留存收益，对可比期间数据不做调整。</w:t>
      </w:r>
    </w:p>
    <w:p>
      <w:pPr>
        <w:pStyle w:val="Style29"/>
        <w:keepNext/>
        <w:keepLines/>
        <w:widowControl w:val="0"/>
        <w:shd w:val="clear" w:color="auto" w:fill="auto"/>
        <w:tabs>
          <w:tab w:pos="744" w:val="left"/>
        </w:tabs>
        <w:bidi w:val="0"/>
        <w:spacing w:before="0" w:line="240" w:lineRule="auto"/>
        <w:ind w:left="0" w:right="0" w:firstLine="160"/>
        <w:jc w:val="left"/>
      </w:pPr>
      <w:bookmarkStart w:id="359" w:name="bookmark359"/>
      <w:bookmarkStart w:id="360" w:name="bookmark360"/>
      <w:bookmarkStart w:id="361" w:name="bookmark361"/>
      <w:bookmarkStart w:id="362" w:name="bookmark362"/>
      <w:r>
        <w:rPr>
          <w:color w:val="000000"/>
          <w:spacing w:val="0"/>
          <w:w w:val="100"/>
          <w:position w:val="0"/>
          <w:sz w:val="24"/>
          <w:szCs w:val="24"/>
        </w:rPr>
        <w:t>七</w:t>
      </w:r>
      <w:bookmarkEnd w:id="361"/>
      <w:r>
        <w:rPr>
          <w:color w:val="000000"/>
          <w:spacing w:val="0"/>
          <w:w w:val="100"/>
          <w:position w:val="0"/>
          <w:sz w:val="24"/>
          <w:szCs w:val="24"/>
        </w:rPr>
        <w:t>、</w:t>
        <w:tab/>
        <w:t>报告期内发生重大会计差错更正需追溯重述的情况说明</w:t>
      </w:r>
      <w:bookmarkEnd w:id="359"/>
      <w:bookmarkEnd w:id="360"/>
      <w:bookmarkEnd w:id="362"/>
    </w:p>
    <w:p>
      <w:pPr>
        <w:pStyle w:val="Style35"/>
        <w:keepNext w:val="0"/>
        <w:keepLines w:val="0"/>
        <w:widowControl w:val="0"/>
        <w:shd w:val="clear" w:color="auto" w:fill="auto"/>
        <w:bidi w:val="0"/>
        <w:spacing w:before="0" w:after="0" w:line="36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315" w:lineRule="exact"/>
        <w:ind w:left="0" w:right="0" w:firstLine="56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744" w:val="left"/>
        </w:tabs>
        <w:bidi w:val="0"/>
        <w:spacing w:before="0" w:line="240" w:lineRule="auto"/>
        <w:ind w:left="0" w:right="0" w:firstLine="160"/>
        <w:jc w:val="left"/>
      </w:pPr>
      <w:bookmarkStart w:id="363" w:name="bookmark363"/>
      <w:bookmarkStart w:id="364" w:name="bookmark364"/>
      <w:bookmarkStart w:id="365" w:name="bookmark365"/>
      <w:bookmarkStart w:id="366" w:name="bookmark366"/>
      <w:r>
        <w:rPr>
          <w:color w:val="000000"/>
          <w:spacing w:val="0"/>
          <w:w w:val="100"/>
          <w:position w:val="0"/>
          <w:sz w:val="24"/>
          <w:szCs w:val="24"/>
        </w:rPr>
        <w:t>八</w:t>
      </w:r>
      <w:bookmarkEnd w:id="365"/>
      <w:r>
        <w:rPr>
          <w:color w:val="000000"/>
          <w:spacing w:val="0"/>
          <w:w w:val="100"/>
          <w:position w:val="0"/>
          <w:sz w:val="24"/>
          <w:szCs w:val="24"/>
        </w:rPr>
        <w:t>、</w:t>
        <w:tab/>
        <w:t>与上年度财务报告相比，合并报表范围发生变化的情况说明</w:t>
      </w:r>
      <w:bookmarkEnd w:id="363"/>
      <w:bookmarkEnd w:id="364"/>
      <w:bookmarkEnd w:id="366"/>
    </w:p>
    <w:p>
      <w:pPr>
        <w:pStyle w:val="Style35"/>
        <w:keepNext w:val="0"/>
        <w:keepLines w:val="0"/>
        <w:widowControl w:val="0"/>
        <w:shd w:val="clear" w:color="auto" w:fill="auto"/>
        <w:bidi w:val="0"/>
        <w:spacing w:before="0" w:after="0" w:line="36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894" w:val="left"/>
        </w:tabs>
        <w:bidi w:val="0"/>
        <w:spacing w:before="0" w:after="0" w:line="360" w:lineRule="auto"/>
        <w:ind w:left="0" w:right="0" w:firstLine="560"/>
        <w:jc w:val="both"/>
      </w:pPr>
      <w:bookmarkStart w:id="367" w:name="bookmark367"/>
      <w:r>
        <w:rPr>
          <w:rFonts w:ascii="Times New Roman" w:eastAsia="Times New Roman" w:hAnsi="Times New Roman" w:cs="Times New Roman"/>
          <w:color w:val="000000"/>
          <w:spacing w:val="0"/>
          <w:w w:val="100"/>
          <w:position w:val="0"/>
          <w:sz w:val="18"/>
          <w:szCs w:val="18"/>
        </w:rPr>
        <w:t>1</w:t>
      </w:r>
      <w:bookmarkEnd w:id="3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年，公司全资子公司丰东热技术新纳入合并报表范围的子公司有：武汉丰东热技术有限公司。</w:t>
      </w:r>
    </w:p>
    <w:p>
      <w:pPr>
        <w:pStyle w:val="Style35"/>
        <w:keepNext w:val="0"/>
        <w:keepLines w:val="0"/>
        <w:widowControl w:val="0"/>
        <w:shd w:val="clear" w:color="auto" w:fill="auto"/>
        <w:bidi w:val="0"/>
        <w:spacing w:before="0" w:after="360" w:line="315" w:lineRule="exact"/>
        <w:ind w:left="160" w:right="0"/>
        <w:jc w:val="left"/>
      </w:pPr>
      <w:bookmarkStart w:id="368" w:name="bookmark368"/>
      <w:r>
        <w:rPr>
          <w:rFonts w:ascii="Times New Roman" w:eastAsia="Times New Roman" w:hAnsi="Times New Roman" w:cs="Times New Roman"/>
          <w:color w:val="000000"/>
          <w:spacing w:val="0"/>
          <w:w w:val="100"/>
          <w:position w:val="0"/>
          <w:sz w:val="18"/>
          <w:szCs w:val="18"/>
        </w:rPr>
        <w:t>2</w:t>
      </w:r>
      <w:bookmarkEnd w:id="36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年，公司全资子公司方欣科技新纳入合并报表范围的子公司及下属公司有：江西金财数据技术有限公司、四 川方欣全方数据科技有限公司、山东欣税软件有限公司、青岛方欣儒商信息科技有限公司、浙江协企财务管理有限公司、杭 州泓德财务管理有限公司、金财互联智链研究院（青岛）有限公司、惠州市金财互联技术有限公司、金财云商（青岛）数据 科技有限公司、金财互联（江门）财税服务有限公司、金财云盟数字科技有限公司、金财（高安）云商信息科技有限公司、 上海金财盛慧科技有限公司、福建麦税数字科技有限公司；浙江金财共享智能科技有限公司因注销，自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月起不再 纳入合并范围。</w:t>
      </w:r>
    </w:p>
    <w:p>
      <w:pPr>
        <w:pStyle w:val="Style29"/>
        <w:keepNext/>
        <w:keepLines/>
        <w:widowControl w:val="0"/>
        <w:shd w:val="clear" w:color="auto" w:fill="auto"/>
        <w:tabs>
          <w:tab w:pos="744" w:val="left"/>
        </w:tabs>
        <w:bidi w:val="0"/>
        <w:spacing w:before="0" w:line="240" w:lineRule="auto"/>
        <w:ind w:left="0" w:right="0" w:firstLine="160"/>
        <w:jc w:val="left"/>
      </w:pPr>
      <w:bookmarkStart w:id="369" w:name="bookmark369"/>
      <w:bookmarkStart w:id="370" w:name="bookmark370"/>
      <w:bookmarkStart w:id="371" w:name="bookmark371"/>
      <w:bookmarkStart w:id="372" w:name="bookmark372"/>
      <w:r>
        <w:rPr>
          <w:color w:val="000000"/>
          <w:spacing w:val="0"/>
          <w:w w:val="100"/>
          <w:position w:val="0"/>
          <w:sz w:val="24"/>
          <w:szCs w:val="24"/>
        </w:rPr>
        <w:t>九</w:t>
      </w:r>
      <w:bookmarkEnd w:id="371"/>
      <w:r>
        <w:rPr>
          <w:color w:val="000000"/>
          <w:spacing w:val="0"/>
          <w:w w:val="100"/>
          <w:position w:val="0"/>
          <w:sz w:val="24"/>
          <w:szCs w:val="24"/>
        </w:rPr>
        <w:t>、</w:t>
        <w:tab/>
        <w:t>聘任、解聘会计师事务所情况</w:t>
      </w:r>
      <w:bookmarkEnd w:id="369"/>
      <w:bookmarkEnd w:id="370"/>
      <w:bookmarkEnd w:id="372"/>
    </w:p>
    <w:p>
      <w:pPr>
        <w:pStyle w:val="Style33"/>
        <w:keepNext w:val="0"/>
        <w:keepLines w:val="0"/>
        <w:widowControl w:val="0"/>
        <w:shd w:val="clear" w:color="auto" w:fill="auto"/>
        <w:bidi w:val="0"/>
        <w:spacing w:before="0" w:after="0" w:line="240" w:lineRule="auto"/>
        <w:ind w:left="384" w:right="0" w:firstLine="0"/>
        <w:jc w:val="left"/>
      </w:pPr>
      <w:r>
        <w:rPr>
          <w:color w:val="000000"/>
          <w:spacing w:val="0"/>
          <w:w w:val="100"/>
          <w:position w:val="0"/>
        </w:rPr>
        <w:t>现聘任的会计师事务所</w:t>
      </w:r>
    </w:p>
    <w:tbl>
      <w:tblPr>
        <w:tblOverlap w:val="never"/>
        <w:jc w:val="center"/>
        <w:tblLayout w:type="fixed"/>
      </w:tblPr>
      <w:tblGrid>
        <w:gridCol w:w="4834"/>
        <w:gridCol w:w="4810"/>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众华会计师事务所（特殊普通合伙）</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卞文漪、赵海蓉</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sectPr>
          <w:footnotePr>
            <w:pos w:val="pageBottom"/>
            <w:numFmt w:val="decimal"/>
            <w:numRestart w:val="continuous"/>
          </w:footnotePr>
          <w:pgSz w:w="11900" w:h="16840"/>
          <w:pgMar w:top="711" w:right="930" w:bottom="1157" w:left="920" w:header="0" w:footer="3" w:gutter="0"/>
          <w:cols w:space="720"/>
          <w:noEndnote/>
          <w:rtlGutter w:val="0"/>
          <w:docGrid w:linePitch="360"/>
        </w:sectPr>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当期是否改聘会计师事务所</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十、年度报告披露后面临退市情况</w:t>
      </w:r>
      <w:bookmarkEnd w:id="373"/>
      <w:bookmarkEnd w:id="374"/>
      <w:bookmarkEnd w:id="375"/>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十一、破产重整相关事项</w:t>
      </w:r>
      <w:bookmarkEnd w:id="376"/>
      <w:bookmarkEnd w:id="377"/>
      <w:bookmarkEnd w:id="378"/>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十二、重大诉讼、仲裁事项</w:t>
      </w:r>
      <w:bookmarkEnd w:id="379"/>
      <w:bookmarkEnd w:id="380"/>
      <w:bookmarkEnd w:id="381"/>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十三、处罚及整改情况</w:t>
      </w:r>
      <w:bookmarkEnd w:id="382"/>
      <w:bookmarkEnd w:id="383"/>
      <w:bookmarkEnd w:id="384"/>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十四、公司及其控股股东、实际控制人的诚信状况</w:t>
      </w:r>
      <w:bookmarkEnd w:id="385"/>
      <w:bookmarkEnd w:id="386"/>
      <w:bookmarkEnd w:id="387"/>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十五、公司股权激励计划、员工持股计划或其他员工激励措施的实施情况</w:t>
      </w:r>
      <w:bookmarkEnd w:id="388"/>
      <w:bookmarkEnd w:id="389"/>
      <w:bookmarkEnd w:id="390"/>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十六、重大关联交易</w:t>
      </w:r>
      <w:bookmarkEnd w:id="391"/>
      <w:bookmarkEnd w:id="392"/>
      <w:bookmarkEnd w:id="393"/>
    </w:p>
    <w:p>
      <w:pPr>
        <w:pStyle w:val="Style39"/>
        <w:keepNext/>
        <w:keepLines/>
        <w:widowControl w:val="0"/>
        <w:shd w:val="clear" w:color="auto" w:fill="auto"/>
        <w:bidi w:val="0"/>
        <w:spacing w:before="0" w:line="240" w:lineRule="auto"/>
        <w:ind w:left="0" w:right="0" w:firstLine="40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、与日常经营相关的关联交易</w:t>
      </w:r>
      <w:bookmarkEnd w:id="394"/>
      <w:bookmarkEnd w:id="395"/>
      <w:bookmarkEnd w:id="397"/>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878"/>
        <w:gridCol w:w="710"/>
        <w:gridCol w:w="427"/>
        <w:gridCol w:w="566"/>
        <w:gridCol w:w="566"/>
        <w:gridCol w:w="422"/>
        <w:gridCol w:w="710"/>
        <w:gridCol w:w="710"/>
        <w:gridCol w:w="706"/>
        <w:gridCol w:w="571"/>
        <w:gridCol w:w="427"/>
        <w:gridCol w:w="710"/>
        <w:gridCol w:w="566"/>
        <w:gridCol w:w="1661"/>
      </w:tblGrid>
      <w:tr>
        <w:trPr>
          <w:trHeight w:val="9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 交易方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160" w:right="0" w:firstLine="0"/>
              <w:jc w:val="both"/>
            </w:pPr>
            <w:r>
              <w:rPr>
                <w:color w:val="000000"/>
                <w:spacing w:val="0"/>
                <w:w w:val="100"/>
                <w:position w:val="0"/>
              </w:rPr>
              <w:t>关联 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pPr>
            <w:r>
              <w:rPr>
                <w:color w:val="000000"/>
                <w:spacing w:val="0"/>
                <w:w w:val="100"/>
                <w:position w:val="0"/>
              </w:rPr>
              <w:t>关联 交易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关联 交易 内容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8" w:lineRule="exact"/>
              <w:ind w:left="0" w:right="0" w:firstLine="0"/>
              <w:jc w:val="left"/>
            </w:pPr>
            <w:r>
              <w:rPr>
                <w:color w:val="000000"/>
                <w:spacing w:val="0"/>
                <w:w w:val="100"/>
                <w:position w:val="0"/>
              </w:rPr>
              <w:t>关联 交易 定价 原则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关联 交易 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2" w:lineRule="exact"/>
              <w:ind w:left="0" w:right="0" w:firstLine="0"/>
              <w:jc w:val="center"/>
              <w:rPr>
                <w:sz w:val="18"/>
                <w:szCs w:val="18"/>
              </w:rPr>
            </w:pPr>
            <w:r>
              <w:rPr>
                <w:color w:val="000000"/>
                <w:spacing w:val="0"/>
                <w:w w:val="100"/>
                <w:position w:val="0"/>
                <w:sz w:val="17"/>
                <w:szCs w:val="17"/>
              </w:rPr>
              <w:t xml:space="preserve">关联交 易金额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8" w:lineRule="exact"/>
              <w:ind w:left="0" w:right="0" w:firstLine="0"/>
              <w:jc w:val="center"/>
              <w:rPr>
                <w:sz w:val="18"/>
                <w:szCs w:val="18"/>
              </w:rPr>
            </w:pPr>
            <w:r>
              <w:rPr>
                <w:color w:val="000000"/>
                <w:spacing w:val="0"/>
                <w:w w:val="100"/>
                <w:position w:val="0"/>
                <w:sz w:val="17"/>
                <w:szCs w:val="17"/>
              </w:rPr>
              <w:t>获批的 交易额 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 元</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left"/>
            </w:pPr>
            <w:r>
              <w:rPr>
                <w:color w:val="000000"/>
                <w:spacing w:val="0"/>
                <w:w w:val="100"/>
                <w:position w:val="0"/>
              </w:rPr>
              <w:t>是否 超过 获批 额度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关联 交易 结算 方式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披露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披露 索引</w:t>
            </w:r>
          </w:p>
        </w:tc>
      </w:tr>
      <w:tr>
        <w:trPr>
          <w:trHeight w:val="73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东方工程 株式会社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7"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 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材料</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江苏石川 岛丰东真 空技术有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合营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材料</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合营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商品 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材料</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东方工程 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 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商品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销售 配件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商品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销售 设备 及配 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102.77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m.cn/new/disclosure/</w:t>
            </w:r>
            <w:r>
              <w:rPr>
                <w:rFonts w:ascii="Times New Roman" w:eastAsia="Times New Roman" w:hAnsi="Times New Roman" w:cs="Times New Roman"/>
                <w:color w:val="000000"/>
                <w:spacing w:val="0"/>
                <w:w w:val="100"/>
                <w:position w:val="0"/>
                <w:sz w:val="18"/>
                <w:szCs w:val="18"/>
              </w:rPr>
              <w:t xml:space="preserve"> detail?plate=szse&amp;or gld=9900016747&amp;st ockCode=002530&amp;a nnouncementId= 120</w:t>
            </w:r>
          </w:p>
        </w:tc>
      </w:tr>
      <w:tr>
        <w:trPr>
          <w:trHeight w:val="10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3" w:lineRule="exact"/>
              <w:ind w:left="0" w:right="0" w:firstLine="0"/>
              <w:jc w:val="both"/>
            </w:pPr>
            <w:r>
              <w:rPr>
                <w:color w:val="000000"/>
                <w:spacing w:val="0"/>
                <w:w w:val="100"/>
                <w:position w:val="0"/>
              </w:rPr>
              <w:t>江苏石川 岛丰东真 空技术有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商品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销售 设备 及配 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257.74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r>
      <w:tr>
        <w:trPr>
          <w:trHeight w:val="10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广州丰东 热炼有限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合营公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商品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销售 设备 及配 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8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7637047&amp;announce mentTime=2020-04- 28</w:t>
            </w:r>
          </w:p>
        </w:tc>
      </w:tr>
      <w:tr>
        <w:trPr>
          <w:trHeight w:val="10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江苏石川 岛丰东真 空技术有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合营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房屋 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出租 房屋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上海君德 实业有限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实际控 制人控 制的公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房屋 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承租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盐城高周 波热炼有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合营公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房屋 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承租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东方工程 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 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劳务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接受</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劳务</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08" w:hRule="exact"/>
        </w:trPr>
        <w:tc>
          <w:tcPr>
            <w:gridSpan w:val="4"/>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2,905.35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tabs>
          <w:tab w:pos="2947" w:val="left"/>
        </w:tabs>
        <w:bidi w:val="0"/>
        <w:spacing w:before="0" w:after="0" w:line="240" w:lineRule="auto"/>
        <w:ind w:left="38" w:right="0" w:firstLine="0"/>
        <w:jc w:val="left"/>
      </w:pPr>
      <w:r>
        <w:rPr>
          <w:color w:val="000000"/>
          <w:spacing w:val="0"/>
          <w:w w:val="100"/>
          <w:position w:val="0"/>
        </w:rPr>
        <w:t>大额销货退回的详细情况</w:t>
        <w:tab/>
        <w:t>无</w:t>
      </w:r>
    </w:p>
    <w:p>
      <w:pPr>
        <w:widowControl w:val="0"/>
        <w:spacing w:after="79" w:line="1" w:lineRule="exact"/>
      </w:pPr>
    </w:p>
    <w:p>
      <w:pPr>
        <w:pStyle w:val="Style35"/>
        <w:keepNext w:val="0"/>
        <w:keepLines w:val="0"/>
        <w:widowControl w:val="0"/>
        <w:shd w:val="clear" w:color="auto" w:fill="auto"/>
        <w:bidi w:val="0"/>
        <w:spacing w:before="0" w:after="0" w:line="262" w:lineRule="exact"/>
        <w:ind w:left="0" w:right="0" w:firstLine="0"/>
        <w:jc w:val="left"/>
      </w:pPr>
      <w:r>
        <mc:AlternateContent>
          <mc:Choice Requires="wps">
            <w:drawing>
              <wp:anchor distT="0" distB="435610" distL="114300" distR="114300" simplePos="0" relativeHeight="125829410" behindDoc="0" locked="0" layoutInCell="1" allowOverlap="1">
                <wp:simplePos x="0" y="0"/>
                <wp:positionH relativeFrom="page">
                  <wp:posOffset>2594610</wp:posOffset>
                </wp:positionH>
                <wp:positionV relativeFrom="paragraph">
                  <wp:posOffset>190500</wp:posOffset>
                </wp:positionV>
                <wp:extent cx="4279265" cy="152400"/>
                <wp:wrapSquare wrapText="bothSides"/>
                <wp:docPr id="210" name="Shape 210"/>
                <a:graphic xmlns:a="http://schemas.openxmlformats.org/drawingml/2006/main">
                  <a:graphicData uri="http://schemas.microsoft.com/office/word/2010/wordprocessingShape">
                    <wps:wsp>
                      <wps:cNvSpPr txBox="1"/>
                      <wps:spPr>
                        <a:xfrm>
                          <a:ext cx="427926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报告期内，实际发生的日常关联交易金额在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年度预计日常关联交易额度范围内。</w:t>
                            </w:r>
                          </w:p>
                        </w:txbxContent>
                      </wps:txbx>
                      <wps:bodyPr wrap="none" lIns="0" tIns="0" rIns="0" bIns="0">
                        <a:noAutoFit/>
                      </wps:bodyPr>
                    </wps:wsp>
                  </a:graphicData>
                </a:graphic>
              </wp:anchor>
            </w:drawing>
          </mc:Choice>
          <mc:Fallback>
            <w:pict>
              <v:shape id="_x0000_s1236" type="#_x0000_t202" style="position:absolute;margin-left:204.30000000000001pt;margin-top:15.pt;width:336.94999999999999pt;height:12.pt;z-index:-125829343;mso-wrap-distance-left:9.pt;mso-wrap-distance-right:9.pt;mso-wrap-distance-bottom:34.300000000000004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报告期内，实际发生的日常关联交易金额在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年度预计日常关联交易额度范围内。</w:t>
                      </w:r>
                    </w:p>
                  </w:txbxContent>
                </v:textbox>
                <w10:wrap type="square" anchorx="page"/>
              </v:shape>
            </w:pict>
          </mc:Fallback>
        </mc:AlternateContent>
      </w:r>
      <w:r>
        <mc:AlternateContent>
          <mc:Choice Requires="wps">
            <w:drawing>
              <wp:anchor distT="438785" distB="0" distL="114300" distR="4024630" simplePos="0" relativeHeight="125829412" behindDoc="0" locked="0" layoutInCell="1" allowOverlap="1">
                <wp:simplePos x="0" y="0"/>
                <wp:positionH relativeFrom="page">
                  <wp:posOffset>2594610</wp:posOffset>
                </wp:positionH>
                <wp:positionV relativeFrom="paragraph">
                  <wp:posOffset>629285</wp:posOffset>
                </wp:positionV>
                <wp:extent cx="368935" cy="149225"/>
                <wp:wrapSquare wrapText="bothSides"/>
                <wp:docPr id="212" name="Shape 212"/>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wps:txbx>
                      <wps:bodyPr wrap="none" lIns="0" tIns="0" rIns="0" bIns="0">
                        <a:noAutoFit/>
                      </wps:bodyPr>
                    </wps:wsp>
                  </a:graphicData>
                </a:graphic>
              </wp:anchor>
            </w:drawing>
          </mc:Choice>
          <mc:Fallback>
            <w:pict>
              <v:shape id="_x0000_s1238" type="#_x0000_t202" style="position:absolute;margin-left:204.30000000000001pt;margin-top:49.550000000000004pt;width:29.050000000000001pt;height:11.75pt;z-index:-125829341;mso-wrap-distance-left:9.pt;mso-wrap-distance-top:34.550000000000004pt;mso-wrap-distance-right:316.90000000000003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xbxContent>
                </v:textbox>
                <w10:wrap type="square" anchorx="page"/>
              </v:shape>
            </w:pict>
          </mc:Fallback>
        </mc:AlternateContent>
      </w:r>
      <w:r>
        <w:rPr>
          <w:color w:val="000000"/>
          <w:spacing w:val="0"/>
          <w:w w:val="100"/>
          <w:position w:val="0"/>
        </w:rPr>
        <w:t>按类别对本期将发生的日常关 联交易进行总金额预计的，在报 告期内的实际履行情况（如有） 交易价格与市场参考价格差异 较大的原因（如适用）</w:t>
      </w:r>
    </w:p>
    <w:p>
      <w:pPr>
        <w:pStyle w:val="Style39"/>
        <w:keepNext/>
        <w:keepLines/>
        <w:widowControl w:val="0"/>
        <w:shd w:val="clear" w:color="auto" w:fill="auto"/>
        <w:tabs>
          <w:tab w:pos="858" w:val="left"/>
        </w:tabs>
        <w:bidi w:val="0"/>
        <w:spacing w:before="0" w:after="380" w:line="240" w:lineRule="auto"/>
        <w:ind w:left="0" w:right="0" w:firstLine="48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资产或股权收购、出售发生的关联交易</w:t>
      </w:r>
      <w:bookmarkEnd w:id="398"/>
      <w:bookmarkEnd w:id="399"/>
      <w:bookmarkEnd w:id="401"/>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公司报告期未发生资产或股权收购、出售的关联交易。</w:t>
      </w:r>
    </w:p>
    <w:p>
      <w:pPr>
        <w:pStyle w:val="Style39"/>
        <w:keepNext/>
        <w:keepLines/>
        <w:widowControl w:val="0"/>
        <w:shd w:val="clear" w:color="auto" w:fill="auto"/>
        <w:tabs>
          <w:tab w:pos="858" w:val="left"/>
        </w:tabs>
        <w:bidi w:val="0"/>
        <w:spacing w:before="0" w:after="380" w:line="240" w:lineRule="auto"/>
        <w:ind w:left="0" w:right="0" w:firstLine="48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共同对外投资的关联交易</w:t>
      </w:r>
      <w:bookmarkEnd w:id="402"/>
      <w:bookmarkEnd w:id="403"/>
      <w:bookmarkEnd w:id="405"/>
    </w:p>
    <w:p>
      <w:pPr>
        <w:pStyle w:val="Style35"/>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公司报告期未发生共同对外投资的关联交易。</w:t>
      </w:r>
    </w:p>
    <w:p>
      <w:pPr>
        <w:pStyle w:val="Style39"/>
        <w:keepNext/>
        <w:keepLines/>
        <w:widowControl w:val="0"/>
        <w:shd w:val="clear" w:color="auto" w:fill="auto"/>
        <w:tabs>
          <w:tab w:pos="858" w:val="left"/>
        </w:tabs>
        <w:bidi w:val="0"/>
        <w:spacing w:before="0" w:after="380" w:line="240" w:lineRule="auto"/>
        <w:ind w:left="0" w:right="0" w:firstLine="48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4</w:t>
      </w:r>
      <w:bookmarkEnd w:id="408"/>
      <w:r>
        <w:rPr>
          <w:color w:val="000000"/>
          <w:spacing w:val="0"/>
          <w:w w:val="100"/>
          <w:position w:val="0"/>
        </w:rPr>
        <w:t>、</w:t>
        <w:tab/>
        <w:t>关联债权债务往来</w:t>
      </w:r>
      <w:bookmarkEnd w:id="406"/>
      <w:bookmarkEnd w:id="407"/>
      <w:bookmarkEnd w:id="409"/>
    </w:p>
    <w:p>
      <w:pPr>
        <w:pStyle w:val="Style35"/>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公司报告期不存在关联债权债务往来。</w:t>
      </w:r>
    </w:p>
    <w:p>
      <w:pPr>
        <w:pStyle w:val="Style39"/>
        <w:keepNext/>
        <w:keepLines/>
        <w:widowControl w:val="0"/>
        <w:shd w:val="clear" w:color="auto" w:fill="auto"/>
        <w:tabs>
          <w:tab w:pos="858" w:val="left"/>
        </w:tabs>
        <w:bidi w:val="0"/>
        <w:spacing w:before="0" w:after="380" w:line="240" w:lineRule="auto"/>
        <w:ind w:left="0" w:right="0" w:firstLine="48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5</w:t>
      </w:r>
      <w:bookmarkEnd w:id="412"/>
      <w:r>
        <w:rPr>
          <w:color w:val="000000"/>
          <w:spacing w:val="0"/>
          <w:w w:val="100"/>
          <w:position w:val="0"/>
        </w:rPr>
        <w:t>、</w:t>
        <w:tab/>
        <w:t>其他重大关联交易</w:t>
      </w:r>
      <w:bookmarkEnd w:id="410"/>
      <w:bookmarkEnd w:id="411"/>
      <w:bookmarkEnd w:id="413"/>
    </w:p>
    <w:p>
      <w:pPr>
        <w:pStyle w:val="Style35"/>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十七、重大合同及其履行情况</w:t>
      </w:r>
      <w:bookmarkEnd w:id="414"/>
      <w:bookmarkEnd w:id="415"/>
      <w:bookmarkEnd w:id="416"/>
    </w:p>
    <w:p>
      <w:pPr>
        <w:pStyle w:val="Style39"/>
        <w:keepNext/>
        <w:keepLines/>
        <w:widowControl w:val="0"/>
        <w:shd w:val="clear" w:color="auto" w:fill="auto"/>
        <w:bidi w:val="0"/>
        <w:spacing w:before="0" w:after="380" w:line="240" w:lineRule="auto"/>
        <w:ind w:left="0" w:right="0" w:firstLine="48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、托管、承包、租赁事项情况</w:t>
      </w:r>
      <w:bookmarkEnd w:id="417"/>
      <w:bookmarkEnd w:id="418"/>
      <w:bookmarkEnd w:id="420"/>
    </w:p>
    <w:p>
      <w:pPr>
        <w:pStyle w:val="Style45"/>
        <w:keepNext/>
        <w:keepLines/>
        <w:widowControl w:val="0"/>
        <w:shd w:val="clear" w:color="auto" w:fill="auto"/>
        <w:tabs>
          <w:tab w:pos="973" w:val="left"/>
        </w:tabs>
        <w:bidi w:val="0"/>
        <w:spacing w:before="0" w:after="380" w:line="240" w:lineRule="auto"/>
        <w:ind w:left="0" w:right="0" w:firstLine="480"/>
        <w:jc w:val="both"/>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21"/>
      <w:bookmarkEnd w:id="422"/>
      <w:bookmarkEnd w:id="424"/>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公司报告期不存在托管情况。</w:t>
      </w:r>
    </w:p>
    <w:p>
      <w:pPr>
        <w:pStyle w:val="Style45"/>
        <w:keepNext/>
        <w:keepLines/>
        <w:widowControl w:val="0"/>
        <w:shd w:val="clear" w:color="auto" w:fill="auto"/>
        <w:tabs>
          <w:tab w:pos="973" w:val="left"/>
        </w:tabs>
        <w:bidi w:val="0"/>
        <w:spacing w:before="0" w:after="380" w:line="240" w:lineRule="auto"/>
        <w:ind w:left="0" w:right="0" w:firstLine="480"/>
        <w:jc w:val="both"/>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25"/>
      <w:bookmarkEnd w:id="426"/>
      <w:bookmarkEnd w:id="428"/>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公司报告期不存在承包情况。</w:t>
      </w:r>
    </w:p>
    <w:p>
      <w:pPr>
        <w:pStyle w:val="Style45"/>
        <w:keepNext/>
        <w:keepLines/>
        <w:widowControl w:val="0"/>
        <w:shd w:val="clear" w:color="auto" w:fill="auto"/>
        <w:tabs>
          <w:tab w:pos="973" w:val="left"/>
        </w:tabs>
        <w:bidi w:val="0"/>
        <w:spacing w:before="0" w:after="380" w:line="240" w:lineRule="auto"/>
        <w:ind w:left="0" w:right="0" w:firstLine="480"/>
        <w:jc w:val="both"/>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9"/>
      <w:bookmarkEnd w:id="430"/>
      <w:bookmarkEnd w:id="432"/>
    </w:p>
    <w:p>
      <w:pPr>
        <w:pStyle w:val="Style35"/>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租赁情况说明</w:t>
      </w:r>
    </w:p>
    <w:p>
      <w:pPr>
        <w:pStyle w:val="Style35"/>
        <w:keepNext w:val="0"/>
        <w:keepLines w:val="0"/>
        <w:widowControl w:val="0"/>
        <w:numPr>
          <w:ilvl w:val="0"/>
          <w:numId w:val="43"/>
        </w:numPr>
        <w:shd w:val="clear" w:color="auto" w:fill="auto"/>
        <w:tabs>
          <w:tab w:pos="728" w:val="left"/>
        </w:tabs>
        <w:bidi w:val="0"/>
        <w:spacing w:before="0" w:after="0" w:line="314" w:lineRule="exact"/>
        <w:ind w:left="0" w:right="0"/>
        <w:jc w:val="left"/>
      </w:pPr>
      <w:bookmarkStart w:id="433" w:name="bookmark433"/>
      <w:bookmarkEnd w:id="433"/>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日，上海君德实业有限公司（以下简称“上海君德”）分别与方欣科技、丰东热技术、公司上海分公 司签署了《办公楼租赁合同》，上海君德将位于上海市嘉定区金运路</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弄华泰中心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层的房屋租赁给上述三方使用， 方欣科技承租</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132.01</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日止，月租金</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万元；丰东热技术与 公司上海分公司分别承租</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517.125</w:t>
      </w:r>
      <w:r>
        <w:rPr>
          <w:color w:val="000000"/>
          <w:spacing w:val="0"/>
          <w:w w:val="100"/>
          <w:position w:val="0"/>
        </w:rPr>
        <w:t>平方米和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1,035.57</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止，丰东热技术月租金</w:t>
      </w:r>
      <w:r>
        <w:rPr>
          <w:rFonts w:ascii="Times New Roman" w:eastAsia="Times New Roman" w:hAnsi="Times New Roman" w:cs="Times New Roman"/>
          <w:color w:val="000000"/>
          <w:spacing w:val="0"/>
          <w:w w:val="100"/>
          <w:position w:val="0"/>
          <w:sz w:val="18"/>
          <w:szCs w:val="18"/>
        </w:rPr>
        <w:t>7.86</w:t>
      </w:r>
      <w:r>
        <w:rPr>
          <w:color w:val="000000"/>
          <w:spacing w:val="0"/>
          <w:w w:val="100"/>
          <w:position w:val="0"/>
        </w:rPr>
        <w:t>万元，上海分公司月租金</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万元。</w:t>
      </w:r>
    </w:p>
    <w:p>
      <w:pPr>
        <w:pStyle w:val="Style35"/>
        <w:keepNext w:val="0"/>
        <w:keepLines w:val="0"/>
        <w:widowControl w:val="0"/>
        <w:numPr>
          <w:ilvl w:val="0"/>
          <w:numId w:val="43"/>
        </w:numPr>
        <w:shd w:val="clear" w:color="auto" w:fill="auto"/>
        <w:tabs>
          <w:tab w:pos="773" w:val="left"/>
        </w:tabs>
        <w:bidi w:val="0"/>
        <w:spacing w:before="0" w:after="380" w:line="314" w:lineRule="exact"/>
        <w:ind w:left="0" w:right="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41" w:right="1041" w:bottom="1508" w:left="1043" w:header="0" w:footer="3" w:gutter="0"/>
          <w:cols w:space="720"/>
          <w:noEndnote/>
          <w:rtlGutter w:val="0"/>
          <w:docGrid w:linePitch="360"/>
        </w:sectPr>
      </w:pPr>
      <w:bookmarkStart w:id="434" w:name="bookmark434"/>
      <w:bookmarkEnd w:id="434"/>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日，方欣科技下属公司广州浪潮创新计算机科技服务有限公司与广州农业科技开发研究基地签订《租</w:t>
      </w:r>
    </w:p>
    <w:p>
      <w:pPr>
        <w:pStyle w:val="Style35"/>
        <w:keepNext w:val="0"/>
        <w:keepLines w:val="0"/>
        <w:widowControl w:val="0"/>
        <w:shd w:val="clear" w:color="auto" w:fill="auto"/>
        <w:bidi w:val="0"/>
        <w:spacing w:before="0" w:after="0" w:line="473" w:lineRule="exact"/>
        <w:ind w:left="0" w:right="0" w:firstLine="582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赁合同》，向其租赁办公楼，占地面</w:t>
      </w:r>
      <w:r>
        <w:rPr>
          <w:rFonts w:ascii="Times New Roman" w:eastAsia="Times New Roman" w:hAnsi="Times New Roman" w:cs="Times New Roman"/>
          <w:color w:val="000000"/>
          <w:spacing w:val="0"/>
          <w:w w:val="100"/>
          <w:position w:val="0"/>
          <w:sz w:val="18"/>
          <w:szCs w:val="18"/>
        </w:rPr>
        <w:t>1,090.40</w:t>
      </w:r>
      <w:r>
        <w:rPr>
          <w:color w:val="000000"/>
          <w:spacing w:val="0"/>
          <w:w w:val="100"/>
          <w:position w:val="0"/>
        </w:rPr>
        <w:t>平方米，租赁期自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月 租金 </w:t>
      </w:r>
      <w:r>
        <w:rPr>
          <w:rFonts w:ascii="Times New Roman" w:eastAsia="Times New Roman" w:hAnsi="Times New Roman" w:cs="Times New Roman"/>
          <w:color w:val="000000"/>
          <w:spacing w:val="0"/>
          <w:w w:val="100"/>
          <w:position w:val="0"/>
          <w:sz w:val="18"/>
          <w:szCs w:val="18"/>
        </w:rPr>
        <w:t xml:space="preserve">261,696.00 </w:t>
      </w:r>
      <w:r>
        <w:rPr>
          <w:color w:val="000000"/>
          <w:spacing w:val="0"/>
          <w:w w:val="100"/>
          <w:position w:val="0"/>
        </w:rPr>
        <w:t>元。</w:t>
      </w:r>
    </w:p>
    <w:p>
      <w:pPr>
        <w:pStyle w:val="Style35"/>
        <w:keepNext w:val="0"/>
        <w:keepLines w:val="0"/>
        <w:widowControl w:val="0"/>
        <w:numPr>
          <w:ilvl w:val="0"/>
          <w:numId w:val="43"/>
        </w:numPr>
        <w:shd w:val="clear" w:color="auto" w:fill="auto"/>
        <w:tabs>
          <w:tab w:pos="722" w:val="left"/>
        </w:tabs>
        <w:bidi w:val="0"/>
        <w:spacing w:before="0" w:after="0" w:line="313" w:lineRule="exact"/>
        <w:ind w:left="0" w:right="0"/>
        <w:jc w:val="left"/>
      </w:pPr>
      <w:bookmarkStart w:id="435" w:name="bookmark435"/>
      <w:bookmarkEnd w:id="435"/>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日，方欣科技下属公司广州浪潮创新计算机科技服务有限公司与广州农业科技开发研究基地签订《租 赁合同》，向其租赁办公楼，占地面</w:t>
      </w:r>
      <w:r>
        <w:rPr>
          <w:rFonts w:ascii="Times New Roman" w:eastAsia="Times New Roman" w:hAnsi="Times New Roman" w:cs="Times New Roman"/>
          <w:color w:val="000000"/>
          <w:spacing w:val="0"/>
          <w:w w:val="100"/>
          <w:position w:val="0"/>
          <w:sz w:val="18"/>
          <w:szCs w:val="18"/>
        </w:rPr>
        <w:t>544.06</w:t>
      </w:r>
      <w:r>
        <w:rPr>
          <w:color w:val="000000"/>
          <w:spacing w:val="0"/>
          <w:w w:val="100"/>
          <w:position w:val="0"/>
        </w:rPr>
        <w:t>平方米，租赁期自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月日止，租金从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日起算，从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日，月租金为</w:t>
      </w:r>
      <w:r>
        <w:rPr>
          <w:rFonts w:ascii="Times New Roman" w:eastAsia="Times New Roman" w:hAnsi="Times New Roman" w:cs="Times New Roman"/>
          <w:color w:val="000000"/>
          <w:spacing w:val="0"/>
          <w:w w:val="100"/>
          <w:position w:val="0"/>
          <w:sz w:val="18"/>
          <w:szCs w:val="18"/>
        </w:rPr>
        <w:t>30,042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 租金为</w:t>
      </w:r>
      <w:r>
        <w:rPr>
          <w:rFonts w:ascii="Times New Roman" w:eastAsia="Times New Roman" w:hAnsi="Times New Roman" w:cs="Times New Roman"/>
          <w:color w:val="000000"/>
          <w:spacing w:val="0"/>
          <w:w w:val="100"/>
          <w:position w:val="0"/>
          <w:sz w:val="18"/>
          <w:szCs w:val="18"/>
        </w:rPr>
        <w:t>30,632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日，月租金为</w:t>
      </w:r>
      <w:r>
        <w:rPr>
          <w:rFonts w:ascii="Times New Roman" w:eastAsia="Times New Roman" w:hAnsi="Times New Roman" w:cs="Times New Roman"/>
          <w:color w:val="000000"/>
          <w:spacing w:val="0"/>
          <w:w w:val="100"/>
          <w:position w:val="0"/>
          <w:sz w:val="18"/>
          <w:szCs w:val="18"/>
        </w:rPr>
        <w:t>31,256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日，月租 金为</w:t>
      </w:r>
      <w:r>
        <w:rPr>
          <w:rFonts w:ascii="Times New Roman" w:eastAsia="Times New Roman" w:hAnsi="Times New Roman" w:cs="Times New Roman"/>
          <w:color w:val="000000"/>
          <w:spacing w:val="0"/>
          <w:w w:val="100"/>
          <w:position w:val="0"/>
          <w:sz w:val="18"/>
          <w:szCs w:val="18"/>
        </w:rPr>
        <w:t>31,881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日，月租金为</w:t>
      </w:r>
      <w:r>
        <w:rPr>
          <w:rFonts w:ascii="Times New Roman" w:eastAsia="Times New Roman" w:hAnsi="Times New Roman" w:cs="Times New Roman"/>
          <w:color w:val="000000"/>
          <w:spacing w:val="0"/>
          <w:w w:val="100"/>
          <w:position w:val="0"/>
          <w:sz w:val="18"/>
          <w:szCs w:val="18"/>
        </w:rPr>
        <w:t>32,518</w:t>
      </w:r>
      <w:r>
        <w:rPr>
          <w:color w:val="000000"/>
          <w:spacing w:val="0"/>
          <w:w w:val="100"/>
          <w:position w:val="0"/>
        </w:rPr>
        <w:t>元。</w:t>
      </w:r>
    </w:p>
    <w:p>
      <w:pPr>
        <w:pStyle w:val="Style35"/>
        <w:keepNext w:val="0"/>
        <w:keepLines w:val="0"/>
        <w:widowControl w:val="0"/>
        <w:numPr>
          <w:ilvl w:val="0"/>
          <w:numId w:val="43"/>
        </w:numPr>
        <w:shd w:val="clear" w:color="auto" w:fill="auto"/>
        <w:tabs>
          <w:tab w:pos="722" w:val="left"/>
        </w:tabs>
        <w:bidi w:val="0"/>
        <w:spacing w:before="0" w:after="0" w:line="313" w:lineRule="exact"/>
        <w:ind w:left="0" w:right="0"/>
        <w:jc w:val="left"/>
      </w:pPr>
      <w:bookmarkStart w:id="436" w:name="bookmark436"/>
      <w:bookmarkEnd w:id="436"/>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月，方欣科技下属子公司金财互联数据服务有限公司与福建天创投资发展有限公司签订《房屋租赁合同》， 向其租赁办公楼，建筑面积</w:t>
      </w:r>
      <w:r>
        <w:rPr>
          <w:rFonts w:ascii="Times New Roman" w:eastAsia="Times New Roman" w:hAnsi="Times New Roman" w:cs="Times New Roman"/>
          <w:color w:val="000000"/>
          <w:spacing w:val="0"/>
          <w:w w:val="100"/>
          <w:position w:val="0"/>
          <w:sz w:val="18"/>
          <w:szCs w:val="18"/>
        </w:rPr>
        <w:t>950.51</w:t>
      </w:r>
      <w:r>
        <w:rPr>
          <w:color w:val="000000"/>
          <w:spacing w:val="0"/>
          <w:w w:val="100"/>
          <w:position w:val="0"/>
        </w:rPr>
        <w:t>平方米，租赁期自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日止，各年租金为</w:t>
      </w:r>
      <w:r>
        <w:rPr>
          <w:rFonts w:ascii="Times New Roman" w:eastAsia="Times New Roman" w:hAnsi="Times New Roman" w:cs="Times New Roman"/>
          <w:color w:val="000000"/>
          <w:spacing w:val="0"/>
          <w:w w:val="100"/>
          <w:position w:val="0"/>
          <w:sz w:val="18"/>
          <w:szCs w:val="18"/>
        </w:rPr>
        <w:t xml:space="preserve">1,050,841.44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1,103,348.88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1,158,253.92</w:t>
      </w:r>
      <w:r>
        <w:rPr>
          <w:color w:val="000000"/>
          <w:spacing w:val="0"/>
          <w:w w:val="100"/>
          <w:position w:val="0"/>
        </w:rPr>
        <w:t>元及</w:t>
      </w:r>
      <w:r>
        <w:rPr>
          <w:rFonts w:ascii="Times New Roman" w:eastAsia="Times New Roman" w:hAnsi="Times New Roman" w:cs="Times New Roman"/>
          <w:color w:val="000000"/>
          <w:spacing w:val="0"/>
          <w:w w:val="100"/>
          <w:position w:val="0"/>
          <w:sz w:val="18"/>
          <w:szCs w:val="18"/>
        </w:rPr>
        <w:t>1,216,169.28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月，公司与福建天创投资发展有限公司重新签订《房屋 租赁合同》，租赁地点面积不变的情况下，租赁期自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日，租赁期为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个月，月租金为</w:t>
      </w:r>
      <w:r>
        <w:rPr>
          <w:rFonts w:ascii="Times New Roman" w:eastAsia="Times New Roman" w:hAnsi="Times New Roman" w:cs="Times New Roman"/>
          <w:color w:val="000000"/>
          <w:spacing w:val="0"/>
          <w:w w:val="100"/>
          <w:position w:val="0"/>
          <w:sz w:val="18"/>
          <w:szCs w:val="18"/>
        </w:rPr>
        <w:t xml:space="preserve">87,570.12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 xml:space="preserve">月，房租分别为 </w:t>
      </w:r>
      <w:r>
        <w:rPr>
          <w:rFonts w:ascii="Times New Roman" w:eastAsia="Times New Roman" w:hAnsi="Times New Roman" w:cs="Times New Roman"/>
          <w:color w:val="000000"/>
          <w:spacing w:val="0"/>
          <w:w w:val="100"/>
          <w:position w:val="0"/>
          <w:sz w:val="18"/>
          <w:szCs w:val="18"/>
        </w:rPr>
        <w:t xml:space="preserve">1,050,841.44 </w:t>
      </w:r>
      <w:r>
        <w:rPr>
          <w:color w:val="000000"/>
          <w:spacing w:val="0"/>
          <w:w w:val="100"/>
          <w:position w:val="0"/>
        </w:rPr>
        <w:t xml:space="preserve">元和 </w:t>
      </w:r>
      <w:r>
        <w:rPr>
          <w:rFonts w:ascii="Times New Roman" w:eastAsia="Times New Roman" w:hAnsi="Times New Roman" w:cs="Times New Roman"/>
          <w:color w:val="000000"/>
          <w:spacing w:val="0"/>
          <w:w w:val="100"/>
          <w:position w:val="0"/>
          <w:sz w:val="18"/>
          <w:szCs w:val="18"/>
        </w:rPr>
        <w:t xml:space="preserve">262,710.36 </w:t>
      </w:r>
      <w:r>
        <w:rPr>
          <w:color w:val="000000"/>
          <w:spacing w:val="0"/>
          <w:w w:val="100"/>
          <w:position w:val="0"/>
        </w:rPr>
        <w:t>元。</w:t>
      </w:r>
    </w:p>
    <w:p>
      <w:pPr>
        <w:pStyle w:val="Style35"/>
        <w:keepNext w:val="0"/>
        <w:keepLines w:val="0"/>
        <w:widowControl w:val="0"/>
        <w:numPr>
          <w:ilvl w:val="0"/>
          <w:numId w:val="43"/>
        </w:numPr>
        <w:shd w:val="clear" w:color="auto" w:fill="auto"/>
        <w:tabs>
          <w:tab w:pos="722" w:val="left"/>
        </w:tabs>
        <w:bidi w:val="0"/>
        <w:spacing w:before="0" w:after="0" w:line="314" w:lineRule="exact"/>
        <w:ind w:left="0" w:right="0"/>
        <w:jc w:val="left"/>
      </w:pPr>
      <w:bookmarkStart w:id="437" w:name="bookmark437"/>
      <w:bookmarkEnd w:id="437"/>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日，丰东热技术下属子公司重庆丰东与重庆市超祥商贸有限公司签订《房屋租赁合同》，向其租用厂 房及办公楼房屋的建筑面积为</w:t>
      </w:r>
      <w:r>
        <w:rPr>
          <w:rFonts w:ascii="Times New Roman" w:eastAsia="Times New Roman" w:hAnsi="Times New Roman" w:cs="Times New Roman"/>
          <w:color w:val="000000"/>
          <w:spacing w:val="0"/>
          <w:w w:val="100"/>
          <w:position w:val="0"/>
          <w:sz w:val="18"/>
          <w:szCs w:val="18"/>
        </w:rPr>
        <w:t>6,678</w:t>
      </w:r>
      <w:r>
        <w:rPr>
          <w:color w:val="000000"/>
          <w:spacing w:val="0"/>
          <w:w w:val="100"/>
          <w:position w:val="0"/>
        </w:rPr>
        <w:t>平方米，租金标准为每平方米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元；租用辅助房屋的面积为</w:t>
      </w:r>
      <w:r>
        <w:rPr>
          <w:rFonts w:ascii="Times New Roman" w:eastAsia="Times New Roman" w:hAnsi="Times New Roman" w:cs="Times New Roman"/>
          <w:color w:val="000000"/>
          <w:spacing w:val="0"/>
          <w:w w:val="100"/>
          <w:position w:val="0"/>
          <w:sz w:val="18"/>
          <w:szCs w:val="18"/>
        </w:rPr>
        <w:t>812</w:t>
      </w:r>
      <w:r>
        <w:rPr>
          <w:color w:val="000000"/>
          <w:spacing w:val="0"/>
          <w:w w:val="100"/>
          <w:position w:val="0"/>
        </w:rPr>
        <w:t>平方米，租金 标准为每平方米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日租金不变。</w:t>
      </w:r>
    </w:p>
    <w:p>
      <w:pPr>
        <w:pStyle w:val="Style35"/>
        <w:keepNext w:val="0"/>
        <w:keepLines w:val="0"/>
        <w:widowControl w:val="0"/>
        <w:shd w:val="clear" w:color="auto" w:fill="auto"/>
        <w:bidi w:val="0"/>
        <w:spacing w:before="0" w:after="140" w:line="313" w:lineRule="exact"/>
        <w:ind w:left="0" w:right="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5"/>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3" w:lineRule="exact"/>
        <w:ind w:left="0" w:right="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9"/>
        <w:keepNext/>
        <w:keepLines/>
        <w:widowControl w:val="0"/>
        <w:shd w:val="clear" w:color="auto" w:fill="auto"/>
        <w:tabs>
          <w:tab w:pos="851" w:val="left"/>
        </w:tabs>
        <w:bidi w:val="0"/>
        <w:spacing w:before="0" w:after="380" w:line="240" w:lineRule="auto"/>
        <w:ind w:left="0" w:right="0" w:firstLine="48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重大担保</w:t>
      </w:r>
      <w:bookmarkEnd w:id="438"/>
      <w:bookmarkEnd w:id="439"/>
      <w:bookmarkEnd w:id="441"/>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3" w:lineRule="exact"/>
        <w:ind w:left="0" w:right="0"/>
        <w:jc w:val="left"/>
      </w:pPr>
      <w:r>
        <w:rPr>
          <w:color w:val="000000"/>
          <w:spacing w:val="0"/>
          <w:w w:val="100"/>
          <w:position w:val="0"/>
        </w:rPr>
        <w:t>公司报告期不存在担保情况。</w:t>
      </w:r>
    </w:p>
    <w:p>
      <w:pPr>
        <w:pStyle w:val="Style39"/>
        <w:keepNext/>
        <w:keepLines/>
        <w:widowControl w:val="0"/>
        <w:shd w:val="clear" w:color="auto" w:fill="auto"/>
        <w:tabs>
          <w:tab w:pos="851" w:val="left"/>
        </w:tabs>
        <w:bidi w:val="0"/>
        <w:spacing w:before="0" w:after="380" w:line="240" w:lineRule="auto"/>
        <w:ind w:left="0" w:right="0" w:firstLine="48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3</w:t>
      </w:r>
      <w:bookmarkEnd w:id="444"/>
      <w:r>
        <w:rPr>
          <w:color w:val="000000"/>
          <w:spacing w:val="0"/>
          <w:w w:val="100"/>
          <w:position w:val="0"/>
        </w:rPr>
        <w:t>、</w:t>
        <w:tab/>
        <w:t>委托他人进行现金资产管理情况</w:t>
      </w:r>
      <w:bookmarkEnd w:id="442"/>
      <w:bookmarkEnd w:id="443"/>
      <w:bookmarkEnd w:id="445"/>
    </w:p>
    <w:p>
      <w:pPr>
        <w:pStyle w:val="Style45"/>
        <w:keepNext/>
        <w:keepLines/>
        <w:widowControl w:val="0"/>
        <w:shd w:val="clear" w:color="auto" w:fill="auto"/>
        <w:bidi w:val="0"/>
        <w:spacing w:before="0" w:after="380" w:line="240" w:lineRule="auto"/>
        <w:ind w:left="0" w:right="0" w:firstLine="480"/>
        <w:jc w:val="both"/>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46"/>
      <w:bookmarkEnd w:id="447"/>
      <w:bookmarkEnd w:id="449"/>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140" w:line="313" w:lineRule="exact"/>
        <w:ind w:left="0" w:right="0"/>
        <w:jc w:val="both"/>
      </w:pPr>
      <w:r>
        <w:rPr>
          <w:color w:val="000000"/>
          <w:spacing w:val="0"/>
          <w:w w:val="100"/>
          <w:position w:val="0"/>
        </w:rPr>
        <w:t>报告期内委托理财概况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10"/>
        <w:gridCol w:w="1963"/>
        <w:gridCol w:w="1982"/>
        <w:gridCol w:w="1906"/>
        <w:gridCol w:w="1882"/>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具体类型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36,520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5"/>
        <w:keepNext w:val="0"/>
        <w:keepLines w:val="0"/>
        <w:widowControl w:val="0"/>
        <w:shd w:val="clear" w:color="auto" w:fill="auto"/>
        <w:bidi w:val="0"/>
        <w:spacing w:before="0" w:after="0" w:line="346" w:lineRule="exact"/>
        <w:ind w:left="400" w:right="0" w:firstLine="0"/>
        <w:jc w:val="both"/>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346" w:lineRule="exact"/>
        <w:ind w:left="0" w:right="0"/>
        <w:jc w:val="left"/>
      </w:pPr>
      <w:r>
        <w:rPr>
          <w:color w:val="000000"/>
          <w:spacing w:val="0"/>
          <w:w w:val="100"/>
          <w:position w:val="0"/>
        </w:rPr>
        <w:t>委托理财出现预期无法收回本金或存在其他可能导致减值的情形</w:t>
      </w:r>
    </w:p>
    <w:p>
      <w:pPr>
        <w:pStyle w:val="Style35"/>
        <w:keepNext w:val="0"/>
        <w:keepLines w:val="0"/>
        <w:widowControl w:val="0"/>
        <w:shd w:val="clear" w:color="auto" w:fill="auto"/>
        <w:bidi w:val="0"/>
        <w:spacing w:before="0" w:after="140" w:line="401" w:lineRule="auto"/>
        <w:ind w:left="0" w:right="0"/>
        <w:jc w:val="both"/>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601" w:right="1011" w:bottom="1158" w:left="1073" w:header="173"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45"/>
        </w:numPr>
        <w:shd w:val="clear" w:color="auto" w:fill="auto"/>
        <w:bidi w:val="0"/>
        <w:spacing w:before="0" w:after="380" w:line="240" w:lineRule="auto"/>
        <w:ind w:left="0" w:right="0" w:firstLine="480"/>
        <w:jc w:val="both"/>
      </w:pPr>
      <w:bookmarkStart w:id="450" w:name="bookmark450"/>
      <w:bookmarkStart w:id="451" w:name="bookmark451"/>
      <w:bookmarkStart w:id="452" w:name="bookmark452"/>
      <w:bookmarkStart w:id="453" w:name="bookmark453"/>
      <w:bookmarkEnd w:id="452"/>
      <w:r>
        <w:rPr>
          <w:color w:val="000000"/>
          <w:spacing w:val="0"/>
          <w:w w:val="100"/>
          <w:position w:val="0"/>
        </w:rPr>
        <w:t>委托贷款情况</w:t>
      </w:r>
      <w:bookmarkEnd w:id="450"/>
      <w:bookmarkEnd w:id="451"/>
      <w:bookmarkEnd w:id="453"/>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公司报告期不存在委托贷款。</w:t>
      </w:r>
    </w:p>
    <w:p>
      <w:pPr>
        <w:pStyle w:val="Style39"/>
        <w:keepNext/>
        <w:keepLines/>
        <w:widowControl w:val="0"/>
        <w:shd w:val="clear" w:color="auto" w:fill="auto"/>
        <w:tabs>
          <w:tab w:pos="858" w:val="left"/>
        </w:tabs>
        <w:bidi w:val="0"/>
        <w:spacing w:before="0" w:after="380" w:line="240" w:lineRule="auto"/>
        <w:ind w:left="0" w:right="0" w:firstLine="48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4</w:t>
      </w:r>
      <w:bookmarkEnd w:id="456"/>
      <w:r>
        <w:rPr>
          <w:color w:val="000000"/>
          <w:spacing w:val="0"/>
          <w:w w:val="100"/>
          <w:position w:val="0"/>
        </w:rPr>
        <w:t>、</w:t>
        <w:tab/>
        <w:t>日常经营重大合同</w:t>
      </w:r>
      <w:bookmarkEnd w:id="454"/>
      <w:bookmarkEnd w:id="455"/>
      <w:bookmarkEnd w:id="457"/>
    </w:p>
    <w:p>
      <w:pPr>
        <w:pStyle w:val="Style35"/>
        <w:keepNext w:val="0"/>
        <w:keepLines w:val="0"/>
        <w:widowControl w:val="0"/>
        <w:shd w:val="clear" w:color="auto" w:fill="auto"/>
        <w:bidi w:val="0"/>
        <w:spacing w:before="0" w:after="28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858" w:val="left"/>
        </w:tabs>
        <w:bidi w:val="0"/>
        <w:spacing w:before="0" w:after="380" w:line="240" w:lineRule="auto"/>
        <w:ind w:left="0" w:right="0" w:firstLine="48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5</w:t>
      </w:r>
      <w:bookmarkEnd w:id="460"/>
      <w:r>
        <w:rPr>
          <w:color w:val="000000"/>
          <w:spacing w:val="0"/>
          <w:w w:val="100"/>
          <w:position w:val="0"/>
        </w:rPr>
        <w:t>、</w:t>
        <w:tab/>
        <w:t>其他重大合同</w:t>
      </w:r>
      <w:bookmarkEnd w:id="458"/>
      <w:bookmarkEnd w:id="459"/>
      <w:bookmarkEnd w:id="461"/>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r>
        <w:rPr>
          <w:color w:val="000000"/>
          <w:spacing w:val="0"/>
          <w:w w:val="100"/>
          <w:position w:val="0"/>
          <w:sz w:val="24"/>
          <w:szCs w:val="24"/>
        </w:rPr>
        <w:t>十八、社会责任情况</w:t>
      </w:r>
      <w:bookmarkEnd w:id="462"/>
      <w:bookmarkEnd w:id="463"/>
      <w:bookmarkEnd w:id="464"/>
    </w:p>
    <w:p>
      <w:pPr>
        <w:pStyle w:val="Style39"/>
        <w:keepNext/>
        <w:keepLines/>
        <w:widowControl w:val="0"/>
        <w:shd w:val="clear" w:color="auto" w:fill="auto"/>
        <w:tabs>
          <w:tab w:pos="848" w:val="left"/>
        </w:tabs>
        <w:bidi w:val="0"/>
        <w:spacing w:before="0" w:after="280" w:line="240" w:lineRule="auto"/>
        <w:ind w:left="0" w:right="0" w:firstLine="48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w:t>
        <w:tab/>
        <w:t>履行社会责任情况</w:t>
      </w:r>
      <w:bookmarkEnd w:id="465"/>
      <w:bookmarkEnd w:id="466"/>
      <w:bookmarkEnd w:id="468"/>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公司报告期内暂未展开精准扶贫工作，也暂无后续精准扶贫计划。</w:t>
      </w:r>
    </w:p>
    <w:p>
      <w:pPr>
        <w:pStyle w:val="Style39"/>
        <w:keepNext/>
        <w:keepLines/>
        <w:widowControl w:val="0"/>
        <w:shd w:val="clear" w:color="auto" w:fill="auto"/>
        <w:tabs>
          <w:tab w:pos="858" w:val="left"/>
        </w:tabs>
        <w:bidi w:val="0"/>
        <w:spacing w:before="0" w:after="280" w:line="240" w:lineRule="auto"/>
        <w:ind w:left="0" w:right="0" w:firstLine="48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w:t>
        <w:tab/>
        <w:t>环境保护相关的情况</w:t>
      </w:r>
      <w:bookmarkEnd w:id="469"/>
      <w:bookmarkEnd w:id="470"/>
      <w:bookmarkEnd w:id="472"/>
    </w:p>
    <w:p>
      <w:pPr>
        <w:pStyle w:val="Style35"/>
        <w:keepNext w:val="0"/>
        <w:keepLines w:val="0"/>
        <w:widowControl w:val="0"/>
        <w:shd w:val="clear" w:color="auto" w:fill="auto"/>
        <w:bidi w:val="0"/>
        <w:spacing w:before="0" w:after="140" w:line="314" w:lineRule="exact"/>
        <w:ind w:left="0" w:right="0"/>
        <w:jc w:val="left"/>
      </w:pPr>
      <w:r>
        <w:rPr>
          <w:color w:val="000000"/>
          <w:spacing w:val="0"/>
          <w:w w:val="100"/>
          <w:position w:val="0"/>
        </w:rPr>
        <w:t>上市公司及其子公司是否属于环境保护部门公布的重点排污单位</w:t>
      </w:r>
    </w:p>
    <w:p>
      <w:pPr>
        <w:pStyle w:val="Style35"/>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40" w:line="314" w:lineRule="exact"/>
        <w:ind w:left="0" w:right="0"/>
        <w:jc w:val="left"/>
      </w:pPr>
      <w:r>
        <w:rPr>
          <w:color w:val="000000"/>
          <w:spacing w:val="0"/>
          <w:w w:val="100"/>
          <w:position w:val="0"/>
        </w:rPr>
        <w:t>否</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本公司及下属子公司不属于环境保护部门公布的重点排污单位。报告期内，本公司积极响应国家环保政策，开展企业自 查工作，公司将技术创新和节能减排作为管理的重要工作，严格遵守国家颁布的法律、法规及相关行业规范，自觉履行生态 环境保护的社会责任。</w:t>
      </w:r>
    </w:p>
    <w:p>
      <w:pPr>
        <w:pStyle w:val="Style29"/>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r>
        <w:rPr>
          <w:color w:val="000000"/>
          <w:spacing w:val="0"/>
          <w:w w:val="100"/>
          <w:position w:val="0"/>
          <w:sz w:val="24"/>
          <w:szCs w:val="24"/>
        </w:rPr>
        <w:t>十九、其他重大事项的说明</w:t>
      </w:r>
      <w:bookmarkEnd w:id="473"/>
      <w:bookmarkEnd w:id="474"/>
      <w:bookmarkEnd w:id="475"/>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二十、公司子公司重大事项</w:t>
      </w:r>
      <w:bookmarkEnd w:id="476"/>
      <w:bookmarkEnd w:id="477"/>
      <w:bookmarkEnd w:id="478"/>
    </w:p>
    <w:p>
      <w:pPr>
        <w:pStyle w:val="Style35"/>
        <w:keepNext w:val="0"/>
        <w:keepLines w:val="0"/>
        <w:widowControl w:val="0"/>
        <w:shd w:val="clear" w:color="auto" w:fill="auto"/>
        <w:bidi w:val="0"/>
        <w:spacing w:before="0" w:after="38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after="520" w:line="240" w:lineRule="auto"/>
        <w:ind w:left="0" w:right="0" w:firstLine="0"/>
        <w:jc w:val="center"/>
      </w:pPr>
      <w:bookmarkStart w:id="479" w:name="bookmark479"/>
      <w:bookmarkStart w:id="480" w:name="bookmark480"/>
      <w:bookmarkStart w:id="481" w:name="bookmark481"/>
      <w:r>
        <w:rPr>
          <w:color w:val="000000"/>
          <w:spacing w:val="0"/>
          <w:w w:val="100"/>
          <w:position w:val="0"/>
        </w:rPr>
        <w:t>第六节股份变动及股东情况</w:t>
      </w:r>
      <w:bookmarkEnd w:id="479"/>
      <w:bookmarkEnd w:id="480"/>
      <w:bookmarkEnd w:id="481"/>
    </w:p>
    <w:p>
      <w:pPr>
        <w:pStyle w:val="Style29"/>
        <w:keepNext/>
        <w:keepLines/>
        <w:widowControl w:val="0"/>
        <w:shd w:val="clear" w:color="auto" w:fill="auto"/>
        <w:bidi w:val="0"/>
        <w:spacing w:before="0" w:line="240" w:lineRule="auto"/>
        <w:ind w:left="0" w:right="0" w:firstLine="280"/>
        <w:jc w:val="left"/>
      </w:pPr>
      <w:bookmarkStart w:id="482" w:name="bookmark482"/>
      <w:bookmarkStart w:id="483" w:name="bookmark483"/>
      <w:bookmarkStart w:id="484" w:name="bookmark484"/>
      <w:r>
        <w:rPr>
          <w:color w:val="000000"/>
          <w:spacing w:val="0"/>
          <w:w w:val="100"/>
          <w:position w:val="0"/>
          <w:sz w:val="24"/>
          <w:szCs w:val="24"/>
        </w:rPr>
        <w:t>、股份变动情况</w:t>
      </w:r>
      <w:bookmarkEnd w:id="482"/>
      <w:bookmarkEnd w:id="483"/>
      <w:bookmarkEnd w:id="484"/>
    </w:p>
    <w:p>
      <w:pPr>
        <w:pStyle w:val="Style39"/>
        <w:keepNext/>
        <w:keepLines/>
        <w:widowControl w:val="0"/>
        <w:shd w:val="clear" w:color="auto" w:fill="auto"/>
        <w:bidi w:val="0"/>
        <w:spacing w:before="0" w:line="240" w:lineRule="auto"/>
        <w:ind w:left="0" w:right="0" w:firstLine="46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、股份变动情况</w:t>
      </w:r>
      <w:bookmarkEnd w:id="485"/>
      <w:bookmarkEnd w:id="486"/>
      <w:bookmarkEnd w:id="4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0"/>
        <w:gridCol w:w="1176"/>
        <w:gridCol w:w="850"/>
        <w:gridCol w:w="566"/>
        <w:gridCol w:w="427"/>
        <w:gridCol w:w="710"/>
        <w:gridCol w:w="854"/>
        <w:gridCol w:w="850"/>
        <w:gridCol w:w="1133"/>
        <w:gridCol w:w="811"/>
      </w:tblGrid>
      <w:tr>
        <w:trPr>
          <w:trHeight w:val="37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2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141,220,136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142,314,794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141,220,136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142,314,794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141,220,136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142,314,794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637,978,039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636,883,381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637,978,039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636,883,381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81.74%</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779,198,175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779,198,175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5"/>
        <w:keepNext w:val="0"/>
        <w:keepLines w:val="0"/>
        <w:widowControl w:val="0"/>
        <w:shd w:val="clear" w:color="auto" w:fill="auto"/>
        <w:bidi w:val="0"/>
        <w:spacing w:before="0" w:after="140" w:line="365" w:lineRule="exact"/>
        <w:ind w:left="0" w:right="0"/>
        <w:jc w:val="left"/>
      </w:pPr>
      <w:r>
        <w:rPr>
          <w:color w:val="000000"/>
          <w:spacing w:val="0"/>
          <w:w w:val="100"/>
          <w:position w:val="0"/>
        </w:rPr>
        <w:t>股份变动的原因</w:t>
      </w:r>
    </w:p>
    <w:p>
      <w:pPr>
        <w:pStyle w:val="Style35"/>
        <w:keepNext w:val="0"/>
        <w:keepLines w:val="0"/>
        <w:widowControl w:val="0"/>
        <w:shd w:val="clear" w:color="auto" w:fill="auto"/>
        <w:bidi w:val="0"/>
        <w:spacing w:before="0" w:after="0" w:line="422"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65" w:lineRule="exact"/>
        <w:ind w:left="0" w:right="0"/>
        <w:jc w:val="left"/>
      </w:pPr>
      <w:r>
        <w:rPr>
          <w:color w:val="000000"/>
          <w:spacing w:val="0"/>
          <w:w w:val="100"/>
          <w:position w:val="0"/>
        </w:rPr>
        <w:t>上述股份变动主要系高管锁定股有所变动。</w:t>
      </w:r>
    </w:p>
    <w:p>
      <w:pPr>
        <w:pStyle w:val="Style35"/>
        <w:keepNext w:val="0"/>
        <w:keepLines w:val="0"/>
        <w:widowControl w:val="0"/>
        <w:numPr>
          <w:ilvl w:val="0"/>
          <w:numId w:val="47"/>
        </w:numPr>
        <w:shd w:val="clear" w:color="auto" w:fill="auto"/>
        <w:tabs>
          <w:tab w:pos="773" w:val="left"/>
        </w:tabs>
        <w:bidi w:val="0"/>
        <w:spacing w:before="0" w:after="0" w:line="365" w:lineRule="exact"/>
        <w:ind w:left="0" w:right="0"/>
        <w:jc w:val="left"/>
      </w:pPr>
      <w:bookmarkStart w:id="489" w:name="bookmark489"/>
      <w:bookmarkEnd w:id="489"/>
      <w:r>
        <w:rPr>
          <w:color w:val="000000"/>
          <w:spacing w:val="0"/>
          <w:w w:val="100"/>
          <w:position w:val="0"/>
        </w:rPr>
        <w:t>报告期末，公司董事、总经理徐正军先生高管锁定股较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1,096,098</w:t>
      </w:r>
      <w:r>
        <w:rPr>
          <w:color w:val="000000"/>
          <w:spacing w:val="0"/>
          <w:w w:val="100"/>
          <w:position w:val="0"/>
        </w:rPr>
        <w:t>股。</w:t>
      </w:r>
    </w:p>
    <w:p>
      <w:pPr>
        <w:pStyle w:val="Style35"/>
        <w:keepNext w:val="0"/>
        <w:keepLines w:val="0"/>
        <w:widowControl w:val="0"/>
        <w:numPr>
          <w:ilvl w:val="0"/>
          <w:numId w:val="47"/>
        </w:numPr>
        <w:shd w:val="clear" w:color="auto" w:fill="auto"/>
        <w:tabs>
          <w:tab w:pos="773" w:val="left"/>
        </w:tabs>
        <w:bidi w:val="0"/>
        <w:spacing w:before="0" w:after="140" w:line="365" w:lineRule="exact"/>
        <w:ind w:left="400" w:right="0" w:firstLine="0"/>
        <w:jc w:val="left"/>
      </w:pPr>
      <w:bookmarkStart w:id="490" w:name="bookmark490"/>
      <w:bookmarkEnd w:id="490"/>
      <w:r>
        <w:rPr>
          <w:color w:val="000000"/>
          <w:spacing w:val="0"/>
          <w:w w:val="100"/>
          <w:position w:val="0"/>
        </w:rPr>
        <w:t>报告期末，公司原董事夏晓宇先生高管锁定股全部解除锁定，较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日减少</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股。 股份变动的批准情况</w:t>
      </w:r>
    </w:p>
    <w:p>
      <w:pPr>
        <w:pStyle w:val="Style35"/>
        <w:keepNext w:val="0"/>
        <w:keepLines w:val="0"/>
        <w:widowControl w:val="0"/>
        <w:shd w:val="clear" w:color="auto" w:fill="auto"/>
        <w:bidi w:val="0"/>
        <w:spacing w:before="0" w:after="0" w:line="422"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365" w:lineRule="exact"/>
        <w:ind w:left="0" w:right="0"/>
        <w:jc w:val="left"/>
      </w:pPr>
      <w:r>
        <w:rPr>
          <w:color w:val="000000"/>
          <w:spacing w:val="0"/>
          <w:w w:val="100"/>
          <w:position w:val="0"/>
        </w:rPr>
        <w:t>股份变动的过户情况</w:t>
      </w:r>
    </w:p>
    <w:p>
      <w:pPr>
        <w:pStyle w:val="Style35"/>
        <w:keepNext w:val="0"/>
        <w:keepLines w:val="0"/>
        <w:widowControl w:val="0"/>
        <w:shd w:val="clear" w:color="auto" w:fill="auto"/>
        <w:bidi w:val="0"/>
        <w:spacing w:before="0" w:after="0" w:line="422"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365" w:lineRule="exact"/>
        <w:ind w:left="0" w:right="0"/>
        <w:jc w:val="left"/>
      </w:pPr>
      <w:r>
        <w:rPr>
          <w:color w:val="000000"/>
          <w:spacing w:val="0"/>
          <w:w w:val="100"/>
          <w:position w:val="0"/>
        </w:rPr>
        <w:t>股份回购的实施进展情况</w:t>
      </w:r>
    </w:p>
    <w:p>
      <w:pPr>
        <w:pStyle w:val="Style35"/>
        <w:keepNext w:val="0"/>
        <w:keepLines w:val="0"/>
        <w:widowControl w:val="0"/>
        <w:shd w:val="clear" w:color="auto" w:fill="auto"/>
        <w:bidi w:val="0"/>
        <w:spacing w:before="0" w:after="0" w:line="422"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365" w:lineRule="exact"/>
        <w:ind w:left="0" w:right="0"/>
        <w:jc w:val="left"/>
      </w:pPr>
      <w:r>
        <w:rPr>
          <w:color w:val="000000"/>
          <w:spacing w:val="0"/>
          <w:w w:val="100"/>
          <w:position w:val="0"/>
        </w:rPr>
        <w:t>采用集中竞价方式减持回购股份的实施进展情况</w:t>
      </w:r>
    </w:p>
    <w:p>
      <w:pPr>
        <w:pStyle w:val="Style3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br w:type="page"/>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341" w:lineRule="exact"/>
        <w:ind w:left="0" w:right="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240" w:line="396"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46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、限售股份变动情况</w:t>
      </w:r>
      <w:bookmarkEnd w:id="491"/>
      <w:bookmarkEnd w:id="492"/>
      <w:bookmarkEnd w:id="494"/>
    </w:p>
    <w:p>
      <w:pPr>
        <w:pStyle w:val="Style35"/>
        <w:keepNext w:val="0"/>
        <w:keepLines w:val="0"/>
        <w:widowControl w:val="0"/>
        <w:shd w:val="clear" w:color="auto" w:fill="auto"/>
        <w:bidi w:val="0"/>
        <w:spacing w:before="0" w:after="0" w:line="396"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37"/>
        <w:gridCol w:w="1416"/>
        <w:gridCol w:w="1560"/>
        <w:gridCol w:w="1502"/>
        <w:gridCol w:w="1368"/>
        <w:gridCol w:w="1104"/>
        <w:gridCol w:w="166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解除限售日期</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49,450,861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49,450,861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91,767,835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1,096,098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92,863,933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夏晓宇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141,220,136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1,096,098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142,314,794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tabs>
          <w:tab w:pos="517" w:val="left"/>
        </w:tabs>
        <w:bidi w:val="0"/>
        <w:spacing w:before="0" w:after="38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二</w:t>
      </w:r>
      <w:bookmarkEnd w:id="497"/>
      <w:r>
        <w:rPr>
          <w:color w:val="000000"/>
          <w:spacing w:val="0"/>
          <w:w w:val="100"/>
          <w:position w:val="0"/>
          <w:sz w:val="24"/>
          <w:szCs w:val="24"/>
        </w:rPr>
        <w:t>、</w:t>
        <w:tab/>
        <w:t>证券发行与上市情况</w:t>
      </w:r>
      <w:bookmarkEnd w:id="495"/>
      <w:bookmarkEnd w:id="496"/>
      <w:bookmarkEnd w:id="498"/>
    </w:p>
    <w:p>
      <w:pPr>
        <w:pStyle w:val="Style39"/>
        <w:keepNext/>
        <w:keepLines/>
        <w:widowControl w:val="0"/>
        <w:shd w:val="clear" w:color="auto" w:fill="auto"/>
        <w:tabs>
          <w:tab w:pos="828" w:val="left"/>
        </w:tabs>
        <w:bidi w:val="0"/>
        <w:spacing w:before="0" w:after="380" w:line="240" w:lineRule="auto"/>
        <w:ind w:left="0" w:right="0" w:firstLine="46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w:t>
        <w:tab/>
        <w:t>报告期内证券发行（不含优先股）情况</w:t>
      </w:r>
      <w:bookmarkEnd w:id="499"/>
      <w:bookmarkEnd w:id="500"/>
      <w:bookmarkEnd w:id="502"/>
    </w:p>
    <w:p>
      <w:pPr>
        <w:pStyle w:val="Style35"/>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838" w:val="left"/>
        </w:tabs>
        <w:bidi w:val="0"/>
        <w:spacing w:before="0" w:after="380" w:line="240" w:lineRule="auto"/>
        <w:ind w:left="0" w:right="0" w:firstLine="46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w:t>
        <w:tab/>
        <w:t>公司股份总数及股东结构的变动、公司资产和负债结构的变动情况说明</w:t>
      </w:r>
      <w:bookmarkEnd w:id="503"/>
      <w:bookmarkEnd w:id="504"/>
      <w:bookmarkEnd w:id="506"/>
    </w:p>
    <w:p>
      <w:pPr>
        <w:pStyle w:val="Style35"/>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838" w:val="left"/>
        </w:tabs>
        <w:bidi w:val="0"/>
        <w:spacing w:before="0" w:after="380" w:line="240" w:lineRule="auto"/>
        <w:ind w:left="0" w:right="0" w:firstLine="46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3</w:t>
      </w:r>
      <w:bookmarkEnd w:id="509"/>
      <w:r>
        <w:rPr>
          <w:color w:val="000000"/>
          <w:spacing w:val="0"/>
          <w:w w:val="100"/>
          <w:position w:val="0"/>
        </w:rPr>
        <w:t>、</w:t>
        <w:tab/>
        <w:t>现存的内部职工股情况</w:t>
      </w:r>
      <w:bookmarkEnd w:id="507"/>
      <w:bookmarkEnd w:id="508"/>
      <w:bookmarkEnd w:id="510"/>
    </w:p>
    <w:p>
      <w:pPr>
        <w:pStyle w:val="Style35"/>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w:t>
        <w:tab/>
        <w:t>股东和实际控制人情况</w:t>
      </w:r>
      <w:bookmarkEnd w:id="511"/>
      <w:bookmarkEnd w:id="512"/>
      <w:bookmarkEnd w:id="514"/>
    </w:p>
    <w:p>
      <w:pPr>
        <w:pStyle w:val="Style39"/>
        <w:keepNext/>
        <w:keepLines/>
        <w:widowControl w:val="0"/>
        <w:shd w:val="clear" w:color="auto" w:fill="auto"/>
        <w:bidi w:val="0"/>
        <w:spacing w:before="0" w:after="380" w:line="240" w:lineRule="auto"/>
        <w:ind w:left="0" w:right="0" w:firstLine="46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、公司股东数量及持股情况</w:t>
      </w:r>
      <w:bookmarkEnd w:id="515"/>
      <w:bookmarkEnd w:id="516"/>
      <w:bookmarkEnd w:id="51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p>
      <w:pPr>
        <w:widowControl w:val="0"/>
        <w:spacing w:line="1" w:lineRule="exac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94" w:right="1069" w:bottom="1556" w:left="1072" w:header="0" w:footer="3" w:gutter="0"/>
          <w:cols w:space="720"/>
          <w:noEndnote/>
          <w:rtlGutter w:val="0"/>
          <w:docGrid w:linePitch="360"/>
        </w:sectPr>
      </w:pPr>
      <w:r>
        <mc:AlternateContent>
          <mc:Choice Requires="wps">
            <w:drawing>
              <wp:anchor distT="161925" distB="167640" distL="0" distR="0" simplePos="0" relativeHeight="125829414" behindDoc="0" locked="0" layoutInCell="1" allowOverlap="1">
                <wp:simplePos x="0" y="0"/>
                <wp:positionH relativeFrom="page">
                  <wp:posOffset>718820</wp:posOffset>
                </wp:positionH>
                <wp:positionV relativeFrom="paragraph">
                  <wp:posOffset>161925</wp:posOffset>
                </wp:positionV>
                <wp:extent cx="716280" cy="316865"/>
                <wp:wrapTopAndBottom/>
                <wp:docPr id="242" name="Shape 242"/>
                <a:graphic xmlns:a="http://schemas.openxmlformats.org/drawingml/2006/main">
                  <a:graphicData uri="http://schemas.microsoft.com/office/word/2010/wordprocessingShape">
                    <wps:wsp>
                      <wps:cNvSpPr txBox="1"/>
                      <wps:spPr>
                        <a:xfrm>
                          <a:ext cx="716280" cy="316865"/>
                        </a:xfrm>
                        <a:prstGeom prst="rect"/>
                        <a:noFill/>
                      </wps:spPr>
                      <wps:txbx>
                        <w:txbxContent>
                          <w:p>
                            <w:pPr>
                              <w:pStyle w:val="Style35"/>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报告期末普通 股股东总数</w:t>
                            </w:r>
                          </w:p>
                        </w:txbxContent>
                      </wps:txbx>
                      <wps:bodyPr lIns="0" tIns="0" rIns="0" bIns="0">
                        <a:noAutoFit/>
                      </wps:bodyPr>
                    </wps:wsp>
                  </a:graphicData>
                </a:graphic>
              </wp:anchor>
            </w:drawing>
          </mc:Choice>
          <mc:Fallback>
            <w:pict>
              <v:shape id="_x0000_s1268" type="#_x0000_t202" style="position:absolute;margin-left:56.600000000000001pt;margin-top:12.75pt;width:56.399999999999999pt;height:24.949999999999999pt;z-index:-125829339;mso-wrap-distance-left:0;mso-wrap-distance-top:12.75pt;mso-wrap-distance-right:0;mso-wrap-distance-bottom:13.200000000000001pt;mso-position-horizontal-relative:page" filled="f" stroked="f">
                <v:textbox inset="0,0,0,0">
                  <w:txbxContent>
                    <w:p>
                      <w:pPr>
                        <w:pStyle w:val="Style35"/>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报告期末普通 股股东总数</w:t>
                      </w:r>
                    </w:p>
                  </w:txbxContent>
                </v:textbox>
                <w10:wrap type="topAndBottom" anchorx="page"/>
              </v:shape>
            </w:pict>
          </mc:Fallback>
        </mc:AlternateContent>
      </w:r>
      <w:r>
        <mc:AlternateContent>
          <mc:Choice Requires="wps">
            <w:drawing>
              <wp:anchor distT="100965" distB="94615" distL="0" distR="0" simplePos="0" relativeHeight="125829416" behindDoc="0" locked="0" layoutInCell="1" allowOverlap="1">
                <wp:simplePos x="0" y="0"/>
                <wp:positionH relativeFrom="page">
                  <wp:posOffset>1718310</wp:posOffset>
                </wp:positionH>
                <wp:positionV relativeFrom="paragraph">
                  <wp:posOffset>100965</wp:posOffset>
                </wp:positionV>
                <wp:extent cx="1292225" cy="450850"/>
                <wp:wrapTopAndBottom/>
                <wp:docPr id="244" name="Shape 244"/>
                <a:graphic xmlns:a="http://schemas.openxmlformats.org/drawingml/2006/main">
                  <a:graphicData uri="http://schemas.microsoft.com/office/word/2010/wordprocessingShape">
                    <wps:wsp>
                      <wps:cNvSpPr txBox="1"/>
                      <wps:spPr>
                        <a:xfrm>
                          <a:ext cx="1292225" cy="450850"/>
                        </a:xfrm>
                        <a:prstGeom prst="rect"/>
                        <a:noFill/>
                      </wps:spPr>
                      <wps:txbx>
                        <w:txbxContent>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年度报告披露日前</w:t>
                            </w:r>
                          </w:p>
                          <w:p>
                            <w:pPr>
                              <w:pStyle w:val="Style35"/>
                              <w:keepNext w:val="0"/>
                              <w:keepLines w:val="0"/>
                              <w:widowControl w:val="0"/>
                              <w:shd w:val="clear" w:color="auto" w:fill="auto"/>
                              <w:bidi w:val="0"/>
                              <w:spacing w:before="0" w:after="0" w:line="250" w:lineRule="exact"/>
                              <w:ind w:left="560" w:right="0" w:hanging="560"/>
                              <w:jc w:val="left"/>
                            </w:pPr>
                            <w:r>
                              <w:rPr>
                                <w:rFonts w:ascii="Times New Roman" w:eastAsia="Times New Roman" w:hAnsi="Times New Roman" w:cs="Times New Roman"/>
                                <w:color w:val="000000"/>
                                <w:spacing w:val="0"/>
                                <w:w w:val="100"/>
                                <w:position w:val="0"/>
                                <w:sz w:val="18"/>
                                <w:szCs w:val="18"/>
                              </w:rPr>
                              <w:t>39,717</w:t>
                            </w:r>
                            <w:r>
                              <w:rPr>
                                <w:color w:val="000000"/>
                                <w:spacing w:val="0"/>
                                <w:w w:val="100"/>
                                <w:position w:val="0"/>
                              </w:rPr>
                              <w:t>上一月末普通股股 东总数</w:t>
                            </w:r>
                          </w:p>
                        </w:txbxContent>
                      </wps:txbx>
                      <wps:bodyPr lIns="0" tIns="0" rIns="0" bIns="0">
                        <a:noAutoFit/>
                      </wps:bodyPr>
                    </wps:wsp>
                  </a:graphicData>
                </a:graphic>
              </wp:anchor>
            </w:drawing>
          </mc:Choice>
          <mc:Fallback>
            <w:pict>
              <v:shape id="_x0000_s1270" type="#_x0000_t202" style="position:absolute;margin-left:135.30000000000001pt;margin-top:7.9500000000000002pt;width:101.75pt;height:35.5pt;z-index:-125829337;mso-wrap-distance-left:0;mso-wrap-distance-top:7.9500000000000002pt;mso-wrap-distance-right:0;mso-wrap-distance-bottom:7.450000000000000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年度报告披露日前</w:t>
                      </w:r>
                    </w:p>
                    <w:p>
                      <w:pPr>
                        <w:pStyle w:val="Style35"/>
                        <w:keepNext w:val="0"/>
                        <w:keepLines w:val="0"/>
                        <w:widowControl w:val="0"/>
                        <w:shd w:val="clear" w:color="auto" w:fill="auto"/>
                        <w:bidi w:val="0"/>
                        <w:spacing w:before="0" w:after="0" w:line="250" w:lineRule="exact"/>
                        <w:ind w:left="560" w:right="0" w:hanging="560"/>
                        <w:jc w:val="left"/>
                      </w:pPr>
                      <w:r>
                        <w:rPr>
                          <w:rFonts w:ascii="Times New Roman" w:eastAsia="Times New Roman" w:hAnsi="Times New Roman" w:cs="Times New Roman"/>
                          <w:color w:val="000000"/>
                          <w:spacing w:val="0"/>
                          <w:w w:val="100"/>
                          <w:position w:val="0"/>
                          <w:sz w:val="18"/>
                          <w:szCs w:val="18"/>
                        </w:rPr>
                        <w:t>39,717</w:t>
                      </w:r>
                      <w:r>
                        <w:rPr>
                          <w:color w:val="000000"/>
                          <w:spacing w:val="0"/>
                          <w:w w:val="100"/>
                          <w:position w:val="0"/>
                        </w:rPr>
                        <w:t>上一月末普通股股 东总数</w:t>
                      </w:r>
                    </w:p>
                  </w:txbxContent>
                </v:textbox>
                <w10:wrap type="topAndBottom" anchorx="page"/>
              </v:shape>
            </w:pict>
          </mc:Fallback>
        </mc:AlternateContent>
      </w:r>
      <w:r>
        <mc:AlternateContent>
          <mc:Choice Requires="wps">
            <w:drawing>
              <wp:anchor distT="85725" distB="91440" distL="0" distR="0" simplePos="0" relativeHeight="125829418" behindDoc="0" locked="0" layoutInCell="1" allowOverlap="1">
                <wp:simplePos x="0" y="0"/>
                <wp:positionH relativeFrom="page">
                  <wp:posOffset>3248660</wp:posOffset>
                </wp:positionH>
                <wp:positionV relativeFrom="paragraph">
                  <wp:posOffset>85725</wp:posOffset>
                </wp:positionV>
                <wp:extent cx="1408430" cy="469265"/>
                <wp:wrapTopAndBottom/>
                <wp:docPr id="246" name="Shape 246"/>
                <a:graphic xmlns:a="http://schemas.openxmlformats.org/drawingml/2006/main">
                  <a:graphicData uri="http://schemas.microsoft.com/office/word/2010/wordprocessingShape">
                    <wps:wsp>
                      <wps:cNvSpPr txBox="1"/>
                      <wps:spPr>
                        <a:xfrm>
                          <a:ext cx="1408430" cy="469265"/>
                        </a:xfrm>
                        <a:prstGeom prst="rect"/>
                        <a:noFill/>
                      </wps:spPr>
                      <wps:txbx>
                        <w:txbxContent>
                          <w:p>
                            <w:pPr>
                              <w:pStyle w:val="Style35"/>
                              <w:keepNext w:val="0"/>
                              <w:keepLines w:val="0"/>
                              <w:widowControl w:val="0"/>
                              <w:shd w:val="clear" w:color="auto" w:fill="auto"/>
                              <w:bidi w:val="0"/>
                              <w:spacing w:before="0" w:after="0" w:line="240" w:lineRule="exact"/>
                              <w:ind w:left="0" w:right="0" w:firstLine="560"/>
                              <w:jc w:val="left"/>
                            </w:pPr>
                            <w:r>
                              <w:rPr>
                                <w:color w:val="000000"/>
                                <w:spacing w:val="0"/>
                                <w:w w:val="100"/>
                                <w:position w:val="0"/>
                              </w:rPr>
                              <w:t>报告期末表决权恢</w:t>
                            </w:r>
                          </w:p>
                          <w:p>
                            <w:pPr>
                              <w:pStyle w:val="Style35"/>
                              <w:keepNext w:val="0"/>
                              <w:keepLines w:val="0"/>
                              <w:widowControl w:val="0"/>
                              <w:shd w:val="clear" w:color="auto" w:fill="auto"/>
                              <w:bidi w:val="0"/>
                              <w:spacing w:before="0" w:after="0" w:line="240" w:lineRule="exact"/>
                              <w:ind w:left="0" w:right="180" w:firstLine="0"/>
                              <w:jc w:val="right"/>
                            </w:pPr>
                            <w:r>
                              <w:rPr>
                                <w:rFonts w:ascii="Times New Roman" w:eastAsia="Times New Roman" w:hAnsi="Times New Roman" w:cs="Times New Roman"/>
                                <w:color w:val="000000"/>
                                <w:spacing w:val="0"/>
                                <w:w w:val="100"/>
                                <w:position w:val="0"/>
                                <w:sz w:val="18"/>
                                <w:szCs w:val="18"/>
                              </w:rPr>
                              <w:t>36,108</w:t>
                            </w:r>
                            <w:r>
                              <w:rPr>
                                <w:color w:val="000000"/>
                                <w:spacing w:val="0"/>
                                <w:w w:val="100"/>
                                <w:position w:val="0"/>
                              </w:rPr>
                              <w:t>复的优先股股东总 数（如有）（参见注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xbxContent>
                      </wps:txbx>
                      <wps:bodyPr lIns="0" tIns="0" rIns="0" bIns="0">
                        <a:noAutoFit/>
                      </wps:bodyPr>
                    </wps:wsp>
                  </a:graphicData>
                </a:graphic>
              </wp:anchor>
            </w:drawing>
          </mc:Choice>
          <mc:Fallback>
            <w:pict>
              <v:shape id="_x0000_s1272" type="#_x0000_t202" style="position:absolute;margin-left:255.80000000000001pt;margin-top:6.75pt;width:110.90000000000001pt;height:36.950000000000003pt;z-index:-125829335;mso-wrap-distance-left:0;mso-wrap-distance-top:6.75pt;mso-wrap-distance-right:0;mso-wrap-distance-bottom:7.2000000000000002pt;mso-position-horizontal-relative:page" filled="f" stroked="f">
                <v:textbox inset="0,0,0,0">
                  <w:txbxContent>
                    <w:p>
                      <w:pPr>
                        <w:pStyle w:val="Style35"/>
                        <w:keepNext w:val="0"/>
                        <w:keepLines w:val="0"/>
                        <w:widowControl w:val="0"/>
                        <w:shd w:val="clear" w:color="auto" w:fill="auto"/>
                        <w:bidi w:val="0"/>
                        <w:spacing w:before="0" w:after="0" w:line="240" w:lineRule="exact"/>
                        <w:ind w:left="0" w:right="0" w:firstLine="560"/>
                        <w:jc w:val="left"/>
                      </w:pPr>
                      <w:r>
                        <w:rPr>
                          <w:color w:val="000000"/>
                          <w:spacing w:val="0"/>
                          <w:w w:val="100"/>
                          <w:position w:val="0"/>
                        </w:rPr>
                        <w:t>报告期末表决权恢</w:t>
                      </w:r>
                    </w:p>
                    <w:p>
                      <w:pPr>
                        <w:pStyle w:val="Style35"/>
                        <w:keepNext w:val="0"/>
                        <w:keepLines w:val="0"/>
                        <w:widowControl w:val="0"/>
                        <w:shd w:val="clear" w:color="auto" w:fill="auto"/>
                        <w:bidi w:val="0"/>
                        <w:spacing w:before="0" w:after="0" w:line="240" w:lineRule="exact"/>
                        <w:ind w:left="0" w:right="180" w:firstLine="0"/>
                        <w:jc w:val="right"/>
                      </w:pPr>
                      <w:r>
                        <w:rPr>
                          <w:rFonts w:ascii="Times New Roman" w:eastAsia="Times New Roman" w:hAnsi="Times New Roman" w:cs="Times New Roman"/>
                          <w:color w:val="000000"/>
                          <w:spacing w:val="0"/>
                          <w:w w:val="100"/>
                          <w:position w:val="0"/>
                          <w:sz w:val="18"/>
                          <w:szCs w:val="18"/>
                        </w:rPr>
                        <w:t>36,108</w:t>
                      </w:r>
                      <w:r>
                        <w:rPr>
                          <w:color w:val="000000"/>
                          <w:spacing w:val="0"/>
                          <w:w w:val="100"/>
                          <w:position w:val="0"/>
                        </w:rPr>
                        <w:t>复的优先股股东总 数（如有）（参见注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xbxContent>
                </v:textbox>
                <w10:wrap type="topAndBottom" anchorx="page"/>
              </v:shape>
            </w:pict>
          </mc:Fallback>
        </mc:AlternateContent>
      </w:r>
      <w:r>
        <mc:AlternateContent>
          <mc:Choice Requires="wps">
            <w:drawing>
              <wp:anchor distT="12700" distB="487680" distL="0" distR="0" simplePos="0" relativeHeight="125829420" behindDoc="0" locked="0" layoutInCell="1" allowOverlap="1">
                <wp:simplePos x="0" y="0"/>
                <wp:positionH relativeFrom="page">
                  <wp:posOffset>5104765</wp:posOffset>
                </wp:positionH>
                <wp:positionV relativeFrom="paragraph">
                  <wp:posOffset>12700</wp:posOffset>
                </wp:positionV>
                <wp:extent cx="1170305" cy="146050"/>
                <wp:wrapTopAndBottom/>
                <wp:docPr id="248" name="Shape 248"/>
                <a:graphic xmlns:a="http://schemas.openxmlformats.org/drawingml/2006/main">
                  <a:graphicData uri="http://schemas.microsoft.com/office/word/2010/wordprocessingShape">
                    <wps:wsp>
                      <wps:cNvSpPr txBox="1"/>
                      <wps:spPr>
                        <a:xfrm>
                          <a:ext cx="117030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年度报告披露日前上一</w:t>
                            </w:r>
                          </w:p>
                        </w:txbxContent>
                      </wps:txbx>
                      <wps:bodyPr wrap="none" lIns="0" tIns="0" rIns="0" bIns="0">
                        <a:noAutoFit/>
                      </wps:bodyPr>
                    </wps:wsp>
                  </a:graphicData>
                </a:graphic>
              </wp:anchor>
            </w:drawing>
          </mc:Choice>
          <mc:Fallback>
            <w:pict>
              <v:shape id="_x0000_s1274" type="#_x0000_t202" style="position:absolute;margin-left:401.94999999999999pt;margin-top:1.pt;width:92.150000000000006pt;height:11.5pt;z-index:-125829333;mso-wrap-distance-left:0;mso-wrap-distance-top:1.pt;mso-wrap-distance-right:0;mso-wrap-distance-bottom:38.399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年度报告披露日前上一</w:t>
                      </w:r>
                    </w:p>
                  </w:txbxContent>
                </v:textbox>
                <w10:wrap type="topAndBottom" anchorx="page"/>
              </v:shape>
            </w:pict>
          </mc:Fallback>
        </mc:AlternateContent>
      </w:r>
      <w:r>
        <mc:AlternateContent>
          <mc:Choice Requires="wps">
            <w:drawing>
              <wp:anchor distT="161925" distB="167640" distL="0" distR="0" simplePos="0" relativeHeight="125829422" behindDoc="0" locked="0" layoutInCell="1" allowOverlap="1">
                <wp:simplePos x="0" y="0"/>
                <wp:positionH relativeFrom="page">
                  <wp:posOffset>5104765</wp:posOffset>
                </wp:positionH>
                <wp:positionV relativeFrom="paragraph">
                  <wp:posOffset>161925</wp:posOffset>
                </wp:positionV>
                <wp:extent cx="1170305" cy="316865"/>
                <wp:wrapTopAndBottom/>
                <wp:docPr id="250" name="Shape 250"/>
                <a:graphic xmlns:a="http://schemas.openxmlformats.org/drawingml/2006/main">
                  <a:graphicData uri="http://schemas.microsoft.com/office/word/2010/wordprocessingShape">
                    <wps:wsp>
                      <wps:cNvSpPr txBox="1"/>
                      <wps:spPr>
                        <a:xfrm>
                          <a:ext cx="1170305" cy="316865"/>
                        </a:xfrm>
                        <a:prstGeom prst="rect"/>
                        <a:noFill/>
                      </wps:spPr>
                      <wps:txbx>
                        <w:txbxContent>
                          <w:p>
                            <w:pPr>
                              <w:pStyle w:val="Style35"/>
                              <w:keepNext w:val="0"/>
                              <w:keepLines w:val="0"/>
                              <w:widowControl w:val="0"/>
                              <w:shd w:val="clear" w:color="auto" w:fill="auto"/>
                              <w:bidi w:val="0"/>
                              <w:spacing w:before="0" w:after="0" w:line="240" w:lineRule="exact"/>
                              <w:ind w:left="0" w:right="0" w:firstLine="0"/>
                              <w:jc w:val="left"/>
                            </w:pPr>
                            <w:r>
                              <w:rPr>
                                <w:color w:val="000000"/>
                                <w:spacing w:val="0"/>
                                <w:w w:val="100"/>
                                <w:position w:val="0"/>
                              </w:rPr>
                              <w:t>月末表决权恢复的优先 股股东总数（如有）</w:t>
                            </w:r>
                          </w:p>
                        </w:txbxContent>
                      </wps:txbx>
                      <wps:bodyPr lIns="0" tIns="0" rIns="0" bIns="0">
                        <a:noAutoFit/>
                      </wps:bodyPr>
                    </wps:wsp>
                  </a:graphicData>
                </a:graphic>
              </wp:anchor>
            </w:drawing>
          </mc:Choice>
          <mc:Fallback>
            <w:pict>
              <v:shape id="_x0000_s1276" type="#_x0000_t202" style="position:absolute;margin-left:401.94999999999999pt;margin-top:12.75pt;width:92.150000000000006pt;height:24.949999999999999pt;z-index:-125829331;mso-wrap-distance-left:0;mso-wrap-distance-top:12.75pt;mso-wrap-distance-right:0;mso-wrap-distance-bottom:13.200000000000001pt;mso-position-horizontal-relative:page" filled="f" stroked="f">
                <v:textbox inset="0,0,0,0">
                  <w:txbxContent>
                    <w:p>
                      <w:pPr>
                        <w:pStyle w:val="Style35"/>
                        <w:keepNext w:val="0"/>
                        <w:keepLines w:val="0"/>
                        <w:widowControl w:val="0"/>
                        <w:shd w:val="clear" w:color="auto" w:fill="auto"/>
                        <w:bidi w:val="0"/>
                        <w:spacing w:before="0" w:after="0" w:line="240" w:lineRule="exact"/>
                        <w:ind w:left="0" w:right="0" w:firstLine="0"/>
                        <w:jc w:val="left"/>
                      </w:pPr>
                      <w:r>
                        <w:rPr>
                          <w:color w:val="000000"/>
                          <w:spacing w:val="0"/>
                          <w:w w:val="100"/>
                          <w:position w:val="0"/>
                        </w:rPr>
                        <w:t>月末表决权恢复的优先 股股东总数（如有）</w:t>
                      </w:r>
                    </w:p>
                  </w:txbxContent>
                </v:textbox>
                <w10:wrap type="topAndBottom" anchorx="page"/>
              </v:shape>
            </w:pict>
          </mc:Fallback>
        </mc:AlternateContent>
      </w:r>
      <w:r>
        <mc:AlternateContent>
          <mc:Choice Requires="wps">
            <w:drawing>
              <wp:anchor distT="494030" distB="0" distL="0" distR="0" simplePos="0" relativeHeight="125829424" behindDoc="0" locked="0" layoutInCell="1" allowOverlap="1">
                <wp:simplePos x="0" y="0"/>
                <wp:positionH relativeFrom="page">
                  <wp:posOffset>5165725</wp:posOffset>
                </wp:positionH>
                <wp:positionV relativeFrom="paragraph">
                  <wp:posOffset>494030</wp:posOffset>
                </wp:positionV>
                <wp:extent cx="612775" cy="152400"/>
                <wp:wrapTopAndBottom/>
                <wp:docPr id="252" name="Shape 252"/>
                <a:graphic xmlns:a="http://schemas.openxmlformats.org/drawingml/2006/main">
                  <a:graphicData uri="http://schemas.microsoft.com/office/word/2010/wordprocessingShape">
                    <wps:wsp>
                      <wps:cNvSpPr txBox="1"/>
                      <wps:spPr>
                        <a:xfrm>
                          <a:ext cx="61277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xbxContent>
                      </wps:txbx>
                      <wps:bodyPr wrap="none" lIns="0" tIns="0" rIns="0" bIns="0">
                        <a:noAutoFit/>
                      </wps:bodyPr>
                    </wps:wsp>
                  </a:graphicData>
                </a:graphic>
              </wp:anchor>
            </w:drawing>
          </mc:Choice>
          <mc:Fallback>
            <w:pict>
              <v:shape id="_x0000_s1278" type="#_x0000_t202" style="position:absolute;margin-left:406.75pt;margin-top:38.899999999999999pt;width:48.25pt;height:12.pt;z-index:-125829329;mso-wrap-distance-left:0;mso-wrap-distance-top:38.899999999999999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xbxContent>
                </v:textbox>
                <w10:wrap type="topAndBottom" anchorx="page"/>
              </v:shape>
            </w:pict>
          </mc:Fallback>
        </mc:AlternateContent>
      </w:r>
    </w:p>
    <w:p>
      <w:pPr>
        <w:widowControl w:val="0"/>
        <w:spacing w:line="28" w:lineRule="exact"/>
        <w:rPr>
          <w:sz w:val="2"/>
          <w:szCs w:val="2"/>
        </w:rPr>
      </w:pPr>
    </w:p>
    <w:p>
      <w:pPr>
        <w:widowControl w:val="0"/>
        <w:spacing w:line="1" w:lineRule="exact"/>
        <w:sectPr>
          <w:footnotePr>
            <w:pos w:val="pageBottom"/>
            <w:numFmt w:val="decimal"/>
            <w:numRestart w:val="continuous"/>
          </w:footnotePr>
          <w:type w:val="continuous"/>
          <w:pgSz w:w="11900" w:h="16840"/>
          <w:pgMar w:top="1518" w:right="0" w:bottom="1518" w:left="0"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p>
      <w:pPr>
        <w:widowControl w:val="0"/>
        <w:spacing w:line="1" w:lineRule="exact"/>
        <w:sectPr>
          <w:footnotePr>
            <w:pos w:val="pageBottom"/>
            <w:numFmt w:val="decimal"/>
            <w:numRestart w:val="continuous"/>
          </w:footnotePr>
          <w:type w:val="continuous"/>
          <w:pgSz w:w="11900" w:h="16840"/>
          <w:pgMar w:top="1518" w:right="1069" w:bottom="1518" w:left="1088" w:header="0" w:footer="3" w:gutter="0"/>
          <w:cols w:space="720"/>
          <w:noEndnote/>
          <w:rtlGutter w:val="0"/>
          <w:docGrid w:linePitch="360"/>
        </w:sectPr>
      </w:pPr>
      <w:r>
        <mc:AlternateContent>
          <mc:Choice Requires="wps">
            <w:drawing>
              <wp:anchor distT="195580" distB="179705" distL="0" distR="0" simplePos="0" relativeHeight="125829426" behindDoc="0" locked="0" layoutInCell="1" allowOverlap="1">
                <wp:simplePos x="0" y="0"/>
                <wp:positionH relativeFrom="page">
                  <wp:posOffset>1057275</wp:posOffset>
                </wp:positionH>
                <wp:positionV relativeFrom="paragraph">
                  <wp:posOffset>195580</wp:posOffset>
                </wp:positionV>
                <wp:extent cx="484505" cy="149225"/>
                <wp:wrapTopAndBottom/>
                <wp:docPr id="254" name="Shape 254"/>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xbxContent>
                      </wps:txbx>
                      <wps:bodyPr wrap="none" lIns="0" tIns="0" rIns="0" bIns="0">
                        <a:noAutoFit/>
                      </wps:bodyPr>
                    </wps:wsp>
                  </a:graphicData>
                </a:graphic>
              </wp:anchor>
            </w:drawing>
          </mc:Choice>
          <mc:Fallback>
            <w:pict>
              <v:shape id="_x0000_s1280" type="#_x0000_t202" style="position:absolute;margin-left:83.25pt;margin-top:15.4pt;width:38.149999999999999pt;height:11.75pt;z-index:-125829327;mso-wrap-distance-left:0;mso-wrap-distance-top:15.4pt;mso-wrap-distance-right:0;mso-wrap-distance-bottom:14.1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xbxContent>
                </v:textbox>
                <w10:wrap type="topAndBottom" anchorx="page"/>
              </v:shape>
            </w:pict>
          </mc:Fallback>
        </mc:AlternateContent>
      </w:r>
      <w:r>
        <mc:AlternateContent>
          <mc:Choice Requires="wps">
            <w:drawing>
              <wp:anchor distT="195580" distB="179705" distL="0" distR="0" simplePos="0" relativeHeight="125829428" behindDoc="0" locked="0" layoutInCell="1" allowOverlap="1">
                <wp:simplePos x="0" y="0"/>
                <wp:positionH relativeFrom="page">
                  <wp:posOffset>2093595</wp:posOffset>
                </wp:positionH>
                <wp:positionV relativeFrom="paragraph">
                  <wp:posOffset>195580</wp:posOffset>
                </wp:positionV>
                <wp:extent cx="484505" cy="149225"/>
                <wp:wrapTopAndBottom/>
                <wp:docPr id="256" name="Shape 25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xbxContent>
                      </wps:txbx>
                      <wps:bodyPr wrap="none" lIns="0" tIns="0" rIns="0" bIns="0">
                        <a:noAutoFit/>
                      </wps:bodyPr>
                    </wps:wsp>
                  </a:graphicData>
                </a:graphic>
              </wp:anchor>
            </w:drawing>
          </mc:Choice>
          <mc:Fallback>
            <w:pict>
              <v:shape id="_x0000_s1282" type="#_x0000_t202" style="position:absolute;margin-left:164.84999999999999pt;margin-top:15.4pt;width:38.149999999999999pt;height:11.75pt;z-index:-125829325;mso-wrap-distance-left:0;mso-wrap-distance-top:15.4pt;mso-wrap-distance-right:0;mso-wrap-distance-bottom:14.1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xbxContent>
                </v:textbox>
                <w10:wrap type="topAndBottom" anchorx="page"/>
              </v:shape>
            </w:pict>
          </mc:Fallback>
        </mc:AlternateContent>
      </w:r>
      <w:r>
        <mc:AlternateContent>
          <mc:Choice Requires="wps">
            <w:drawing>
              <wp:anchor distT="76835" distB="93980" distL="0" distR="0" simplePos="0" relativeHeight="125829430" behindDoc="0" locked="0" layoutInCell="1" allowOverlap="1">
                <wp:simplePos x="0" y="0"/>
                <wp:positionH relativeFrom="page">
                  <wp:posOffset>2882900</wp:posOffset>
                </wp:positionH>
                <wp:positionV relativeFrom="paragraph">
                  <wp:posOffset>76835</wp:posOffset>
                </wp:positionV>
                <wp:extent cx="252730" cy="353695"/>
                <wp:wrapTopAndBottom/>
                <wp:docPr id="258" name="Shape 258"/>
                <a:graphic xmlns:a="http://schemas.openxmlformats.org/drawingml/2006/main">
                  <a:graphicData uri="http://schemas.microsoft.com/office/word/2010/wordprocessingShape">
                    <wps:wsp>
                      <wps:cNvSpPr txBox="1"/>
                      <wps:spPr>
                        <a:xfrm>
                          <a:ext cx="252730" cy="353695"/>
                        </a:xfrm>
                        <a:prstGeom prst="rect"/>
                        <a:noFill/>
                      </wps:spPr>
                      <wps:txbx>
                        <w:txbxContent>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持股 比例</w:t>
                            </w:r>
                          </w:p>
                        </w:txbxContent>
                      </wps:txbx>
                      <wps:bodyPr lIns="0" tIns="0" rIns="0" bIns="0">
                        <a:noAutoFit/>
                      </wps:bodyPr>
                    </wps:wsp>
                  </a:graphicData>
                </a:graphic>
              </wp:anchor>
            </w:drawing>
          </mc:Choice>
          <mc:Fallback>
            <w:pict>
              <v:shape id="_x0000_s1284" type="#_x0000_t202" style="position:absolute;margin-left:227.pt;margin-top:6.0499999999999998pt;width:19.900000000000002pt;height:27.850000000000001pt;z-index:-125829323;mso-wrap-distance-left:0;mso-wrap-distance-top:6.0499999999999998pt;mso-wrap-distance-right:0;mso-wrap-distance-bottom:7.4000000000000004pt;mso-position-horizontal-relative:page" filled="f" stroked="f">
                <v:textbox inset="0,0,0,0">
                  <w:txbxContent>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持股 比例</w:t>
                      </w:r>
                    </w:p>
                  </w:txbxContent>
                </v:textbox>
                <w10:wrap type="topAndBottom" anchorx="page"/>
              </v:shape>
            </w:pict>
          </mc:Fallback>
        </mc:AlternateContent>
      </w:r>
      <w:r>
        <mc:AlternateContent>
          <mc:Choice Requires="wps">
            <w:drawing>
              <wp:anchor distT="104140" distB="103505" distL="0" distR="0" simplePos="0" relativeHeight="125829432" behindDoc="0" locked="0" layoutInCell="1" allowOverlap="1">
                <wp:simplePos x="0" y="0"/>
                <wp:positionH relativeFrom="page">
                  <wp:posOffset>3251835</wp:posOffset>
                </wp:positionH>
                <wp:positionV relativeFrom="paragraph">
                  <wp:posOffset>104140</wp:posOffset>
                </wp:positionV>
                <wp:extent cx="597535" cy="316865"/>
                <wp:wrapTopAndBottom/>
                <wp:docPr id="260" name="Shape 260"/>
                <a:graphic xmlns:a="http://schemas.openxmlformats.org/drawingml/2006/main">
                  <a:graphicData uri="http://schemas.microsoft.com/office/word/2010/wordprocessingShape">
                    <wps:wsp>
                      <wps:cNvSpPr txBox="1"/>
                      <wps:spPr>
                        <a:xfrm>
                          <a:ext cx="597535" cy="316865"/>
                        </a:xfrm>
                        <a:prstGeom prst="rect"/>
                        <a:noFill/>
                      </wps:spPr>
                      <wps:txbx>
                        <w:txbxContent>
                          <w:p>
                            <w:pPr>
                              <w:pStyle w:val="Style3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报告期末持</w:t>
                              <w:br/>
                              <w:t>股数量</w:t>
                            </w:r>
                          </w:p>
                        </w:txbxContent>
                      </wps:txbx>
                      <wps:bodyPr lIns="0" tIns="0" rIns="0" bIns="0">
                        <a:noAutoFit/>
                      </wps:bodyPr>
                    </wps:wsp>
                  </a:graphicData>
                </a:graphic>
              </wp:anchor>
            </w:drawing>
          </mc:Choice>
          <mc:Fallback>
            <w:pict>
              <v:shape id="_x0000_s1286" type="#_x0000_t202" style="position:absolute;margin-left:256.05000000000001pt;margin-top:8.1999999999999993pt;width:47.050000000000004pt;height:24.949999999999999pt;z-index:-125829321;mso-wrap-distance-left:0;mso-wrap-distance-top:8.1999999999999993pt;mso-wrap-distance-right:0;mso-wrap-distance-bottom:8.1500000000000004pt;mso-position-horizontal-relative:page" filled="f" stroked="f">
                <v:textbox inset="0,0,0,0">
                  <w:txbxContent>
                    <w:p>
                      <w:pPr>
                        <w:pStyle w:val="Style3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报告期末持</w:t>
                        <w:br/>
                        <w:t>股数量</w:t>
                      </w:r>
                    </w:p>
                  </w:txbxContent>
                </v:textbox>
                <w10:wrap type="topAndBottom" anchorx="page"/>
              </v:shape>
            </w:pict>
          </mc:Fallback>
        </mc:AlternateContent>
      </w:r>
      <w:r>
        <mc:AlternateContent>
          <mc:Choice Requires="wps">
            <w:drawing>
              <wp:anchor distT="27940" distB="27305" distL="0" distR="0" simplePos="0" relativeHeight="125829434" behindDoc="0" locked="0" layoutInCell="1" allowOverlap="1">
                <wp:simplePos x="0" y="0"/>
                <wp:positionH relativeFrom="page">
                  <wp:posOffset>3925570</wp:posOffset>
                </wp:positionH>
                <wp:positionV relativeFrom="paragraph">
                  <wp:posOffset>27940</wp:posOffset>
                </wp:positionV>
                <wp:extent cx="487680" cy="469265"/>
                <wp:wrapTopAndBottom/>
                <wp:docPr id="262" name="Shape 262"/>
                <a:graphic xmlns:a="http://schemas.openxmlformats.org/drawingml/2006/main">
                  <a:graphicData uri="http://schemas.microsoft.com/office/word/2010/wordprocessingShape">
                    <wps:wsp>
                      <wps:cNvSpPr txBox="1"/>
                      <wps:spPr>
                        <a:xfrm>
                          <a:ext cx="487680" cy="469265"/>
                        </a:xfrm>
                        <a:prstGeom prst="rect"/>
                        <a:noFill/>
                      </wps:spPr>
                      <wps:txbx>
                        <w:txbxContent>
                          <w:p>
                            <w:pPr>
                              <w:pStyle w:val="Style3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w:t>
                              <w:br/>
                              <w:t>增减变动</w:t>
                              <w:br/>
                              <w:t>情况</w:t>
                            </w:r>
                          </w:p>
                        </w:txbxContent>
                      </wps:txbx>
                      <wps:bodyPr lIns="0" tIns="0" rIns="0" bIns="0">
                        <a:noAutoFit/>
                      </wps:bodyPr>
                    </wps:wsp>
                  </a:graphicData>
                </a:graphic>
              </wp:anchor>
            </w:drawing>
          </mc:Choice>
          <mc:Fallback>
            <w:pict>
              <v:shape id="_x0000_s1288" type="#_x0000_t202" style="position:absolute;margin-left:309.10000000000002pt;margin-top:2.2000000000000002pt;width:38.399999999999999pt;height:36.950000000000003pt;z-index:-125829319;mso-wrap-distance-left:0;mso-wrap-distance-top:2.2000000000000002pt;mso-wrap-distance-right:0;mso-wrap-distance-bottom:2.1499999999999999pt;mso-position-horizontal-relative:page" filled="f" stroked="f">
                <v:textbox inset="0,0,0,0">
                  <w:txbxContent>
                    <w:p>
                      <w:pPr>
                        <w:pStyle w:val="Style3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w:t>
                        <w:br/>
                        <w:t>增减变动</w:t>
                        <w:br/>
                        <w:t>情况</w:t>
                      </w:r>
                    </w:p>
                  </w:txbxContent>
                </v:textbox>
                <w10:wrap type="topAndBottom" anchorx="page"/>
              </v:shape>
            </w:pict>
          </mc:Fallback>
        </mc:AlternateContent>
      </w:r>
      <w:r>
        <mc:AlternateContent>
          <mc:Choice Requires="wps">
            <w:drawing>
              <wp:anchor distT="27940" distB="179705" distL="0" distR="0" simplePos="0" relativeHeight="125829436" behindDoc="0" locked="0" layoutInCell="1" allowOverlap="1">
                <wp:simplePos x="0" y="0"/>
                <wp:positionH relativeFrom="page">
                  <wp:posOffset>4489450</wp:posOffset>
                </wp:positionH>
                <wp:positionV relativeFrom="paragraph">
                  <wp:posOffset>27940</wp:posOffset>
                </wp:positionV>
                <wp:extent cx="1225550" cy="316865"/>
                <wp:wrapTopAndBottom/>
                <wp:docPr id="264" name="Shape 264"/>
                <a:graphic xmlns:a="http://schemas.openxmlformats.org/drawingml/2006/main">
                  <a:graphicData uri="http://schemas.microsoft.com/office/word/2010/wordprocessingShape">
                    <wps:wsp>
                      <wps:cNvSpPr txBox="1"/>
                      <wps:spPr>
                        <a:xfrm>
                          <a:ext cx="1225550" cy="316865"/>
                        </a:xfrm>
                        <a:prstGeom prst="rect"/>
                        <a:noFill/>
                      </wps:spPr>
                      <wps:txbx>
                        <w:txbxContent>
                          <w:p>
                            <w:pPr>
                              <w:pStyle w:val="Style35"/>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持有有限售!持有无限售 条件的股份</w:t>
                            </w:r>
                            <w:r>
                              <w:rPr>
                                <w:rFonts w:ascii="SimHei" w:eastAsia="SimHei" w:hAnsi="SimHei" w:cs="SimHei"/>
                                <w:color w:val="000000"/>
                                <w:spacing w:val="0"/>
                                <w:w w:val="100"/>
                                <w:position w:val="0"/>
                                <w:sz w:val="20"/>
                                <w:szCs w:val="20"/>
                              </w:rPr>
                              <w:t>I</w:t>
                            </w:r>
                            <w:r>
                              <w:rPr>
                                <w:color w:val="000000"/>
                                <w:spacing w:val="0"/>
                                <w:w w:val="100"/>
                                <w:position w:val="0"/>
                              </w:rPr>
                              <w:t>条件的股份</w:t>
                            </w:r>
                          </w:p>
                        </w:txbxContent>
                      </wps:txbx>
                      <wps:bodyPr lIns="0" tIns="0" rIns="0" bIns="0">
                        <a:noAutoFit/>
                      </wps:bodyPr>
                    </wps:wsp>
                  </a:graphicData>
                </a:graphic>
              </wp:anchor>
            </w:drawing>
          </mc:Choice>
          <mc:Fallback>
            <w:pict>
              <v:shape id="_x0000_s1290" type="#_x0000_t202" style="position:absolute;margin-left:353.5pt;margin-top:2.2000000000000002pt;width:96.5pt;height:24.949999999999999pt;z-index:-125829317;mso-wrap-distance-left:0;mso-wrap-distance-top:2.2000000000000002pt;mso-wrap-distance-right:0;mso-wrap-distance-bottom:14.15pt;mso-position-horizontal-relative:page" filled="f" stroked="f">
                <v:textbox inset="0,0,0,0">
                  <w:txbxContent>
                    <w:p>
                      <w:pPr>
                        <w:pStyle w:val="Style35"/>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持有有限售!持有无限售 条件的股份</w:t>
                      </w:r>
                      <w:r>
                        <w:rPr>
                          <w:rFonts w:ascii="SimHei" w:eastAsia="SimHei" w:hAnsi="SimHei" w:cs="SimHei"/>
                          <w:color w:val="000000"/>
                          <w:spacing w:val="0"/>
                          <w:w w:val="100"/>
                          <w:position w:val="0"/>
                          <w:sz w:val="20"/>
                          <w:szCs w:val="20"/>
                        </w:rPr>
                        <w:t>I</w:t>
                      </w:r>
                      <w:r>
                        <w:rPr>
                          <w:color w:val="000000"/>
                          <w:spacing w:val="0"/>
                          <w:w w:val="100"/>
                          <w:position w:val="0"/>
                        </w:rPr>
                        <w:t>条件的股份</w:t>
                      </w:r>
                    </w:p>
                  </w:txbxContent>
                </v:textbox>
                <w10:wrap type="topAndBottom" anchorx="page"/>
              </v:shape>
            </w:pict>
          </mc:Fallback>
        </mc:AlternateContent>
      </w:r>
      <w:r>
        <mc:AlternateContent>
          <mc:Choice Requires="wps">
            <w:drawing>
              <wp:anchor distT="347980" distB="24130" distL="0" distR="0" simplePos="0" relativeHeight="125829438" behindDoc="0" locked="0" layoutInCell="1" allowOverlap="1">
                <wp:simplePos x="0" y="0"/>
                <wp:positionH relativeFrom="page">
                  <wp:posOffset>4660265</wp:posOffset>
                </wp:positionH>
                <wp:positionV relativeFrom="paragraph">
                  <wp:posOffset>347980</wp:posOffset>
                </wp:positionV>
                <wp:extent cx="883920" cy="152400"/>
                <wp:wrapTopAndBottom/>
                <wp:docPr id="266" name="Shape 266"/>
                <a:graphic xmlns:a="http://schemas.openxmlformats.org/drawingml/2006/main">
                  <a:graphicData uri="http://schemas.microsoft.com/office/word/2010/wordprocessingShape">
                    <wps:wsp>
                      <wps:cNvSpPr txBox="1"/>
                      <wps:spPr>
                        <a:xfrm>
                          <a:ext cx="88392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数量|数量</w:t>
                            </w:r>
                          </w:p>
                        </w:txbxContent>
                      </wps:txbx>
                      <wps:bodyPr wrap="none" lIns="0" tIns="0" rIns="0" bIns="0">
                        <a:noAutoFit/>
                      </wps:bodyPr>
                    </wps:wsp>
                  </a:graphicData>
                </a:graphic>
              </wp:anchor>
            </w:drawing>
          </mc:Choice>
          <mc:Fallback>
            <w:pict>
              <v:shape id="_x0000_s1292" type="#_x0000_t202" style="position:absolute;margin-left:366.94999999999999pt;margin-top:27.400000000000002pt;width:69.600000000000009pt;height:12.pt;z-index:-125829315;mso-wrap-distance-left:0;mso-wrap-distance-top:27.400000000000002pt;mso-wrap-distance-right:0;mso-wrap-distance-bottom:1.90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数量|数量</w:t>
                      </w:r>
                    </w:p>
                  </w:txbxContent>
                </v:textbox>
                <w10:wrap type="topAndBottom" anchorx="page"/>
              </v:shape>
            </w:pict>
          </mc:Fallback>
        </mc:AlternateContent>
      </w:r>
      <w:r>
        <mc:AlternateContent>
          <mc:Choice Requires="wps">
            <w:drawing>
              <wp:anchor distT="12700" distB="362585" distL="0" distR="0" simplePos="0" relativeHeight="125829440" behindDoc="0" locked="0" layoutInCell="1" allowOverlap="1">
                <wp:simplePos x="0" y="0"/>
                <wp:positionH relativeFrom="page">
                  <wp:posOffset>5836285</wp:posOffset>
                </wp:positionH>
                <wp:positionV relativeFrom="paragraph">
                  <wp:posOffset>12700</wp:posOffset>
                </wp:positionV>
                <wp:extent cx="826135" cy="149225"/>
                <wp:wrapTopAndBottom/>
                <wp:docPr id="268" name="Shape 268"/>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3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质押或冻结情况</w:t>
                            </w:r>
                          </w:p>
                        </w:txbxContent>
                      </wps:txbx>
                      <wps:bodyPr wrap="none" lIns="0" tIns="0" rIns="0" bIns="0">
                        <a:noAutoFit/>
                      </wps:bodyPr>
                    </wps:wsp>
                  </a:graphicData>
                </a:graphic>
              </wp:anchor>
            </w:drawing>
          </mc:Choice>
          <mc:Fallback>
            <w:pict>
              <v:shape id="_x0000_s1294" type="#_x0000_t202" style="position:absolute;margin-left:459.55000000000001pt;margin-top:1.pt;width:65.049999999999997pt;height:11.75pt;z-index:-125829313;mso-wrap-distance-left:0;mso-wrap-distance-top:1.pt;mso-wrap-distance-right:0;mso-wrap-distance-bottom:28.550000000000001pt;mso-position-horizontal-relative:page" filled="f" stroked="f">
                <v:textbox inset="0,0,0,0">
                  <w:txbxContent>
                    <w:p>
                      <w:pPr>
                        <w:pStyle w:val="Style3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质押或冻结情况</w:t>
                      </w:r>
                    </w:p>
                  </w:txbxContent>
                </v:textbox>
                <w10:wrap type="topAndBottom" anchorx="page"/>
              </v:shape>
            </w:pict>
          </mc:Fallback>
        </mc:AlternateContent>
      </w:r>
      <w:r>
        <mc:AlternateContent>
          <mc:Choice Requires="wps">
            <w:drawing>
              <wp:anchor distT="207645" distB="0" distL="0" distR="0" simplePos="0" relativeHeight="125829442" behindDoc="0" locked="0" layoutInCell="1" allowOverlap="1">
                <wp:simplePos x="0" y="0"/>
                <wp:positionH relativeFrom="page">
                  <wp:posOffset>5781675</wp:posOffset>
                </wp:positionH>
                <wp:positionV relativeFrom="paragraph">
                  <wp:posOffset>207645</wp:posOffset>
                </wp:positionV>
                <wp:extent cx="255905" cy="316865"/>
                <wp:wrapTopAndBottom/>
                <wp:docPr id="270" name="Shape 270"/>
                <a:graphic xmlns:a="http://schemas.openxmlformats.org/drawingml/2006/main">
                  <a:graphicData uri="http://schemas.microsoft.com/office/word/2010/wordprocessingShape">
                    <wps:wsp>
                      <wps:cNvSpPr txBox="1"/>
                      <wps:spPr>
                        <a:xfrm>
                          <a:ext cx="255905" cy="316865"/>
                        </a:xfrm>
                        <a:prstGeom prst="rect"/>
                        <a:noFill/>
                      </wps:spPr>
                      <wps:txbx>
                        <w:txbxContent>
                          <w:p>
                            <w:pPr>
                              <w:pStyle w:val="Style35"/>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股份 状态</w:t>
                            </w:r>
                          </w:p>
                        </w:txbxContent>
                      </wps:txbx>
                      <wps:bodyPr lIns="0" tIns="0" rIns="0" bIns="0">
                        <a:noAutoFit/>
                      </wps:bodyPr>
                    </wps:wsp>
                  </a:graphicData>
                </a:graphic>
              </wp:anchor>
            </w:drawing>
          </mc:Choice>
          <mc:Fallback>
            <w:pict>
              <v:shape id="_x0000_s1296" type="#_x0000_t202" style="position:absolute;margin-left:455.25pt;margin-top:16.350000000000001pt;width:20.150000000000002pt;height:24.949999999999999pt;z-index:-125829311;mso-wrap-distance-left:0;mso-wrap-distance-top:16.35000000000000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股份 状态</w:t>
                      </w:r>
                    </w:p>
                  </w:txbxContent>
                </v:textbox>
                <w10:wrap type="topAndBottom" anchorx="page"/>
              </v:shape>
            </w:pict>
          </mc:Fallback>
        </mc:AlternateContent>
      </w:r>
      <w:r>
        <mc:AlternateContent>
          <mc:Choice Requires="wps">
            <w:drawing>
              <wp:anchor distT="299085" distB="76200" distL="0" distR="0" simplePos="0" relativeHeight="125829444" behindDoc="0" locked="0" layoutInCell="1" allowOverlap="1">
                <wp:simplePos x="0" y="0"/>
                <wp:positionH relativeFrom="page">
                  <wp:posOffset>6299835</wp:posOffset>
                </wp:positionH>
                <wp:positionV relativeFrom="paragraph">
                  <wp:posOffset>299085</wp:posOffset>
                </wp:positionV>
                <wp:extent cx="255905" cy="149225"/>
                <wp:wrapTopAndBottom/>
                <wp:docPr id="272" name="Shape 272"/>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xbxContent>
                      </wps:txbx>
                      <wps:bodyPr wrap="none" lIns="0" tIns="0" rIns="0" bIns="0">
                        <a:noAutoFit/>
                      </wps:bodyPr>
                    </wps:wsp>
                  </a:graphicData>
                </a:graphic>
              </wp:anchor>
            </w:drawing>
          </mc:Choice>
          <mc:Fallback>
            <w:pict>
              <v:shape id="_x0000_s1298" type="#_x0000_t202" style="position:absolute;margin-left:496.05000000000001pt;margin-top:23.550000000000001pt;width:20.150000000000002pt;height:11.75pt;z-index:-125829309;mso-wrap-distance-left:0;mso-wrap-distance-top:23.550000000000001pt;mso-wrap-distance-right:0;mso-wrap-distance-bottom:6.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xbxContent>
                </v:textbox>
                <w10:wrap type="topAndBottom" anchorx="page"/>
              </v:shape>
            </w:pict>
          </mc:Fallback>
        </mc:AlternateContent>
      </w:r>
    </w:p>
    <w:tbl>
      <w:tblPr>
        <w:tblOverlap w:val="never"/>
        <w:jc w:val="center"/>
        <w:tblLayout w:type="fixed"/>
      </w:tblPr>
      <w:tblGrid>
        <w:gridCol w:w="1872"/>
        <w:gridCol w:w="1416"/>
        <w:gridCol w:w="710"/>
        <w:gridCol w:w="994"/>
        <w:gridCol w:w="955"/>
        <w:gridCol w:w="989"/>
        <w:gridCol w:w="994"/>
        <w:gridCol w:w="566"/>
        <w:gridCol w:w="1094"/>
      </w:tblGrid>
      <w:tr>
        <w:trPr>
          <w:trHeight w:val="72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江苏东润金财投资管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16,999,999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116,026,656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92,863,933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23,162,723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116,026,656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58,159,282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49,450,861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8,708,421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33,083,333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束昱辉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42,627,013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42,627,013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42,627,013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28,459,838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关海果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13,491,055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和华株式会社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11,733,609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11,733,609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深圳市松禾成长三号 股权投资合伙企业</w:t>
            </w:r>
          </w:p>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香港中央结算有限公司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4,629,280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0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上述股东中，朱文明、东润金财为一致行动人，徐正军、王金根为连襟关系。 除此之外，上述股东之间不存在公司已知的关联关系，亦不存在公司已知的一 致行动人关系。</w:t>
            </w:r>
          </w:p>
        </w:tc>
      </w:tr>
      <w:tr>
        <w:trPr>
          <w:trHeight w:val="581" w:hRule="exact"/>
        </w:trPr>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 权情况的说明</w:t>
            </w:r>
          </w:p>
        </w:tc>
        <w:tc>
          <w:tcPr>
            <w:gridSpan w:val="7"/>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p>
      <w:pPr>
        <w:widowControl w:val="0"/>
        <w:spacing w:after="39" w:line="1" w:lineRule="exact"/>
      </w:pPr>
    </w:p>
    <w:tbl>
      <w:tblPr>
        <w:tblOverlap w:val="never"/>
        <w:jc w:val="center"/>
        <w:tblLayout w:type="fixed"/>
      </w:tblPr>
      <w:tblGrid>
        <w:gridCol w:w="4579"/>
        <w:gridCol w:w="2299"/>
        <w:gridCol w:w="1349"/>
        <w:gridCol w:w="1378"/>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报告期末持有无限售条件股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份数量</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江苏东润金财投资管理有限公司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155,040,000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75,360,000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75,360,000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束昱辉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42,627,013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42,627,013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28,459,838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28,459,838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23,162,723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23,162,723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关海果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13,491,055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13,491,055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和华株式会社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11,733,609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11,733,609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8,708,421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8,708,421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深圳市松禾成长三号股权投资合伙企业（有限合伙）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4,629,280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4,629,280</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left"/>
            </w:pPr>
            <w:r>
              <w:rPr>
                <w:color w:val="000000"/>
                <w:spacing w:val="0"/>
                <w:w w:val="100"/>
                <w:position w:val="0"/>
              </w:rPr>
              <w:t>上述股东中，朱文明、东润金财为一致行动人，徐正军、王金 根为连襟关系。除此之外，上述股东之间不存在公司已知的关 联关系，亦不存在公司已知的一致行动人关系。</w:t>
            </w:r>
          </w:p>
        </w:tc>
      </w:tr>
      <w:tr>
        <w:trPr>
          <w:trHeight w:val="61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名普通股股东参与融资融券业务情况说明（如有） （参见注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名普通股股东中，东润金财、关海果参与融资融券业务， 其分别通过信用证券账户持有</w:t>
            </w:r>
            <w:r>
              <w:rPr>
                <w:rFonts w:ascii="Times New Roman" w:eastAsia="Times New Roman" w:hAnsi="Times New Roman" w:cs="Times New Roman"/>
                <w:color w:val="000000"/>
                <w:spacing w:val="0"/>
                <w:w w:val="100"/>
                <w:position w:val="0"/>
                <w:sz w:val="18"/>
                <w:szCs w:val="18"/>
              </w:rPr>
              <w:t>48,000,000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2,418,400</w:t>
            </w:r>
            <w:r>
              <w:rPr>
                <w:color w:val="000000"/>
                <w:spacing w:val="0"/>
                <w:w w:val="100"/>
                <w:position w:val="0"/>
              </w:rPr>
              <w:t>股。</w:t>
            </w: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r>
        <w:br w:type="page"/>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380" w:line="240" w:lineRule="auto"/>
        <w:ind w:left="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9"/>
        <w:keepNext/>
        <w:keepLines/>
        <w:widowControl w:val="0"/>
        <w:shd w:val="clear" w:color="auto" w:fill="auto"/>
        <w:bidi w:val="0"/>
        <w:spacing w:before="0" w:after="380" w:line="240" w:lineRule="auto"/>
        <w:ind w:left="0" w:right="0" w:firstLine="46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、公司控股股东情况</w:t>
      </w:r>
      <w:bookmarkEnd w:id="519"/>
      <w:bookmarkEnd w:id="520"/>
      <w:bookmarkEnd w:id="522"/>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控股股东性质：自然人控股</w:t>
      </w:r>
    </w:p>
    <w:p>
      <w:pPr>
        <w:pStyle w:val="Style35"/>
        <w:keepNext w:val="0"/>
        <w:keepLines w:val="0"/>
        <w:widowControl w:val="0"/>
        <w:shd w:val="clear" w:color="auto" w:fill="auto"/>
        <w:bidi w:val="0"/>
        <w:spacing w:before="0" w:after="80" w:line="240" w:lineRule="auto"/>
        <w:ind w:left="0" w:right="0"/>
        <w:jc w:val="left"/>
      </w:pPr>
      <w:r>
        <w:rPr>
          <w:color w:val="000000"/>
          <w:spacing w:val="0"/>
          <w:w w:val="100"/>
          <w:position w:val="0"/>
        </w:rPr>
        <w:t>控股股东类型：法人</w:t>
      </w:r>
    </w:p>
    <w:tbl>
      <w:tblPr>
        <w:tblOverlap w:val="never"/>
        <w:jc w:val="center"/>
        <w:tblLayout w:type="fixed"/>
      </w:tblPr>
      <w:tblGrid>
        <w:gridCol w:w="2736"/>
        <w:gridCol w:w="1133"/>
        <w:gridCol w:w="1560"/>
        <w:gridCol w:w="1848"/>
        <w:gridCol w:w="2366"/>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江苏东润金财投资管理有限公司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9132098272281206X2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投资业务；投资管理咨询服务</w:t>
            </w:r>
            <w:r>
              <w:rPr>
                <w:color w:val="000000"/>
                <w:spacing w:val="0"/>
                <w:w w:val="100"/>
                <w:position w:val="0"/>
              </w:rPr>
              <w:t>。</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控股股东报告期内控股和参股的 其他境内外上市公司的股权情况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公司报告期控股股东未发生变更。</w:t>
      </w:r>
    </w:p>
    <w:p>
      <w:pPr>
        <w:pStyle w:val="Style39"/>
        <w:keepNext/>
        <w:keepLines/>
        <w:widowControl w:val="0"/>
        <w:shd w:val="clear" w:color="auto" w:fill="auto"/>
        <w:bidi w:val="0"/>
        <w:spacing w:before="0" w:after="380" w:line="240" w:lineRule="auto"/>
        <w:ind w:left="0" w:right="0" w:firstLine="46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、公司实际控制人及其一致行动人</w:t>
      </w:r>
      <w:bookmarkEnd w:id="523"/>
      <w:bookmarkEnd w:id="524"/>
      <w:bookmarkEnd w:id="526"/>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实际控制人性质：境内自然人</w:t>
      </w:r>
    </w:p>
    <w:p>
      <w:pPr>
        <w:pStyle w:val="Style35"/>
        <w:keepNext w:val="0"/>
        <w:keepLines w:val="0"/>
        <w:widowControl w:val="0"/>
        <w:shd w:val="clear" w:color="auto" w:fill="auto"/>
        <w:bidi w:val="0"/>
        <w:spacing w:before="0" w:after="80" w:line="240" w:lineRule="auto"/>
        <w:ind w:left="0" w:right="0"/>
        <w:jc w:val="left"/>
      </w:pPr>
      <w:r>
        <w:rPr>
          <w:color w:val="000000"/>
          <w:spacing w:val="0"/>
          <w:w w:val="100"/>
          <w:position w:val="0"/>
        </w:rPr>
        <w:t>实际控制人类型：自然人</w:t>
      </w:r>
    </w:p>
    <w:tbl>
      <w:tblPr>
        <w:tblOverlap w:val="never"/>
        <w:jc w:val="center"/>
        <w:tblLayout w:type="fixed"/>
      </w:tblPr>
      <w:tblGrid>
        <w:gridCol w:w="1886"/>
        <w:gridCol w:w="2554"/>
        <w:gridCol w:w="2554"/>
        <w:gridCol w:w="2650"/>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实际控制人姓名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5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9" w:lineRule="exact"/>
              <w:ind w:left="0" w:right="0" w:firstLine="380"/>
              <w:jc w:val="both"/>
            </w:pPr>
            <w:r>
              <w:rPr>
                <w:color w:val="000000"/>
                <w:spacing w:val="0"/>
                <w:w w:val="100"/>
                <w:position w:val="0"/>
              </w:rPr>
              <w:t>现任本公司、江苏丰东热技术有限公司、江苏东润金财投资管理有限公司、上海丰东热处理工 程有限公司、南京丰东热处理工程有限公司、天津丰东热处理有限公司、江苏石川岛丰东真空技术 有限公司、盐城高周波热炼有限公司董事长，广州丰东热炼有限公司副董事长，上海垒土资产管理 有限公司、苏州丰东热处理技术有限公司、重庆东润君浩实业有限公司、江苏丰东热处理及表面改 性工程技术研究有限公司、艾普零件制造（苏州）股份有限公司董事，江苏菌钥生命科技发展有限 公司监事，上海君德实业有限公司、上海君浩实业有限公司执行董事。</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内外上市公司情况</w:t>
            </w:r>
          </w:p>
        </w:tc>
        <w:tc>
          <w:tcPr>
            <w:gridSpan w:val="3"/>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朱文明先生除为本公司实际控制人外，过去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年内未曾控股其他境内外上市公司。</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公司报告期实际控制人未发生变更。</w:t>
      </w:r>
    </w:p>
    <w:p>
      <w:pPr>
        <w:pStyle w:val="Style35"/>
        <w:keepNext w:val="0"/>
        <w:keepLines w:val="0"/>
        <w:widowControl w:val="0"/>
        <w:shd w:val="clear" w:color="auto" w:fill="auto"/>
        <w:bidi w:val="0"/>
        <w:spacing w:before="0" w:after="240" w:line="240" w:lineRule="auto"/>
        <w:ind w:left="0" w:right="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1791970" cy="1578610"/>
            <wp:docPr id="274" name="Picutre 274"/>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87"/>
                    <a:stretch/>
                  </pic:blipFill>
                  <pic:spPr>
                    <a:xfrm>
                      <a:ext cx="1791970" cy="1578610"/>
                    </a:xfrm>
                    <a:prstGeom prst="rect"/>
                  </pic:spPr>
                </pic:pic>
              </a:graphicData>
            </a:graphic>
          </wp:inline>
        </w:drawing>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838" w:val="left"/>
        </w:tabs>
        <w:bidi w:val="0"/>
        <w:spacing w:before="0" w:after="380" w:line="240" w:lineRule="auto"/>
        <w:ind w:left="0" w:right="0" w:firstLine="46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7"/>
      <w:bookmarkEnd w:id="528"/>
      <w:bookmarkEnd w:id="530"/>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838" w:val="left"/>
        </w:tabs>
        <w:bidi w:val="0"/>
        <w:spacing w:before="0" w:after="380" w:line="240" w:lineRule="auto"/>
        <w:ind w:left="0" w:right="0" w:firstLine="46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5</w:t>
      </w:r>
      <w:bookmarkEnd w:id="533"/>
      <w:r>
        <w:rPr>
          <w:color w:val="000000"/>
          <w:spacing w:val="0"/>
          <w:w w:val="100"/>
          <w:position w:val="0"/>
        </w:rPr>
        <w:t>、</w:t>
        <w:tab/>
        <w:t>控股股东、实际控制人、重组方及其他承诺主体股份限制减持情况</w:t>
      </w:r>
      <w:bookmarkEnd w:id="531"/>
      <w:bookmarkEnd w:id="532"/>
      <w:bookmarkEnd w:id="534"/>
    </w:p>
    <w:p>
      <w:pPr>
        <w:pStyle w:val="Style35"/>
        <w:keepNext w:val="0"/>
        <w:keepLines w:val="0"/>
        <w:widowControl w:val="0"/>
        <w:shd w:val="clear" w:color="auto" w:fill="auto"/>
        <w:bidi w:val="0"/>
        <w:spacing w:before="0" w:after="380" w:line="240" w:lineRule="auto"/>
        <w:ind w:left="0" w:right="0"/>
        <w:jc w:val="left"/>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41" w:right="1175" w:bottom="1681" w:left="108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7"/>
        <w:keepNext/>
        <w:keepLines/>
        <w:widowControl w:val="0"/>
        <w:shd w:val="clear" w:color="auto" w:fill="auto"/>
        <w:bidi w:val="0"/>
        <w:spacing w:before="0" w:after="560" w:line="240" w:lineRule="auto"/>
        <w:ind w:left="0" w:right="0" w:firstLine="0"/>
        <w:jc w:val="center"/>
      </w:pPr>
      <w:bookmarkStart w:id="535" w:name="bookmark535"/>
      <w:bookmarkStart w:id="536" w:name="bookmark536"/>
      <w:bookmarkStart w:id="537" w:name="bookmark537"/>
      <w:r>
        <w:rPr>
          <w:color w:val="000000"/>
          <w:spacing w:val="0"/>
          <w:w w:val="100"/>
          <w:position w:val="0"/>
        </w:rPr>
        <w:t>第七节优先股相关情况</w:t>
      </w:r>
      <w:bookmarkEnd w:id="535"/>
      <w:bookmarkEnd w:id="536"/>
      <w:bookmarkEnd w:id="537"/>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jc w:val="left"/>
        <w:sectPr>
          <w:footnotePr>
            <w:pos w:val="pageBottom"/>
            <w:numFmt w:val="decimal"/>
            <w:numRestart w:val="continuous"/>
          </w:footnotePr>
          <w:pgSz w:w="11900" w:h="16840"/>
          <w:pgMar w:top="1935" w:right="1170" w:bottom="1935" w:left="1088"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500" w:after="560" w:line="240" w:lineRule="auto"/>
        <w:ind w:left="0" w:right="0" w:firstLine="0"/>
        <w:jc w:val="center"/>
      </w:pPr>
      <w:bookmarkStart w:id="538" w:name="bookmark538"/>
      <w:bookmarkStart w:id="539" w:name="bookmark539"/>
      <w:bookmarkStart w:id="540" w:name="bookmark540"/>
      <w:r>
        <w:rPr>
          <w:color w:val="000000"/>
          <w:spacing w:val="0"/>
          <w:w w:val="100"/>
          <w:position w:val="0"/>
        </w:rPr>
        <w:t>第八节可转换公司债券相关情况</w:t>
      </w:r>
      <w:bookmarkEnd w:id="538"/>
      <w:bookmarkEnd w:id="539"/>
      <w:bookmarkEnd w:id="540"/>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00" w:line="240" w:lineRule="auto"/>
        <w:ind w:left="0" w:right="0" w:firstLine="0"/>
        <w:jc w:val="center"/>
      </w:pPr>
      <w:bookmarkStart w:id="541" w:name="bookmark541"/>
      <w:bookmarkStart w:id="542" w:name="bookmark542"/>
      <w:bookmarkStart w:id="543" w:name="bookmark543"/>
      <w:r>
        <w:rPr>
          <w:color w:val="000000"/>
          <w:spacing w:val="0"/>
          <w:w w:val="100"/>
          <w:position w:val="0"/>
        </w:rPr>
        <w:t>第九节 董事、监事、高级管理人员和员工情况</w:t>
      </w:r>
      <w:bookmarkEnd w:id="541"/>
      <w:bookmarkEnd w:id="542"/>
      <w:bookmarkEnd w:id="543"/>
    </w:p>
    <w:p>
      <w:pPr>
        <w:pStyle w:val="Style29"/>
        <w:keepNext/>
        <w:keepLines/>
        <w:widowControl w:val="0"/>
        <w:shd w:val="clear" w:color="auto" w:fill="auto"/>
        <w:bidi w:val="0"/>
        <w:spacing w:before="0" w:after="32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一</w:t>
      </w:r>
      <w:bookmarkEnd w:id="546"/>
      <w:r>
        <w:rPr>
          <w:color w:val="000000"/>
          <w:spacing w:val="0"/>
          <w:w w:val="100"/>
          <w:position w:val="0"/>
          <w:sz w:val="24"/>
          <w:szCs w:val="24"/>
        </w:rPr>
        <w:t>、董事、监事和高级管理人员持股变动</w:t>
      </w:r>
      <w:bookmarkEnd w:id="544"/>
      <w:bookmarkEnd w:id="545"/>
      <w:bookmarkEnd w:id="547"/>
    </w:p>
    <w:tbl>
      <w:tblPr>
        <w:tblOverlap w:val="never"/>
        <w:jc w:val="center"/>
        <w:tblLayout w:type="fixed"/>
      </w:tblPr>
      <w:tblGrid>
        <w:gridCol w:w="754"/>
        <w:gridCol w:w="883"/>
        <w:gridCol w:w="533"/>
        <w:gridCol w:w="427"/>
        <w:gridCol w:w="422"/>
        <w:gridCol w:w="994"/>
        <w:gridCol w:w="994"/>
        <w:gridCol w:w="994"/>
        <w:gridCol w:w="854"/>
        <w:gridCol w:w="989"/>
        <w:gridCol w:w="710"/>
        <w:gridCol w:w="1094"/>
      </w:tblGrid>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任职 状态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期初持股数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本期增持 股份数量</w:t>
            </w:r>
          </w:p>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本期减持股 份数量（股）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exact"/>
              <w:ind w:left="0" w:right="0" w:firstLine="0"/>
              <w:jc w:val="left"/>
            </w:pPr>
            <w:r>
              <w:rPr>
                <w:color w:val="000000"/>
                <w:spacing w:val="0"/>
                <w:w w:val="100"/>
                <w:position w:val="0"/>
              </w:rPr>
              <w:t>其他增 减变动</w:t>
            </w:r>
          </w:p>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期末持股数 （股）</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58,159,282</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123,818,578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116,026,656</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林大海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夏维剑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监事会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褚文兰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754"/>
        <w:gridCol w:w="883"/>
        <w:gridCol w:w="533"/>
        <w:gridCol w:w="427"/>
        <w:gridCol w:w="422"/>
        <w:gridCol w:w="994"/>
        <w:gridCol w:w="994"/>
        <w:gridCol w:w="994"/>
        <w:gridCol w:w="854"/>
        <w:gridCol w:w="989"/>
        <w:gridCol w:w="710"/>
        <w:gridCol w:w="1094"/>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夏晓宇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俞玉岚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189,754,980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15,567,122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174,187,858</w:t>
            </w:r>
          </w:p>
        </w:tc>
      </w:tr>
    </w:tbl>
    <w:p>
      <w:pPr>
        <w:widowControl w:val="0"/>
        <w:spacing w:after="299" w:line="1" w:lineRule="exact"/>
      </w:pPr>
    </w:p>
    <w:p>
      <w:pPr>
        <w:pStyle w:val="Style29"/>
        <w:keepNext/>
        <w:keepLines/>
        <w:widowControl w:val="0"/>
        <w:shd w:val="clear" w:color="auto" w:fill="auto"/>
        <w:bidi w:val="0"/>
        <w:spacing w:before="0" w:after="34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二</w:t>
      </w:r>
      <w:bookmarkEnd w:id="550"/>
      <w:r>
        <w:rPr>
          <w:color w:val="000000"/>
          <w:spacing w:val="0"/>
          <w:w w:val="100"/>
          <w:position w:val="0"/>
          <w:sz w:val="24"/>
          <w:szCs w:val="24"/>
        </w:rPr>
        <w:t>、公司董事、监事、高级管理人员变动情况</w:t>
      </w:r>
      <w:bookmarkEnd w:id="548"/>
      <w:bookmarkEnd w:id="549"/>
      <w:bookmarkEnd w:id="551"/>
    </w:p>
    <w:p>
      <w:pPr>
        <w:pStyle w:val="Style33"/>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37"/>
        <w:gridCol w:w="1416"/>
        <w:gridCol w:w="1277"/>
        <w:gridCol w:w="1632"/>
        <w:gridCol w:w="4282"/>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第四届董事会董事任期届满离任</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第四届董事会董事、高级管理人员任期届满离任</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第四届董事会董事任期届满离任</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夏晓宇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第四届董事会董事任期届满离任</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俞玉岚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第四届监事会监事任期届满离任</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第四届高级管理人员任期届满离任</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三</w:t>
      </w:r>
      <w:bookmarkEnd w:id="554"/>
      <w:r>
        <w:rPr>
          <w:color w:val="000000"/>
          <w:spacing w:val="0"/>
          <w:w w:val="100"/>
          <w:position w:val="0"/>
          <w:sz w:val="24"/>
          <w:szCs w:val="24"/>
        </w:rPr>
        <w:t>、任职情况</w:t>
      </w:r>
      <w:bookmarkEnd w:id="552"/>
      <w:bookmarkEnd w:id="553"/>
      <w:bookmarkEnd w:id="555"/>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0" w:line="314" w:lineRule="exact"/>
        <w:ind w:left="0" w:right="0"/>
        <w:jc w:val="left"/>
      </w:pPr>
      <w:bookmarkStart w:id="556" w:name="bookmark556"/>
      <w:r>
        <w:rPr>
          <w:rFonts w:ascii="Times New Roman" w:eastAsia="Times New Roman" w:hAnsi="Times New Roman" w:cs="Times New Roman"/>
          <w:b/>
          <w:bCs/>
          <w:color w:val="000000"/>
          <w:spacing w:val="0"/>
          <w:w w:val="100"/>
          <w:position w:val="0"/>
          <w:sz w:val="18"/>
          <w:szCs w:val="18"/>
        </w:rPr>
        <w:t>1</w:t>
      </w:r>
      <w:bookmarkEnd w:id="556"/>
      <w:r>
        <w:rPr>
          <w:b/>
          <w:bCs/>
          <w:color w:val="000000"/>
          <w:spacing w:val="0"/>
          <w:w w:val="100"/>
          <w:position w:val="0"/>
        </w:rPr>
        <w:t>、公司现任董事专业背景、主要工作经历以及目前在公司的主要职责</w:t>
      </w:r>
    </w:p>
    <w:p>
      <w:pPr>
        <w:pStyle w:val="Style35"/>
        <w:keepNext w:val="0"/>
        <w:keepLines w:val="0"/>
        <w:widowControl w:val="0"/>
        <w:shd w:val="clear" w:color="auto" w:fill="auto"/>
        <w:bidi w:val="0"/>
        <w:spacing w:before="0" w:after="0" w:line="314" w:lineRule="exact"/>
        <w:ind w:left="0" w:right="0"/>
        <w:jc w:val="left"/>
      </w:pPr>
      <w:r>
        <w:rPr>
          <w:b/>
          <w:bCs/>
          <w:color w:val="000000"/>
          <w:spacing w:val="0"/>
          <w:w w:val="100"/>
          <w:position w:val="0"/>
        </w:rPr>
        <w:t>朱文明，</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年出生，本科学历。历任本公司前身盐城丰东热处理有限公司生产部技术员、营销部部长、 副总经理、总经理、董事、董事长。现任本公司董事长。兼任江苏东润金财投资管理有限公司、江苏丰东热技术有限公司、 上海丰东热处理工程有限公司、南京丰东热处理工程有限公司、天津丰东热处理有限公司、江苏石川岛丰东真空技术有限公 司、盐城高周波热炼有限公司董事长，广州丰东热炼有限公司副董事长，上海垒土资产管理有限公司、重庆东润君浩实业有 限公司、苏州丰东热处理技术有限公司、江苏丰东热处理及表面改性工程技术研究有限公司、艾普零件制造（苏州）股份有 限公司董事，江苏菌钥生命科技发展有限公司监事，上海君德实业有限公司、上海君浩实业有限公司执行董事。社会职务有： 中国机械工程学会热处理分会常务理事、江苏省党代表、盐城市工商联副会长。</w:t>
      </w:r>
    </w:p>
    <w:p>
      <w:pPr>
        <w:pStyle w:val="Style35"/>
        <w:keepNext w:val="0"/>
        <w:keepLines w:val="0"/>
        <w:widowControl w:val="0"/>
        <w:shd w:val="clear" w:color="auto" w:fill="auto"/>
        <w:bidi w:val="0"/>
        <w:spacing w:before="0" w:after="120" w:line="311" w:lineRule="exact"/>
        <w:ind w:left="0" w:right="0"/>
        <w:jc w:val="left"/>
      </w:pPr>
      <w:r>
        <w:rPr>
          <w:b/>
          <w:bCs/>
          <w:color w:val="000000"/>
          <w:spacing w:val="0"/>
          <w:w w:val="100"/>
          <w:position w:val="0"/>
        </w:rPr>
        <w:t>徐正军</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年出生，清华大学高级工商管理硕士，方欣科技有限公司创始人、董事长。现任本公司副 董事长、总经理；方欣科技有限公司董事长。兼任樟树市益东投资管理中心（有限合伙）执行事务合伙人；北京方欣恒利科 技有限公司董事长；杭州金才科技有限公司、广东龙达财税服务有限公司、山东神创信息科技有限公司董事；金财慧盈保险 经纪有限公司执行董事；广州金财互联科技有限公司执行董事、经理；上海益东科技有限公司、上海湾区科技发展有限公司 监事。徐正军先生被评定为“广州市高层次人才优秀专家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”、“广东科技创新领军人才”。</w:t>
      </w:r>
    </w:p>
    <w:p>
      <w:pPr>
        <w:pStyle w:val="Style35"/>
        <w:keepNext w:val="0"/>
        <w:keepLines w:val="0"/>
        <w:widowControl w:val="0"/>
        <w:shd w:val="clear" w:color="auto" w:fill="auto"/>
        <w:bidi w:val="0"/>
        <w:spacing w:before="0" w:after="200" w:line="317" w:lineRule="exact"/>
        <w:ind w:left="0" w:right="0"/>
        <w:jc w:val="left"/>
        <w:sectPr>
          <w:footnotePr>
            <w:pos w:val="pageBottom"/>
            <w:numFmt w:val="decimal"/>
            <w:numRestart w:val="continuous"/>
          </w:footnotePr>
          <w:pgSz w:w="11900" w:h="16840"/>
          <w:pgMar w:top="1441" w:right="1063" w:bottom="1671" w:left="1036" w:header="0" w:footer="3" w:gutter="0"/>
          <w:cols w:space="720"/>
          <w:noEndnote/>
          <w:rtlGutter w:val="0"/>
          <w:docGrid w:linePitch="360"/>
        </w:sectPr>
      </w:pPr>
      <w:r>
        <w:rPr>
          <w:b/>
          <w:bCs/>
          <w:color w:val="000000"/>
          <w:spacing w:val="0"/>
          <w:w w:val="100"/>
          <w:position w:val="0"/>
        </w:rPr>
        <w:t>黄光明，</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年出生，天津大学研究生毕业，获硕士学位。历任深圳市华达电源系统有限公司和艾诺斯 （中国）华达电源系统有限公司经理、方欣科技有限公司营销中心总监、副总经理。现任本公司董事、副总经理；方欣科技 有限公司董事、总经理；兼任北京方欣恒利科技有限公司、浙江金财立信财务管理有限公司董事，金财互联数据服务有限公</w:t>
      </w:r>
    </w:p>
    <w:p>
      <w:pPr>
        <w:pStyle w:val="Style35"/>
        <w:keepNext w:val="0"/>
        <w:keepLines w:val="0"/>
        <w:widowControl w:val="0"/>
        <w:shd w:val="clear" w:color="auto" w:fill="auto"/>
        <w:bidi w:val="0"/>
        <w:spacing w:before="0" w:after="0" w:line="392" w:lineRule="exact"/>
        <w:ind w:left="0" w:right="0" w:firstLine="5820"/>
        <w:jc w:val="both"/>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司、山东金财互联数据服务有限公司、广州金财互联区块链科技有限公司执行董事，广州翼税数据服务有限公司、北京金财 纵横信息咨询服务有限公司执行董事、总经理，广州翼税数据服务有限公司执行董事、经理，金财慧盈保险经纪有限公司经 理，广州金财互联税务顾问有限公司监事。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年度被评定为广州优秀软件人才的“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年软件行业风云人物”、广州开发区 萝岗区创新创业骨干人才和紧缺人才，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年度获得其他营利性服务业企业高管人才奖励。</w:t>
      </w:r>
    </w:p>
    <w:p>
      <w:pPr>
        <w:pStyle w:val="Style35"/>
        <w:keepNext w:val="0"/>
        <w:keepLines w:val="0"/>
        <w:widowControl w:val="0"/>
        <w:shd w:val="clear" w:color="auto" w:fill="auto"/>
        <w:bidi w:val="0"/>
        <w:spacing w:before="0" w:after="0" w:line="310" w:lineRule="exact"/>
        <w:ind w:left="0" w:right="0"/>
        <w:jc w:val="both"/>
      </w:pPr>
      <w:r>
        <w:rPr>
          <w:b/>
          <w:bCs/>
          <w:color w:val="000000"/>
          <w:spacing w:val="0"/>
          <w:w w:val="100"/>
          <w:position w:val="0"/>
        </w:rPr>
        <w:t>林大海，</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年出生，硕士学位，现任本公司董事，方欣科技有限公司董事、方欣科技有限公司首席架 构师兼电局事业部总经理；兼任青岛高新金财信息科技有限公司执行董事。广东省科技咨询专家库入库专家，广州市科技专 家库入库专家，广州市优秀人才。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年度广州优秀软件人才的“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年软件行业风云人物”，</w:t>
      </w:r>
      <w:r>
        <w:rPr>
          <w:rFonts w:ascii="Times New Roman" w:eastAsia="Times New Roman" w:hAnsi="Times New Roman" w:cs="Times New Roman"/>
          <w:color w:val="000000"/>
          <w:spacing w:val="0"/>
          <w:w w:val="100"/>
          <w:position w:val="0"/>
          <w:sz w:val="18"/>
          <w:szCs w:val="18"/>
        </w:rPr>
        <w:t>2013-2016</w:t>
      </w:r>
      <w:r>
        <w:rPr>
          <w:color w:val="000000"/>
          <w:spacing w:val="0"/>
          <w:w w:val="100"/>
          <w:position w:val="0"/>
        </w:rPr>
        <w:t>连续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年评为广州开 发区萝岗区创新创业骨干人才和紧缺人才。</w:t>
      </w:r>
    </w:p>
    <w:p>
      <w:pPr>
        <w:pStyle w:val="Style35"/>
        <w:keepNext w:val="0"/>
        <w:keepLines w:val="0"/>
        <w:widowControl w:val="0"/>
        <w:shd w:val="clear" w:color="auto" w:fill="auto"/>
        <w:bidi w:val="0"/>
        <w:spacing w:before="0" w:after="0" w:line="326" w:lineRule="exact"/>
        <w:ind w:left="0" w:right="0"/>
        <w:jc w:val="both"/>
      </w:pPr>
      <w:r>
        <w:rPr>
          <w:b/>
          <w:bCs/>
          <w:color w:val="000000"/>
          <w:spacing w:val="0"/>
          <w:w w:val="100"/>
          <w:position w:val="0"/>
        </w:rPr>
        <w:t>陈丽花</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年出生，管理学博士，南京大学商学院会计学系教授。历任南京大学讲师、南京大学副教 授、南京大学教授。担任本公司独立董事。</w:t>
      </w:r>
    </w:p>
    <w:p>
      <w:pPr>
        <w:pStyle w:val="Style35"/>
        <w:keepNext w:val="0"/>
        <w:keepLines w:val="0"/>
        <w:widowControl w:val="0"/>
        <w:shd w:val="clear" w:color="auto" w:fill="auto"/>
        <w:bidi w:val="0"/>
        <w:spacing w:before="0" w:after="0" w:line="326" w:lineRule="exact"/>
        <w:ind w:left="0" w:right="0"/>
        <w:jc w:val="both"/>
      </w:pPr>
      <w:r>
        <w:rPr>
          <w:b/>
          <w:bCs/>
          <w:color w:val="000000"/>
          <w:spacing w:val="0"/>
          <w:w w:val="100"/>
          <w:position w:val="0"/>
        </w:rPr>
        <w:t>季小琴</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年出生，管理学（会计学）博士，中国注册会计师非执业会员，中国会计学会资深会员。 现任职于中南财经政法大学会计学院会计系副教授、会计学专业硕士生导师；兼任“九三”学社湖北省委第六届妇女工作委 员会委员。担任本公司、湖北鼎龙控股股份有限公司、武汉精测电子集团股份有限公司独立董事。</w:t>
      </w:r>
    </w:p>
    <w:p>
      <w:pPr>
        <w:pStyle w:val="Style35"/>
        <w:keepNext w:val="0"/>
        <w:keepLines w:val="0"/>
        <w:widowControl w:val="0"/>
        <w:shd w:val="clear" w:color="auto" w:fill="auto"/>
        <w:bidi w:val="0"/>
        <w:spacing w:before="0" w:after="0" w:line="326" w:lineRule="exact"/>
        <w:ind w:left="0" w:right="0"/>
        <w:jc w:val="both"/>
      </w:pPr>
      <w:r>
        <w:rPr>
          <w:b/>
          <w:bCs/>
          <w:color w:val="000000"/>
          <w:spacing w:val="0"/>
          <w:w w:val="100"/>
          <w:position w:val="0"/>
        </w:rPr>
        <w:t>夏维剑</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年出生，大学法律本科毕业，执业律师，中共党员。曾在南京市司法局工作；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至今，从事律师工作。现任江苏金禾律师事务所合伙人、本公司独立董事。</w:t>
      </w:r>
    </w:p>
    <w:p>
      <w:pPr>
        <w:pStyle w:val="Style35"/>
        <w:keepNext w:val="0"/>
        <w:keepLines w:val="0"/>
        <w:widowControl w:val="0"/>
        <w:shd w:val="clear" w:color="auto" w:fill="auto"/>
        <w:tabs>
          <w:tab w:pos="694" w:val="left"/>
        </w:tabs>
        <w:bidi w:val="0"/>
        <w:spacing w:before="0" w:after="0" w:line="318" w:lineRule="exact"/>
        <w:ind w:left="0" w:right="0"/>
        <w:jc w:val="both"/>
      </w:pPr>
      <w:bookmarkStart w:id="557" w:name="bookmark557"/>
      <w:r>
        <w:rPr>
          <w:rFonts w:ascii="Times New Roman" w:eastAsia="Times New Roman" w:hAnsi="Times New Roman" w:cs="Times New Roman"/>
          <w:b/>
          <w:bCs/>
          <w:color w:val="000000"/>
          <w:spacing w:val="0"/>
          <w:w w:val="100"/>
          <w:position w:val="0"/>
          <w:sz w:val="18"/>
          <w:szCs w:val="18"/>
        </w:rPr>
        <w:t>2</w:t>
      </w:r>
      <w:bookmarkEnd w:id="557"/>
      <w:r>
        <w:rPr>
          <w:b/>
          <w:bCs/>
          <w:color w:val="000000"/>
          <w:spacing w:val="0"/>
          <w:w w:val="100"/>
          <w:position w:val="0"/>
        </w:rPr>
        <w:t>、</w:t>
        <w:tab/>
        <w:t>公司现任监事专业背景、主要工作经历以及目前在公司的主要职责</w:t>
      </w:r>
    </w:p>
    <w:p>
      <w:pPr>
        <w:pStyle w:val="Style35"/>
        <w:keepNext w:val="0"/>
        <w:keepLines w:val="0"/>
        <w:widowControl w:val="0"/>
        <w:shd w:val="clear" w:color="auto" w:fill="auto"/>
        <w:bidi w:val="0"/>
        <w:spacing w:before="0" w:after="0" w:line="317" w:lineRule="exact"/>
        <w:ind w:left="0" w:right="0"/>
        <w:jc w:val="both"/>
      </w:pPr>
      <w:r>
        <w:rPr>
          <w:b/>
          <w:bCs/>
          <w:color w:val="000000"/>
          <w:spacing w:val="0"/>
          <w:w w:val="100"/>
          <w:position w:val="0"/>
        </w:rPr>
        <w:t>李伟力，</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年出生，上海财经大学专业会计硕士，中国注册会计师、注册税务师。历任北京市国家税 务局征收管理处副处长、纳税服务处副处长、征管和科技发展处处长、北京市平谷区国家税务局局长；中国五矿集团财务总 公司总经理助理（挂职）；东港股份有限公司市场总监；北京市注册税务师协会常务理事，北京法学会税收法治建设研究会 理事</w:t>
      </w:r>
      <w:r>
        <w:rPr>
          <w:color w:val="000000"/>
          <w:spacing w:val="0"/>
          <w:w w:val="100"/>
          <w:position w:val="0"/>
          <w:sz w:val="24"/>
          <w:szCs w:val="24"/>
        </w:rPr>
        <w:t>。</w:t>
      </w:r>
      <w:r>
        <w:rPr>
          <w:color w:val="000000"/>
          <w:spacing w:val="0"/>
          <w:w w:val="100"/>
          <w:position w:val="0"/>
        </w:rPr>
        <w:t>现任本公司监事会主席，方欣科技有限公司副总裁。</w:t>
      </w:r>
    </w:p>
    <w:p>
      <w:pPr>
        <w:pStyle w:val="Style35"/>
        <w:keepNext w:val="0"/>
        <w:keepLines w:val="0"/>
        <w:widowControl w:val="0"/>
        <w:shd w:val="clear" w:color="auto" w:fill="auto"/>
        <w:bidi w:val="0"/>
        <w:spacing w:before="0" w:after="0" w:line="317" w:lineRule="exact"/>
        <w:ind w:left="0" w:right="0"/>
        <w:jc w:val="both"/>
      </w:pPr>
      <w:r>
        <w:rPr>
          <w:b/>
          <w:bCs/>
          <w:color w:val="000000"/>
          <w:spacing w:val="0"/>
          <w:w w:val="100"/>
          <w:position w:val="0"/>
        </w:rPr>
        <w:t>季祥，</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年出生，本科学历。历任公司前身盐城丰东热处理有限公司技术员、售后服务部部长。现任 本公司监事，江苏丰东热技术有限公司监事、投资总监；兼任重庆丰东热处理工程有限公司、重庆丰东金属表面处理有限公 司和广州鑫润丰东热处理有限公司董事，上海丰东热处理工程有限公司、江苏丰东热处理及表面改性工程技术研究有限公司、 南京丰东热处理工程有限公司、天津丰东热处理有限公司、盐城丰东特种炉业有限公司、常州鑫润丰东热处理工程有限公司、 潍坊丰东热处理有限公司、烟台丰东热技术有限公司、盐城丰东祺耀工业炉有限公司、上海宝华威热处理设备有限公司、苏 州丰东热处理技术有限公司、武汉丰东热技术有限公司、盐城高周波热炼有限公司、江苏石川岛丰东真空技术有限公司和广 州丰东热炼有限公司监事。</w:t>
      </w:r>
    </w:p>
    <w:p>
      <w:pPr>
        <w:pStyle w:val="Style35"/>
        <w:keepNext w:val="0"/>
        <w:keepLines w:val="0"/>
        <w:widowControl w:val="0"/>
        <w:shd w:val="clear" w:color="auto" w:fill="auto"/>
        <w:bidi w:val="0"/>
        <w:spacing w:before="0" w:after="0" w:line="314" w:lineRule="exact"/>
        <w:ind w:left="0" w:right="0"/>
        <w:jc w:val="both"/>
      </w:pPr>
      <w:r>
        <w:rPr>
          <w:b/>
          <w:bCs/>
          <w:color w:val="000000"/>
          <w:spacing w:val="0"/>
          <w:w w:val="100"/>
          <w:position w:val="0"/>
        </w:rPr>
        <w:t>朱雪芳，</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年出生，本科学历，人力资源管理师。现任本公司职工监事、证券事务代表，方欣科技有 限公司董事长秘书、采购部副总监；兼任北京方欣恒利科技有限公司董事，青岛高新金财信息科技有限公司、上海金财盛慧 科技有限公司监事。</w:t>
      </w:r>
    </w:p>
    <w:p>
      <w:pPr>
        <w:pStyle w:val="Style35"/>
        <w:keepNext w:val="0"/>
        <w:keepLines w:val="0"/>
        <w:widowControl w:val="0"/>
        <w:shd w:val="clear" w:color="auto" w:fill="auto"/>
        <w:tabs>
          <w:tab w:pos="694" w:val="left"/>
        </w:tabs>
        <w:bidi w:val="0"/>
        <w:spacing w:before="0" w:after="0" w:line="318" w:lineRule="exact"/>
        <w:ind w:left="0" w:right="0"/>
        <w:jc w:val="both"/>
      </w:pPr>
      <w:bookmarkStart w:id="558" w:name="bookmark558"/>
      <w:r>
        <w:rPr>
          <w:rFonts w:ascii="Times New Roman" w:eastAsia="Times New Roman" w:hAnsi="Times New Roman" w:cs="Times New Roman"/>
          <w:b/>
          <w:bCs/>
          <w:color w:val="000000"/>
          <w:spacing w:val="0"/>
          <w:w w:val="100"/>
          <w:position w:val="0"/>
          <w:sz w:val="18"/>
          <w:szCs w:val="18"/>
        </w:rPr>
        <w:t>3</w:t>
      </w:r>
      <w:bookmarkEnd w:id="558"/>
      <w:r>
        <w:rPr>
          <w:b/>
          <w:bCs/>
          <w:color w:val="000000"/>
          <w:spacing w:val="0"/>
          <w:w w:val="100"/>
          <w:position w:val="0"/>
        </w:rPr>
        <w:t>、</w:t>
        <w:tab/>
        <w:t>公司现任高级管理人员专业背景、主要工作经历以及目前在公司的主要职责</w:t>
      </w:r>
    </w:p>
    <w:p>
      <w:pPr>
        <w:pStyle w:val="Style35"/>
        <w:keepNext w:val="0"/>
        <w:keepLines w:val="0"/>
        <w:widowControl w:val="0"/>
        <w:shd w:val="clear" w:color="auto" w:fill="auto"/>
        <w:bidi w:val="0"/>
        <w:spacing w:before="0" w:after="0" w:line="318" w:lineRule="exact"/>
        <w:ind w:left="0" w:right="0"/>
        <w:jc w:val="both"/>
      </w:pPr>
      <w:r>
        <w:rPr>
          <w:b/>
          <w:bCs/>
          <w:color w:val="000000"/>
          <w:spacing w:val="0"/>
          <w:w w:val="100"/>
          <w:position w:val="0"/>
        </w:rPr>
        <w:t>徐正军，总经理，详见本节</w:t>
      </w:r>
      <w:r>
        <w:rPr>
          <w:b/>
          <w:bCs/>
          <w:color w:val="000000"/>
          <w:spacing w:val="0"/>
          <w:w w:val="100"/>
          <w:position w:val="0"/>
        </w:rPr>
        <w:t>"</w:t>
      </w:r>
      <w:r>
        <w:rPr>
          <w:b/>
          <w:bCs/>
          <w:color w:val="000000"/>
          <w:spacing w:val="0"/>
          <w:w w:val="100"/>
          <w:position w:val="0"/>
        </w:rPr>
        <w:t>董事”部分。</w:t>
      </w:r>
    </w:p>
    <w:p>
      <w:pPr>
        <w:pStyle w:val="Style35"/>
        <w:keepNext w:val="0"/>
        <w:keepLines w:val="0"/>
        <w:widowControl w:val="0"/>
        <w:shd w:val="clear" w:color="auto" w:fill="auto"/>
        <w:bidi w:val="0"/>
        <w:spacing w:before="0" w:after="0" w:line="318" w:lineRule="exact"/>
        <w:ind w:left="0" w:right="0"/>
        <w:jc w:val="both"/>
      </w:pPr>
      <w:r>
        <w:rPr>
          <w:b/>
          <w:bCs/>
          <w:color w:val="000000"/>
          <w:spacing w:val="0"/>
          <w:w w:val="100"/>
          <w:position w:val="0"/>
        </w:rPr>
        <w:t>黄光明，副总经理，详见本节</w:t>
      </w:r>
      <w:r>
        <w:rPr>
          <w:b/>
          <w:bCs/>
          <w:color w:val="000000"/>
          <w:spacing w:val="0"/>
          <w:w w:val="100"/>
          <w:position w:val="0"/>
        </w:rPr>
        <w:t>"</w:t>
      </w:r>
      <w:r>
        <w:rPr>
          <w:b/>
          <w:bCs/>
          <w:color w:val="000000"/>
          <w:spacing w:val="0"/>
          <w:w w:val="100"/>
          <w:position w:val="0"/>
        </w:rPr>
        <w:t>董事”部分。</w:t>
      </w:r>
    </w:p>
    <w:p>
      <w:pPr>
        <w:pStyle w:val="Style35"/>
        <w:keepNext w:val="0"/>
        <w:keepLines w:val="0"/>
        <w:widowControl w:val="0"/>
        <w:shd w:val="clear" w:color="auto" w:fill="auto"/>
        <w:bidi w:val="0"/>
        <w:spacing w:before="0" w:after="0" w:line="318" w:lineRule="exact"/>
        <w:ind w:left="0" w:right="0"/>
        <w:jc w:val="both"/>
      </w:pPr>
      <w:r>
        <w:rPr>
          <w:b/>
          <w:bCs/>
          <w:color w:val="000000"/>
          <w:spacing w:val="0"/>
          <w:w w:val="100"/>
          <w:position w:val="0"/>
        </w:rPr>
        <w:t>刘德磊，</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年出生，本科学历，中共党员。曾在北京市中伦律师事务所担任执业律师，现任本公司副 总经理、投资总监；兼任上海垒土资产管理有限公司董事长，广东龙达财税服务有限公司、北京方欣恒利科技有限公司、江 苏理研科技股份有限公司、链甄数字科技（深圳）有限公司董事，上海君德实业有限公司监事。</w:t>
      </w:r>
    </w:p>
    <w:p>
      <w:pPr>
        <w:pStyle w:val="Style35"/>
        <w:keepNext w:val="0"/>
        <w:keepLines w:val="0"/>
        <w:widowControl w:val="0"/>
        <w:shd w:val="clear" w:color="auto" w:fill="auto"/>
        <w:bidi w:val="0"/>
        <w:spacing w:before="0" w:after="0" w:line="318" w:lineRule="exact"/>
        <w:ind w:left="0" w:right="0"/>
        <w:jc w:val="both"/>
      </w:pPr>
      <w:r>
        <w:rPr>
          <w:b/>
          <w:bCs/>
          <w:color w:val="000000"/>
          <w:spacing w:val="0"/>
          <w:w w:val="100"/>
          <w:position w:val="0"/>
        </w:rPr>
        <w:t>杨墨，</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年出生，研究生学历，北京大学硕士，中共党员。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月，就职于宁波银行 总行金融市场部；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月，就职于兴业证券股份有限公司研究所，任计算机行业分析师；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月，就职于国泰君安证券股份有限公司研究所，任计算机行业首席分析师。现任本公司副总经理。</w:t>
      </w:r>
    </w:p>
    <w:p>
      <w:pPr>
        <w:pStyle w:val="Style35"/>
        <w:keepNext w:val="0"/>
        <w:keepLines w:val="0"/>
        <w:widowControl w:val="0"/>
        <w:shd w:val="clear" w:color="auto" w:fill="auto"/>
        <w:bidi w:val="0"/>
        <w:spacing w:before="0" w:after="0" w:line="322" w:lineRule="exact"/>
        <w:ind w:left="0" w:right="0"/>
        <w:jc w:val="both"/>
      </w:pPr>
      <w:r>
        <w:rPr>
          <w:b/>
          <w:bCs/>
          <w:color w:val="000000"/>
          <w:spacing w:val="0"/>
          <w:w w:val="100"/>
          <w:position w:val="0"/>
        </w:rPr>
        <w:t>房莉莉，</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年出生，本科学历。历任公司前身盐城丰东热处理有限公司管理部行政助理，本公司证券 部助理、职工代表监事。现任本公司副总经理、董事会秘书。</w:t>
      </w:r>
    </w:p>
    <w:p>
      <w:pPr>
        <w:pStyle w:val="Style35"/>
        <w:keepNext w:val="0"/>
        <w:keepLines w:val="0"/>
        <w:widowControl w:val="0"/>
        <w:shd w:val="clear" w:color="auto" w:fill="auto"/>
        <w:bidi w:val="0"/>
        <w:spacing w:before="0" w:after="0" w:line="322" w:lineRule="exact"/>
        <w:ind w:left="0" w:right="0"/>
        <w:jc w:val="both"/>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678" w:right="1015" w:bottom="1158" w:left="1073" w:header="250" w:footer="3" w:gutter="0"/>
          <w:cols w:space="720"/>
          <w:noEndnote/>
          <w:rtlGutter w:val="0"/>
          <w:docGrid w:linePitch="360"/>
        </w:sectPr>
      </w:pPr>
      <w:r>
        <w:rPr>
          <w:b/>
          <w:bCs/>
          <w:color w:val="000000"/>
          <w:spacing w:val="0"/>
          <w:w w:val="100"/>
          <w:position w:val="0"/>
        </w:rPr>
        <w:t>褚文兰，</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年出生，硕士学历，高级会计师，中国注册会计师（证券从业资格）、中国注册资产评估</w:t>
      </w:r>
    </w:p>
    <w:p>
      <w:pPr>
        <w:pStyle w:val="Style35"/>
        <w:keepNext w:val="0"/>
        <w:keepLines w:val="0"/>
        <w:widowControl w:val="0"/>
        <w:shd w:val="clear" w:color="auto" w:fill="auto"/>
        <w:bidi w:val="0"/>
        <w:spacing w:before="0" w:after="220" w:line="319" w:lineRule="exact"/>
        <w:ind w:left="0" w:right="0" w:firstLine="0"/>
        <w:jc w:val="left"/>
      </w:pPr>
      <w:r>
        <w:rPr>
          <w:color w:val="000000"/>
          <w:spacing w:val="0"/>
          <w:w w:val="100"/>
          <w:position w:val="0"/>
        </w:rPr>
        <w:t>师、中国注册税务师，并拥有中国律师资格、</w:t>
      </w:r>
      <w:r>
        <w:rPr>
          <w:rFonts w:ascii="Times New Roman" w:eastAsia="Times New Roman" w:hAnsi="Times New Roman" w:cs="Times New Roman"/>
          <w:color w:val="000000"/>
          <w:spacing w:val="0"/>
          <w:w w:val="100"/>
          <w:position w:val="0"/>
          <w:sz w:val="18"/>
          <w:szCs w:val="18"/>
        </w:rPr>
        <w:t>ACA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资格。历任众华会计师事务所（特殊普通合伙）授薪合伙人、 上海华群实业股份有限公司财务总监、西交利物浦（国际）大学国际商学院兼职讲师。现任本公司财务总监，兼任方欣科技 有限公司董事。</w:t>
      </w: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在股东单位任职情况</w:t>
      </w:r>
    </w:p>
    <w:p>
      <w:pPr>
        <w:pStyle w:val="Style35"/>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62"/>
        <w:gridCol w:w="2750"/>
        <w:gridCol w:w="1133"/>
        <w:gridCol w:w="1637"/>
        <w:gridCol w:w="1349"/>
        <w:gridCol w:w="1512"/>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在股东单位是否 领取报酬津贴</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江苏东润金财投资管理有限公司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在其他单位任职情况</w:t>
      </w:r>
    </w:p>
    <w:p>
      <w:pPr>
        <w:pStyle w:val="Style35"/>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77"/>
        <w:gridCol w:w="3730"/>
        <w:gridCol w:w="1565"/>
        <w:gridCol w:w="850"/>
        <w:gridCol w:w="816"/>
        <w:gridCol w:w="1406"/>
      </w:tblGrid>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上海君德实业有限公司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上海君浩实业有限公司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上海垒土资产管理有限公司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苏州丰东热处理技术有限公司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重庆东润君浩实业有限公司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江苏丰东热处理及表面改性工程技术研究有限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艾普零件制造（苏州）股份有限公司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江苏菌钥生命科技发展有限公司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樟树市益东投资管理中心（有限合伙）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北京方欣恒利科技有限公司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金财慧盈保险经纪有限公司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广州金财互联科技有限公司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杭州金才科技有限公司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广东龙达财税服务有限公司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山东神创信息科技有限公司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徐正军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上海益东科技有限公司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77"/>
        <w:gridCol w:w="3730"/>
        <w:gridCol w:w="1565"/>
        <w:gridCol w:w="850"/>
        <w:gridCol w:w="816"/>
        <w:gridCol w:w="140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上海湾区科技发展有限公司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北京方欣恒利科技有限公司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浙江金财立信财务管理有限公司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金财互联数据服务有限公司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山东金财互联数据服务有限公司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广州金财互联区块链科技有限公司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金财纵横信息咨询服务有限公司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广州翼税数据服务有限公司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金财慧盈保险经纪有限公司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广州金财互联税务顾问有限公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林大海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w:t>
            </w:r>
          </w:p>
          <w:p>
            <w:pPr>
              <w:pStyle w:val="Style25"/>
              <w:keepNext w:val="0"/>
              <w:keepLines w:val="0"/>
              <w:widowControl w:val="0"/>
              <w:shd w:val="clear" w:color="auto" w:fill="auto"/>
              <w:bidi w:val="0"/>
              <w:spacing w:before="0" w:after="0" w:line="230" w:lineRule="exact"/>
              <w:ind w:left="0" w:right="0" w:firstLine="0"/>
              <w:jc w:val="left"/>
            </w:pPr>
            <w:r>
              <w:rPr>
                <w:color w:val="000000"/>
                <w:spacing w:val="0"/>
                <w:w w:val="100"/>
                <w:position w:val="0"/>
              </w:rPr>
              <w:t>首席架构师兼电局 事业部总经理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林大海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青岛高新金财信息科技有限公司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中南财经政法大学会计学院会计系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会计学专业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副教授 研究生导师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“九三”学社湖北省委第六届妇女工作委员会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湖北鼎龙控股股份有限公司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武汉精测电子集团股份有限公司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夏维剑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江苏金禾律师事务所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监事、投资总监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重庆丰东金属表面热处理有限公司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广州鑫润丰东热处理有限公司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烟台丰东热技术有限公司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盐城丰东祺耀工业炉有限公司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苏州丰东热处理技术有限公司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4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江苏丰东热处理及表面改性工程技术研究有限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77"/>
        <w:gridCol w:w="3730"/>
        <w:gridCol w:w="1565"/>
        <w:gridCol w:w="850"/>
        <w:gridCol w:w="816"/>
        <w:gridCol w:w="1406"/>
      </w:tblGrid>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上海宝华威热处理设备公司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武汉丰东热技术有限公司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董事长秘书 采购部副总监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北京方欣恒利科技有限公司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青岛高新金财信息科技有限公司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上海金财盛慧科技有限公司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上海垒土资产管理有限公司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广东龙达财税服务有限公司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北京方欣恒利科技有限公司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江苏理研科技股份有限公司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链甄数字科技（深圳）有限公司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上海君德实业有限公司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褚文兰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340" w:line="346" w:lineRule="exact"/>
        <w:ind w:left="40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四</w:t>
      </w:r>
      <w:bookmarkEnd w:id="561"/>
      <w:r>
        <w:rPr>
          <w:color w:val="000000"/>
          <w:spacing w:val="0"/>
          <w:w w:val="100"/>
          <w:position w:val="0"/>
          <w:sz w:val="24"/>
          <w:szCs w:val="24"/>
        </w:rPr>
        <w:t>、董事、监事、高级管理人员报酬情况</w:t>
      </w:r>
      <w:bookmarkEnd w:id="559"/>
      <w:bookmarkEnd w:id="560"/>
      <w:bookmarkEnd w:id="562"/>
    </w:p>
    <w:p>
      <w:pPr>
        <w:pStyle w:val="Style35"/>
        <w:keepNext w:val="0"/>
        <w:keepLines w:val="0"/>
        <w:widowControl w:val="0"/>
        <w:shd w:val="clear" w:color="auto" w:fill="auto"/>
        <w:bidi w:val="0"/>
        <w:spacing w:before="0" w:after="0" w:line="319" w:lineRule="exact"/>
        <w:ind w:left="0" w:right="0"/>
        <w:jc w:val="both"/>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tabs>
          <w:tab w:pos="693" w:val="left"/>
        </w:tabs>
        <w:bidi w:val="0"/>
        <w:spacing w:before="0" w:after="0" w:line="312" w:lineRule="exact"/>
        <w:ind w:left="0" w:right="0"/>
        <w:jc w:val="both"/>
      </w:pPr>
      <w:bookmarkStart w:id="563" w:name="bookmark563"/>
      <w:r>
        <w:rPr>
          <w:rFonts w:ascii="Times New Roman" w:eastAsia="Times New Roman" w:hAnsi="Times New Roman" w:cs="Times New Roman"/>
          <w:color w:val="000000"/>
          <w:spacing w:val="0"/>
          <w:w w:val="100"/>
          <w:position w:val="0"/>
          <w:sz w:val="18"/>
          <w:szCs w:val="18"/>
        </w:rPr>
        <w:t>1</w:t>
      </w:r>
      <w:bookmarkEnd w:id="563"/>
      <w:r>
        <w:rPr>
          <w:color w:val="000000"/>
          <w:spacing w:val="0"/>
          <w:w w:val="100"/>
          <w:position w:val="0"/>
        </w:rPr>
        <w:t>、</w:t>
        <w:tab/>
        <w:t>董事、监事、高级管理人员报酬的决策程序：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年度股东大会审议通过了《关于第四届独立董事津贴的议案》， 确定第四届独立董事津贴标准；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年年度股东大会审议通过了《关于第五届独立董事津贴的议案》，确定第五届独立董事 津贴标准；公司第五届董事会第九次会议审议通过了《关于公司高级管理人员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年度薪酬考核的议案》。</w:t>
      </w:r>
    </w:p>
    <w:p>
      <w:pPr>
        <w:pStyle w:val="Style35"/>
        <w:keepNext w:val="0"/>
        <w:keepLines w:val="0"/>
        <w:widowControl w:val="0"/>
        <w:shd w:val="clear" w:color="auto" w:fill="auto"/>
        <w:tabs>
          <w:tab w:pos="693" w:val="left"/>
        </w:tabs>
        <w:bidi w:val="0"/>
        <w:spacing w:before="0" w:after="0" w:line="319" w:lineRule="exact"/>
        <w:ind w:left="0" w:right="0"/>
        <w:jc w:val="both"/>
      </w:pPr>
      <w:bookmarkStart w:id="564" w:name="bookmark564"/>
      <w:r>
        <w:rPr>
          <w:rFonts w:ascii="Times New Roman" w:eastAsia="Times New Roman" w:hAnsi="Times New Roman" w:cs="Times New Roman"/>
          <w:color w:val="000000"/>
          <w:spacing w:val="0"/>
          <w:w w:val="100"/>
          <w:position w:val="0"/>
          <w:sz w:val="18"/>
          <w:szCs w:val="18"/>
        </w:rPr>
        <w:t>2</w:t>
      </w:r>
      <w:bookmarkEnd w:id="564"/>
      <w:r>
        <w:rPr>
          <w:color w:val="000000"/>
          <w:spacing w:val="0"/>
          <w:w w:val="100"/>
          <w:position w:val="0"/>
        </w:rPr>
        <w:t>、</w:t>
        <w:tab/>
        <w:t>董事、监事、高级管理人员报酬的确定依据：独立董事薪酬是公司根据独立董事实际工作开展情况结合当前市场实 际确定。高级管理人员的报酬是根据公司《高级管理人员薪酬管理制度》的相关规定，结合公司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年度经营结果和公司高 级管理人员在完成年度经营目标所承担的具体岗位职责确定的。</w:t>
      </w:r>
    </w:p>
    <w:p>
      <w:pPr>
        <w:pStyle w:val="Style35"/>
        <w:keepNext w:val="0"/>
        <w:keepLines w:val="0"/>
        <w:widowControl w:val="0"/>
        <w:shd w:val="clear" w:color="auto" w:fill="auto"/>
        <w:tabs>
          <w:tab w:pos="702" w:val="left"/>
        </w:tabs>
        <w:bidi w:val="0"/>
        <w:spacing w:before="0" w:after="0" w:line="331" w:lineRule="exact"/>
        <w:ind w:left="0" w:right="0"/>
        <w:jc w:val="both"/>
      </w:pPr>
      <w:bookmarkStart w:id="565" w:name="bookmark565"/>
      <w:r>
        <w:rPr>
          <w:rFonts w:ascii="Times New Roman" w:eastAsia="Times New Roman" w:hAnsi="Times New Roman" w:cs="Times New Roman"/>
          <w:color w:val="000000"/>
          <w:spacing w:val="0"/>
          <w:w w:val="100"/>
          <w:position w:val="0"/>
          <w:sz w:val="18"/>
          <w:szCs w:val="18"/>
        </w:rPr>
        <w:t>3</w:t>
      </w:r>
      <w:bookmarkEnd w:id="565"/>
      <w:r>
        <w:rPr>
          <w:color w:val="000000"/>
          <w:spacing w:val="0"/>
          <w:w w:val="100"/>
          <w:position w:val="0"/>
        </w:rPr>
        <w:t>、</w:t>
        <w:tab/>
        <w:t>董事、监事、高级管理人员报酬的实际支付情况：独立董事报酬每月按标准支付到个人账户；高级管理人员报酬根 据月度考核结果按月发放。</w:t>
      </w:r>
    </w:p>
    <w:p>
      <w:pPr>
        <w:pStyle w:val="Style35"/>
        <w:keepNext w:val="0"/>
        <w:keepLines w:val="0"/>
        <w:widowControl w:val="0"/>
        <w:shd w:val="clear" w:color="auto" w:fill="auto"/>
        <w:bidi w:val="0"/>
        <w:spacing w:before="0" w:after="120" w:line="319" w:lineRule="exact"/>
        <w:ind w:left="0" w:right="0"/>
        <w:jc w:val="both"/>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20"/>
        <w:gridCol w:w="1843"/>
        <w:gridCol w:w="1133"/>
        <w:gridCol w:w="1219"/>
        <w:gridCol w:w="1363"/>
        <w:gridCol w:w="1368"/>
        <w:gridCol w:w="1402"/>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从公司获得的税 前报酬总额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徐正军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441" w:right="1092" w:bottom="1475" w:left="1050" w:header="0" w:footer="3" w:gutter="0"/>
          <w:cols w:space="720"/>
          <w:noEndnote/>
          <w:rtlGutter w:val="0"/>
          <w:docGrid w:linePitch="360"/>
        </w:sectPr>
      </w:pPr>
    </w:p>
    <w:tbl>
      <w:tblPr>
        <w:tblOverlap w:val="never"/>
        <w:jc w:val="center"/>
        <w:tblLayout w:type="fixed"/>
      </w:tblPr>
      <w:tblGrid>
        <w:gridCol w:w="1320"/>
        <w:gridCol w:w="1843"/>
        <w:gridCol w:w="1133"/>
        <w:gridCol w:w="1219"/>
        <w:gridCol w:w="1368"/>
        <w:gridCol w:w="1368"/>
        <w:gridCol w:w="1397"/>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林大海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夏维剑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副总经理、投资总监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房莉莉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褚文兰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向建华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夏晓宇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俞玉岚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公司董事、高级管理人员报告期内被授予的股权激励情况</w:t>
      </w:r>
    </w:p>
    <w:p>
      <w:pPr>
        <w:pStyle w:val="Style35"/>
        <w:keepNext w:val="0"/>
        <w:keepLines w:val="0"/>
        <w:widowControl w:val="0"/>
        <w:shd w:val="clear" w:color="auto" w:fill="auto"/>
        <w:bidi w:val="0"/>
        <w:spacing w:before="0" w:after="3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五</w:t>
      </w:r>
      <w:bookmarkEnd w:id="568"/>
      <w:r>
        <w:rPr>
          <w:color w:val="000000"/>
          <w:spacing w:val="0"/>
          <w:w w:val="100"/>
          <w:position w:val="0"/>
          <w:sz w:val="24"/>
          <w:szCs w:val="24"/>
        </w:rPr>
        <w:t>、公司员工情况</w:t>
      </w:r>
      <w:bookmarkEnd w:id="566"/>
      <w:bookmarkEnd w:id="567"/>
      <w:bookmarkEnd w:id="569"/>
    </w:p>
    <w:p>
      <w:pPr>
        <w:pStyle w:val="Style39"/>
        <w:keepNext/>
        <w:keepLines/>
        <w:widowControl w:val="0"/>
        <w:shd w:val="clear" w:color="auto" w:fill="auto"/>
        <w:bidi w:val="0"/>
        <w:spacing w:before="0" w:after="320" w:line="240" w:lineRule="auto"/>
        <w:ind w:left="0" w:right="0" w:firstLine="40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、员工数量、专业构成及教育程度</w:t>
      </w:r>
      <w:bookmarkEnd w:id="570"/>
      <w:bookmarkEnd w:id="571"/>
      <w:bookmarkEnd w:id="573"/>
    </w:p>
    <w:tbl>
      <w:tblPr>
        <w:tblOverlap w:val="never"/>
        <w:jc w:val="center"/>
        <w:tblLayout w:type="fixed"/>
      </w:tblPr>
      <w:tblGrid>
        <w:gridCol w:w="4814"/>
        <w:gridCol w:w="481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4,132</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4,152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4,152</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4450" w:right="0" w:firstLine="0"/>
        <w:jc w:val="left"/>
      </w:pPr>
      <w:r>
        <w:rPr>
          <w:color w:val="000000"/>
          <w:spacing w:val="0"/>
          <w:w w:val="100"/>
          <w:position w:val="0"/>
        </w:rPr>
        <w:t>专业构成</w:t>
      </w:r>
    </w:p>
    <w:tbl>
      <w:tblPr>
        <w:tblOverlap w:val="never"/>
        <w:jc w:val="center"/>
        <w:tblLayout w:type="fixed"/>
      </w:tblPr>
      <w:tblGrid>
        <w:gridCol w:w="4829"/>
        <w:gridCol w:w="4814"/>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1,889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41" w:right="1092" w:bottom="1475" w:left="1050" w:header="0" w:footer="3" w:gutter="0"/>
          <w:cols w:space="720"/>
          <w:noEndnote/>
          <w:rtlGutter w:val="0"/>
          <w:docGrid w:linePitch="360"/>
        </w:sectPr>
      </w:pPr>
    </w:p>
    <w:tbl>
      <w:tblPr>
        <w:tblOverlap w:val="never"/>
        <w:jc w:val="center"/>
        <w:tblLayout w:type="fixed"/>
      </w:tblPr>
      <w:tblGrid>
        <w:gridCol w:w="4843"/>
        <w:gridCol w:w="4915"/>
      </w:tblGrid>
      <w:tr>
        <w:trPr>
          <w:trHeight w:val="40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b/>
                <w:bCs/>
                <w:color w:val="E67821"/>
                <w:spacing w:val="0"/>
                <w:w w:val="100"/>
                <w:position w:val="0"/>
                <w:sz w:val="20"/>
                <w:szCs w:val="20"/>
              </w:rPr>
              <w:t>釜财互联</w:t>
            </w:r>
          </w:p>
          <w:p>
            <w:pPr>
              <w:pStyle w:val="Style25"/>
              <w:keepNext w:val="0"/>
              <w:keepLines w:val="0"/>
              <w:widowControl w:val="0"/>
              <w:shd w:val="clear" w:color="auto" w:fill="auto"/>
              <w:bidi w:val="0"/>
              <w:spacing w:before="0" w:after="0" w:line="226" w:lineRule="auto"/>
              <w:ind w:left="0" w:right="0" w:firstLine="62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c>
      </w:tr>
      <w:tr>
        <w:trPr>
          <w:trHeight w:val="331" w:hRule="exact"/>
        </w:trPr>
        <w:tc>
          <w:tcPr>
            <w:gridSpan w:val="2"/>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4,152</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4450" w:right="0" w:firstLine="0"/>
        <w:jc w:val="left"/>
      </w:pPr>
      <w:r>
        <w:rPr>
          <w:color w:val="000000"/>
          <w:spacing w:val="0"/>
          <w:w w:val="100"/>
          <w:position w:val="0"/>
        </w:rPr>
        <w:t>教育程度</w:t>
      </w:r>
    </w:p>
    <w:tbl>
      <w:tblPr>
        <w:tblOverlap w:val="never"/>
        <w:jc w:val="center"/>
        <w:tblLayout w:type="fixed"/>
      </w:tblPr>
      <w:tblGrid>
        <w:gridCol w:w="4829"/>
        <w:gridCol w:w="481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1,807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1,440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4,152</w:t>
            </w:r>
          </w:p>
        </w:tc>
      </w:tr>
    </w:tbl>
    <w:p>
      <w:pPr>
        <w:widowControl w:val="0"/>
        <w:spacing w:after="319" w:line="1" w:lineRule="exact"/>
      </w:pPr>
    </w:p>
    <w:p>
      <w:pPr>
        <w:pStyle w:val="Style39"/>
        <w:keepNext/>
        <w:keepLines/>
        <w:widowControl w:val="0"/>
        <w:shd w:val="clear" w:color="auto" w:fill="auto"/>
        <w:tabs>
          <w:tab w:pos="858" w:val="left"/>
        </w:tabs>
        <w:bidi w:val="0"/>
        <w:spacing w:before="0" w:after="240" w:line="240" w:lineRule="auto"/>
        <w:ind w:left="0" w:right="0" w:firstLine="48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w:t>
        <w:tab/>
        <w:t>薪酬政策</w:t>
      </w:r>
      <w:bookmarkEnd w:id="574"/>
      <w:bookmarkEnd w:id="575"/>
      <w:bookmarkEnd w:id="577"/>
    </w:p>
    <w:p>
      <w:pPr>
        <w:pStyle w:val="Style35"/>
        <w:keepNext w:val="0"/>
        <w:keepLines w:val="0"/>
        <w:widowControl w:val="0"/>
        <w:shd w:val="clear" w:color="auto" w:fill="auto"/>
        <w:bidi w:val="0"/>
        <w:spacing w:before="0" w:after="0" w:line="350" w:lineRule="exact"/>
        <w:ind w:left="0" w:right="0"/>
        <w:jc w:val="left"/>
      </w:pPr>
      <w:r>
        <w:rPr>
          <w:color w:val="000000"/>
          <w:spacing w:val="0"/>
          <w:w w:val="100"/>
          <w:position w:val="0"/>
        </w:rPr>
        <w:t>公司员工薪酬由基本工资、绩效工资构成；公司独立董事薪酬根据股东大会确定的标准发放。</w:t>
      </w:r>
    </w:p>
    <w:p>
      <w:pPr>
        <w:pStyle w:val="Style35"/>
        <w:keepNext w:val="0"/>
        <w:keepLines w:val="0"/>
        <w:widowControl w:val="0"/>
        <w:shd w:val="clear" w:color="auto" w:fill="auto"/>
        <w:bidi w:val="0"/>
        <w:spacing w:before="0" w:after="0" w:line="350" w:lineRule="exact"/>
        <w:ind w:left="40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报告期内，公司互联网财税业务板块的职工薪酬总额（计入成本部分）为</w:t>
      </w:r>
      <w:r>
        <w:rPr>
          <w:rFonts w:ascii="Times New Roman" w:eastAsia="Times New Roman" w:hAnsi="Times New Roman" w:cs="Times New Roman"/>
          <w:color w:val="000000"/>
          <w:spacing w:val="0"/>
          <w:w w:val="100"/>
          <w:position w:val="0"/>
          <w:sz w:val="18"/>
          <w:szCs w:val="18"/>
        </w:rPr>
        <w:t>14,265.63</w:t>
      </w:r>
      <w:r>
        <w:rPr>
          <w:color w:val="000000"/>
          <w:spacing w:val="0"/>
          <w:w w:val="100"/>
          <w:position w:val="0"/>
        </w:rPr>
        <w:t>万元，占该业务板块营业成本的</w:t>
      </w:r>
    </w:p>
    <w:p>
      <w:pPr>
        <w:pStyle w:val="Style35"/>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30.79%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日，该业务板块核心技术人员为</w:t>
      </w:r>
      <w:r>
        <w:rPr>
          <w:rFonts w:ascii="Times New Roman" w:eastAsia="Times New Roman" w:hAnsi="Times New Roman" w:cs="Times New Roman"/>
          <w:color w:val="000000"/>
          <w:spacing w:val="0"/>
          <w:w w:val="100"/>
          <w:position w:val="0"/>
          <w:sz w:val="18"/>
          <w:szCs w:val="18"/>
        </w:rPr>
        <w:t>341</w:t>
      </w:r>
      <w:r>
        <w:rPr>
          <w:color w:val="000000"/>
          <w:spacing w:val="0"/>
          <w:w w:val="100"/>
          <w:position w:val="0"/>
        </w:rPr>
        <w:t>人，占其全体员工人数的</w:t>
      </w:r>
      <w:r>
        <w:rPr>
          <w:rFonts w:ascii="Times New Roman" w:eastAsia="Times New Roman" w:hAnsi="Times New Roman" w:cs="Times New Roman"/>
          <w:color w:val="000000"/>
          <w:spacing w:val="0"/>
          <w:w w:val="100"/>
          <w:position w:val="0"/>
          <w:sz w:val="18"/>
          <w:szCs w:val="18"/>
        </w:rPr>
        <w:t>11.09%</w:t>
      </w:r>
      <w:r>
        <w:rPr>
          <w:color w:val="000000"/>
          <w:spacing w:val="0"/>
          <w:w w:val="100"/>
          <w:position w:val="0"/>
        </w:rPr>
        <w:t>，上年同期核心技术人 员为</w:t>
      </w:r>
      <w:r>
        <w:rPr>
          <w:rFonts w:ascii="Times New Roman" w:eastAsia="Times New Roman" w:hAnsi="Times New Roman" w:cs="Times New Roman"/>
          <w:color w:val="000000"/>
          <w:spacing w:val="0"/>
          <w:w w:val="100"/>
          <w:position w:val="0"/>
          <w:sz w:val="18"/>
          <w:szCs w:val="18"/>
        </w:rPr>
        <w:t>347</w:t>
      </w:r>
      <w:r>
        <w:rPr>
          <w:color w:val="000000"/>
          <w:spacing w:val="0"/>
          <w:w w:val="100"/>
          <w:position w:val="0"/>
        </w:rPr>
        <w:t>人，占其全体员工人数的</w:t>
      </w:r>
      <w:r>
        <w:rPr>
          <w:rFonts w:ascii="Times New Roman" w:eastAsia="Times New Roman" w:hAnsi="Times New Roman" w:cs="Times New Roman"/>
          <w:color w:val="000000"/>
          <w:spacing w:val="0"/>
          <w:w w:val="100"/>
          <w:position w:val="0"/>
          <w:sz w:val="18"/>
          <w:szCs w:val="18"/>
        </w:rPr>
        <w:t>13.12%</w:t>
      </w:r>
      <w:r>
        <w:rPr>
          <w:color w:val="000000"/>
          <w:spacing w:val="0"/>
          <w:w w:val="100"/>
          <w:position w:val="0"/>
        </w:rPr>
        <w:t>；截至报告期末，互联网财税业务板块核心技术人员薪酬占其全体员工薪酬总额 的</w:t>
      </w:r>
      <w:r>
        <w:rPr>
          <w:rFonts w:ascii="Times New Roman" w:eastAsia="Times New Roman" w:hAnsi="Times New Roman" w:cs="Times New Roman"/>
          <w:color w:val="000000"/>
          <w:spacing w:val="0"/>
          <w:w w:val="100"/>
          <w:position w:val="0"/>
          <w:sz w:val="18"/>
          <w:szCs w:val="18"/>
        </w:rPr>
        <w:t>28.12%</w:t>
      </w:r>
      <w:r>
        <w:rPr>
          <w:color w:val="000000"/>
          <w:spacing w:val="0"/>
          <w:w w:val="100"/>
          <w:position w:val="0"/>
        </w:rPr>
        <w:t>，上年同期占比为</w:t>
      </w:r>
      <w:r>
        <w:rPr>
          <w:rFonts w:ascii="Times New Roman" w:eastAsia="Times New Roman" w:hAnsi="Times New Roman" w:cs="Times New Roman"/>
          <w:color w:val="000000"/>
          <w:spacing w:val="0"/>
          <w:w w:val="100"/>
          <w:position w:val="0"/>
          <w:sz w:val="18"/>
          <w:szCs w:val="18"/>
        </w:rPr>
        <w:t>30.71%</w:t>
      </w:r>
      <w:r>
        <w:rPr>
          <w:color w:val="000000"/>
          <w:spacing w:val="0"/>
          <w:w w:val="100"/>
          <w:position w:val="0"/>
        </w:rPr>
        <w:t>。</w:t>
      </w:r>
    </w:p>
    <w:p>
      <w:pPr>
        <w:pStyle w:val="Style39"/>
        <w:keepNext/>
        <w:keepLines/>
        <w:widowControl w:val="0"/>
        <w:shd w:val="clear" w:color="auto" w:fill="auto"/>
        <w:tabs>
          <w:tab w:pos="858" w:val="left"/>
        </w:tabs>
        <w:bidi w:val="0"/>
        <w:spacing w:before="0" w:after="280" w:line="240" w:lineRule="auto"/>
        <w:ind w:left="0" w:right="0" w:firstLine="48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培训计划</w:t>
      </w:r>
      <w:bookmarkEnd w:id="578"/>
      <w:bookmarkEnd w:id="579"/>
      <w:bookmarkEnd w:id="581"/>
    </w:p>
    <w:p>
      <w:pPr>
        <w:pStyle w:val="Style35"/>
        <w:keepNext w:val="0"/>
        <w:keepLines w:val="0"/>
        <w:widowControl w:val="0"/>
        <w:shd w:val="clear" w:color="auto" w:fill="auto"/>
        <w:bidi w:val="0"/>
        <w:spacing w:before="0" w:after="380" w:line="307" w:lineRule="exact"/>
        <w:ind w:left="0" w:right="0"/>
        <w:jc w:val="both"/>
      </w:pPr>
      <w:r>
        <w:rPr>
          <w:color w:val="000000"/>
          <w:spacing w:val="0"/>
          <w:w w:val="100"/>
          <w:position w:val="0"/>
        </w:rPr>
        <w:t>为提高公司员工整体素质和工作效率，公司综合管理部根据各部门提交的年度培训计划统筹组织安排培训，培训内容主 要包含但不限于员工素质、职业技能、生产安全、质量环境管理体系、内部控制制度、企业文化等各个方面。</w:t>
      </w:r>
    </w:p>
    <w:tbl>
      <w:tblPr>
        <w:tblOverlap w:val="never"/>
        <w:jc w:val="center"/>
        <w:tblLayout w:type="fixed"/>
      </w:tblPr>
      <w:tblGrid>
        <w:gridCol w:w="4829"/>
        <w:gridCol w:w="4814"/>
      </w:tblGrid>
      <w:tr>
        <w:trPr>
          <w:trHeight w:val="1018" w:hRule="exact"/>
        </w:trPr>
        <w:tc>
          <w:tcPr>
            <w:gridSpan w:val="2"/>
            <w:tcBorders/>
            <w:shd w:val="clear" w:color="auto" w:fill="FFFFFF"/>
            <w:vAlign w:val="top"/>
          </w:tcPr>
          <w:p>
            <w:pPr>
              <w:pStyle w:val="Style25"/>
              <w:keepNext w:val="0"/>
              <w:keepLines w:val="0"/>
              <w:widowControl w:val="0"/>
              <w:shd w:val="clear" w:color="auto" w:fill="auto"/>
              <w:bidi w:val="0"/>
              <w:spacing w:before="0" w:after="380" w:line="240" w:lineRule="auto"/>
              <w:ind w:left="0" w:right="0" w:firstLine="460"/>
              <w:jc w:val="left"/>
              <w:rPr>
                <w:sz w:val="20"/>
                <w:szCs w:val="20"/>
              </w:rPr>
            </w:pPr>
            <w:bookmarkStart w:id="582" w:name="bookmark58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、劳务外包情况</w:t>
            </w:r>
            <w:bookmarkEnd w:id="582"/>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334,224</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18,716,640.00</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711" w:right="1068" w:bottom="1157" w:left="1073" w:header="283" w:footer="3" w:gutter="0"/>
          <w:cols w:space="720"/>
          <w:noEndnote/>
          <w:rtlGutter w:val="0"/>
          <w:docGrid w:linePitch="360"/>
        </w:sectPr>
      </w:pPr>
    </w:p>
    <w:p>
      <w:pPr>
        <w:widowControl w:val="0"/>
        <w:spacing w:before="95" w:after="95" w:line="240" w:lineRule="exact"/>
        <w:rPr>
          <w:sz w:val="19"/>
          <w:szCs w:val="19"/>
        </w:rPr>
      </w:pPr>
    </w:p>
    <w:p>
      <w:pPr>
        <w:widowControl w:val="0"/>
        <w:spacing w:line="1" w:lineRule="exact"/>
        <w:sectPr>
          <w:headerReference w:type="default" r:id="rId109"/>
          <w:footerReference w:type="default" r:id="rId110"/>
          <w:headerReference w:type="even" r:id="rId111"/>
          <w:footerReference w:type="even" r:id="rId112"/>
          <w:headerReference w:type="first" r:id="rId113"/>
          <w:footerReference w:type="first" r:id="rId114"/>
          <w:footnotePr>
            <w:pos w:val="pageBottom"/>
            <w:numFmt w:val="decimal"/>
            <w:numRestart w:val="continuous"/>
          </w:footnotePr>
          <w:pgSz w:w="11900" w:h="16840"/>
          <w:pgMar w:top="1441" w:right="1014" w:bottom="1633" w:left="1080" w:header="0" w:footer="3" w:gutter="0"/>
          <w:cols w:space="720"/>
          <w:noEndnote/>
          <w:titlePg/>
          <w:rtlGutter w:val="0"/>
          <w:docGrid w:linePitch="360"/>
        </w:sectPr>
      </w:pPr>
    </w:p>
    <w:p>
      <w:pPr>
        <w:pStyle w:val="Style17"/>
        <w:keepNext/>
        <w:keepLines/>
        <w:widowControl w:val="0"/>
        <w:shd w:val="clear" w:color="auto" w:fill="auto"/>
        <w:bidi w:val="0"/>
        <w:spacing w:before="0" w:line="240" w:lineRule="auto"/>
        <w:ind w:left="0" w:right="0" w:firstLine="0"/>
        <w:jc w:val="center"/>
      </w:pPr>
      <w:bookmarkStart w:id="583" w:name="bookmark583"/>
      <w:bookmarkStart w:id="584" w:name="bookmark584"/>
      <w:bookmarkStart w:id="585" w:name="bookmark585"/>
      <w:r>
        <w:rPr>
          <w:color w:val="000000"/>
          <w:spacing w:val="0"/>
          <w:w w:val="100"/>
          <w:position w:val="0"/>
        </w:rPr>
        <w:t>第十节公司治理</w:t>
      </w:r>
      <w:bookmarkEnd w:id="583"/>
      <w:bookmarkEnd w:id="584"/>
      <w:bookmarkEnd w:id="585"/>
    </w:p>
    <w:p>
      <w:pPr>
        <w:pStyle w:val="Style29"/>
        <w:keepNext/>
        <w:keepLines/>
        <w:widowControl w:val="0"/>
        <w:shd w:val="clear" w:color="auto" w:fill="auto"/>
        <w:bidi w:val="0"/>
        <w:spacing w:before="0" w:after="2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一</w:t>
      </w:r>
      <w:bookmarkEnd w:id="588"/>
      <w:r>
        <w:rPr>
          <w:color w:val="000000"/>
          <w:spacing w:val="0"/>
          <w:w w:val="100"/>
          <w:position w:val="0"/>
          <w:sz w:val="24"/>
          <w:szCs w:val="24"/>
        </w:rPr>
        <w:t>、公司治理的基本状况</w:t>
      </w:r>
      <w:bookmarkEnd w:id="586"/>
      <w:bookmarkEnd w:id="587"/>
      <w:bookmarkEnd w:id="589"/>
    </w:p>
    <w:p>
      <w:pPr>
        <w:pStyle w:val="Style3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报告期内，公司及公司董事、监事、高级管理人员严格按照《公司法》、《证券法》、《上市公司治理准则》、《深圳 证券交易所股票上市规则》、《深圳证券交易所上市公司规范运作指引》等法律法规、规范性文件和《公司章程》的有关规 定，不断完善公司的法人治理结构，健全内部管理制度，促进公司规范运作，提高公司治理水平。</w:t>
      </w:r>
    </w:p>
    <w:p>
      <w:pPr>
        <w:pStyle w:val="Style3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截至报告期末，公司治理的实际情况基本符合中国证监会发布的有关上市公司治理的规范性文件的要求。公司将坚持以 相关法律法规为准绳，不断完善公司治理制度，自觉履行信息披露义务，做好投资者关系管理工作，切实维护投资者利益， 不断提升公司规范运作水平。</w:t>
      </w:r>
    </w:p>
    <w:p>
      <w:pPr>
        <w:pStyle w:val="Style35"/>
        <w:keepNext w:val="0"/>
        <w:keepLines w:val="0"/>
        <w:widowControl w:val="0"/>
        <w:shd w:val="clear" w:color="auto" w:fill="auto"/>
        <w:bidi w:val="0"/>
        <w:spacing w:before="0" w:after="120" w:line="316" w:lineRule="exact"/>
        <w:ind w:left="0" w:right="0" w:firstLine="380"/>
        <w:jc w:val="both"/>
      </w:pPr>
      <w:r>
        <mc:AlternateContent>
          <mc:Choice Requires="wps">
            <w:drawing>
              <wp:anchor distT="25400" distB="234950" distL="0" distR="0" simplePos="0" relativeHeight="125829446" behindDoc="0" locked="0" layoutInCell="1" allowOverlap="1">
                <wp:simplePos x="0" y="0"/>
                <wp:positionH relativeFrom="page">
                  <wp:posOffset>697865</wp:posOffset>
                </wp:positionH>
                <wp:positionV relativeFrom="paragraph">
                  <wp:posOffset>317500</wp:posOffset>
                </wp:positionV>
                <wp:extent cx="6004560" cy="2133600"/>
                <wp:wrapTopAndBottom/>
                <wp:docPr id="336" name="Shape 336"/>
                <a:graphic xmlns:a="http://schemas.openxmlformats.org/drawingml/2006/main">
                  <a:graphicData uri="http://schemas.microsoft.com/office/word/2010/wordprocessingShape">
                    <wps:wsp>
                      <wps:cNvSpPr txBox="1"/>
                      <wps:spPr>
                        <a:xfrm>
                          <a:ext cx="6004560" cy="2133600"/>
                        </a:xfrm>
                        <a:prstGeom prst="rect"/>
                        <a:noFill/>
                      </wps:spPr>
                      <wps:txbx>
                        <w:txbxContent>
                          <w:tbl>
                            <w:tblPr>
                              <w:tblOverlap w:val="never"/>
                              <w:jc w:val="left"/>
                              <w:tblLayout w:type="fixed"/>
                            </w:tblPr>
                            <w:tblGrid>
                              <w:gridCol w:w="1022"/>
                              <w:gridCol w:w="5438"/>
                              <w:gridCol w:w="2995"/>
                            </w:tblGrid>
                            <w:tr>
                              <w:trPr>
                                <w:tblHeade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最新披露时间</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董事会提名委员会议事规则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董事会薪酬委员会议事规则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董事会战略委员会议事规则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widowControl w:val="0"/>
                              <w:spacing w:line="1" w:lineRule="exact"/>
                            </w:pPr>
                          </w:p>
                        </w:txbxContent>
                      </wps:txbx>
                      <wps:bodyPr lIns="0" tIns="0" rIns="0" bIns="0">
                        <a:noAutoFit/>
                      </wps:bodyPr>
                    </wps:wsp>
                  </a:graphicData>
                </a:graphic>
              </wp:anchor>
            </w:drawing>
          </mc:Choice>
          <mc:Fallback>
            <w:pict>
              <v:shape id="_x0000_s1362" type="#_x0000_t202" style="position:absolute;margin-left:54.950000000000003pt;margin-top:25.pt;width:472.80000000000001pt;height:168.pt;z-index:-125829307;mso-wrap-distance-left:0;mso-wrap-distance-top:2.pt;mso-wrap-distance-right:0;mso-wrap-distance-bottom:18.5pt;mso-position-horizontal-relative:page" filled="f" stroked="f">
                <v:textbox inset="0,0,0,0">
                  <w:txbxContent>
                    <w:tbl>
                      <w:tblPr>
                        <w:tblOverlap w:val="never"/>
                        <w:jc w:val="left"/>
                        <w:tblLayout w:type="fixed"/>
                      </w:tblPr>
                      <w:tblGrid>
                        <w:gridCol w:w="1022"/>
                        <w:gridCol w:w="5438"/>
                        <w:gridCol w:w="2995"/>
                      </w:tblGrid>
                      <w:tr>
                        <w:trPr>
                          <w:tblHeade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最新披露时间</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董事会提名委员会议事规则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董事会薪酬委员会议事规则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董事会战略委员会议事规则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1344295</wp:posOffset>
                </wp:positionH>
                <wp:positionV relativeFrom="paragraph">
                  <wp:posOffset>2533650</wp:posOffset>
                </wp:positionV>
                <wp:extent cx="822960" cy="152400"/>
                <wp:wrapNone/>
                <wp:docPr id="338" name="Shape 338"/>
                <a:graphic xmlns:a="http://schemas.openxmlformats.org/drawingml/2006/main">
                  <a:graphicData uri="http://schemas.microsoft.com/office/word/2010/wordprocessingShape">
                    <wps:wsp>
                      <wps:cNvSpPr txBox="1"/>
                      <wps:spPr>
                        <a:xfrm>
                          <a:ext cx="822960" cy="15240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作细则</w:t>
                            </w:r>
                          </w:p>
                        </w:txbxContent>
                      </wps:txbx>
                      <wps:bodyPr lIns="0" tIns="0" rIns="0" bIns="0">
                        <a:noAutoFit/>
                      </wps:bodyPr>
                    </wps:wsp>
                  </a:graphicData>
                </a:graphic>
              </wp:anchor>
            </w:drawing>
          </mc:Choice>
          <mc:Fallback>
            <w:pict>
              <v:shape id="_x0000_s1364" type="#_x0000_t202" style="position:absolute;margin-left:105.85000000000001pt;margin-top:199.5pt;width:64.799999999999997pt;height:12.pt;z-index:25165772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作细则</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5327650</wp:posOffset>
                </wp:positionH>
                <wp:positionV relativeFrom="paragraph">
                  <wp:posOffset>2533650</wp:posOffset>
                </wp:positionV>
                <wp:extent cx="831850" cy="149225"/>
                <wp:wrapNone/>
                <wp:docPr id="340" name="Shape 340"/>
                <a:graphic xmlns:a="http://schemas.openxmlformats.org/drawingml/2006/main">
                  <a:graphicData uri="http://schemas.microsoft.com/office/word/2010/wordprocessingShape">
                    <wps:wsp>
                      <wps:cNvSpPr txBox="1"/>
                      <wps:spPr>
                        <a:xfrm>
                          <a:ext cx="83185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xbxContent>
                      </wps:txbx>
                      <wps:bodyPr lIns="0" tIns="0" rIns="0" bIns="0">
                        <a:noAutoFit/>
                      </wps:bodyPr>
                    </wps:wsp>
                  </a:graphicData>
                </a:graphic>
              </wp:anchor>
            </w:drawing>
          </mc:Choice>
          <mc:Fallback>
            <w:pict>
              <v:shape id="_x0000_s1366" type="#_x0000_t202" style="position:absolute;margin-left:419.5pt;margin-top:199.5pt;width:65.5pt;height:11.75pt;z-index:25165773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xbxContent>
                </v:textbox>
                <w10:wrap anchorx="page"/>
              </v:shape>
            </w:pict>
          </mc:Fallback>
        </mc:AlternateContent>
      </w:r>
      <w:r>
        <w:rPr>
          <w:color w:val="000000"/>
          <w:spacing w:val="0"/>
          <w:w w:val="100"/>
          <w:position w:val="0"/>
        </w:rPr>
        <w:t>截至本报告期末公司已建立的各项制度名称及公开信息披露情况如下表：</w:t>
      </w:r>
    </w:p>
    <w:tbl>
      <w:tblPr>
        <w:tblOverlap w:val="never"/>
        <w:jc w:val="left"/>
        <w:tblLayout w:type="fixed"/>
      </w:tblPr>
      <w:tblGrid>
        <w:gridCol w:w="1022"/>
        <w:gridCol w:w="5438"/>
        <w:gridCol w:w="2995"/>
      </w:tblGrid>
      <w:tr>
        <w:trPr>
          <w:trHeight w:val="312" w:hRule="exact"/>
        </w:trPr>
        <w:tc>
          <w:tcPr>
            <w:tcBorders/>
            <w:shd w:val="clear" w:color="auto" w:fill="FFFFFF"/>
            <w:vAlign w:val="top"/>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董事会秘书「.作制度</w:t>
            </w:r>
          </w:p>
        </w:tc>
        <w:tc>
          <w:tcPr>
            <w:tcBorders>
              <w:left w:val="single" w:sz="4"/>
            </w:tcBorders>
            <w:shd w:val="clear" w:color="auto" w:fill="FFFFFF"/>
            <w:vAlign w:val="top"/>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独立董事制度</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关联交易决策制度</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财务管理办法</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信息披露管理制度</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子公司综合管理制度</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对外担保制度</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控股股东、实际控制人行为规范</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累积投票制实施细则</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18" w:hRule="exact"/>
        </w:trPr>
        <w:tc>
          <w:tcPr>
            <w:tcBorders>
              <w:top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独立董事年报工作流程</w:t>
            </w:r>
          </w:p>
        </w:tc>
        <w:tc>
          <w:tcPr>
            <w:tcBorders>
              <w:top w:val="single" w:sz="4"/>
              <w:left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32" w:hRule="exact"/>
        </w:trPr>
        <w:tc>
          <w:tcPr>
            <w:tcBorders>
              <w:top w:val="single" w:sz="4"/>
              <w:bottom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left"/>
            </w:pPr>
            <w:r>
              <w:rPr>
                <w:color w:val="000000"/>
                <w:spacing w:val="0"/>
                <w:w w:val="100"/>
                <w:position w:val="0"/>
              </w:rPr>
              <w:t>董事、监事和高级管理人员持有和买卖本公司股票管理制度</w:t>
            </w:r>
          </w:p>
        </w:tc>
        <w:tc>
          <w:tcPr>
            <w:tcBorders>
              <w:top w:val="single" w:sz="4"/>
              <w:left w:val="single" w:sz="4"/>
              <w:bottom w:val="single" w:sz="4"/>
            </w:tcBorders>
            <w:shd w:val="clear" w:color="auto" w:fill="FFFFFF"/>
            <w:vAlign w:val="center"/>
          </w:tcPr>
          <w:p>
            <w:pPr>
              <w:pStyle w:val="Style25"/>
              <w:keepNext w:val="0"/>
              <w:keepLines w:val="0"/>
              <w:framePr w:w="9456" w:h="5386" w:vSpace="413" w:wrap="notBeside" w:vAnchor="text" w:hAnchor="text" w:x="176" w:y="41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pStyle w:val="Style33"/>
        <w:keepNext w:val="0"/>
        <w:keepLines w:val="0"/>
        <w:framePr w:w="130" w:h="226" w:hSpace="175" w:wrap="notBeside" w:vAnchor="text" w:hAnchor="text" w:x="637"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widowControl w:val="0"/>
        <w:spacing w:line="1" w:lineRule="exact"/>
      </w:pPr>
    </w:p>
    <w:tbl>
      <w:tblPr>
        <w:tblOverlap w:val="never"/>
        <w:jc w:val="center"/>
        <w:tblLayout w:type="fixed"/>
      </w:tblPr>
      <w:tblGrid>
        <w:gridCol w:w="1037"/>
        <w:gridCol w:w="5438"/>
        <w:gridCol w:w="3005"/>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最新披露时间</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年报信息披露重大差错责任追究制度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外部信息使用人管理制度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高级管理人员薪酬管理制度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审计委员会年报工作制度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风险投资管理制度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内幕信息知情人登记管理制度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内部问责制度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利润分配管理制度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募集资金使用管理办法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对外捐赠管理制度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公司章程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bl>
    <w:p>
      <w:pPr>
        <w:widowControl w:val="0"/>
        <w:spacing w:after="99" w:line="1" w:lineRule="exact"/>
      </w:pPr>
    </w:p>
    <w:p>
      <w:pPr>
        <w:pStyle w:val="Style35"/>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报告期内，公司未收到被监管部门采取行政监管措施的有关文件。</w:t>
      </w:r>
    </w:p>
    <w:p>
      <w:pPr>
        <w:pStyle w:val="Style35"/>
        <w:keepNext w:val="0"/>
        <w:keepLines w:val="0"/>
        <w:widowControl w:val="0"/>
        <w:shd w:val="clear" w:color="auto" w:fill="auto"/>
        <w:bidi w:val="0"/>
        <w:spacing w:before="0" w:after="0" w:line="240" w:lineRule="auto"/>
        <w:ind w:left="0" w:right="0"/>
        <w:jc w:val="both"/>
      </w:pPr>
      <w:bookmarkStart w:id="590" w:name="bookmark590"/>
      <w:r>
        <w:rPr>
          <w:rFonts w:ascii="Times New Roman" w:eastAsia="Times New Roman" w:hAnsi="Times New Roman" w:cs="Times New Roman"/>
          <w:b/>
          <w:bCs/>
          <w:color w:val="000000"/>
          <w:spacing w:val="0"/>
          <w:w w:val="100"/>
          <w:position w:val="0"/>
          <w:sz w:val="18"/>
          <w:szCs w:val="18"/>
        </w:rPr>
        <w:t>1</w:t>
      </w:r>
      <w:bookmarkEnd w:id="590"/>
      <w:r>
        <w:rPr>
          <w:b/>
          <w:bCs/>
          <w:color w:val="000000"/>
          <w:spacing w:val="0"/>
          <w:w w:val="100"/>
          <w:position w:val="0"/>
        </w:rPr>
        <w:t>、关于股东与股东大会</w:t>
      </w:r>
    </w:p>
    <w:p>
      <w:pPr>
        <w:pStyle w:val="Style35"/>
        <w:keepNext w:val="0"/>
        <w:keepLines w:val="0"/>
        <w:widowControl w:val="0"/>
        <w:shd w:val="clear" w:color="auto" w:fill="auto"/>
        <w:bidi w:val="0"/>
        <w:spacing w:before="0" w:after="140" w:line="317" w:lineRule="exact"/>
        <w:ind w:left="0" w:right="0"/>
        <w:jc w:val="both"/>
      </w:pPr>
      <w:r>
        <w:rPr>
          <w:color w:val="000000"/>
          <w:spacing w:val="0"/>
          <w:w w:val="100"/>
          <w:position w:val="0"/>
        </w:rPr>
        <w:t>公司能够根据《公司法》、《证券法》、《上市公司股东大会规则》及公司《股东大会议事规则》等规定和要求，规范 股东大会的召集、召开、表决程序，确保各股东享有平等地位，充分行使自己的权利。在选举董事、监事时采取累积投票制， 让各股东充分行使自己的权利。</w:t>
      </w:r>
    </w:p>
    <w:p>
      <w:pPr>
        <w:pStyle w:val="Style35"/>
        <w:keepNext w:val="0"/>
        <w:keepLines w:val="0"/>
        <w:widowControl w:val="0"/>
        <w:shd w:val="clear" w:color="auto" w:fill="auto"/>
        <w:tabs>
          <w:tab w:pos="700" w:val="left"/>
        </w:tabs>
        <w:bidi w:val="0"/>
        <w:spacing w:before="0" w:after="0" w:line="360" w:lineRule="auto"/>
        <w:ind w:left="0" w:right="0"/>
        <w:jc w:val="both"/>
      </w:pPr>
      <w:bookmarkStart w:id="591" w:name="bookmark591"/>
      <w:r>
        <w:rPr>
          <w:rFonts w:ascii="Times New Roman" w:eastAsia="Times New Roman" w:hAnsi="Times New Roman" w:cs="Times New Roman"/>
          <w:b/>
          <w:bCs/>
          <w:color w:val="000000"/>
          <w:spacing w:val="0"/>
          <w:w w:val="100"/>
          <w:position w:val="0"/>
          <w:sz w:val="18"/>
          <w:szCs w:val="18"/>
        </w:rPr>
        <w:t>2</w:t>
      </w:r>
      <w:bookmarkEnd w:id="591"/>
      <w:r>
        <w:rPr>
          <w:b/>
          <w:bCs/>
          <w:color w:val="000000"/>
          <w:spacing w:val="0"/>
          <w:w w:val="100"/>
          <w:position w:val="0"/>
        </w:rPr>
        <w:t>、</w:t>
        <w:tab/>
        <w:t>关于控股股东与公司</w:t>
      </w:r>
    </w:p>
    <w:p>
      <w:pPr>
        <w:pStyle w:val="Style35"/>
        <w:keepNext w:val="0"/>
        <w:keepLines w:val="0"/>
        <w:widowControl w:val="0"/>
        <w:shd w:val="clear" w:color="auto" w:fill="auto"/>
        <w:bidi w:val="0"/>
        <w:spacing w:before="0" w:after="140" w:line="312" w:lineRule="exact"/>
        <w:ind w:left="0" w:right="0"/>
        <w:jc w:val="both"/>
      </w:pPr>
      <w:r>
        <w:rPr>
          <w:color w:val="000000"/>
          <w:spacing w:val="0"/>
          <w:w w:val="100"/>
          <w:position w:val="0"/>
        </w:rPr>
        <w:t>公司控股股东行为规范，能依法行使其权利，并承担相应义务，没有直接或间接干预公司的决策和经营活动。公司具有 独立的业务、经营能力和完备的运营体系，公司业务、人员、资产、机构、财务独立，公司董事会、监事会和内部机构能够 独立运作。</w:t>
      </w:r>
    </w:p>
    <w:p>
      <w:pPr>
        <w:pStyle w:val="Style35"/>
        <w:keepNext w:val="0"/>
        <w:keepLines w:val="0"/>
        <w:widowControl w:val="0"/>
        <w:shd w:val="clear" w:color="auto" w:fill="auto"/>
        <w:tabs>
          <w:tab w:pos="700" w:val="left"/>
        </w:tabs>
        <w:bidi w:val="0"/>
        <w:spacing w:before="0" w:after="0" w:line="360" w:lineRule="auto"/>
        <w:ind w:left="0" w:right="0"/>
        <w:jc w:val="both"/>
      </w:pPr>
      <w:bookmarkStart w:id="592" w:name="bookmark592"/>
      <w:r>
        <w:rPr>
          <w:rFonts w:ascii="Times New Roman" w:eastAsia="Times New Roman" w:hAnsi="Times New Roman" w:cs="Times New Roman"/>
          <w:b/>
          <w:bCs/>
          <w:color w:val="000000"/>
          <w:spacing w:val="0"/>
          <w:w w:val="100"/>
          <w:position w:val="0"/>
          <w:sz w:val="18"/>
          <w:szCs w:val="18"/>
        </w:rPr>
        <w:t>3</w:t>
      </w:r>
      <w:bookmarkEnd w:id="592"/>
      <w:r>
        <w:rPr>
          <w:b/>
          <w:bCs/>
          <w:color w:val="000000"/>
          <w:spacing w:val="0"/>
          <w:w w:val="100"/>
          <w:position w:val="0"/>
        </w:rPr>
        <w:t>、</w:t>
        <w:tab/>
        <w:t>关于董事与董事会</w:t>
      </w:r>
    </w:p>
    <w:p>
      <w:pPr>
        <w:pStyle w:val="Style35"/>
        <w:keepNext w:val="0"/>
        <w:keepLines w:val="0"/>
        <w:widowControl w:val="0"/>
        <w:shd w:val="clear" w:color="auto" w:fill="auto"/>
        <w:bidi w:val="0"/>
        <w:spacing w:before="0" w:after="140" w:line="31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月公司董事会换届选举，目前董事会成员</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人，公司董事会人数和人员构成符合法律、法规 的要求。董事会按照《董事会议事规则》召开会议，执行股东大会决议并依法行使职权；公司全体董事能够按照《董事会议 事规则》等的要求认真履行勤勉尽责的义务，行使《公司章程》赋予的职权，按时出席董事会和股东大会，熟悉有关法律法 规；公司的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位独立董事在工作中保持充分的独立性，积极参加董事会会议，认真审议各项议案，对相关事项发表了独立意 见，切实维护公司和中小股东的利益。</w:t>
      </w:r>
    </w:p>
    <w:p>
      <w:pPr>
        <w:pStyle w:val="Style35"/>
        <w:keepNext w:val="0"/>
        <w:keepLines w:val="0"/>
        <w:widowControl w:val="0"/>
        <w:shd w:val="clear" w:color="auto" w:fill="auto"/>
        <w:tabs>
          <w:tab w:pos="700" w:val="left"/>
        </w:tabs>
        <w:bidi w:val="0"/>
        <w:spacing w:before="0" w:after="0" w:line="360" w:lineRule="auto"/>
        <w:ind w:left="0" w:right="0"/>
        <w:jc w:val="both"/>
      </w:pPr>
      <w:bookmarkStart w:id="593" w:name="bookmark593"/>
      <w:r>
        <w:rPr>
          <w:rFonts w:ascii="Times New Roman" w:eastAsia="Times New Roman" w:hAnsi="Times New Roman" w:cs="Times New Roman"/>
          <w:b/>
          <w:bCs/>
          <w:color w:val="000000"/>
          <w:spacing w:val="0"/>
          <w:w w:val="100"/>
          <w:position w:val="0"/>
          <w:sz w:val="18"/>
          <w:szCs w:val="18"/>
        </w:rPr>
        <w:t>4</w:t>
      </w:r>
      <w:bookmarkEnd w:id="593"/>
      <w:r>
        <w:rPr>
          <w:b/>
          <w:bCs/>
          <w:color w:val="000000"/>
          <w:spacing w:val="0"/>
          <w:w w:val="100"/>
          <w:position w:val="0"/>
        </w:rPr>
        <w:t>、</w:t>
        <w:tab/>
        <w:t>关于监事与监事会</w:t>
      </w:r>
    </w:p>
    <w:p>
      <w:pPr>
        <w:pStyle w:val="Style35"/>
        <w:keepNext w:val="0"/>
        <w:keepLines w:val="0"/>
        <w:widowControl w:val="0"/>
        <w:shd w:val="clear" w:color="auto" w:fill="auto"/>
        <w:bidi w:val="0"/>
        <w:spacing w:before="0" w:after="140" w:line="317"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名监事组成，其中非职工代表监事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人，监事人数和人员构成符合法律、法规的要求。 公司监事会严格按照《公司章程》及《监事会议事规则》等相关规定召集召开监事会。各监事按时出席监事会，认真履行职 责，能够本着对股东负责的精神，对公司重大事项、关联交易、财务状况等进行监督并发表意见，维护了公司及股东的合法 权益。</w:t>
      </w:r>
    </w:p>
    <w:p>
      <w:pPr>
        <w:pStyle w:val="Style35"/>
        <w:keepNext w:val="0"/>
        <w:keepLines w:val="0"/>
        <w:widowControl w:val="0"/>
        <w:shd w:val="clear" w:color="auto" w:fill="auto"/>
        <w:tabs>
          <w:tab w:pos="700" w:val="left"/>
        </w:tabs>
        <w:bidi w:val="0"/>
        <w:spacing w:before="0" w:after="0" w:line="360" w:lineRule="auto"/>
        <w:ind w:left="0" w:right="0"/>
        <w:jc w:val="both"/>
      </w:pPr>
      <w:bookmarkStart w:id="594" w:name="bookmark594"/>
      <w:r>
        <w:rPr>
          <w:rFonts w:ascii="Times New Roman" w:eastAsia="Times New Roman" w:hAnsi="Times New Roman" w:cs="Times New Roman"/>
          <w:b/>
          <w:bCs/>
          <w:color w:val="000000"/>
          <w:spacing w:val="0"/>
          <w:w w:val="100"/>
          <w:position w:val="0"/>
          <w:sz w:val="18"/>
          <w:szCs w:val="18"/>
        </w:rPr>
        <w:t>5</w:t>
      </w:r>
      <w:bookmarkEnd w:id="594"/>
      <w:r>
        <w:rPr>
          <w:b/>
          <w:bCs/>
          <w:color w:val="000000"/>
          <w:spacing w:val="0"/>
          <w:w w:val="100"/>
          <w:position w:val="0"/>
        </w:rPr>
        <w:t>、</w:t>
        <w:tab/>
        <w:t>关于信息披露与透明度</w:t>
      </w:r>
    </w:p>
    <w:p>
      <w:pPr>
        <w:pStyle w:val="Style35"/>
        <w:keepNext w:val="0"/>
        <w:keepLines w:val="0"/>
        <w:widowControl w:val="0"/>
        <w:shd w:val="clear" w:color="auto" w:fill="auto"/>
        <w:bidi w:val="0"/>
        <w:spacing w:before="0" w:after="140" w:line="312" w:lineRule="exact"/>
        <w:ind w:left="0" w:right="0"/>
        <w:jc w:val="both"/>
      </w:pPr>
      <w:r>
        <w:rPr>
          <w:color w:val="000000"/>
          <w:spacing w:val="0"/>
          <w:w w:val="100"/>
          <w:position w:val="0"/>
        </w:rPr>
        <w:t>公司严格按照有关法律法规及公司《信息披露管理制度》、《投资者关系管理制度》的要求，加强信息披露事务管理， 履行信息披露义务。公司指定董事会秘书为公司信息披露工作、投资者关系管理负责人，负责公司的信息披露与投资者关系 的管理工作；公司证券部为公司信息披露事务的日常工作部门。公司注重与投资者沟通交流，开通了投资者电话专线、专用 电子信箱，接待投资者和调研机构的来访和咨询，认真、及时回复深交所“互动易”平台投资者的提问，确保公司所有股东</w:t>
      </w:r>
    </w:p>
    <w:p>
      <w:pPr>
        <w:pStyle w:val="Style35"/>
        <w:keepNext w:val="0"/>
        <w:keepLines w:val="0"/>
        <w:widowControl w:val="0"/>
        <w:shd w:val="clear" w:color="auto" w:fill="auto"/>
        <w:bidi w:val="0"/>
        <w:spacing w:before="0" w:after="140" w:line="322" w:lineRule="exact"/>
        <w:ind w:left="0" w:right="0" w:firstLine="0"/>
        <w:jc w:val="both"/>
      </w:pPr>
      <w:r>
        <w:rPr>
          <w:color w:val="000000"/>
          <w:spacing w:val="0"/>
          <w:w w:val="100"/>
          <w:position w:val="0"/>
        </w:rPr>
        <w:t>能够平等地获得信息。公司指定《证券时报》等报刊和巨潮资讯网</w:t>
      </w:r>
      <w:r>
        <w:rPr>
          <w:rFonts w:ascii="SimHei" w:eastAsia="SimHei" w:hAnsi="SimHei" w:cs="SimHei"/>
          <w:color w:val="0070C0"/>
          <w:spacing w:val="0"/>
          <w:w w:val="100"/>
          <w:position w:val="0"/>
          <w:sz w:val="20"/>
          <w:szCs w:val="20"/>
        </w:rPr>
        <w:t>(</w:t>
      </w:r>
      <w:r>
        <w:rPr>
          <w:rFonts w:ascii="Times New Roman" w:eastAsia="Times New Roman" w:hAnsi="Times New Roman" w:cs="Times New Roman"/>
          <w:color w:val="0070C0"/>
          <w:spacing w:val="0"/>
          <w:w w:val="100"/>
          <w:position w:val="0"/>
          <w:sz w:val="18"/>
          <w:szCs w:val="18"/>
        </w:rPr>
        <w:t>http:/</w:t>
      </w:r>
      <w:r>
        <w:fldChar w:fldCharType="begin"/>
      </w:r>
      <w:r>
        <w:rPr/>
        <w:instrText> HYPERLINK "http://www.cninfo.com.cn/" </w:instrText>
      </w:r>
      <w:r>
        <w:fldChar w:fldCharType="separate"/>
      </w:r>
      <w:r>
        <w:rPr>
          <w:rFonts w:ascii="Times New Roman" w:eastAsia="Times New Roman" w:hAnsi="Times New Roman" w:cs="Times New Roman"/>
          <w:color w:val="0070C0"/>
          <w:spacing w:val="0"/>
          <w:w w:val="100"/>
          <w:position w:val="0"/>
          <w:sz w:val="18"/>
          <w:szCs w:val="18"/>
        </w:rPr>
        <w:t>/</w:t>
      </w:r>
      <w:r>
        <w:rPr>
          <w:rFonts w:ascii="Times New Roman" w:eastAsia="Times New Roman" w:hAnsi="Times New Roman" w:cs="Times New Roman"/>
          <w:color w:val="0070C0"/>
          <w:spacing w:val="0"/>
          <w:w w:val="100"/>
          <w:position w:val="0"/>
          <w:sz w:val="18"/>
          <w:szCs w:val="18"/>
          <w:u w:val="single"/>
        </w:rPr>
        <w:t>www.cninfo.com.cn</w:t>
      </w:r>
      <w:r>
        <w:rPr>
          <w:rFonts w:ascii="Times New Roman" w:eastAsia="Times New Roman" w:hAnsi="Times New Roman" w:cs="Times New Roman"/>
          <w:color w:val="0070C0"/>
          <w:spacing w:val="0"/>
          <w:w w:val="100"/>
          <w:position w:val="0"/>
          <w:sz w:val="18"/>
          <w:szCs w:val="18"/>
        </w:rPr>
        <w:t xml:space="preserve"> </w:t>
      </w:r>
      <w:r>
        <w:fldChar w:fldCharType="end"/>
      </w:r>
      <w:r>
        <w:rPr>
          <w:rFonts w:ascii="SimHei" w:eastAsia="SimHei" w:hAnsi="SimHei" w:cs="SimHei"/>
          <w:color w:val="0070C0"/>
          <w:spacing w:val="0"/>
          <w:w w:val="100"/>
          <w:position w:val="0"/>
          <w:sz w:val="20"/>
          <w:szCs w:val="20"/>
        </w:rPr>
        <w:t>)</w:t>
      </w:r>
      <w:r>
        <w:rPr>
          <w:color w:val="000000"/>
          <w:spacing w:val="0"/>
          <w:w w:val="100"/>
          <w:position w:val="0"/>
        </w:rPr>
        <w:t>为公司信息披露的报纸和网 站。</w:t>
      </w:r>
    </w:p>
    <w:p>
      <w:pPr>
        <w:pStyle w:val="Style35"/>
        <w:keepNext w:val="0"/>
        <w:keepLines w:val="0"/>
        <w:widowControl w:val="0"/>
        <w:shd w:val="clear" w:color="auto" w:fill="auto"/>
        <w:tabs>
          <w:tab w:pos="725" w:val="left"/>
        </w:tabs>
        <w:bidi w:val="0"/>
        <w:spacing w:before="0" w:after="0" w:line="360" w:lineRule="auto"/>
        <w:ind w:left="0" w:right="0"/>
        <w:jc w:val="both"/>
      </w:pPr>
      <w:bookmarkStart w:id="595" w:name="bookmark595"/>
      <w:r>
        <w:rPr>
          <w:rFonts w:ascii="Times New Roman" w:eastAsia="Times New Roman" w:hAnsi="Times New Roman" w:cs="Times New Roman"/>
          <w:b/>
          <w:bCs/>
          <w:color w:val="000000"/>
          <w:spacing w:val="0"/>
          <w:w w:val="100"/>
          <w:position w:val="0"/>
          <w:sz w:val="18"/>
          <w:szCs w:val="18"/>
        </w:rPr>
        <w:t>6</w:t>
      </w:r>
      <w:bookmarkEnd w:id="595"/>
      <w:r>
        <w:rPr>
          <w:b/>
          <w:bCs/>
          <w:color w:val="000000"/>
          <w:spacing w:val="0"/>
          <w:w w:val="100"/>
          <w:position w:val="0"/>
        </w:rPr>
        <w:t>、</w:t>
        <w:tab/>
        <w:t>关于相关利益者</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公司能够充分尊重和维护相关利益者的合法权益，积极与相关利益者合作，加强与各方的沟通和交流，实现公司、股东、 员工、社会等各方利益的和谐发展，以推动公司持续、稳健发展。</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公司治理的实际情况与中国证监会有关上市公司治理的规范性文件要求基本符合。公司治理是一项系统而长期的工程， 需要不断持续改进，公司愿意接受各方监督，不断完善公司治理制度体系，加强内控制度的执行，促进公司健康稳健发展， 提高公司整体竞争力。</w:t>
      </w:r>
    </w:p>
    <w:p>
      <w:pPr>
        <w:pStyle w:val="Style35"/>
        <w:keepNext w:val="0"/>
        <w:keepLines w:val="0"/>
        <w:widowControl w:val="0"/>
        <w:shd w:val="clear" w:color="auto" w:fill="auto"/>
        <w:tabs>
          <w:tab w:pos="725" w:val="left"/>
        </w:tabs>
        <w:bidi w:val="0"/>
        <w:spacing w:before="0" w:after="0" w:line="317" w:lineRule="exact"/>
        <w:ind w:left="0" w:right="0"/>
        <w:jc w:val="both"/>
      </w:pPr>
      <w:bookmarkStart w:id="596" w:name="bookmark596"/>
      <w:r>
        <w:rPr>
          <w:rFonts w:ascii="Times New Roman" w:eastAsia="Times New Roman" w:hAnsi="Times New Roman" w:cs="Times New Roman"/>
          <w:b/>
          <w:bCs/>
          <w:color w:val="000000"/>
          <w:spacing w:val="0"/>
          <w:w w:val="100"/>
          <w:position w:val="0"/>
          <w:sz w:val="18"/>
          <w:szCs w:val="18"/>
        </w:rPr>
        <w:t>7</w:t>
      </w:r>
      <w:bookmarkEnd w:id="596"/>
      <w:r>
        <w:rPr>
          <w:b/>
          <w:bCs/>
          <w:color w:val="000000"/>
          <w:spacing w:val="0"/>
          <w:w w:val="100"/>
          <w:position w:val="0"/>
        </w:rPr>
        <w:t>、</w:t>
        <w:tab/>
        <w:t>关于绩效评价与激励约束机制</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公司建立了公正、透明、有效的董事、监事和高级管理人员的绩效评价标准和激励约束机制，公司高级管理人员的聘任 公开、透明，严格按照有关法律法规的规定进行。公司未来还将探索更多形式的激励方式，形成多层次的综合激励机制，完 善绩效评价标准，更好地调动管理人员的工作积极性，吸引和稳定优秀管理人才和技术、业务骨干。</w:t>
      </w:r>
    </w:p>
    <w:p>
      <w:pPr>
        <w:pStyle w:val="Style35"/>
        <w:keepNext w:val="0"/>
        <w:keepLines w:val="0"/>
        <w:widowControl w:val="0"/>
        <w:shd w:val="clear" w:color="auto" w:fill="auto"/>
        <w:bidi w:val="0"/>
        <w:spacing w:before="0" w:after="140" w:line="317" w:lineRule="exact"/>
        <w:ind w:left="0" w:right="0"/>
        <w:jc w:val="both"/>
      </w:pPr>
      <w:r>
        <w:rPr>
          <w:color w:val="000000"/>
          <w:spacing w:val="0"/>
          <w:w w:val="100"/>
          <w:position w:val="0"/>
        </w:rPr>
        <w:t>公司治理的实际状况与中国证监会发布的有关上市公司治理的规范性文件是否存在重大差异</w:t>
      </w:r>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340" w:line="317" w:lineRule="exact"/>
        <w:ind w:left="0" w:right="0"/>
        <w:jc w:val="both"/>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二</w:t>
      </w:r>
      <w:bookmarkEnd w:id="599"/>
      <w:r>
        <w:rPr>
          <w:color w:val="000000"/>
          <w:spacing w:val="0"/>
          <w:w w:val="100"/>
          <w:position w:val="0"/>
          <w:sz w:val="24"/>
          <w:szCs w:val="24"/>
        </w:rPr>
        <w:t>、公司相对于控股股东在业务、人员、资产、机构、财务等方面的独立情况</w:t>
      </w:r>
      <w:bookmarkEnd w:id="597"/>
      <w:bookmarkEnd w:id="598"/>
      <w:bookmarkEnd w:id="600"/>
    </w:p>
    <w:p>
      <w:pPr>
        <w:pStyle w:val="Style35"/>
        <w:keepNext w:val="0"/>
        <w:keepLines w:val="0"/>
        <w:widowControl w:val="0"/>
        <w:shd w:val="clear" w:color="auto" w:fill="auto"/>
        <w:bidi w:val="0"/>
        <w:spacing w:before="0" w:after="140" w:line="315" w:lineRule="exact"/>
        <w:ind w:left="0" w:right="0"/>
        <w:jc w:val="both"/>
      </w:pPr>
      <w:r>
        <w:rPr>
          <w:color w:val="000000"/>
          <w:spacing w:val="0"/>
          <w:w w:val="100"/>
          <w:position w:val="0"/>
        </w:rPr>
        <w:t>公司自设立以来，严格按照《公司法》、《公司章程》及其他法律法规的要求规范运作，公司与控股股东江苏东润金财 投资管理有限公司在业务、人员、资产、机构、财务上完全分开，拥有独立完整的业务系统，具有面向市场自主生产经营能 力。同时公司控股股东江苏东润金财投资管理有限公司未以任何形式占用公司的货币资金或其他资产，不存在为其提供担保 的情况。</w:t>
      </w:r>
    </w:p>
    <w:p>
      <w:pPr>
        <w:pStyle w:val="Style35"/>
        <w:keepNext w:val="0"/>
        <w:keepLines w:val="0"/>
        <w:widowControl w:val="0"/>
        <w:shd w:val="clear" w:color="auto" w:fill="auto"/>
        <w:tabs>
          <w:tab w:pos="716" w:val="left"/>
        </w:tabs>
        <w:bidi w:val="0"/>
        <w:spacing w:before="0" w:after="0" w:line="360" w:lineRule="auto"/>
        <w:ind w:left="0" w:right="0"/>
        <w:jc w:val="both"/>
      </w:pPr>
      <w:bookmarkStart w:id="601" w:name="bookmark601"/>
      <w:r>
        <w:rPr>
          <w:rFonts w:ascii="Times New Roman" w:eastAsia="Times New Roman" w:hAnsi="Times New Roman" w:cs="Times New Roman"/>
          <w:b/>
          <w:bCs/>
          <w:color w:val="000000"/>
          <w:spacing w:val="0"/>
          <w:w w:val="100"/>
          <w:position w:val="0"/>
          <w:sz w:val="18"/>
          <w:szCs w:val="18"/>
        </w:rPr>
        <w:t>1</w:t>
      </w:r>
      <w:bookmarkEnd w:id="601"/>
      <w:r>
        <w:rPr>
          <w:b/>
          <w:bCs/>
          <w:color w:val="000000"/>
          <w:spacing w:val="0"/>
          <w:w w:val="100"/>
          <w:position w:val="0"/>
        </w:rPr>
        <w:t>、</w:t>
        <w:tab/>
        <w:t>业务独立情况</w:t>
      </w:r>
    </w:p>
    <w:p>
      <w:pPr>
        <w:pStyle w:val="Style35"/>
        <w:keepNext w:val="0"/>
        <w:keepLines w:val="0"/>
        <w:widowControl w:val="0"/>
        <w:shd w:val="clear" w:color="auto" w:fill="auto"/>
        <w:bidi w:val="0"/>
        <w:spacing w:before="0" w:after="140" w:line="314" w:lineRule="exact"/>
        <w:ind w:left="0" w:right="0"/>
        <w:jc w:val="both"/>
      </w:pPr>
      <w:r>
        <w:rPr>
          <w:color w:val="000000"/>
          <w:spacing w:val="0"/>
          <w:w w:val="100"/>
          <w:position w:val="0"/>
        </w:rPr>
        <w:t>公司主要从事的业务为实业投资；股权投资；投资咨询；资产管理；税务服务；财务、税务咨询服务；互联网软、硬件 产品研发、销售、技术服务、系统集成服务；数据服务；金属材料热处理及表面改性设备的技术开发、技术咨询、制造、销 售及维修服务等。本公司及公司控股的下属公司拥有独立的生产、销售及研发等系统。公司自主经营，业务不依赖于控股股 东，也不存在与控股股东之间的同业竞争与关联交易。</w:t>
      </w:r>
    </w:p>
    <w:p>
      <w:pPr>
        <w:pStyle w:val="Style35"/>
        <w:keepNext w:val="0"/>
        <w:keepLines w:val="0"/>
        <w:widowControl w:val="0"/>
        <w:shd w:val="clear" w:color="auto" w:fill="auto"/>
        <w:tabs>
          <w:tab w:pos="730" w:val="left"/>
        </w:tabs>
        <w:bidi w:val="0"/>
        <w:spacing w:before="0" w:after="0" w:line="360" w:lineRule="auto"/>
        <w:ind w:left="0" w:right="0"/>
        <w:jc w:val="both"/>
      </w:pPr>
      <w:bookmarkStart w:id="602" w:name="bookmark602"/>
      <w:r>
        <w:rPr>
          <w:rFonts w:ascii="Times New Roman" w:eastAsia="Times New Roman" w:hAnsi="Times New Roman" w:cs="Times New Roman"/>
          <w:b/>
          <w:bCs/>
          <w:color w:val="000000"/>
          <w:spacing w:val="0"/>
          <w:w w:val="100"/>
          <w:position w:val="0"/>
          <w:sz w:val="18"/>
          <w:szCs w:val="18"/>
        </w:rPr>
        <w:t>2</w:t>
      </w:r>
      <w:bookmarkEnd w:id="602"/>
      <w:r>
        <w:rPr>
          <w:b/>
          <w:bCs/>
          <w:color w:val="000000"/>
          <w:spacing w:val="0"/>
          <w:w w:val="100"/>
          <w:position w:val="0"/>
        </w:rPr>
        <w:t>、</w:t>
        <w:tab/>
        <w:t>人员独立情况</w:t>
      </w:r>
    </w:p>
    <w:p>
      <w:pPr>
        <w:pStyle w:val="Style35"/>
        <w:keepNext w:val="0"/>
        <w:keepLines w:val="0"/>
        <w:widowControl w:val="0"/>
        <w:shd w:val="clear" w:color="auto" w:fill="auto"/>
        <w:bidi w:val="0"/>
        <w:spacing w:before="0" w:after="140" w:line="315" w:lineRule="exact"/>
        <w:ind w:left="0" w:right="0"/>
        <w:jc w:val="both"/>
      </w:pPr>
      <w:r>
        <w:rPr>
          <w:color w:val="000000"/>
          <w:spacing w:val="0"/>
          <w:w w:val="100"/>
          <w:position w:val="0"/>
        </w:rPr>
        <w:t>公司在劳动、人事及工资管理等方面完全独立。公司高级管理人员均专职在公司工作并领取薪酬，未在控股股东单位担 任除董事、监事以外的其他职务，未在控股股东单位领取薪酬。公司董事、监事及高级管理人员的任职，均严格按照《公司 法》、《公司章程》等规定的程序推选和任免，不存在控股股东超越公司股东大会、董事会和《公司章程》的规定，对董事、 监事及高级管理人员作出人事任免决定的情形。</w:t>
      </w:r>
    </w:p>
    <w:p>
      <w:pPr>
        <w:pStyle w:val="Style35"/>
        <w:keepNext w:val="0"/>
        <w:keepLines w:val="0"/>
        <w:widowControl w:val="0"/>
        <w:shd w:val="clear" w:color="auto" w:fill="auto"/>
        <w:tabs>
          <w:tab w:pos="730" w:val="left"/>
        </w:tabs>
        <w:bidi w:val="0"/>
        <w:spacing w:before="0" w:after="0" w:line="360" w:lineRule="auto"/>
        <w:ind w:left="0" w:right="0"/>
        <w:jc w:val="both"/>
      </w:pPr>
      <w:bookmarkStart w:id="603" w:name="bookmark603"/>
      <w:r>
        <w:rPr>
          <w:rFonts w:ascii="Times New Roman" w:eastAsia="Times New Roman" w:hAnsi="Times New Roman" w:cs="Times New Roman"/>
          <w:b/>
          <w:bCs/>
          <w:color w:val="000000"/>
          <w:spacing w:val="0"/>
          <w:w w:val="100"/>
          <w:position w:val="0"/>
          <w:sz w:val="18"/>
          <w:szCs w:val="18"/>
        </w:rPr>
        <w:t>3</w:t>
      </w:r>
      <w:bookmarkEnd w:id="603"/>
      <w:r>
        <w:rPr>
          <w:b/>
          <w:bCs/>
          <w:color w:val="000000"/>
          <w:spacing w:val="0"/>
          <w:w w:val="100"/>
          <w:position w:val="0"/>
        </w:rPr>
        <w:t>、</w:t>
        <w:tab/>
        <w:t>资产独立情况</w:t>
      </w:r>
    </w:p>
    <w:p>
      <w:pPr>
        <w:pStyle w:val="Style35"/>
        <w:keepNext w:val="0"/>
        <w:keepLines w:val="0"/>
        <w:widowControl w:val="0"/>
        <w:shd w:val="clear" w:color="auto" w:fill="auto"/>
        <w:bidi w:val="0"/>
        <w:spacing w:before="0" w:after="140" w:line="317" w:lineRule="exact"/>
        <w:ind w:left="0" w:right="0"/>
        <w:jc w:val="both"/>
      </w:pPr>
      <w:r>
        <w:rPr>
          <w:color w:val="000000"/>
          <w:spacing w:val="0"/>
          <w:w w:val="100"/>
          <w:position w:val="0"/>
        </w:rPr>
        <w:t>公司拥有独立完整的资产，公司的资产全部处于公司的控制之下，并为公司独立拥有和运营。公司不存在资金、资产被 控股股东占用的情形。</w:t>
      </w:r>
    </w:p>
    <w:p>
      <w:pPr>
        <w:pStyle w:val="Style35"/>
        <w:keepNext w:val="0"/>
        <w:keepLines w:val="0"/>
        <w:widowControl w:val="0"/>
        <w:shd w:val="clear" w:color="auto" w:fill="auto"/>
        <w:tabs>
          <w:tab w:pos="730" w:val="left"/>
        </w:tabs>
        <w:bidi w:val="0"/>
        <w:spacing w:before="0" w:after="0" w:line="360" w:lineRule="auto"/>
        <w:ind w:left="0" w:right="0"/>
        <w:jc w:val="both"/>
      </w:pPr>
      <w:bookmarkStart w:id="604" w:name="bookmark604"/>
      <w:r>
        <w:rPr>
          <w:rFonts w:ascii="Times New Roman" w:eastAsia="Times New Roman" w:hAnsi="Times New Roman" w:cs="Times New Roman"/>
          <w:b/>
          <w:bCs/>
          <w:color w:val="000000"/>
          <w:spacing w:val="0"/>
          <w:w w:val="100"/>
          <w:position w:val="0"/>
          <w:sz w:val="18"/>
          <w:szCs w:val="18"/>
        </w:rPr>
        <w:t>4</w:t>
      </w:r>
      <w:bookmarkEnd w:id="604"/>
      <w:r>
        <w:rPr>
          <w:b/>
          <w:bCs/>
          <w:color w:val="000000"/>
          <w:spacing w:val="0"/>
          <w:w w:val="100"/>
          <w:position w:val="0"/>
        </w:rPr>
        <w:t>、</w:t>
        <w:tab/>
        <w:t>机构独立情况</w:t>
      </w:r>
    </w:p>
    <w:p>
      <w:pPr>
        <w:pStyle w:val="Style35"/>
        <w:keepNext w:val="0"/>
        <w:keepLines w:val="0"/>
        <w:widowControl w:val="0"/>
        <w:shd w:val="clear" w:color="auto" w:fill="auto"/>
        <w:bidi w:val="0"/>
        <w:spacing w:before="0" w:after="140" w:line="317" w:lineRule="exact"/>
        <w:ind w:left="0" w:right="0"/>
        <w:jc w:val="both"/>
      </w:pPr>
      <w:r>
        <w:rPr>
          <w:color w:val="000000"/>
          <w:spacing w:val="0"/>
          <w:w w:val="100"/>
          <w:position w:val="0"/>
        </w:rPr>
        <w:t>公司建立健全了包括股东大会、董事会、监事会、总经理办公会相互制衡的法人治理结构，并严格按照《公司法》、《公 司章程》等规定履行各自的职责；公司根据经营管理需要设置了完全独立于控股股东的内部组织机构。公司独立行使经营管 理职权，与控股股东之间不存在机构混同的情形。</w:t>
      </w:r>
    </w:p>
    <w:p>
      <w:pPr>
        <w:pStyle w:val="Style35"/>
        <w:keepNext w:val="0"/>
        <w:keepLines w:val="0"/>
        <w:widowControl w:val="0"/>
        <w:shd w:val="clear" w:color="auto" w:fill="auto"/>
        <w:tabs>
          <w:tab w:pos="730" w:val="left"/>
        </w:tabs>
        <w:bidi w:val="0"/>
        <w:spacing w:before="0" w:after="0" w:line="360" w:lineRule="auto"/>
        <w:ind w:left="0" w:right="0"/>
        <w:jc w:val="both"/>
      </w:pPr>
      <w:bookmarkStart w:id="605" w:name="bookmark605"/>
      <w:r>
        <w:rPr>
          <w:rFonts w:ascii="Times New Roman" w:eastAsia="Times New Roman" w:hAnsi="Times New Roman" w:cs="Times New Roman"/>
          <w:b/>
          <w:bCs/>
          <w:color w:val="000000"/>
          <w:spacing w:val="0"/>
          <w:w w:val="100"/>
          <w:position w:val="0"/>
          <w:sz w:val="18"/>
          <w:szCs w:val="18"/>
        </w:rPr>
        <w:t>5</w:t>
      </w:r>
      <w:bookmarkEnd w:id="605"/>
      <w:r>
        <w:rPr>
          <w:b/>
          <w:bCs/>
          <w:color w:val="000000"/>
          <w:spacing w:val="0"/>
          <w:w w:val="100"/>
          <w:position w:val="0"/>
        </w:rPr>
        <w:t>、</w:t>
        <w:tab/>
        <w:t>财务独立情况</w:t>
      </w:r>
    </w:p>
    <w:p>
      <w:pPr>
        <w:pStyle w:val="Style35"/>
        <w:keepNext w:val="0"/>
        <w:keepLines w:val="0"/>
        <w:widowControl w:val="0"/>
        <w:shd w:val="clear" w:color="auto" w:fill="auto"/>
        <w:bidi w:val="0"/>
        <w:spacing w:before="0" w:after="140" w:line="312" w:lineRule="exact"/>
        <w:ind w:left="0" w:right="0"/>
        <w:jc w:val="both"/>
        <w:sectPr>
          <w:footnotePr>
            <w:pos w:val="pageBottom"/>
            <w:numFmt w:val="decimal"/>
            <w:numRestart w:val="continuous"/>
          </w:footnotePr>
          <w:type w:val="continuous"/>
          <w:pgSz w:w="11900" w:h="16840"/>
          <w:pgMar w:top="1441" w:right="1014" w:bottom="1633" w:left="1080" w:header="0" w:footer="3" w:gutter="0"/>
          <w:cols w:space="720"/>
          <w:noEndnote/>
          <w:rtlGutter w:val="0"/>
          <w:docGrid w:linePitch="360"/>
        </w:sectPr>
      </w:pPr>
      <w:r>
        <w:rPr>
          <w:color w:val="000000"/>
          <w:spacing w:val="0"/>
          <w:w w:val="100"/>
          <w:position w:val="0"/>
        </w:rPr>
        <w:t>公司设立了独立于控股股东的财务部门，建立了独立的会计核算体系和财务管理制度。公司以独立法人的地位对外编制 会计报表，公司独立作出财务决策，独立在银行开户，依法独立进行纳税申报和履行纳税义务。公司独立对外签订合同，不</w:t>
      </w:r>
    </w:p>
    <w:p>
      <w:pPr>
        <w:pStyle w:val="Style35"/>
        <w:keepNext w:val="0"/>
        <w:keepLines w:val="0"/>
        <w:widowControl w:val="0"/>
        <w:shd w:val="clear" w:color="auto" w:fill="auto"/>
        <w:bidi w:val="0"/>
        <w:spacing w:before="0" w:after="340" w:line="480" w:lineRule="exact"/>
        <w:ind w:left="0" w:right="0" w:firstLine="5820"/>
        <w:jc w:val="both"/>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受控股股东和关联方的影响。公司不存在为控股股东提供担保，也不存在将本公司的借款转借给控股股东及其关联方使用的 情形。</w:t>
      </w:r>
    </w:p>
    <w:p>
      <w:pPr>
        <w:pStyle w:val="Style29"/>
        <w:keepNext/>
        <w:keepLines/>
        <w:widowControl w:val="0"/>
        <w:shd w:val="clear" w:color="auto" w:fill="auto"/>
        <w:bidi w:val="0"/>
        <w:spacing w:before="0" w:after="400" w:line="240" w:lineRule="auto"/>
        <w:ind w:left="0" w:right="0" w:firstLine="0"/>
        <w:jc w:val="both"/>
      </w:pPr>
      <w:bookmarkStart w:id="606" w:name="bookmark606"/>
      <w:bookmarkStart w:id="607" w:name="bookmark607"/>
      <w:bookmarkStart w:id="608" w:name="bookmark608"/>
      <w:bookmarkStart w:id="609" w:name="bookmark609"/>
      <w:r>
        <w:rPr>
          <w:color w:val="000000"/>
          <w:spacing w:val="0"/>
          <w:w w:val="100"/>
          <w:position w:val="0"/>
          <w:sz w:val="24"/>
          <w:szCs w:val="24"/>
        </w:rPr>
        <w:t>三</w:t>
      </w:r>
      <w:bookmarkEnd w:id="608"/>
      <w:r>
        <w:rPr>
          <w:color w:val="000000"/>
          <w:spacing w:val="0"/>
          <w:w w:val="100"/>
          <w:position w:val="0"/>
          <w:sz w:val="24"/>
          <w:szCs w:val="24"/>
        </w:rPr>
        <w:t>、同业竞争情况</w:t>
      </w:r>
      <w:bookmarkEnd w:id="606"/>
      <w:bookmarkEnd w:id="607"/>
      <w:bookmarkEnd w:id="609"/>
    </w:p>
    <w:p>
      <w:pPr>
        <w:pStyle w:val="Style35"/>
        <w:keepNext w:val="0"/>
        <w:keepLines w:val="0"/>
        <w:widowControl w:val="0"/>
        <w:shd w:val="clear" w:color="auto" w:fill="auto"/>
        <w:bidi w:val="0"/>
        <w:spacing w:before="0" w:after="60" w:line="557"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sz w:val="24"/>
          <w:szCs w:val="24"/>
        </w:rPr>
        <w:t>四</w:t>
      </w:r>
      <w:bookmarkEnd w:id="612"/>
      <w:r>
        <w:rPr>
          <w:color w:val="000000"/>
          <w:spacing w:val="0"/>
          <w:w w:val="100"/>
          <w:position w:val="0"/>
          <w:sz w:val="24"/>
          <w:szCs w:val="24"/>
        </w:rPr>
        <w:t>、报告期内召开的年度股东大会和临时股东大会的有关情况</w:t>
      </w:r>
      <w:bookmarkEnd w:id="610"/>
      <w:bookmarkEnd w:id="611"/>
      <w:bookmarkEnd w:id="613"/>
    </w:p>
    <w:p>
      <w:pPr>
        <w:pStyle w:val="Style39"/>
        <w:keepNext/>
        <w:keepLines/>
        <w:widowControl w:val="0"/>
        <w:shd w:val="clear" w:color="auto" w:fill="auto"/>
        <w:bidi w:val="0"/>
        <w:spacing w:before="0" w:after="340" w:line="240" w:lineRule="auto"/>
        <w:ind w:left="0" w:right="0" w:firstLine="48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、本报告期股东大会情况</w:t>
      </w:r>
      <w:bookmarkEnd w:id="614"/>
      <w:bookmarkEnd w:id="615"/>
      <w:bookmarkEnd w:id="617"/>
    </w:p>
    <w:tbl>
      <w:tblPr>
        <w:tblOverlap w:val="never"/>
        <w:jc w:val="center"/>
        <w:tblLayout w:type="fixed"/>
      </w:tblPr>
      <w:tblGrid>
        <w:gridCol w:w="1320"/>
        <w:gridCol w:w="994"/>
        <w:gridCol w:w="989"/>
        <w:gridCol w:w="994"/>
        <w:gridCol w:w="994"/>
        <w:gridCol w:w="4354"/>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cn/new/ disclosure/ detail?plate=szs e&amp;orgId=9900016747&amp;stockCode=002530&amp;announceme ntId=1207285925&amp;announcementTime=2020-01-31</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年度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52.2457%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cn/new/ disclosure/ detail?plate=szs e&amp;orgId=9900016747&amp;stockCode=002530&amp;announceme ntId=1207830489&amp;announcementTime=2020-05-20</w:t>
            </w:r>
          </w:p>
        </w:tc>
      </w:tr>
      <w:tr>
        <w:trPr>
          <w:trHeight w:val="82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50.6212%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cn/new/ disclosure/ detail?plate=szs e&amp;orgId=9900016747&amp;stockCode=002530&amp;announceme ntId=1208424178&amp;announcementTime=2020-09-11</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48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、表决权恢复的优先股股东请求召开临时股东大会</w:t>
      </w:r>
      <w:bookmarkEnd w:id="618"/>
      <w:bookmarkEnd w:id="619"/>
      <w:bookmarkEnd w:id="621"/>
    </w:p>
    <w:p>
      <w:pPr>
        <w:pStyle w:val="Style35"/>
        <w:keepNext w:val="0"/>
        <w:keepLines w:val="0"/>
        <w:widowControl w:val="0"/>
        <w:shd w:val="clear" w:color="auto" w:fill="auto"/>
        <w:bidi w:val="0"/>
        <w:spacing w:before="0" w:after="34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622" w:name="bookmark622"/>
      <w:bookmarkStart w:id="623" w:name="bookmark623"/>
      <w:bookmarkStart w:id="624" w:name="bookmark624"/>
      <w:bookmarkStart w:id="625" w:name="bookmark625"/>
      <w:r>
        <w:rPr>
          <w:color w:val="000000"/>
          <w:spacing w:val="0"/>
          <w:w w:val="100"/>
          <w:position w:val="0"/>
          <w:sz w:val="24"/>
          <w:szCs w:val="24"/>
        </w:rPr>
        <w:t>五</w:t>
      </w:r>
      <w:bookmarkEnd w:id="624"/>
      <w:r>
        <w:rPr>
          <w:color w:val="000000"/>
          <w:spacing w:val="0"/>
          <w:w w:val="100"/>
          <w:position w:val="0"/>
          <w:sz w:val="24"/>
          <w:szCs w:val="24"/>
        </w:rPr>
        <w:t>、报告期内独立董事履行职责的情况</w:t>
      </w:r>
      <w:bookmarkEnd w:id="622"/>
      <w:bookmarkEnd w:id="623"/>
      <w:bookmarkEnd w:id="625"/>
    </w:p>
    <w:p>
      <w:pPr>
        <w:pStyle w:val="Style39"/>
        <w:keepNext/>
        <w:keepLines/>
        <w:widowControl w:val="0"/>
        <w:shd w:val="clear" w:color="auto" w:fill="auto"/>
        <w:bidi w:val="0"/>
        <w:spacing w:before="0" w:after="400" w:line="240" w:lineRule="auto"/>
        <w:ind w:left="0" w:right="0" w:firstLine="480"/>
        <w:jc w:val="both"/>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color w:val="000000"/>
          <w:spacing w:val="0"/>
          <w:w w:val="100"/>
          <w:position w:val="0"/>
        </w:rPr>
        <w:t>、独立董事出席董事会及股东大会的情况</w:t>
      </w:r>
      <w:bookmarkEnd w:id="626"/>
      <w:bookmarkEnd w:id="627"/>
      <w:bookmarkEnd w:id="629"/>
    </w:p>
    <w:p>
      <w:pPr>
        <w:pStyle w:val="Style33"/>
        <w:keepNext w:val="0"/>
        <w:keepLines w:val="0"/>
        <w:widowControl w:val="0"/>
        <w:shd w:val="clear" w:color="auto" w:fill="auto"/>
        <w:bidi w:val="0"/>
        <w:spacing w:before="0" w:after="0" w:line="240" w:lineRule="auto"/>
        <w:ind w:left="3278" w:right="0" w:firstLine="0"/>
        <w:jc w:val="left"/>
      </w:pPr>
      <w:r>
        <w:rPr>
          <w:color w:val="000000"/>
          <w:spacing w:val="0"/>
          <w:w w:val="100"/>
          <w:position w:val="0"/>
        </w:rPr>
        <w:t>独立董事出席董事会及股东大会的情况</w:t>
      </w:r>
    </w:p>
    <w:tbl>
      <w:tblPr>
        <w:tblOverlap w:val="never"/>
        <w:jc w:val="center"/>
        <w:tblLayout w:type="fixed"/>
      </w:tblPr>
      <w:tblGrid>
        <w:gridCol w:w="1469"/>
        <w:gridCol w:w="1166"/>
        <w:gridCol w:w="1162"/>
        <w:gridCol w:w="1166"/>
        <w:gridCol w:w="1162"/>
        <w:gridCol w:w="1162"/>
        <w:gridCol w:w="1162"/>
        <w:gridCol w:w="1200"/>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本报告期应参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是否连续两次 未亲自参加董 事会会议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出席股东大会 次数</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30"/>
                <w:szCs w:val="30"/>
              </w:rPr>
            </w:pPr>
            <w:r>
              <w:rPr>
                <w:rFonts w:ascii="Times New Roman" w:eastAsia="Times New Roman" w:hAnsi="Times New Roman" w:cs="Times New Roman"/>
                <w:color w:val="000000"/>
                <w:spacing w:val="0"/>
                <w:w w:val="100"/>
                <w:position w:val="0"/>
                <w:sz w:val="30"/>
                <w:szCs w:val="30"/>
                <w:vertAlign w:val="superscript"/>
              </w:rPr>
              <w:t>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季小琴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夏维剑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48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bookmarkEnd w:id="632"/>
      <w:r>
        <w:rPr>
          <w:color w:val="000000"/>
          <w:spacing w:val="0"/>
          <w:w w:val="100"/>
          <w:position w:val="0"/>
        </w:rPr>
        <w:t>、独立董事对公司有关事项提出异议的情况</w:t>
      </w:r>
      <w:bookmarkEnd w:id="630"/>
      <w:bookmarkEnd w:id="631"/>
      <w:bookmarkEnd w:id="633"/>
    </w:p>
    <w:p>
      <w:pPr>
        <w:pStyle w:val="Style35"/>
        <w:keepNext w:val="0"/>
        <w:keepLines w:val="0"/>
        <w:widowControl w:val="0"/>
        <w:shd w:val="clear" w:color="auto" w:fill="auto"/>
        <w:bidi w:val="0"/>
        <w:spacing w:before="0" w:after="140" w:line="240" w:lineRule="auto"/>
        <w:ind w:left="0" w:right="0"/>
        <w:jc w:val="both"/>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340" w:line="240" w:lineRule="auto"/>
        <w:ind w:left="0" w:right="0"/>
        <w:jc w:val="both"/>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591" w:right="1068" w:bottom="1157" w:left="1073" w:header="163" w:footer="3" w:gutter="0"/>
          <w:cols w:space="720"/>
          <w:noEndnote/>
          <w:rtlGutter w:val="0"/>
          <w:docGrid w:linePitch="360"/>
        </w:sectPr>
      </w:pPr>
      <w:r>
        <w:rPr>
          <w:color w:val="000000"/>
          <w:spacing w:val="0"/>
          <w:w w:val="100"/>
          <w:position w:val="0"/>
        </w:rPr>
        <w:t>报告期内独立董事对公司有关事项未提出异议。</w:t>
      </w:r>
    </w:p>
    <w:p>
      <w:pPr>
        <w:pStyle w:val="Style39"/>
        <w:keepNext/>
        <w:keepLines/>
        <w:widowControl w:val="0"/>
        <w:shd w:val="clear" w:color="auto" w:fill="auto"/>
        <w:bidi w:val="0"/>
        <w:spacing w:before="0" w:after="260" w:line="240" w:lineRule="auto"/>
        <w:ind w:left="0" w:right="0" w:firstLine="48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3</w:t>
      </w:r>
      <w:bookmarkEnd w:id="636"/>
      <w:r>
        <w:rPr>
          <w:color w:val="000000"/>
          <w:spacing w:val="0"/>
          <w:w w:val="100"/>
          <w:position w:val="0"/>
        </w:rPr>
        <w:t>、独立董事履行职责的其他说明</w:t>
      </w:r>
      <w:bookmarkEnd w:id="634"/>
      <w:bookmarkEnd w:id="635"/>
      <w:bookmarkEnd w:id="637"/>
    </w:p>
    <w:p>
      <w:pPr>
        <w:pStyle w:val="Style35"/>
        <w:keepNext w:val="0"/>
        <w:keepLines w:val="0"/>
        <w:widowControl w:val="0"/>
        <w:shd w:val="clear" w:color="auto" w:fill="auto"/>
        <w:bidi w:val="0"/>
        <w:spacing w:before="0" w:after="140" w:line="314" w:lineRule="exact"/>
        <w:ind w:left="0" w:right="0"/>
        <w:jc w:val="both"/>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340" w:line="314" w:lineRule="exact"/>
        <w:ind w:left="0" w:right="0"/>
        <w:jc w:val="both"/>
      </w:pPr>
      <w:r>
        <w:rPr>
          <w:color w:val="000000"/>
          <w:spacing w:val="0"/>
          <w:w w:val="100"/>
          <w:position w:val="0"/>
        </w:rPr>
        <w:t>公司独立董事严格按照《公司章程》《公司独立董事制度》等相关规定的要求恪尽职守，勤勉尽责，积极出席董事会及 各专门委员会会议，认真审议各项议案，对公司重大决策发表专业意见，完善公司法人治理结构和内部控制体系，规范公司 日常运作。报告期内，独立董事重点关注公司关联交易、是否存在大股东资金占用、募投项目的实施进展情况等。独立董事 对公司提出的相关建议包括加强财务管理，努力降低运营成本，提升公司的整体盈利能力；进一步加强信息披露，做好投资 者关系管理，切实维护中小投资者的合法权益；关联交易要充分考虑必要性和公允性，尽量减少和避免关联交易，切实维护 公司及股东特别是中小股东权益。独立董事对公司所提出的建议均被采纳。</w:t>
      </w:r>
    </w:p>
    <w:p>
      <w:pPr>
        <w:pStyle w:val="Style29"/>
        <w:keepNext/>
        <w:keepLines/>
        <w:widowControl w:val="0"/>
        <w:shd w:val="clear" w:color="auto" w:fill="auto"/>
        <w:tabs>
          <w:tab w:pos="595" w:val="left"/>
        </w:tabs>
        <w:bidi w:val="0"/>
        <w:spacing w:before="0" w:after="26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六</w:t>
      </w:r>
      <w:bookmarkEnd w:id="640"/>
      <w:r>
        <w:rPr>
          <w:color w:val="000000"/>
          <w:spacing w:val="0"/>
          <w:w w:val="100"/>
          <w:position w:val="0"/>
          <w:sz w:val="24"/>
          <w:szCs w:val="24"/>
        </w:rPr>
        <w:t>、</w:t>
        <w:tab/>
        <w:t>董事会下设专门委员会在报告期内履行职责情况</w:t>
      </w:r>
      <w:bookmarkEnd w:id="638"/>
      <w:bookmarkEnd w:id="639"/>
      <w:bookmarkEnd w:id="641"/>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公司董事会下设四个专门委员会，分别为审计委员会、战略委员会、提名委员会、薪酬委员会。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年各专门委员会本 着勤勉尽责的原则，按照有关法律法规、规范性文件及公司各专门委员会工作细则的有关规定开展相关工作，报告期内，各 专门委员会履职情况如下：</w:t>
      </w:r>
    </w:p>
    <w:p>
      <w:pPr>
        <w:pStyle w:val="Style35"/>
        <w:keepNext w:val="0"/>
        <w:keepLines w:val="0"/>
        <w:widowControl w:val="0"/>
        <w:shd w:val="clear" w:color="auto" w:fill="auto"/>
        <w:tabs>
          <w:tab w:pos="739" w:val="left"/>
        </w:tabs>
        <w:bidi w:val="0"/>
        <w:spacing w:before="0" w:after="0" w:line="314" w:lineRule="exact"/>
        <w:ind w:left="0" w:right="0"/>
        <w:jc w:val="both"/>
      </w:pPr>
      <w:bookmarkStart w:id="642" w:name="bookmark642"/>
      <w:r>
        <w:rPr>
          <w:rFonts w:ascii="Times New Roman" w:eastAsia="Times New Roman" w:hAnsi="Times New Roman" w:cs="Times New Roman"/>
          <w:b/>
          <w:bCs/>
          <w:color w:val="000000"/>
          <w:spacing w:val="0"/>
          <w:w w:val="100"/>
          <w:position w:val="0"/>
          <w:sz w:val="18"/>
          <w:szCs w:val="18"/>
        </w:rPr>
        <w:t>1</w:t>
      </w:r>
      <w:bookmarkEnd w:id="642"/>
      <w:r>
        <w:rPr>
          <w:b/>
          <w:bCs/>
          <w:color w:val="000000"/>
          <w:spacing w:val="0"/>
          <w:w w:val="100"/>
          <w:position w:val="0"/>
        </w:rPr>
        <w:t>、</w:t>
        <w:tab/>
        <w:t>审计委员会履职情况</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报告期内，审计委员会根据有关规定积极开展相关工作，认真履行职责。报告期内，审计委员会共召开了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次会议，对 公司定期报告、内部审计工作报告、计提商誉减值准备、会计政策变更、续聘会计师事务所、公司内部控制自我评价报告、 计提资产减值准备等事项进行审议；对内部审计计划、审计工作情况、审计专项报告进行核查，审阅公司财务报表；认真听 取公司经营管理层对公司生产经营情况和重大事项进展情况的汇报；积极与审计机构联系沟通。</w:t>
      </w:r>
    </w:p>
    <w:p>
      <w:pPr>
        <w:pStyle w:val="Style35"/>
        <w:keepNext w:val="0"/>
        <w:keepLines w:val="0"/>
        <w:widowControl w:val="0"/>
        <w:shd w:val="clear" w:color="auto" w:fill="auto"/>
        <w:tabs>
          <w:tab w:pos="754" w:val="left"/>
        </w:tabs>
        <w:bidi w:val="0"/>
        <w:spacing w:before="0" w:after="0" w:line="314" w:lineRule="exact"/>
        <w:ind w:left="0" w:right="0"/>
        <w:jc w:val="both"/>
      </w:pPr>
      <w:bookmarkStart w:id="643" w:name="bookmark643"/>
      <w:r>
        <w:rPr>
          <w:rFonts w:ascii="Times New Roman" w:eastAsia="Times New Roman" w:hAnsi="Times New Roman" w:cs="Times New Roman"/>
          <w:b/>
          <w:bCs/>
          <w:color w:val="000000"/>
          <w:spacing w:val="0"/>
          <w:w w:val="100"/>
          <w:position w:val="0"/>
          <w:sz w:val="18"/>
          <w:szCs w:val="18"/>
        </w:rPr>
        <w:t>2</w:t>
      </w:r>
      <w:bookmarkEnd w:id="643"/>
      <w:r>
        <w:rPr>
          <w:b/>
          <w:bCs/>
          <w:color w:val="000000"/>
          <w:spacing w:val="0"/>
          <w:w w:val="100"/>
          <w:position w:val="0"/>
        </w:rPr>
        <w:t>、</w:t>
        <w:tab/>
        <w:t>战略委员会履职情况</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报告期内，战略委员会召开了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次会议，讨论了公司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年度发展战略和投资计划。</w:t>
      </w:r>
    </w:p>
    <w:p>
      <w:pPr>
        <w:pStyle w:val="Style35"/>
        <w:keepNext w:val="0"/>
        <w:keepLines w:val="0"/>
        <w:widowControl w:val="0"/>
        <w:shd w:val="clear" w:color="auto" w:fill="auto"/>
        <w:tabs>
          <w:tab w:pos="754" w:val="left"/>
        </w:tabs>
        <w:bidi w:val="0"/>
        <w:spacing w:before="0" w:after="0" w:line="314" w:lineRule="exact"/>
        <w:ind w:left="0" w:right="0"/>
        <w:jc w:val="both"/>
      </w:pPr>
      <w:bookmarkStart w:id="644" w:name="bookmark644"/>
      <w:r>
        <w:rPr>
          <w:rFonts w:ascii="Times New Roman" w:eastAsia="Times New Roman" w:hAnsi="Times New Roman" w:cs="Times New Roman"/>
          <w:b/>
          <w:bCs/>
          <w:color w:val="000000"/>
          <w:spacing w:val="0"/>
          <w:w w:val="100"/>
          <w:position w:val="0"/>
          <w:sz w:val="18"/>
          <w:szCs w:val="18"/>
        </w:rPr>
        <w:t>3</w:t>
      </w:r>
      <w:bookmarkEnd w:id="644"/>
      <w:r>
        <w:rPr>
          <w:b/>
          <w:bCs/>
          <w:color w:val="000000"/>
          <w:spacing w:val="0"/>
          <w:w w:val="100"/>
          <w:position w:val="0"/>
        </w:rPr>
        <w:t>、</w:t>
        <w:tab/>
        <w:t>提名委员会履职情况</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报告期内，提名委员会召开了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次会议，对公司拟聘任的高级管理人员的人选提出合理化建议。</w:t>
      </w:r>
    </w:p>
    <w:p>
      <w:pPr>
        <w:pStyle w:val="Style35"/>
        <w:keepNext w:val="0"/>
        <w:keepLines w:val="0"/>
        <w:widowControl w:val="0"/>
        <w:shd w:val="clear" w:color="auto" w:fill="auto"/>
        <w:tabs>
          <w:tab w:pos="754" w:val="left"/>
        </w:tabs>
        <w:bidi w:val="0"/>
        <w:spacing w:before="0" w:after="0" w:line="314" w:lineRule="exact"/>
        <w:ind w:left="0" w:right="0"/>
        <w:jc w:val="both"/>
      </w:pPr>
      <w:bookmarkStart w:id="645" w:name="bookmark645"/>
      <w:r>
        <w:rPr>
          <w:rFonts w:ascii="Times New Roman" w:eastAsia="Times New Roman" w:hAnsi="Times New Roman" w:cs="Times New Roman"/>
          <w:b/>
          <w:bCs/>
          <w:color w:val="000000"/>
          <w:spacing w:val="0"/>
          <w:w w:val="100"/>
          <w:position w:val="0"/>
          <w:sz w:val="18"/>
          <w:szCs w:val="18"/>
        </w:rPr>
        <w:t>4</w:t>
      </w:r>
      <w:bookmarkEnd w:id="645"/>
      <w:r>
        <w:rPr>
          <w:b/>
          <w:bCs/>
          <w:color w:val="000000"/>
          <w:spacing w:val="0"/>
          <w:w w:val="100"/>
          <w:position w:val="0"/>
        </w:rPr>
        <w:t>、</w:t>
        <w:tab/>
        <w:t>薪酬委员会履职情况</w:t>
      </w:r>
    </w:p>
    <w:p>
      <w:pPr>
        <w:pStyle w:val="Style35"/>
        <w:keepNext w:val="0"/>
        <w:keepLines w:val="0"/>
        <w:widowControl w:val="0"/>
        <w:shd w:val="clear" w:color="auto" w:fill="auto"/>
        <w:bidi w:val="0"/>
        <w:spacing w:before="0" w:after="340" w:line="322" w:lineRule="exact"/>
        <w:ind w:left="0" w:right="0"/>
        <w:jc w:val="both"/>
      </w:pPr>
      <w:r>
        <w:rPr>
          <w:color w:val="000000"/>
          <w:spacing w:val="0"/>
          <w:w w:val="100"/>
          <w:position w:val="0"/>
        </w:rPr>
        <w:t xml:space="preserve">报告期内，薪酬委员会召开了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次会议，审议了公司高级管理人员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年度薪酬考核方案以及第五届董事会独立董事津 贴方案。</w:t>
      </w:r>
    </w:p>
    <w:p>
      <w:pPr>
        <w:pStyle w:val="Style29"/>
        <w:keepNext/>
        <w:keepLines/>
        <w:widowControl w:val="0"/>
        <w:shd w:val="clear" w:color="auto" w:fill="auto"/>
        <w:tabs>
          <w:tab w:pos="595" w:val="left"/>
        </w:tabs>
        <w:bidi w:val="0"/>
        <w:spacing w:before="0" w:after="26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七</w:t>
      </w:r>
      <w:bookmarkEnd w:id="648"/>
      <w:r>
        <w:rPr>
          <w:color w:val="000000"/>
          <w:spacing w:val="0"/>
          <w:w w:val="100"/>
          <w:position w:val="0"/>
          <w:sz w:val="24"/>
          <w:szCs w:val="24"/>
        </w:rPr>
        <w:t>、</w:t>
        <w:tab/>
        <w:t>监事会工作情况</w:t>
      </w:r>
      <w:bookmarkEnd w:id="646"/>
      <w:bookmarkEnd w:id="647"/>
      <w:bookmarkEnd w:id="649"/>
    </w:p>
    <w:p>
      <w:pPr>
        <w:pStyle w:val="Style35"/>
        <w:keepNext w:val="0"/>
        <w:keepLines w:val="0"/>
        <w:widowControl w:val="0"/>
        <w:shd w:val="clear" w:color="auto" w:fill="auto"/>
        <w:bidi w:val="0"/>
        <w:spacing w:before="0" w:after="140" w:line="314" w:lineRule="exact"/>
        <w:ind w:left="0" w:right="0"/>
        <w:jc w:val="both"/>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340" w:line="314" w:lineRule="exact"/>
        <w:ind w:left="0" w:right="0"/>
        <w:jc w:val="both"/>
      </w:pPr>
      <w:r>
        <w:rPr>
          <w:color w:val="000000"/>
          <w:spacing w:val="0"/>
          <w:w w:val="100"/>
          <w:position w:val="0"/>
        </w:rPr>
        <w:t>监事会对报告期内的监督事项无异议。</w:t>
      </w:r>
    </w:p>
    <w:p>
      <w:pPr>
        <w:pStyle w:val="Style29"/>
        <w:keepNext/>
        <w:keepLines/>
        <w:widowControl w:val="0"/>
        <w:shd w:val="clear" w:color="auto" w:fill="auto"/>
        <w:tabs>
          <w:tab w:pos="595"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八</w:t>
      </w:r>
      <w:bookmarkEnd w:id="652"/>
      <w:r>
        <w:rPr>
          <w:color w:val="000000"/>
          <w:spacing w:val="0"/>
          <w:w w:val="100"/>
          <w:position w:val="0"/>
          <w:sz w:val="24"/>
          <w:szCs w:val="24"/>
        </w:rPr>
        <w:t>、</w:t>
        <w:tab/>
        <w:t>高级管理人员的考评及激励情况</w:t>
      </w:r>
      <w:bookmarkEnd w:id="650"/>
      <w:bookmarkEnd w:id="651"/>
      <w:bookmarkEnd w:id="653"/>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高级管理人员实行年薪制，依据行业及地区薪酬水平、个人岗位职责、公司经营效益等因素确定。结合公司实际经营业 绩和高级管理人员的履职情况进行绩效考核，并根据考核情况核发年度绩效薪酬。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年度高级管理人员的考核均为良好以 上。</w:t>
      </w:r>
    </w:p>
    <w:p>
      <w:pPr>
        <w:pStyle w:val="Style35"/>
        <w:keepNext w:val="0"/>
        <w:keepLines w:val="0"/>
        <w:widowControl w:val="0"/>
        <w:shd w:val="clear" w:color="auto" w:fill="auto"/>
        <w:bidi w:val="0"/>
        <w:spacing w:before="0" w:after="8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年度公司未实行股权激励计划。</w:t>
      </w:r>
      <w:r>
        <w:br w:type="page"/>
      </w:r>
    </w:p>
    <w:p>
      <w:pPr>
        <w:pStyle w:val="Style29"/>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九</w:t>
      </w:r>
      <w:bookmarkEnd w:id="656"/>
      <w:r>
        <w:rPr>
          <w:color w:val="000000"/>
          <w:spacing w:val="0"/>
          <w:w w:val="100"/>
          <w:position w:val="0"/>
          <w:sz w:val="24"/>
          <w:szCs w:val="24"/>
        </w:rPr>
        <w:t>、内部控制评价报告</w:t>
      </w:r>
      <w:bookmarkEnd w:id="654"/>
      <w:bookmarkEnd w:id="655"/>
      <w:bookmarkEnd w:id="657"/>
    </w:p>
    <w:p>
      <w:pPr>
        <w:pStyle w:val="Style39"/>
        <w:keepNext/>
        <w:keepLines/>
        <w:widowControl w:val="0"/>
        <w:shd w:val="clear" w:color="auto" w:fill="auto"/>
        <w:bidi w:val="0"/>
        <w:spacing w:before="0" w:line="240" w:lineRule="auto"/>
        <w:ind w:left="0" w:right="0" w:firstLine="40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、报告期内发现的内部控制重大缺陷的具体情况</w:t>
      </w:r>
      <w:bookmarkEnd w:id="658"/>
      <w:bookmarkEnd w:id="659"/>
      <w:bookmarkEnd w:id="661"/>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40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、内控自我评价报告</w:t>
      </w:r>
      <w:bookmarkEnd w:id="662"/>
      <w:bookmarkEnd w:id="663"/>
      <w:bookmarkEnd w:id="665"/>
    </w:p>
    <w:tbl>
      <w:tblPr>
        <w:tblOverlap w:val="never"/>
        <w:jc w:val="center"/>
        <w:tblLayout w:type="fixed"/>
      </w:tblPr>
      <w:tblGrid>
        <w:gridCol w:w="5698"/>
        <w:gridCol w:w="393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巨潮资讯网</w:t>
            </w:r>
            <w:r>
              <w:rPr>
                <w:rFonts w:ascii="SimHei" w:eastAsia="SimHei" w:hAnsi="SimHei" w:cs="SimHei"/>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 xml:space="preserve">http://www. cninfo. com. cn </w:t>
            </w:r>
            <w:r>
              <w:rPr>
                <w:rFonts w:ascii="SimHei" w:eastAsia="SimHei" w:hAnsi="SimHei" w:cs="SimHei"/>
                <w:color w:val="000000"/>
                <w:spacing w:val="0"/>
                <w:w w:val="100"/>
                <w:position w:val="0"/>
                <w:sz w:val="20"/>
                <w:szCs w:val="20"/>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p>
      <w:pPr>
        <w:widowControl w:val="0"/>
        <w:spacing w:after="79" w:line="1" w:lineRule="exact"/>
      </w:pPr>
    </w:p>
    <w:tbl>
      <w:tblPr>
        <w:tblOverlap w:val="never"/>
        <w:jc w:val="center"/>
        <w:tblLayout w:type="fixed"/>
      </w:tblPr>
      <w:tblGrid>
        <w:gridCol w:w="1459"/>
        <w:gridCol w:w="5107"/>
        <w:gridCol w:w="3077"/>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25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590" w:val="left"/>
              </w:tabs>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重大缺陷：单独缺陷或连同其他缺陷导致不能及时防止或 发现并纠正财务报告中的重大错报。出现下列情形的，认定为重 大缺陷：</w:t>
            </w:r>
          </w:p>
          <w:p>
            <w:pPr>
              <w:pStyle w:val="Style25"/>
              <w:keepNext w:val="0"/>
              <w:keepLines w:val="0"/>
              <w:widowControl w:val="0"/>
              <w:numPr>
                <w:ilvl w:val="0"/>
                <w:numId w:val="49"/>
              </w:numPr>
              <w:shd w:val="clear" w:color="auto" w:fill="auto"/>
              <w:tabs>
                <w:tab w:pos="735" w:val="left"/>
              </w:tabs>
              <w:bidi w:val="0"/>
              <w:spacing w:before="0" w:after="0" w:line="247" w:lineRule="exact"/>
              <w:ind w:left="0" w:right="0" w:firstLine="380"/>
              <w:jc w:val="both"/>
            </w:pPr>
            <w:r>
              <w:rPr>
                <w:color w:val="000000"/>
                <w:spacing w:val="0"/>
                <w:w w:val="100"/>
                <w:position w:val="0"/>
              </w:rPr>
              <w:t>控制环境无效；</w:t>
            </w:r>
          </w:p>
          <w:p>
            <w:pPr>
              <w:pStyle w:val="Style25"/>
              <w:keepNext w:val="0"/>
              <w:keepLines w:val="0"/>
              <w:widowControl w:val="0"/>
              <w:numPr>
                <w:ilvl w:val="0"/>
                <w:numId w:val="49"/>
              </w:numPr>
              <w:shd w:val="clear" w:color="auto" w:fill="auto"/>
              <w:tabs>
                <w:tab w:pos="735" w:val="left"/>
              </w:tabs>
              <w:bidi w:val="0"/>
              <w:spacing w:before="0" w:after="0" w:line="247" w:lineRule="exact"/>
              <w:ind w:left="0" w:right="0" w:firstLine="380"/>
              <w:jc w:val="both"/>
            </w:pPr>
            <w:r>
              <w:rPr>
                <w:color w:val="000000"/>
                <w:spacing w:val="0"/>
                <w:w w:val="100"/>
                <w:position w:val="0"/>
              </w:rPr>
              <w:t>董事、监事和高级管理人员舞弊行为；</w:t>
            </w:r>
          </w:p>
          <w:p>
            <w:pPr>
              <w:pStyle w:val="Style25"/>
              <w:keepNext w:val="0"/>
              <w:keepLines w:val="0"/>
              <w:widowControl w:val="0"/>
              <w:numPr>
                <w:ilvl w:val="0"/>
                <w:numId w:val="49"/>
              </w:numPr>
              <w:shd w:val="clear" w:color="auto" w:fill="auto"/>
              <w:tabs>
                <w:tab w:pos="768" w:val="left"/>
              </w:tabs>
              <w:bidi w:val="0"/>
              <w:spacing w:before="0" w:after="0" w:line="254" w:lineRule="exact"/>
              <w:ind w:left="0" w:right="0" w:firstLine="380"/>
              <w:jc w:val="both"/>
            </w:pPr>
            <w:r>
              <w:rPr>
                <w:color w:val="000000"/>
                <w:spacing w:val="0"/>
                <w:w w:val="100"/>
                <w:position w:val="0"/>
              </w:rPr>
              <w:t>外部审计发现当期财务报告存在重大错报，公司在运行 过程中未能发现该错报；</w:t>
            </w:r>
          </w:p>
          <w:p>
            <w:pPr>
              <w:pStyle w:val="Style25"/>
              <w:keepNext w:val="0"/>
              <w:keepLines w:val="0"/>
              <w:widowControl w:val="0"/>
              <w:numPr>
                <w:ilvl w:val="0"/>
                <w:numId w:val="49"/>
              </w:numPr>
              <w:shd w:val="clear" w:color="auto" w:fill="auto"/>
              <w:tabs>
                <w:tab w:pos="797" w:val="left"/>
              </w:tabs>
              <w:bidi w:val="0"/>
              <w:spacing w:before="0" w:after="0" w:line="254" w:lineRule="exact"/>
              <w:ind w:left="0" w:right="0" w:firstLine="380"/>
              <w:jc w:val="both"/>
            </w:pPr>
            <w:r>
              <w:rPr>
                <w:color w:val="000000"/>
                <w:spacing w:val="0"/>
                <w:w w:val="100"/>
                <w:position w:val="0"/>
              </w:rPr>
              <w:t>已经发现并报告给管理层的重大缺陷在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天内未加以 改正；</w:t>
            </w:r>
          </w:p>
          <w:p>
            <w:pPr>
              <w:pStyle w:val="Style25"/>
              <w:keepNext w:val="0"/>
              <w:keepLines w:val="0"/>
              <w:widowControl w:val="0"/>
              <w:numPr>
                <w:ilvl w:val="0"/>
                <w:numId w:val="49"/>
              </w:numPr>
              <w:shd w:val="clear" w:color="auto" w:fill="auto"/>
              <w:tabs>
                <w:tab w:pos="740" w:val="left"/>
              </w:tabs>
              <w:bidi w:val="0"/>
              <w:spacing w:before="0" w:after="0" w:line="247" w:lineRule="exact"/>
              <w:ind w:left="0" w:right="0" w:firstLine="380"/>
              <w:jc w:val="both"/>
            </w:pPr>
            <w:r>
              <w:rPr>
                <w:color w:val="000000"/>
                <w:spacing w:val="0"/>
                <w:w w:val="100"/>
                <w:position w:val="0"/>
              </w:rPr>
              <w:t>公司审计委员会和内部审计部对内部控制的监督无效；</w:t>
            </w:r>
          </w:p>
          <w:p>
            <w:pPr>
              <w:pStyle w:val="Style25"/>
              <w:keepNext w:val="0"/>
              <w:keepLines w:val="0"/>
              <w:widowControl w:val="0"/>
              <w:numPr>
                <w:ilvl w:val="0"/>
                <w:numId w:val="49"/>
              </w:numPr>
              <w:shd w:val="clear" w:color="auto" w:fill="auto"/>
              <w:tabs>
                <w:tab w:pos="735" w:val="left"/>
              </w:tabs>
              <w:bidi w:val="0"/>
              <w:spacing w:before="0" w:after="0" w:line="247" w:lineRule="exact"/>
              <w:ind w:left="0" w:right="0" w:firstLine="380"/>
              <w:jc w:val="both"/>
            </w:pPr>
            <w:r>
              <w:rPr>
                <w:color w:val="000000"/>
                <w:spacing w:val="0"/>
                <w:w w:val="100"/>
                <w:position w:val="0"/>
              </w:rPr>
              <w:t>其他可能影响报表使用者正确判断的缺陷。</w:t>
            </w:r>
          </w:p>
          <w:p>
            <w:pPr>
              <w:pStyle w:val="Style25"/>
              <w:keepNext w:val="0"/>
              <w:keepLines w:val="0"/>
              <w:widowControl w:val="0"/>
              <w:shd w:val="clear" w:color="auto" w:fill="auto"/>
              <w:tabs>
                <w:tab w:pos="590" w:val="left"/>
              </w:tabs>
              <w:bidi w:val="0"/>
              <w:spacing w:before="0" w:after="0" w:line="245"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重要缺陷：单独缺陷或连同其他缺陷导致不能及时防止或 发现并纠正财务报告中虽然未达到和超过重要性水平，仍应引起 管理层重视的错报。</w:t>
            </w:r>
          </w:p>
          <w:p>
            <w:pPr>
              <w:pStyle w:val="Style25"/>
              <w:keepNext w:val="0"/>
              <w:keepLines w:val="0"/>
              <w:widowControl w:val="0"/>
              <w:shd w:val="clear" w:color="auto" w:fill="auto"/>
              <w:tabs>
                <w:tab w:pos="581" w:val="left"/>
              </w:tabs>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一般缺陷：不构成重大缺陷或重要缺陷的其他内部控制缺 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出现以下情形的，认定为重大缺 陷，其他情形按影响程度分别确定为重 要缺陷或一般缺陷。</w:t>
            </w:r>
          </w:p>
          <w:p>
            <w:pPr>
              <w:pStyle w:val="Style25"/>
              <w:keepNext w:val="0"/>
              <w:keepLines w:val="0"/>
              <w:widowControl w:val="0"/>
              <w:numPr>
                <w:ilvl w:val="0"/>
                <w:numId w:val="51"/>
              </w:numPr>
              <w:shd w:val="clear" w:color="auto" w:fill="auto"/>
              <w:tabs>
                <w:tab w:pos="816" w:val="left"/>
              </w:tabs>
              <w:bidi w:val="0"/>
              <w:spacing w:before="0" w:after="0" w:line="245" w:lineRule="exact"/>
              <w:ind w:left="0" w:right="0" w:firstLine="380"/>
              <w:jc w:val="both"/>
            </w:pPr>
            <w:r>
              <w:rPr>
                <w:color w:val="000000"/>
                <w:spacing w:val="0"/>
                <w:w w:val="100"/>
                <w:position w:val="0"/>
              </w:rPr>
              <w:t>违犯国家法律、法规或规范 性文件，被相关部门处罚，造成较大社 会影响；</w:t>
            </w:r>
          </w:p>
          <w:p>
            <w:pPr>
              <w:pStyle w:val="Style25"/>
              <w:keepNext w:val="0"/>
              <w:keepLines w:val="0"/>
              <w:widowControl w:val="0"/>
              <w:numPr>
                <w:ilvl w:val="0"/>
                <w:numId w:val="51"/>
              </w:numPr>
              <w:shd w:val="clear" w:color="auto" w:fill="auto"/>
              <w:tabs>
                <w:tab w:pos="811" w:val="left"/>
              </w:tabs>
              <w:bidi w:val="0"/>
              <w:spacing w:before="0" w:after="0" w:line="247" w:lineRule="exact"/>
              <w:ind w:left="0" w:right="0" w:firstLine="380"/>
              <w:jc w:val="both"/>
            </w:pPr>
            <w:r>
              <w:rPr>
                <w:color w:val="000000"/>
                <w:spacing w:val="0"/>
                <w:w w:val="100"/>
                <w:position w:val="0"/>
              </w:rPr>
              <w:t>涉及公司生产经营的重要业 务制度控制缺失或失效，影响重大决 策；</w:t>
            </w:r>
          </w:p>
          <w:p>
            <w:pPr>
              <w:pStyle w:val="Style25"/>
              <w:keepNext w:val="0"/>
              <w:keepLines w:val="0"/>
              <w:widowControl w:val="0"/>
              <w:numPr>
                <w:ilvl w:val="0"/>
                <w:numId w:val="51"/>
              </w:numPr>
              <w:shd w:val="clear" w:color="auto" w:fill="auto"/>
              <w:tabs>
                <w:tab w:pos="735" w:val="left"/>
              </w:tabs>
              <w:bidi w:val="0"/>
              <w:spacing w:before="0" w:after="0" w:line="247" w:lineRule="exact"/>
              <w:ind w:left="0" w:right="0" w:firstLine="380"/>
              <w:jc w:val="both"/>
            </w:pPr>
            <w:r>
              <w:rPr>
                <w:color w:val="000000"/>
                <w:spacing w:val="0"/>
                <w:w w:val="100"/>
                <w:position w:val="0"/>
              </w:rPr>
              <w:t>媒体负面报道频现；</w:t>
            </w:r>
          </w:p>
          <w:p>
            <w:pPr>
              <w:pStyle w:val="Style25"/>
              <w:keepNext w:val="0"/>
              <w:keepLines w:val="0"/>
              <w:widowControl w:val="0"/>
              <w:numPr>
                <w:ilvl w:val="0"/>
                <w:numId w:val="51"/>
              </w:numPr>
              <w:shd w:val="clear" w:color="auto" w:fill="auto"/>
              <w:tabs>
                <w:tab w:pos="811" w:val="left"/>
              </w:tabs>
              <w:bidi w:val="0"/>
              <w:spacing w:before="0" w:after="0" w:line="257" w:lineRule="exact"/>
              <w:ind w:left="0" w:right="0" w:firstLine="380"/>
              <w:jc w:val="both"/>
            </w:pPr>
            <w:r>
              <w:rPr>
                <w:color w:val="000000"/>
                <w:spacing w:val="0"/>
                <w:w w:val="100"/>
                <w:position w:val="0"/>
              </w:rPr>
              <w:t>信息披露内部控制失效，导 致公司被监管部门公开谴责；</w:t>
            </w:r>
          </w:p>
          <w:p>
            <w:pPr>
              <w:pStyle w:val="Style25"/>
              <w:keepNext w:val="0"/>
              <w:keepLines w:val="0"/>
              <w:widowControl w:val="0"/>
              <w:numPr>
                <w:ilvl w:val="0"/>
                <w:numId w:val="51"/>
              </w:numPr>
              <w:shd w:val="clear" w:color="auto" w:fill="auto"/>
              <w:tabs>
                <w:tab w:pos="806" w:val="left"/>
              </w:tabs>
              <w:bidi w:val="0"/>
              <w:spacing w:before="0" w:after="0" w:line="257" w:lineRule="exact"/>
              <w:ind w:left="0" w:right="0" w:firstLine="380"/>
              <w:jc w:val="both"/>
            </w:pPr>
            <w:r>
              <w:rPr>
                <w:color w:val="000000"/>
                <w:spacing w:val="0"/>
                <w:w w:val="100"/>
                <w:position w:val="0"/>
              </w:rPr>
              <w:t>重大或重要缺陷不能得到整 改；</w:t>
            </w:r>
          </w:p>
          <w:p>
            <w:pPr>
              <w:pStyle w:val="Style25"/>
              <w:keepNext w:val="0"/>
              <w:keepLines w:val="0"/>
              <w:widowControl w:val="0"/>
              <w:numPr>
                <w:ilvl w:val="0"/>
                <w:numId w:val="51"/>
              </w:numPr>
              <w:shd w:val="clear" w:color="auto" w:fill="auto"/>
              <w:tabs>
                <w:tab w:pos="673" w:val="left"/>
              </w:tabs>
              <w:bidi w:val="0"/>
              <w:spacing w:before="0" w:after="0" w:line="257" w:lineRule="exact"/>
              <w:ind w:left="0" w:right="0" w:firstLine="380"/>
              <w:jc w:val="both"/>
            </w:pPr>
            <w:r>
              <w:rPr>
                <w:color w:val="000000"/>
                <w:spacing w:val="0"/>
                <w:w w:val="100"/>
                <w:position w:val="0"/>
              </w:rPr>
              <w:t>其他对公司影响重大的情形。</w:t>
            </w:r>
          </w:p>
        </w:tc>
      </w:tr>
      <w:tr>
        <w:trPr>
          <w:trHeight w:val="364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649" w:val="left"/>
              </w:tabs>
              <w:bidi w:val="0"/>
              <w:spacing w:before="0" w:after="40" w:line="24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营业收入潜在错报</w:t>
            </w:r>
          </w:p>
          <w:p>
            <w:pPr>
              <w:pStyle w:val="Style25"/>
              <w:keepNext w:val="0"/>
              <w:keepLines w:val="0"/>
              <w:widowControl w:val="0"/>
              <w:numPr>
                <w:ilvl w:val="0"/>
                <w:numId w:val="53"/>
              </w:numPr>
              <w:shd w:val="clear" w:color="auto" w:fill="auto"/>
              <w:tabs>
                <w:tab w:pos="735" w:val="left"/>
              </w:tabs>
              <w:bidi w:val="0"/>
              <w:spacing w:before="0" w:after="40" w:line="240" w:lineRule="exact"/>
              <w:ind w:left="0" w:right="0" w:firstLine="380"/>
              <w:jc w:val="both"/>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sz w:val="18"/>
                <w:szCs w:val="18"/>
              </w:rPr>
              <w:t>1.5%W</w:t>
            </w:r>
            <w:r>
              <w:rPr>
                <w:color w:val="000000"/>
                <w:spacing w:val="0"/>
                <w:w w:val="100"/>
                <w:position w:val="0"/>
              </w:rPr>
              <w:t>错报；</w:t>
            </w:r>
          </w:p>
          <w:p>
            <w:pPr>
              <w:pStyle w:val="Style25"/>
              <w:keepNext w:val="0"/>
              <w:keepLines w:val="0"/>
              <w:widowControl w:val="0"/>
              <w:numPr>
                <w:ilvl w:val="0"/>
                <w:numId w:val="53"/>
              </w:numPr>
              <w:shd w:val="clear" w:color="auto" w:fill="auto"/>
              <w:tabs>
                <w:tab w:pos="763" w:val="left"/>
              </w:tabs>
              <w:bidi w:val="0"/>
              <w:spacing w:before="0" w:after="40" w:line="240" w:lineRule="exact"/>
              <w:ind w:left="0" w:right="0" w:firstLine="380"/>
              <w:jc w:val="both"/>
            </w:pPr>
            <w:r>
              <w:rPr>
                <w:color w:val="000000"/>
                <w:spacing w:val="0"/>
                <w:w w:val="100"/>
                <w:position w:val="0"/>
              </w:rPr>
              <w:t>重要缺陷：营业收入总额的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错报〈营业收入总额 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5"/>
              <w:keepNext w:val="0"/>
              <w:keepLines w:val="0"/>
              <w:widowControl w:val="0"/>
              <w:numPr>
                <w:ilvl w:val="0"/>
                <w:numId w:val="53"/>
              </w:numPr>
              <w:shd w:val="clear" w:color="auto" w:fill="auto"/>
              <w:tabs>
                <w:tab w:pos="735" w:val="left"/>
              </w:tabs>
              <w:bidi w:val="0"/>
              <w:spacing w:before="0" w:after="40" w:line="240" w:lineRule="exact"/>
              <w:ind w:left="0" w:right="0" w:firstLine="380"/>
              <w:jc w:val="both"/>
            </w:pPr>
            <w:r>
              <w:rPr>
                <w:color w:val="000000"/>
                <w:spacing w:val="0"/>
                <w:w w:val="100"/>
                <w:position w:val="0"/>
              </w:rPr>
              <w:t>一般缺陷：错报〈营业收入总额的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w:t>
            </w:r>
          </w:p>
          <w:p>
            <w:pPr>
              <w:pStyle w:val="Style25"/>
              <w:keepNext w:val="0"/>
              <w:keepLines w:val="0"/>
              <w:widowControl w:val="0"/>
              <w:shd w:val="clear" w:color="auto" w:fill="auto"/>
              <w:tabs>
                <w:tab w:pos="663" w:val="left"/>
              </w:tabs>
              <w:bidi w:val="0"/>
              <w:spacing w:before="0" w:after="40" w:line="24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利润总额潜在错报</w:t>
            </w:r>
          </w:p>
          <w:p>
            <w:pPr>
              <w:pStyle w:val="Style25"/>
              <w:keepNext w:val="0"/>
              <w:keepLines w:val="0"/>
              <w:widowControl w:val="0"/>
              <w:numPr>
                <w:ilvl w:val="0"/>
                <w:numId w:val="55"/>
              </w:numPr>
              <w:shd w:val="clear" w:color="auto" w:fill="auto"/>
              <w:tabs>
                <w:tab w:pos="735" w:val="left"/>
              </w:tabs>
              <w:bidi w:val="0"/>
              <w:spacing w:before="0" w:after="40" w:line="240" w:lineRule="exact"/>
              <w:ind w:left="0" w:right="0" w:firstLine="380"/>
              <w:jc w:val="both"/>
            </w:pPr>
            <w:r>
              <w:rPr>
                <w:color w:val="000000"/>
                <w:spacing w:val="0"/>
                <w:w w:val="100"/>
                <w:position w:val="0"/>
              </w:rPr>
              <w:t>重大缺陷：利润总额的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w:t>
            </w:r>
          </w:p>
          <w:p>
            <w:pPr>
              <w:pStyle w:val="Style25"/>
              <w:keepNext w:val="0"/>
              <w:keepLines w:val="0"/>
              <w:widowControl w:val="0"/>
              <w:numPr>
                <w:ilvl w:val="0"/>
                <w:numId w:val="55"/>
              </w:numPr>
              <w:shd w:val="clear" w:color="auto" w:fill="auto"/>
              <w:tabs>
                <w:tab w:pos="735" w:val="left"/>
              </w:tabs>
              <w:bidi w:val="0"/>
              <w:spacing w:before="0" w:after="40" w:line="240" w:lineRule="exact"/>
              <w:ind w:left="0" w:right="0" w:firstLine="380"/>
              <w:jc w:val="both"/>
            </w:pPr>
            <w:r>
              <w:rPr>
                <w:color w:val="000000"/>
                <w:spacing w:val="0"/>
                <w:w w:val="100"/>
                <w:position w:val="0"/>
              </w:rPr>
              <w:t>重要缺陷：利润总额的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5"/>
              <w:keepNext w:val="0"/>
              <w:keepLines w:val="0"/>
              <w:widowControl w:val="0"/>
              <w:numPr>
                <w:ilvl w:val="0"/>
                <w:numId w:val="55"/>
              </w:numPr>
              <w:shd w:val="clear" w:color="auto" w:fill="auto"/>
              <w:tabs>
                <w:tab w:pos="735" w:val="left"/>
              </w:tabs>
              <w:bidi w:val="0"/>
              <w:spacing w:before="0" w:after="40" w:line="240" w:lineRule="exact"/>
              <w:ind w:left="0" w:right="0" w:firstLine="380"/>
              <w:jc w:val="both"/>
            </w:pPr>
            <w:r>
              <w:rPr>
                <w:color w:val="000000"/>
                <w:spacing w:val="0"/>
                <w:w w:val="100"/>
                <w:position w:val="0"/>
              </w:rPr>
              <w:t>一般缺陷：错报〈利润总额的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5"/>
              <w:keepNext w:val="0"/>
              <w:keepLines w:val="0"/>
              <w:widowControl w:val="0"/>
              <w:shd w:val="clear" w:color="auto" w:fill="auto"/>
              <w:tabs>
                <w:tab w:pos="658" w:val="left"/>
              </w:tabs>
              <w:bidi w:val="0"/>
              <w:spacing w:before="0" w:after="40" w:line="240"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总资产潜在错报</w:t>
            </w:r>
          </w:p>
          <w:p>
            <w:pPr>
              <w:pStyle w:val="Style25"/>
              <w:keepNext w:val="0"/>
              <w:keepLines w:val="0"/>
              <w:widowControl w:val="0"/>
              <w:numPr>
                <w:ilvl w:val="0"/>
                <w:numId w:val="57"/>
              </w:numPr>
              <w:shd w:val="clear" w:color="auto" w:fill="auto"/>
              <w:tabs>
                <w:tab w:pos="735" w:val="left"/>
              </w:tabs>
              <w:bidi w:val="0"/>
              <w:spacing w:before="0" w:after="40" w:line="240" w:lineRule="exact"/>
              <w:ind w:left="0" w:right="0" w:firstLine="380"/>
              <w:jc w:val="both"/>
            </w:pPr>
            <w:r>
              <w:rPr>
                <w:color w:val="000000"/>
                <w:spacing w:val="0"/>
                <w:w w:val="100"/>
                <w:position w:val="0"/>
              </w:rPr>
              <w:t>重大缺陷：资产总额的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p>
          <w:p>
            <w:pPr>
              <w:pStyle w:val="Style25"/>
              <w:keepNext w:val="0"/>
              <w:keepLines w:val="0"/>
              <w:widowControl w:val="0"/>
              <w:numPr>
                <w:ilvl w:val="0"/>
                <w:numId w:val="57"/>
              </w:numPr>
              <w:shd w:val="clear" w:color="auto" w:fill="auto"/>
              <w:tabs>
                <w:tab w:pos="735" w:val="left"/>
              </w:tabs>
              <w:bidi w:val="0"/>
              <w:spacing w:before="0" w:after="40" w:line="240" w:lineRule="exact"/>
              <w:ind w:left="0" w:right="0" w:firstLine="380"/>
              <w:jc w:val="both"/>
            </w:pP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numPr>
                <w:ilvl w:val="0"/>
                <w:numId w:val="57"/>
              </w:numPr>
              <w:shd w:val="clear" w:color="auto" w:fill="auto"/>
              <w:tabs>
                <w:tab w:pos="735" w:val="left"/>
              </w:tabs>
              <w:bidi w:val="0"/>
              <w:spacing w:before="0" w:after="40" w:line="240" w:lineRule="exact"/>
              <w:ind w:left="0" w:right="0" w:firstLine="380"/>
              <w:jc w:val="both"/>
            </w:pPr>
            <w:r>
              <w:rPr>
                <w:color w:val="000000"/>
                <w:spacing w:val="0"/>
                <w:w w:val="100"/>
                <w:position w:val="0"/>
              </w:rPr>
              <w:t>一般缺陷：错报〈资产总额的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638" w:val="left"/>
              </w:tabs>
              <w:bidi w:val="0"/>
              <w:spacing w:before="0" w:after="0" w:line="24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重大缺陷：直接财产损失金额 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万元以上，对公司造成较大负面 影响并以公告形式对外披露；</w:t>
            </w:r>
          </w:p>
          <w:p>
            <w:pPr>
              <w:pStyle w:val="Style25"/>
              <w:keepNext w:val="0"/>
              <w:keepLines w:val="0"/>
              <w:widowControl w:val="0"/>
              <w:shd w:val="clear" w:color="auto" w:fill="auto"/>
              <w:tabs>
                <w:tab w:pos="638" w:val="left"/>
              </w:tabs>
              <w:bidi w:val="0"/>
              <w:spacing w:before="0" w:after="0" w:line="24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重要缺陷：直接财产损失金额 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受国家政府部门处罚，但未对公司造成 负面影响；</w:t>
            </w:r>
          </w:p>
          <w:p>
            <w:pPr>
              <w:pStyle w:val="Style25"/>
              <w:keepNext w:val="0"/>
              <w:keepLines w:val="0"/>
              <w:widowControl w:val="0"/>
              <w:shd w:val="clear" w:color="auto" w:fill="auto"/>
              <w:tabs>
                <w:tab w:pos="638" w:val="left"/>
              </w:tabs>
              <w:bidi w:val="0"/>
              <w:spacing w:before="0" w:after="0" w:line="244"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一般缺陷：直接财产损失金额 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万元以下(含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万元)，受省 级(含省级)以下政府部门处罚，未对 公司造成负面影响。</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财务报告重大缺 陷数量(个)</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非财务报告重大 缺陷数量(个)</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459"/>
        <w:gridCol w:w="8184"/>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财务报告重要缺 陷数量（个）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非财务报告重要 缺陷数量（个）</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400" w:line="240" w:lineRule="auto"/>
        <w:ind w:left="0" w:right="0" w:firstLine="0"/>
        <w:jc w:val="left"/>
      </w:pPr>
      <w:bookmarkStart w:id="666" w:name="bookmark666"/>
      <w:bookmarkStart w:id="667" w:name="bookmark667"/>
      <w:bookmarkStart w:id="668" w:name="bookmark668"/>
      <w:r>
        <w:rPr>
          <w:color w:val="000000"/>
          <w:spacing w:val="0"/>
          <w:w w:val="100"/>
          <w:position w:val="0"/>
          <w:sz w:val="24"/>
          <w:szCs w:val="24"/>
        </w:rPr>
        <w:t>十、内部控制审计报告或鉴证报告</w:t>
      </w:r>
      <w:bookmarkEnd w:id="666"/>
      <w:bookmarkEnd w:id="667"/>
      <w:bookmarkEnd w:id="668"/>
    </w:p>
    <w:p>
      <w:pPr>
        <w:pStyle w:val="Style35"/>
        <w:keepNext w:val="0"/>
        <w:keepLines w:val="0"/>
        <w:widowControl w:val="0"/>
        <w:shd w:val="clear" w:color="auto" w:fill="auto"/>
        <w:bidi w:val="0"/>
        <w:spacing w:before="0" w:after="340" w:line="240" w:lineRule="auto"/>
        <w:ind w:left="0" w:right="0"/>
        <w:jc w:val="left"/>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441" w:right="1057" w:bottom="1479" w:left="1046"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440" w:line="240" w:lineRule="auto"/>
        <w:ind w:left="0" w:right="0" w:firstLine="0"/>
        <w:jc w:val="center"/>
      </w:pPr>
      <w:bookmarkStart w:id="669" w:name="bookmark669"/>
      <w:bookmarkStart w:id="670" w:name="bookmark670"/>
      <w:bookmarkStart w:id="671" w:name="bookmark671"/>
      <w:r>
        <w:rPr>
          <w:color w:val="000000"/>
          <w:spacing w:val="0"/>
          <w:w w:val="100"/>
          <w:position w:val="0"/>
        </w:rPr>
        <w:t>第十一节公司债券相关情况</w:t>
      </w:r>
      <w:bookmarkEnd w:id="669"/>
      <w:bookmarkEnd w:id="670"/>
      <w:bookmarkEnd w:id="671"/>
    </w:p>
    <w:p>
      <w:pPr>
        <w:pStyle w:val="Style35"/>
        <w:keepNext w:val="0"/>
        <w:keepLines w:val="0"/>
        <w:widowControl w:val="0"/>
        <w:shd w:val="clear" w:color="auto" w:fill="auto"/>
        <w:bidi w:val="0"/>
        <w:spacing w:before="0" w:after="0" w:line="355" w:lineRule="exact"/>
        <w:ind w:left="400"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926" w:right="1170" w:bottom="1926" w:left="1088"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7"/>
        <w:keepNext/>
        <w:keepLines/>
        <w:widowControl w:val="0"/>
        <w:shd w:val="clear" w:color="auto" w:fill="auto"/>
        <w:bidi w:val="0"/>
        <w:spacing w:before="700" w:after="520" w:line="240" w:lineRule="auto"/>
        <w:ind w:left="0" w:right="0" w:firstLine="0"/>
        <w:jc w:val="center"/>
      </w:pPr>
      <w:bookmarkStart w:id="672" w:name="bookmark672"/>
      <w:bookmarkStart w:id="673" w:name="bookmark673"/>
      <w:bookmarkStart w:id="674" w:name="bookmark674"/>
      <w:r>
        <w:rPr>
          <w:color w:val="000000"/>
          <w:spacing w:val="0"/>
          <w:w w:val="100"/>
          <w:position w:val="0"/>
        </w:rPr>
        <w:t>第十二节财务报告</w:t>
      </w:r>
      <w:bookmarkEnd w:id="672"/>
      <w:bookmarkEnd w:id="673"/>
      <w:bookmarkEnd w:id="674"/>
    </w:p>
    <w:p>
      <w:pPr>
        <w:pStyle w:val="Style29"/>
        <w:keepNext/>
        <w:keepLines/>
        <w:widowControl w:val="0"/>
        <w:shd w:val="clear" w:color="auto" w:fill="auto"/>
        <w:bidi w:val="0"/>
        <w:spacing w:before="0" w:after="320" w:line="240" w:lineRule="auto"/>
        <w:ind w:left="0" w:right="0" w:firstLine="280"/>
        <w:jc w:val="left"/>
      </w:pPr>
      <w:bookmarkStart w:id="675" w:name="bookmark675"/>
      <w:bookmarkStart w:id="676" w:name="bookmark676"/>
      <w:bookmarkStart w:id="677" w:name="bookmark677"/>
      <w:r>
        <w:rPr>
          <w:color w:val="000000"/>
          <w:spacing w:val="0"/>
          <w:w w:val="100"/>
          <w:position w:val="0"/>
          <w:sz w:val="24"/>
          <w:szCs w:val="24"/>
        </w:rPr>
        <w:t>、审计报告</w:t>
      </w:r>
      <w:bookmarkEnd w:id="675"/>
      <w:bookmarkEnd w:id="676"/>
      <w:bookmarkEnd w:id="677"/>
    </w:p>
    <w:tbl>
      <w:tblPr>
        <w:tblOverlap w:val="never"/>
        <w:jc w:val="center"/>
        <w:tblLayout w:type="fixed"/>
      </w:tblPr>
      <w:tblGrid>
        <w:gridCol w:w="4824"/>
        <w:gridCol w:w="4819"/>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01818</w:t>
            </w:r>
            <w:r>
              <w:rPr>
                <w:color w:val="000000"/>
                <w:spacing w:val="0"/>
                <w:w w:val="100"/>
                <w:position w:val="0"/>
              </w:rPr>
              <w:t>号</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卞文漪、赵海蓉</w:t>
            </w:r>
          </w:p>
        </w:tc>
      </w:tr>
    </w:tbl>
    <w:p>
      <w:pPr>
        <w:pStyle w:val="Style33"/>
        <w:keepNext w:val="0"/>
        <w:keepLines w:val="0"/>
        <w:widowControl w:val="0"/>
        <w:shd w:val="clear" w:color="auto" w:fill="auto"/>
        <w:bidi w:val="0"/>
        <w:spacing w:before="0" w:after="0" w:line="240" w:lineRule="auto"/>
        <w:ind w:left="4306" w:right="0" w:firstLine="0"/>
        <w:jc w:val="left"/>
      </w:pPr>
      <w:r>
        <w:rPr>
          <w:b/>
          <w:bCs/>
          <w:color w:val="000000"/>
          <w:spacing w:val="0"/>
          <w:w w:val="100"/>
          <w:position w:val="0"/>
        </w:rPr>
        <w:t>审计报告正文</w:t>
      </w:r>
    </w:p>
    <w:p>
      <w:pPr>
        <w:pStyle w:val="Style35"/>
        <w:keepNext w:val="0"/>
        <w:keepLines w:val="0"/>
        <w:widowControl w:val="0"/>
        <w:shd w:val="clear" w:color="auto" w:fill="auto"/>
        <w:bidi w:val="0"/>
        <w:spacing w:before="0" w:after="360" w:line="326" w:lineRule="exact"/>
        <w:ind w:left="0" w:right="0" w:firstLine="7600"/>
        <w:jc w:val="both"/>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01818</w:t>
      </w:r>
      <w:r>
        <w:rPr>
          <w:color w:val="000000"/>
          <w:spacing w:val="0"/>
          <w:w w:val="100"/>
          <w:position w:val="0"/>
        </w:rPr>
        <w:t xml:space="preserve">号 </w:t>
      </w:r>
      <w:r>
        <w:rPr>
          <w:b/>
          <w:bCs/>
          <w:color w:val="000000"/>
          <w:spacing w:val="0"/>
          <w:w w:val="100"/>
          <w:position w:val="0"/>
        </w:rPr>
        <w:t>金财互联控股股份有限公司全体股东：</w:t>
      </w:r>
    </w:p>
    <w:p>
      <w:pPr>
        <w:pStyle w:val="Style35"/>
        <w:keepNext w:val="0"/>
        <w:keepLines w:val="0"/>
        <w:widowControl w:val="0"/>
        <w:shd w:val="clear" w:color="auto" w:fill="auto"/>
        <w:tabs>
          <w:tab w:pos="739" w:val="left"/>
        </w:tabs>
        <w:bidi w:val="0"/>
        <w:spacing w:before="0" w:after="0" w:line="315" w:lineRule="exact"/>
        <w:ind w:left="0" w:right="0"/>
        <w:jc w:val="both"/>
      </w:pPr>
      <w:bookmarkStart w:id="678" w:name="bookmark678"/>
      <w:r>
        <w:rPr>
          <w:rFonts w:ascii="Times New Roman" w:eastAsia="Times New Roman" w:hAnsi="Times New Roman" w:cs="Times New Roman"/>
          <w:b/>
          <w:bCs/>
          <w:color w:val="000000"/>
          <w:spacing w:val="0"/>
          <w:w w:val="100"/>
          <w:position w:val="0"/>
          <w:sz w:val="18"/>
          <w:szCs w:val="18"/>
        </w:rPr>
        <w:t>1</w:t>
      </w:r>
      <w:bookmarkEnd w:id="678"/>
      <w:r>
        <w:rPr>
          <w:b/>
          <w:bCs/>
          <w:color w:val="000000"/>
          <w:spacing w:val="0"/>
          <w:w w:val="100"/>
          <w:position w:val="0"/>
        </w:rPr>
        <w:t>、</w:t>
        <w:tab/>
        <w:t>审计意见</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我们审计了金财互联控股股份有限公司（以下简称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金财互联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日的合并及公司资产负债 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年度的合并及公司利润表、合并及公司现金流量表、合并及公司所有者权益变动表以及相关财务报表附注。</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我们认为，后附的财务报表在所有重大方面按照企业会计准则的规定编制，公允反映了金财互联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年度的合并及公司经营成果和现金流量。</w:t>
      </w:r>
    </w:p>
    <w:p>
      <w:pPr>
        <w:pStyle w:val="Style35"/>
        <w:keepNext w:val="0"/>
        <w:keepLines w:val="0"/>
        <w:widowControl w:val="0"/>
        <w:shd w:val="clear" w:color="auto" w:fill="auto"/>
        <w:tabs>
          <w:tab w:pos="754" w:val="left"/>
        </w:tabs>
        <w:bidi w:val="0"/>
        <w:spacing w:before="0" w:after="0" w:line="315" w:lineRule="exact"/>
        <w:ind w:left="0" w:right="0"/>
        <w:jc w:val="both"/>
      </w:pPr>
      <w:bookmarkStart w:id="679" w:name="bookmark679"/>
      <w:r>
        <w:rPr>
          <w:rFonts w:ascii="Times New Roman" w:eastAsia="Times New Roman" w:hAnsi="Times New Roman" w:cs="Times New Roman"/>
          <w:b/>
          <w:bCs/>
          <w:color w:val="000000"/>
          <w:spacing w:val="0"/>
          <w:w w:val="100"/>
          <w:position w:val="0"/>
          <w:sz w:val="18"/>
          <w:szCs w:val="18"/>
        </w:rPr>
        <w:t>2</w:t>
      </w:r>
      <w:bookmarkEnd w:id="679"/>
      <w:r>
        <w:rPr>
          <w:b/>
          <w:bCs/>
          <w:color w:val="000000"/>
          <w:spacing w:val="0"/>
          <w:w w:val="100"/>
          <w:position w:val="0"/>
        </w:rPr>
        <w:t>、</w:t>
        <w:tab/>
        <w:t>形成审计意见的基础</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阐述了我们在这些准则下的责任。按照中国注册会计师职业道德守则，我们独立于金财互联，并履行了职业道德方面的其他 责任。我们相信，我们获取的审计证据是充分、适当的，为发表审计意见提供了基础。</w:t>
      </w:r>
    </w:p>
    <w:p>
      <w:pPr>
        <w:pStyle w:val="Style35"/>
        <w:keepNext w:val="0"/>
        <w:keepLines w:val="0"/>
        <w:widowControl w:val="0"/>
        <w:shd w:val="clear" w:color="auto" w:fill="auto"/>
        <w:tabs>
          <w:tab w:pos="754" w:val="left"/>
        </w:tabs>
        <w:bidi w:val="0"/>
        <w:spacing w:before="0" w:after="0" w:line="315" w:lineRule="exact"/>
        <w:ind w:left="0" w:right="0"/>
        <w:jc w:val="both"/>
      </w:pPr>
      <w:bookmarkStart w:id="680" w:name="bookmark680"/>
      <w:r>
        <w:rPr>
          <w:rFonts w:ascii="Times New Roman" w:eastAsia="Times New Roman" w:hAnsi="Times New Roman" w:cs="Times New Roman"/>
          <w:b/>
          <w:bCs/>
          <w:color w:val="000000"/>
          <w:spacing w:val="0"/>
          <w:w w:val="100"/>
          <w:position w:val="0"/>
          <w:sz w:val="18"/>
          <w:szCs w:val="18"/>
        </w:rPr>
        <w:t>3</w:t>
      </w:r>
      <w:bookmarkEnd w:id="680"/>
      <w:r>
        <w:rPr>
          <w:b/>
          <w:bCs/>
          <w:color w:val="000000"/>
          <w:spacing w:val="0"/>
          <w:w w:val="100"/>
          <w:position w:val="0"/>
        </w:rPr>
        <w:t>、</w:t>
        <w:tab/>
        <w:t>关键审计事项</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5"/>
        <w:keepNext w:val="0"/>
        <w:keepLines w:val="0"/>
        <w:widowControl w:val="0"/>
        <w:shd w:val="clear" w:color="auto" w:fill="auto"/>
        <w:bidi w:val="0"/>
        <w:spacing w:before="0" w:after="0" w:line="315" w:lineRule="exact"/>
        <w:ind w:left="0" w:right="0"/>
        <w:jc w:val="both"/>
      </w:pPr>
      <w:bookmarkStart w:id="681" w:name="bookmark681"/>
      <w:r>
        <w:rPr>
          <w:b/>
          <w:bCs/>
          <w:color w:val="000000"/>
          <w:spacing w:val="0"/>
          <w:w w:val="100"/>
          <w:position w:val="0"/>
        </w:rPr>
        <w:t>（</w:t>
      </w:r>
      <w:bookmarkEnd w:id="68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）商誉及无形资产的减值</w:t>
      </w:r>
    </w:p>
    <w:p>
      <w:pPr>
        <w:pStyle w:val="Style35"/>
        <w:keepNext w:val="0"/>
        <w:keepLines w:val="0"/>
        <w:widowControl w:val="0"/>
        <w:numPr>
          <w:ilvl w:val="0"/>
          <w:numId w:val="59"/>
        </w:numPr>
        <w:shd w:val="clear" w:color="auto" w:fill="auto"/>
        <w:tabs>
          <w:tab w:pos="787" w:val="left"/>
        </w:tabs>
        <w:bidi w:val="0"/>
        <w:spacing w:before="0" w:after="0" w:line="315" w:lineRule="exact"/>
        <w:ind w:left="0" w:right="0"/>
        <w:jc w:val="both"/>
      </w:pPr>
      <w:bookmarkStart w:id="682" w:name="bookmark682"/>
      <w:bookmarkEnd w:id="682"/>
      <w:r>
        <w:rPr>
          <w:color w:val="000000"/>
          <w:spacing w:val="0"/>
          <w:w w:val="100"/>
          <w:position w:val="0"/>
        </w:rPr>
        <w:t>事项描述：</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日，金财互联合并资产负债表中商誉账面原值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,825,145,622.38</w:t>
      </w:r>
      <w:r>
        <w:rPr>
          <w:color w:val="000000"/>
          <w:spacing w:val="0"/>
          <w:w w:val="100"/>
          <w:position w:val="0"/>
        </w:rPr>
        <w:t xml:space="preserve">元，已计提商誉减值准备 </w:t>
      </w:r>
      <w:r>
        <w:rPr>
          <w:rFonts w:ascii="Times New Roman" w:eastAsia="Times New Roman" w:hAnsi="Times New Roman" w:cs="Times New Roman"/>
          <w:color w:val="000000"/>
          <w:spacing w:val="0"/>
          <w:w w:val="100"/>
          <w:position w:val="0"/>
          <w:sz w:val="18"/>
          <w:szCs w:val="18"/>
        </w:rPr>
        <w:t>1,689,546,155.76</w:t>
      </w:r>
      <w:r>
        <w:rPr>
          <w:color w:val="000000"/>
          <w:spacing w:val="0"/>
          <w:w w:val="100"/>
          <w:position w:val="0"/>
        </w:rPr>
        <w:t>元，商誉账面价值为</w:t>
      </w:r>
      <w:r>
        <w:rPr>
          <w:rFonts w:ascii="Times New Roman" w:eastAsia="Times New Roman" w:hAnsi="Times New Roman" w:cs="Times New Roman"/>
          <w:color w:val="000000"/>
          <w:spacing w:val="0"/>
          <w:w w:val="100"/>
          <w:position w:val="0"/>
          <w:sz w:val="18"/>
          <w:szCs w:val="18"/>
        </w:rPr>
        <w:t>135,599,466.62</w:t>
      </w:r>
      <w:r>
        <w:rPr>
          <w:color w:val="000000"/>
          <w:spacing w:val="0"/>
          <w:w w:val="100"/>
          <w:position w:val="0"/>
        </w:rPr>
        <w:t>元；无形资产账面原值</w:t>
      </w:r>
      <w:r>
        <w:rPr>
          <w:rFonts w:ascii="Times New Roman" w:eastAsia="Times New Roman" w:hAnsi="Times New Roman" w:cs="Times New Roman"/>
          <w:color w:val="000000"/>
          <w:spacing w:val="0"/>
          <w:w w:val="100"/>
          <w:position w:val="0"/>
          <w:sz w:val="18"/>
          <w:szCs w:val="18"/>
        </w:rPr>
        <w:t>679,486,197.54</w:t>
      </w:r>
      <w:r>
        <w:rPr>
          <w:color w:val="000000"/>
          <w:spacing w:val="0"/>
          <w:w w:val="100"/>
          <w:position w:val="0"/>
        </w:rPr>
        <w:t>元，累计摊销</w:t>
      </w:r>
      <w:r>
        <w:rPr>
          <w:rFonts w:ascii="Times New Roman" w:eastAsia="Times New Roman" w:hAnsi="Times New Roman" w:cs="Times New Roman"/>
          <w:color w:val="000000"/>
          <w:spacing w:val="0"/>
          <w:w w:val="100"/>
          <w:position w:val="0"/>
          <w:sz w:val="18"/>
          <w:szCs w:val="18"/>
        </w:rPr>
        <w:t>168,658,532.46</w:t>
      </w:r>
      <w:r>
        <w:rPr>
          <w:color w:val="000000"/>
          <w:spacing w:val="0"/>
          <w:w w:val="100"/>
          <w:position w:val="0"/>
        </w:rPr>
        <w:t>元，已 计提无形资产减值准备</w:t>
      </w:r>
      <w:r>
        <w:rPr>
          <w:rFonts w:ascii="Times New Roman" w:eastAsia="Times New Roman" w:hAnsi="Times New Roman" w:cs="Times New Roman"/>
          <w:color w:val="000000"/>
          <w:spacing w:val="0"/>
          <w:w w:val="100"/>
          <w:position w:val="0"/>
          <w:sz w:val="18"/>
          <w:szCs w:val="18"/>
        </w:rPr>
        <w:t>142,266,425.25</w:t>
      </w:r>
      <w:r>
        <w:rPr>
          <w:color w:val="000000"/>
          <w:spacing w:val="0"/>
          <w:w w:val="100"/>
          <w:position w:val="0"/>
        </w:rPr>
        <w:t>元。主要为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年收购方欣科技有限公司（以下简称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方欣科技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）形成的商誉及无形 资产。管理层将方欣科技判断为独立的资产组，聘请独立评估师对方欣科技资产组的公允价值进行评估，以协助管理层对方 欣科技商誉进行减值测试。减值评估涉及确定折现率等评估参数及对未来若干年的经营和财务情况的假设，包括未来若干年 的销售增长率和毛利率等。由于方欣科技商誉及无形资产的账面价值对财务报表影响重大，且上述判断和假设的合理性对商 誉及无形资产减值测试的结果具有重大影响，因此我们将方欣科技的商誉及无形资产减值测试作为关键审计事项。</w:t>
      </w:r>
    </w:p>
    <w:p>
      <w:pPr>
        <w:pStyle w:val="Style35"/>
        <w:keepNext w:val="0"/>
        <w:keepLines w:val="0"/>
        <w:widowControl w:val="0"/>
        <w:numPr>
          <w:ilvl w:val="0"/>
          <w:numId w:val="59"/>
        </w:numPr>
        <w:shd w:val="clear" w:color="auto" w:fill="auto"/>
        <w:tabs>
          <w:tab w:pos="787" w:val="left"/>
        </w:tabs>
        <w:bidi w:val="0"/>
        <w:spacing w:before="0" w:after="0" w:line="315" w:lineRule="exact"/>
        <w:ind w:left="0" w:right="0"/>
        <w:jc w:val="both"/>
      </w:pPr>
      <w:bookmarkStart w:id="683" w:name="bookmark683"/>
      <w:bookmarkEnd w:id="683"/>
      <w:r>
        <w:rPr>
          <w:color w:val="000000"/>
          <w:spacing w:val="0"/>
          <w:w w:val="100"/>
          <w:position w:val="0"/>
        </w:rPr>
        <w:t>审计应对：</w:t>
      </w:r>
    </w:p>
    <w:p>
      <w:pPr>
        <w:pStyle w:val="Style35"/>
        <w:keepNext w:val="0"/>
        <w:keepLines w:val="0"/>
        <w:widowControl w:val="0"/>
        <w:shd w:val="clear" w:color="auto" w:fill="auto"/>
        <w:bidi w:val="0"/>
        <w:spacing w:before="0" w:after="0" w:line="326" w:lineRule="exact"/>
        <w:ind w:left="0" w:right="0"/>
        <w:jc w:val="both"/>
      </w:pPr>
      <w:r>
        <w:rPr>
          <w:color w:val="000000"/>
          <w:spacing w:val="0"/>
          <w:w w:val="100"/>
          <w:position w:val="0"/>
        </w:rPr>
        <w:t>我们针对商誉及无形资产的减值执行的主要审计程序包括：</w:t>
      </w:r>
    </w:p>
    <w:p>
      <w:pPr>
        <w:pStyle w:val="Style35"/>
        <w:keepNext w:val="0"/>
        <w:keepLines w:val="0"/>
        <w:widowControl w:val="0"/>
        <w:numPr>
          <w:ilvl w:val="0"/>
          <w:numId w:val="61"/>
        </w:numPr>
        <w:shd w:val="clear" w:color="auto" w:fill="auto"/>
        <w:bidi w:val="0"/>
        <w:spacing w:before="0" w:after="0" w:line="326" w:lineRule="exact"/>
        <w:ind w:left="0" w:right="0"/>
        <w:jc w:val="both"/>
        <w:sectPr>
          <w:footnotePr>
            <w:pos w:val="pageBottom"/>
            <w:numFmt w:val="decimal"/>
            <w:numRestart w:val="continuous"/>
          </w:footnotePr>
          <w:pgSz w:w="11900" w:h="16840"/>
          <w:pgMar w:top="1263" w:right="1054" w:bottom="1436" w:left="1039" w:header="0" w:footer="3" w:gutter="0"/>
          <w:cols w:space="720"/>
          <w:noEndnote/>
          <w:rtlGutter w:val="0"/>
          <w:docGrid w:linePitch="360"/>
        </w:sectPr>
      </w:pPr>
      <w:bookmarkStart w:id="684" w:name="bookmark684"/>
      <w:bookmarkEnd w:id="684"/>
      <w:r>
        <w:rPr>
          <w:color w:val="000000"/>
          <w:spacing w:val="0"/>
          <w:w w:val="100"/>
          <w:position w:val="0"/>
        </w:rPr>
        <w:t>了解与长期资产减值相关的关键内部控制，评价这些控制的设计，确定其是否得到执行，并测试相关内部控制的运行 有效性；</w:t>
      </w:r>
    </w:p>
    <w:p>
      <w:pPr>
        <w:pStyle w:val="Style35"/>
        <w:keepNext w:val="0"/>
        <w:keepLines w:val="0"/>
        <w:widowControl w:val="0"/>
        <w:numPr>
          <w:ilvl w:val="0"/>
          <w:numId w:val="61"/>
        </w:numPr>
        <w:shd w:val="clear" w:color="auto" w:fill="auto"/>
        <w:tabs>
          <w:tab w:pos="740" w:val="left"/>
        </w:tabs>
        <w:bidi w:val="0"/>
        <w:spacing w:before="0" w:after="0" w:line="320" w:lineRule="exact"/>
        <w:ind w:left="0" w:right="0" w:firstLine="420"/>
        <w:jc w:val="both"/>
      </w:pPr>
      <w:bookmarkStart w:id="685" w:name="bookmark685"/>
      <w:bookmarkEnd w:id="685"/>
      <w:r>
        <w:rPr>
          <w:color w:val="000000"/>
          <w:spacing w:val="0"/>
          <w:w w:val="100"/>
          <w:position w:val="0"/>
        </w:rPr>
        <w:t>评价独立评估师的胜任能力、专业素质和客观性；</w:t>
      </w:r>
    </w:p>
    <w:p>
      <w:pPr>
        <w:pStyle w:val="Style35"/>
        <w:keepNext w:val="0"/>
        <w:keepLines w:val="0"/>
        <w:widowControl w:val="0"/>
        <w:numPr>
          <w:ilvl w:val="0"/>
          <w:numId w:val="61"/>
        </w:numPr>
        <w:shd w:val="clear" w:color="auto" w:fill="auto"/>
        <w:tabs>
          <w:tab w:pos="675" w:val="left"/>
        </w:tabs>
        <w:bidi w:val="0"/>
        <w:spacing w:before="0" w:after="0" w:line="322" w:lineRule="exact"/>
        <w:ind w:left="0" w:right="0" w:firstLine="420"/>
        <w:jc w:val="both"/>
      </w:pPr>
      <w:bookmarkStart w:id="686" w:name="bookmark686"/>
      <w:bookmarkEnd w:id="686"/>
      <w:r>
        <w:rPr>
          <w:color w:val="000000"/>
          <w:spacing w:val="0"/>
          <w:w w:val="100"/>
          <w:position w:val="0"/>
        </w:rPr>
        <w:t>评价管理层在减值测试中采用的关键假设的合理性，复核相关假设是否与总体经济环境、行业状况、经营情况、历史 经验、管理层使用的与财务报表相关的其他假设等相符；</w:t>
      </w:r>
    </w:p>
    <w:p>
      <w:pPr>
        <w:pStyle w:val="Style35"/>
        <w:keepNext w:val="0"/>
        <w:keepLines w:val="0"/>
        <w:widowControl w:val="0"/>
        <w:numPr>
          <w:ilvl w:val="0"/>
          <w:numId w:val="61"/>
        </w:numPr>
        <w:shd w:val="clear" w:color="auto" w:fill="auto"/>
        <w:tabs>
          <w:tab w:pos="675" w:val="left"/>
        </w:tabs>
        <w:bidi w:val="0"/>
        <w:spacing w:before="0" w:after="0" w:line="320" w:lineRule="exact"/>
        <w:ind w:left="0" w:right="0" w:firstLine="420"/>
        <w:jc w:val="both"/>
      </w:pPr>
      <w:bookmarkStart w:id="687" w:name="bookmark687"/>
      <w:bookmarkEnd w:id="687"/>
      <w:r>
        <w:rPr>
          <w:color w:val="000000"/>
          <w:spacing w:val="0"/>
          <w:w w:val="100"/>
          <w:position w:val="0"/>
        </w:rPr>
        <w:t>我们利用内部评估专家的工作，以协助判断评估价值类型、评估方法的合理性；我们的内部评估专家参考了若干家可 比公司的公开财务信息以评价公司采用的折现率是否在行业内其他公司所采用的折现率范围内；我们对比了公司历史财务数 据及行业发展趋势，以判断公司对未来若干年的销售增长率和毛利率等经营和财务假设是否合理。</w:t>
      </w:r>
    </w:p>
    <w:p>
      <w:pPr>
        <w:pStyle w:val="Style35"/>
        <w:keepNext w:val="0"/>
        <w:keepLines w:val="0"/>
        <w:widowControl w:val="0"/>
        <w:numPr>
          <w:ilvl w:val="0"/>
          <w:numId w:val="61"/>
        </w:numPr>
        <w:shd w:val="clear" w:color="auto" w:fill="auto"/>
        <w:tabs>
          <w:tab w:pos="675" w:val="left"/>
        </w:tabs>
        <w:bidi w:val="0"/>
        <w:spacing w:before="0" w:after="0" w:line="320" w:lineRule="exact"/>
        <w:ind w:left="0" w:right="0" w:firstLine="420"/>
        <w:jc w:val="both"/>
      </w:pPr>
      <w:bookmarkStart w:id="688" w:name="bookmark688"/>
      <w:bookmarkEnd w:id="688"/>
      <w:r>
        <w:rPr>
          <w:color w:val="000000"/>
          <w:spacing w:val="0"/>
          <w:w w:val="100"/>
          <w:position w:val="0"/>
        </w:rPr>
        <w:t>获取管理层对折现的现金流量预测中采用的折现率和销售增长率的敏感性分析，考虑这些参数和假设在合理变动时对 减值测试结果的潜在影响。</w:t>
      </w:r>
    </w:p>
    <w:p>
      <w:pPr>
        <w:pStyle w:val="Style35"/>
        <w:keepNext w:val="0"/>
        <w:keepLines w:val="0"/>
        <w:widowControl w:val="0"/>
        <w:numPr>
          <w:ilvl w:val="0"/>
          <w:numId w:val="61"/>
        </w:numPr>
        <w:shd w:val="clear" w:color="auto" w:fill="auto"/>
        <w:tabs>
          <w:tab w:pos="740" w:val="left"/>
        </w:tabs>
        <w:bidi w:val="0"/>
        <w:spacing w:before="0" w:after="0" w:line="320" w:lineRule="exact"/>
        <w:ind w:left="0" w:right="0" w:firstLine="420"/>
        <w:jc w:val="both"/>
      </w:pPr>
      <w:bookmarkStart w:id="689" w:name="bookmark689"/>
      <w:bookmarkEnd w:id="689"/>
      <w:r>
        <w:rPr>
          <w:color w:val="000000"/>
          <w:spacing w:val="0"/>
          <w:w w:val="100"/>
          <w:position w:val="0"/>
        </w:rPr>
        <w:t>检查与商誉及无形资产减值相关的信息是否已在财务报表中作出恰当列报和披露。</w:t>
      </w:r>
    </w:p>
    <w:p>
      <w:pPr>
        <w:pStyle w:val="Style35"/>
        <w:keepNext w:val="0"/>
        <w:keepLines w:val="0"/>
        <w:widowControl w:val="0"/>
        <w:shd w:val="clear" w:color="auto" w:fill="auto"/>
        <w:bidi w:val="0"/>
        <w:spacing w:before="0" w:after="0" w:line="320" w:lineRule="exact"/>
        <w:ind w:left="0" w:right="0" w:firstLine="420"/>
        <w:jc w:val="both"/>
      </w:pPr>
      <w:bookmarkStart w:id="690" w:name="bookmark690"/>
      <w:r>
        <w:rPr>
          <w:b/>
          <w:bCs/>
          <w:color w:val="000000"/>
          <w:spacing w:val="0"/>
          <w:w w:val="100"/>
          <w:position w:val="0"/>
        </w:rPr>
        <w:t>（</w:t>
      </w:r>
      <w:bookmarkEnd w:id="69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）收入的确认和计量</w:t>
      </w:r>
    </w:p>
    <w:p>
      <w:pPr>
        <w:pStyle w:val="Style35"/>
        <w:keepNext w:val="0"/>
        <w:keepLines w:val="0"/>
        <w:widowControl w:val="0"/>
        <w:numPr>
          <w:ilvl w:val="0"/>
          <w:numId w:val="63"/>
        </w:numPr>
        <w:shd w:val="clear" w:color="auto" w:fill="auto"/>
        <w:tabs>
          <w:tab w:pos="807" w:val="left"/>
        </w:tabs>
        <w:bidi w:val="0"/>
        <w:spacing w:before="0" w:after="0" w:line="318" w:lineRule="exact"/>
        <w:ind w:left="0" w:right="0" w:firstLine="420"/>
        <w:jc w:val="both"/>
      </w:pPr>
      <w:bookmarkStart w:id="691" w:name="bookmark691"/>
      <w:bookmarkEnd w:id="691"/>
      <w:r>
        <w:rPr>
          <w:color w:val="000000"/>
          <w:spacing w:val="0"/>
          <w:w w:val="100"/>
          <w:position w:val="0"/>
        </w:rPr>
        <w:t>事项描述：</w:t>
      </w:r>
    </w:p>
    <w:p>
      <w:pPr>
        <w:pStyle w:val="Style35"/>
        <w:keepNext w:val="0"/>
        <w:keepLines w:val="0"/>
        <w:widowControl w:val="0"/>
        <w:shd w:val="clear" w:color="auto" w:fill="auto"/>
        <w:bidi w:val="0"/>
        <w:spacing w:before="0" w:after="0" w:line="318" w:lineRule="exact"/>
        <w:ind w:left="0" w:right="0" w:firstLine="4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年度，金财互联合并营业收入为</w:t>
      </w:r>
      <w:r>
        <w:rPr>
          <w:rFonts w:ascii="Times New Roman" w:eastAsia="Times New Roman" w:hAnsi="Times New Roman" w:cs="Times New Roman"/>
          <w:color w:val="000000"/>
          <w:spacing w:val="0"/>
          <w:w w:val="100"/>
          <w:position w:val="0"/>
          <w:sz w:val="18"/>
          <w:szCs w:val="18"/>
        </w:rPr>
        <w:t>1,011,479,669.78</w:t>
      </w:r>
      <w:r>
        <w:rPr>
          <w:color w:val="000000"/>
          <w:spacing w:val="0"/>
          <w:w w:val="100"/>
          <w:position w:val="0"/>
        </w:rPr>
        <w:t>元，其中来源于互联网业务的营业收入为</w:t>
      </w:r>
      <w:r>
        <w:rPr>
          <w:rFonts w:ascii="Times New Roman" w:eastAsia="Times New Roman" w:hAnsi="Times New Roman" w:cs="Times New Roman"/>
          <w:color w:val="000000"/>
          <w:spacing w:val="0"/>
          <w:w w:val="100"/>
          <w:position w:val="0"/>
          <w:sz w:val="18"/>
          <w:szCs w:val="18"/>
        </w:rPr>
        <w:t>472,299,780.8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元，占全 部营业收入的比例为</w:t>
      </w:r>
      <w:r>
        <w:rPr>
          <w:rFonts w:ascii="Times New Roman" w:eastAsia="Times New Roman" w:hAnsi="Times New Roman" w:cs="Times New Roman"/>
          <w:color w:val="000000"/>
          <w:spacing w:val="0"/>
          <w:w w:val="100"/>
          <w:position w:val="0"/>
          <w:sz w:val="18"/>
          <w:szCs w:val="18"/>
        </w:rPr>
        <w:t>46.69%</w:t>
      </w:r>
      <w:r>
        <w:rPr>
          <w:color w:val="000000"/>
          <w:spacing w:val="0"/>
          <w:w w:val="100"/>
          <w:position w:val="0"/>
        </w:rPr>
        <w:t>；来源于热处理业务的营业收入为</w:t>
      </w:r>
      <w:r>
        <w:rPr>
          <w:rFonts w:ascii="Times New Roman" w:eastAsia="Times New Roman" w:hAnsi="Times New Roman" w:cs="Times New Roman"/>
          <w:color w:val="000000"/>
          <w:spacing w:val="0"/>
          <w:w w:val="100"/>
          <w:position w:val="0"/>
          <w:sz w:val="18"/>
          <w:szCs w:val="18"/>
        </w:rPr>
        <w:t>539,179,888.96</w:t>
      </w:r>
      <w:r>
        <w:rPr>
          <w:color w:val="000000"/>
          <w:spacing w:val="0"/>
          <w:w w:val="100"/>
          <w:position w:val="0"/>
        </w:rPr>
        <w:t>元，占全部营业收入的比例为</w:t>
      </w:r>
      <w:r>
        <w:rPr>
          <w:rFonts w:ascii="Times New Roman" w:eastAsia="Times New Roman" w:hAnsi="Times New Roman" w:cs="Times New Roman"/>
          <w:color w:val="000000"/>
          <w:spacing w:val="0"/>
          <w:w w:val="100"/>
          <w:position w:val="0"/>
          <w:sz w:val="18"/>
          <w:szCs w:val="18"/>
        </w:rPr>
        <w:t>53.31%</w:t>
      </w:r>
      <w:r>
        <w:rPr>
          <w:color w:val="000000"/>
          <w:spacing w:val="0"/>
          <w:w w:val="100"/>
          <w:position w:val="0"/>
        </w:rPr>
        <w:t>。公司收 入确认政策如第十二节、财务报告中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30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所描述，可能存在收入确认的相关风险，因 此我们将收入的确认和计量作为关键审计事项。</w:t>
      </w:r>
    </w:p>
    <w:p>
      <w:pPr>
        <w:pStyle w:val="Style35"/>
        <w:keepNext w:val="0"/>
        <w:keepLines w:val="0"/>
        <w:widowControl w:val="0"/>
        <w:numPr>
          <w:ilvl w:val="0"/>
          <w:numId w:val="63"/>
        </w:numPr>
        <w:shd w:val="clear" w:color="auto" w:fill="auto"/>
        <w:tabs>
          <w:tab w:pos="807" w:val="left"/>
        </w:tabs>
        <w:bidi w:val="0"/>
        <w:spacing w:before="0" w:after="0" w:line="320" w:lineRule="exact"/>
        <w:ind w:left="0" w:right="0" w:firstLine="420"/>
        <w:jc w:val="both"/>
      </w:pPr>
      <w:bookmarkStart w:id="692" w:name="bookmark692"/>
      <w:bookmarkEnd w:id="692"/>
      <w:r>
        <w:rPr>
          <w:color w:val="000000"/>
          <w:spacing w:val="0"/>
          <w:w w:val="100"/>
          <w:position w:val="0"/>
        </w:rPr>
        <w:t>审计应对：</w:t>
      </w:r>
    </w:p>
    <w:p>
      <w:pPr>
        <w:pStyle w:val="Style35"/>
        <w:keepNext w:val="0"/>
        <w:keepLines w:val="0"/>
        <w:widowControl w:val="0"/>
        <w:shd w:val="clear" w:color="auto" w:fill="auto"/>
        <w:bidi w:val="0"/>
        <w:spacing w:before="0" w:after="0" w:line="320" w:lineRule="exact"/>
        <w:ind w:left="0" w:right="0" w:firstLine="420"/>
        <w:jc w:val="both"/>
      </w:pPr>
      <w:r>
        <w:rPr>
          <w:color w:val="000000"/>
          <w:spacing w:val="0"/>
          <w:w w:val="100"/>
          <w:position w:val="0"/>
        </w:rPr>
        <w:t>我们针对收入的确认和计量执行的审计程序包括但不限于：</w:t>
      </w:r>
    </w:p>
    <w:p>
      <w:pPr>
        <w:pStyle w:val="Style35"/>
        <w:keepNext w:val="0"/>
        <w:keepLines w:val="0"/>
        <w:widowControl w:val="0"/>
        <w:numPr>
          <w:ilvl w:val="0"/>
          <w:numId w:val="65"/>
        </w:numPr>
        <w:shd w:val="clear" w:color="auto" w:fill="auto"/>
        <w:tabs>
          <w:tab w:pos="726" w:val="left"/>
        </w:tabs>
        <w:bidi w:val="0"/>
        <w:spacing w:before="0" w:after="0" w:line="320" w:lineRule="exact"/>
        <w:ind w:left="0" w:right="0" w:firstLine="420"/>
        <w:jc w:val="both"/>
      </w:pPr>
      <w:bookmarkStart w:id="693" w:name="bookmark693"/>
      <w:bookmarkEnd w:id="693"/>
      <w:r>
        <w:rPr>
          <w:color w:val="000000"/>
          <w:spacing w:val="0"/>
          <w:w w:val="100"/>
          <w:position w:val="0"/>
        </w:rPr>
        <w:t>通过审阅销售合同与管理层的访谈，了解和评估公司的收入确认政策。</w:t>
      </w:r>
    </w:p>
    <w:p>
      <w:pPr>
        <w:pStyle w:val="Style35"/>
        <w:keepNext w:val="0"/>
        <w:keepLines w:val="0"/>
        <w:widowControl w:val="0"/>
        <w:numPr>
          <w:ilvl w:val="0"/>
          <w:numId w:val="65"/>
        </w:numPr>
        <w:shd w:val="clear" w:color="auto" w:fill="auto"/>
        <w:tabs>
          <w:tab w:pos="740" w:val="left"/>
        </w:tabs>
        <w:bidi w:val="0"/>
        <w:spacing w:before="0" w:after="0" w:line="320" w:lineRule="exact"/>
        <w:ind w:left="0" w:right="0" w:firstLine="420"/>
        <w:jc w:val="both"/>
      </w:pPr>
      <w:bookmarkStart w:id="694" w:name="bookmark694"/>
      <w:bookmarkEnd w:id="694"/>
      <w:r>
        <w:rPr>
          <w:color w:val="000000"/>
          <w:spacing w:val="0"/>
          <w:w w:val="100"/>
          <w:position w:val="0"/>
        </w:rPr>
        <w:t>向管理层、治理层进行询问，评价管理层诚信及舞弊风险。</w:t>
      </w:r>
    </w:p>
    <w:p>
      <w:pPr>
        <w:pStyle w:val="Style35"/>
        <w:keepNext w:val="0"/>
        <w:keepLines w:val="0"/>
        <w:widowControl w:val="0"/>
        <w:numPr>
          <w:ilvl w:val="0"/>
          <w:numId w:val="65"/>
        </w:numPr>
        <w:shd w:val="clear" w:color="auto" w:fill="auto"/>
        <w:tabs>
          <w:tab w:pos="740" w:val="left"/>
        </w:tabs>
        <w:bidi w:val="0"/>
        <w:spacing w:before="0" w:after="0" w:line="320" w:lineRule="exact"/>
        <w:ind w:left="0" w:right="0" w:firstLine="420"/>
        <w:jc w:val="both"/>
      </w:pPr>
      <w:bookmarkStart w:id="695" w:name="bookmark695"/>
      <w:bookmarkEnd w:id="695"/>
      <w:r>
        <w:rPr>
          <w:color w:val="000000"/>
          <w:spacing w:val="0"/>
          <w:w w:val="100"/>
          <w:position w:val="0"/>
        </w:rPr>
        <w:t>了解并测试了与收入相关的内部控制，确定其可依赖。</w:t>
      </w:r>
    </w:p>
    <w:p>
      <w:pPr>
        <w:pStyle w:val="Style35"/>
        <w:keepNext w:val="0"/>
        <w:keepLines w:val="0"/>
        <w:widowControl w:val="0"/>
        <w:numPr>
          <w:ilvl w:val="0"/>
          <w:numId w:val="65"/>
        </w:numPr>
        <w:shd w:val="clear" w:color="auto" w:fill="auto"/>
        <w:tabs>
          <w:tab w:pos="740" w:val="left"/>
        </w:tabs>
        <w:bidi w:val="0"/>
        <w:spacing w:before="0" w:after="0" w:line="320" w:lineRule="exact"/>
        <w:ind w:left="0" w:right="0" w:firstLine="420"/>
        <w:jc w:val="both"/>
      </w:pPr>
      <w:bookmarkStart w:id="696" w:name="bookmark696"/>
      <w:bookmarkEnd w:id="696"/>
      <w:r>
        <w:rPr>
          <w:color w:val="000000"/>
          <w:spacing w:val="0"/>
          <w:w w:val="100"/>
          <w:position w:val="0"/>
        </w:rPr>
        <w:t>对收入按类别执行包含但不限于以下审计程序：</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财税云服务：抽取主要合同，核查结算单、发票金额与合同、销售记录是否一致；关注方欣科技系统平台生成销售数据 与客户确认结算单数据是否一致。</w:t>
      </w:r>
    </w:p>
    <w:p>
      <w:pPr>
        <w:pStyle w:val="Style35"/>
        <w:keepNext w:val="0"/>
        <w:keepLines w:val="0"/>
        <w:widowControl w:val="0"/>
        <w:shd w:val="clear" w:color="auto" w:fill="auto"/>
        <w:bidi w:val="0"/>
        <w:spacing w:before="0" w:after="0" w:line="320" w:lineRule="exact"/>
        <w:ind w:left="0" w:right="0" w:firstLine="420"/>
        <w:jc w:val="both"/>
      </w:pPr>
      <w:r>
        <w:rPr>
          <w:color w:val="000000"/>
          <w:spacing w:val="0"/>
          <w:w w:val="100"/>
          <w:position w:val="0"/>
        </w:rPr>
        <w:t>技术服务及产品开发服务：抽查服务合同，查阅技术服务期限和软件开发验收进度报告，核查与收入确认金额是否匹配。</w:t>
      </w:r>
    </w:p>
    <w:p>
      <w:pPr>
        <w:pStyle w:val="Style35"/>
        <w:keepNext w:val="0"/>
        <w:keepLines w:val="0"/>
        <w:widowControl w:val="0"/>
        <w:shd w:val="clear" w:color="auto" w:fill="auto"/>
        <w:bidi w:val="0"/>
        <w:spacing w:before="0" w:after="0" w:line="317" w:lineRule="exact"/>
        <w:ind w:left="0" w:right="0" w:firstLine="420"/>
        <w:jc w:val="both"/>
      </w:pPr>
      <w:r>
        <w:rPr>
          <w:color w:val="000000"/>
          <w:spacing w:val="0"/>
          <w:w w:val="100"/>
          <w:position w:val="0"/>
        </w:rPr>
        <w:t>系统集成服务：抽取主要服务客户，检查销售合同；关注销售货物与客户经营范围是否一致；销售金额与客户支付能力 是否匹配；是否取得客户盖章确认的验收单；核查出库单、验收单、发运时间与销售记录是否一致。</w:t>
      </w:r>
    </w:p>
    <w:p>
      <w:pPr>
        <w:pStyle w:val="Style35"/>
        <w:keepNext w:val="0"/>
        <w:keepLines w:val="0"/>
        <w:widowControl w:val="0"/>
        <w:shd w:val="clear" w:color="auto" w:fill="auto"/>
        <w:bidi w:val="0"/>
        <w:spacing w:before="0" w:after="0" w:line="322" w:lineRule="exact"/>
        <w:ind w:left="0" w:right="0" w:firstLine="420"/>
        <w:jc w:val="both"/>
      </w:pPr>
      <w:r>
        <w:rPr>
          <w:color w:val="000000"/>
          <w:spacing w:val="0"/>
          <w:w w:val="100"/>
          <w:position w:val="0"/>
        </w:rPr>
        <w:t>热处理设备及加工：抽取主要客户，检查销售合同；是否取得客户盖章确认的终验收单；核查出库单、验收单、发运时 间与销售记录是否一致。</w:t>
      </w:r>
    </w:p>
    <w:p>
      <w:pPr>
        <w:pStyle w:val="Style35"/>
        <w:keepNext w:val="0"/>
        <w:keepLines w:val="0"/>
        <w:widowControl w:val="0"/>
        <w:numPr>
          <w:ilvl w:val="0"/>
          <w:numId w:val="65"/>
        </w:numPr>
        <w:shd w:val="clear" w:color="auto" w:fill="auto"/>
        <w:tabs>
          <w:tab w:pos="740" w:val="left"/>
        </w:tabs>
        <w:bidi w:val="0"/>
        <w:spacing w:before="0" w:after="0" w:line="320" w:lineRule="exact"/>
        <w:ind w:left="0" w:right="0" w:firstLine="420"/>
        <w:jc w:val="both"/>
      </w:pPr>
      <w:bookmarkStart w:id="697" w:name="bookmark697"/>
      <w:bookmarkEnd w:id="697"/>
      <w:r>
        <w:rPr>
          <w:color w:val="000000"/>
          <w:spacing w:val="0"/>
          <w:w w:val="100"/>
          <w:position w:val="0"/>
        </w:rPr>
        <w:t>针对资产负债表日前后确认的销售收入执行截止性测试。</w:t>
      </w:r>
    </w:p>
    <w:p>
      <w:pPr>
        <w:pStyle w:val="Style35"/>
        <w:keepNext w:val="0"/>
        <w:keepLines w:val="0"/>
        <w:widowControl w:val="0"/>
        <w:numPr>
          <w:ilvl w:val="0"/>
          <w:numId w:val="65"/>
        </w:numPr>
        <w:shd w:val="clear" w:color="auto" w:fill="auto"/>
        <w:tabs>
          <w:tab w:pos="675" w:val="left"/>
        </w:tabs>
        <w:bidi w:val="0"/>
        <w:spacing w:before="0" w:after="0" w:line="322" w:lineRule="exact"/>
        <w:ind w:left="0" w:right="0" w:firstLine="420"/>
        <w:jc w:val="both"/>
      </w:pPr>
      <w:bookmarkStart w:id="698" w:name="bookmark698"/>
      <w:bookmarkEnd w:id="698"/>
      <w:r>
        <w:rPr>
          <w:color w:val="000000"/>
          <w:spacing w:val="0"/>
          <w:w w:val="100"/>
          <w:position w:val="0"/>
        </w:rPr>
        <w:t>远程访谈及函证主要客户，甄别报告期内主要客户是否真实存在、销售业务是否真实发生，关注销售收入是否与客户 规模匹配、是否存在销售异常，核实期末应收款项的真实性。</w:t>
      </w:r>
    </w:p>
    <w:p>
      <w:pPr>
        <w:pStyle w:val="Style35"/>
        <w:keepNext w:val="0"/>
        <w:keepLines w:val="0"/>
        <w:widowControl w:val="0"/>
        <w:numPr>
          <w:ilvl w:val="0"/>
          <w:numId w:val="65"/>
        </w:numPr>
        <w:shd w:val="clear" w:color="auto" w:fill="auto"/>
        <w:tabs>
          <w:tab w:pos="666" w:val="left"/>
        </w:tabs>
        <w:bidi w:val="0"/>
        <w:spacing w:before="0" w:after="140" w:line="322" w:lineRule="exact"/>
        <w:ind w:left="0" w:right="0" w:firstLine="420"/>
        <w:jc w:val="both"/>
      </w:pPr>
      <w:bookmarkStart w:id="699" w:name="bookmark699"/>
      <w:bookmarkEnd w:id="699"/>
      <w:r>
        <w:rPr>
          <w:color w:val="000000"/>
          <w:spacing w:val="0"/>
          <w:w w:val="100"/>
          <w:position w:val="0"/>
        </w:rPr>
        <w:t>结合应收账款函证程序，对主要客户的款项收取情况及期后回款情况进行检查，核对收款单据上填写的付款人是否与 确认销售收入的客户相匹配，核查公司是否存在通过第三方账户周转从而达到货款回收的情况。</w:t>
      </w:r>
    </w:p>
    <w:p>
      <w:pPr>
        <w:pStyle w:val="Style35"/>
        <w:keepNext w:val="0"/>
        <w:keepLines w:val="0"/>
        <w:widowControl w:val="0"/>
        <w:shd w:val="clear" w:color="auto" w:fill="auto"/>
        <w:bidi w:val="0"/>
        <w:spacing w:before="0" w:after="0" w:line="374" w:lineRule="auto"/>
        <w:ind w:left="0" w:right="0" w:firstLine="420"/>
        <w:jc w:val="both"/>
      </w:pPr>
      <w:bookmarkStart w:id="700" w:name="bookmark700"/>
      <w:r>
        <w:rPr>
          <w:rFonts w:ascii="Times New Roman" w:eastAsia="Times New Roman" w:hAnsi="Times New Roman" w:cs="Times New Roman"/>
          <w:b/>
          <w:bCs/>
          <w:color w:val="000000"/>
          <w:spacing w:val="0"/>
          <w:w w:val="100"/>
          <w:position w:val="0"/>
          <w:sz w:val="18"/>
          <w:szCs w:val="18"/>
        </w:rPr>
        <w:t>4</w:t>
      </w:r>
      <w:bookmarkEnd w:id="700"/>
      <w:r>
        <w:rPr>
          <w:b/>
          <w:bCs/>
          <w:color w:val="000000"/>
          <w:spacing w:val="0"/>
          <w:w w:val="100"/>
          <w:position w:val="0"/>
        </w:rPr>
        <w:t>、其他信息</w:t>
      </w:r>
    </w:p>
    <w:p>
      <w:pPr>
        <w:pStyle w:val="Style35"/>
        <w:keepNext w:val="0"/>
        <w:keepLines w:val="0"/>
        <w:widowControl w:val="0"/>
        <w:shd w:val="clear" w:color="auto" w:fill="auto"/>
        <w:bidi w:val="0"/>
        <w:spacing w:before="0" w:after="0" w:line="322" w:lineRule="exact"/>
        <w:ind w:left="0" w:right="0" w:firstLine="420"/>
        <w:jc w:val="both"/>
      </w:pPr>
      <w:r>
        <w:rPr>
          <w:color w:val="000000"/>
          <w:spacing w:val="0"/>
          <w:w w:val="100"/>
          <w:position w:val="0"/>
        </w:rPr>
        <w:t>金财互联管理层对其他信息负责。其他信息包括金财互联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 计报告。</w:t>
      </w:r>
    </w:p>
    <w:p>
      <w:pPr>
        <w:pStyle w:val="Style35"/>
        <w:keepNext w:val="0"/>
        <w:keepLines w:val="0"/>
        <w:widowControl w:val="0"/>
        <w:shd w:val="clear" w:color="auto" w:fill="auto"/>
        <w:bidi w:val="0"/>
        <w:spacing w:before="0" w:after="0" w:line="320" w:lineRule="exact"/>
        <w:ind w:left="0" w:right="0" w:firstLine="420"/>
        <w:jc w:val="both"/>
      </w:pPr>
      <w:r>
        <w:rPr>
          <w:color w:val="000000"/>
          <w:spacing w:val="0"/>
          <w:w w:val="100"/>
          <w:position w:val="0"/>
        </w:rPr>
        <w:t>我们对财务报表发表的审计意见不涵盖其他信息，我们也不对其他信息发表任何形式的鉴证结论。</w:t>
      </w:r>
    </w:p>
    <w:p>
      <w:pPr>
        <w:pStyle w:val="Style35"/>
        <w:keepNext w:val="0"/>
        <w:keepLines w:val="0"/>
        <w:widowControl w:val="0"/>
        <w:shd w:val="clear" w:color="auto" w:fill="auto"/>
        <w:bidi w:val="0"/>
        <w:spacing w:before="0" w:after="0" w:line="317" w:lineRule="exact"/>
        <w:ind w:left="0" w:right="0" w:firstLine="42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5"/>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5"/>
        <w:keepNext w:val="0"/>
        <w:keepLines w:val="0"/>
        <w:widowControl w:val="0"/>
        <w:shd w:val="clear" w:color="auto" w:fill="auto"/>
        <w:tabs>
          <w:tab w:pos="761" w:val="left"/>
        </w:tabs>
        <w:bidi w:val="0"/>
        <w:spacing w:before="0" w:after="0" w:line="312" w:lineRule="exact"/>
        <w:ind w:left="0" w:right="0" w:firstLine="420"/>
        <w:jc w:val="both"/>
      </w:pPr>
      <w:bookmarkStart w:id="701" w:name="bookmark701"/>
      <w:r>
        <w:rPr>
          <w:rFonts w:ascii="Times New Roman" w:eastAsia="Times New Roman" w:hAnsi="Times New Roman" w:cs="Times New Roman"/>
          <w:b/>
          <w:bCs/>
          <w:color w:val="000000"/>
          <w:spacing w:val="0"/>
          <w:w w:val="100"/>
          <w:position w:val="0"/>
          <w:sz w:val="18"/>
          <w:szCs w:val="18"/>
        </w:rPr>
        <w:t>5</w:t>
      </w:r>
      <w:bookmarkEnd w:id="701"/>
      <w:r>
        <w:rPr>
          <w:b/>
          <w:bCs/>
          <w:color w:val="000000"/>
          <w:spacing w:val="0"/>
          <w:w w:val="100"/>
          <w:position w:val="0"/>
        </w:rPr>
        <w:t>、</w:t>
        <w:tab/>
        <w:t>管理层和治理层对财务报表的责任</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金财互联管理层（以下简称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）负责按照企业会计准则的规定编制财务报表，使其实现公允反映，并设计、执行 和维护必要的内部控制，以使财务报表不存在由于舞弊或错误导致的重大错报。</w:t>
      </w:r>
    </w:p>
    <w:p>
      <w:pPr>
        <w:pStyle w:val="Style35"/>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在编制财务报表时，管理层负责评估金财互联的持续经营能力，披露与持续经营相关的事项，并运用持续经营假设，除 非管理层计划清算金财互联、终止运营或别无其他现实的选择。</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治理层负责监督金财互联的财务报告过程。</w:t>
      </w:r>
    </w:p>
    <w:p>
      <w:pPr>
        <w:pStyle w:val="Style35"/>
        <w:keepNext w:val="0"/>
        <w:keepLines w:val="0"/>
        <w:widowControl w:val="0"/>
        <w:shd w:val="clear" w:color="auto" w:fill="auto"/>
        <w:tabs>
          <w:tab w:pos="761" w:val="left"/>
        </w:tabs>
        <w:bidi w:val="0"/>
        <w:spacing w:before="0" w:after="0" w:line="312" w:lineRule="exact"/>
        <w:ind w:left="0" w:right="0" w:firstLine="420"/>
        <w:jc w:val="both"/>
      </w:pPr>
      <w:bookmarkStart w:id="702" w:name="bookmark702"/>
      <w:r>
        <w:rPr>
          <w:rFonts w:ascii="Times New Roman" w:eastAsia="Times New Roman" w:hAnsi="Times New Roman" w:cs="Times New Roman"/>
          <w:b/>
          <w:bCs/>
          <w:color w:val="000000"/>
          <w:spacing w:val="0"/>
          <w:w w:val="100"/>
          <w:position w:val="0"/>
          <w:sz w:val="18"/>
          <w:szCs w:val="18"/>
        </w:rPr>
        <w:t>6</w:t>
      </w:r>
      <w:bookmarkEnd w:id="702"/>
      <w:r>
        <w:rPr>
          <w:b/>
          <w:bCs/>
          <w:color w:val="000000"/>
          <w:spacing w:val="0"/>
          <w:w w:val="100"/>
          <w:position w:val="0"/>
        </w:rPr>
        <w:t>、</w:t>
        <w:tab/>
        <w:t>注册会计师对财务报表审计的责任</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在按照审计准则执行审计工作的过程中，我们运用职业判断，并保持职业怀疑。同时，我们也执行以下工作：</w:t>
      </w:r>
    </w:p>
    <w:p>
      <w:pPr>
        <w:pStyle w:val="Style35"/>
        <w:keepNext w:val="0"/>
        <w:keepLines w:val="0"/>
        <w:widowControl w:val="0"/>
        <w:numPr>
          <w:ilvl w:val="0"/>
          <w:numId w:val="67"/>
        </w:numPr>
        <w:shd w:val="clear" w:color="auto" w:fill="auto"/>
        <w:tabs>
          <w:tab w:pos="773" w:val="left"/>
        </w:tabs>
        <w:bidi w:val="0"/>
        <w:spacing w:before="0" w:after="0" w:line="312" w:lineRule="exact"/>
        <w:ind w:left="0" w:right="0" w:firstLine="420"/>
        <w:jc w:val="both"/>
      </w:pPr>
      <w:bookmarkStart w:id="703" w:name="bookmark703"/>
      <w:bookmarkEnd w:id="703"/>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35"/>
        <w:keepNext w:val="0"/>
        <w:keepLines w:val="0"/>
        <w:widowControl w:val="0"/>
        <w:numPr>
          <w:ilvl w:val="0"/>
          <w:numId w:val="67"/>
        </w:numPr>
        <w:shd w:val="clear" w:color="auto" w:fill="auto"/>
        <w:tabs>
          <w:tab w:pos="800" w:val="left"/>
        </w:tabs>
        <w:bidi w:val="0"/>
        <w:spacing w:before="0" w:after="0" w:line="312" w:lineRule="exact"/>
        <w:ind w:left="0" w:right="0" w:firstLine="420"/>
        <w:jc w:val="both"/>
      </w:pPr>
      <w:bookmarkStart w:id="704" w:name="bookmark704"/>
      <w:bookmarkEnd w:id="704"/>
      <w:r>
        <w:rPr>
          <w:color w:val="000000"/>
          <w:spacing w:val="0"/>
          <w:w w:val="100"/>
          <w:position w:val="0"/>
        </w:rPr>
        <w:t>了解与审计相关的内部控制，以设计恰当的审计程序。</w:t>
      </w:r>
    </w:p>
    <w:p>
      <w:pPr>
        <w:pStyle w:val="Style35"/>
        <w:keepNext w:val="0"/>
        <w:keepLines w:val="0"/>
        <w:widowControl w:val="0"/>
        <w:numPr>
          <w:ilvl w:val="0"/>
          <w:numId w:val="67"/>
        </w:numPr>
        <w:shd w:val="clear" w:color="auto" w:fill="auto"/>
        <w:tabs>
          <w:tab w:pos="780" w:val="left"/>
        </w:tabs>
        <w:bidi w:val="0"/>
        <w:spacing w:before="0" w:after="0" w:line="312" w:lineRule="exact"/>
        <w:ind w:left="0" w:right="0"/>
        <w:jc w:val="both"/>
      </w:pPr>
      <w:bookmarkStart w:id="705" w:name="bookmark705"/>
      <w:bookmarkEnd w:id="705"/>
      <w:r>
        <w:rPr>
          <w:color w:val="000000"/>
          <w:spacing w:val="0"/>
          <w:w w:val="100"/>
          <w:position w:val="0"/>
        </w:rPr>
        <w:t>评价管理层选用会计政策的恰当性和作出会计估计及相关披露的合理性。</w:t>
      </w:r>
    </w:p>
    <w:p>
      <w:pPr>
        <w:pStyle w:val="Style35"/>
        <w:keepNext w:val="0"/>
        <w:keepLines w:val="0"/>
        <w:widowControl w:val="0"/>
        <w:numPr>
          <w:ilvl w:val="0"/>
          <w:numId w:val="67"/>
        </w:numPr>
        <w:shd w:val="clear" w:color="auto" w:fill="auto"/>
        <w:tabs>
          <w:tab w:pos="778" w:val="left"/>
        </w:tabs>
        <w:bidi w:val="0"/>
        <w:spacing w:before="0" w:after="0" w:line="312" w:lineRule="exact"/>
        <w:ind w:left="0" w:right="0" w:firstLine="420"/>
        <w:jc w:val="left"/>
      </w:pPr>
      <w:bookmarkStart w:id="706" w:name="bookmark706"/>
      <w:bookmarkEnd w:id="706"/>
      <w:r>
        <w:rPr>
          <w:color w:val="000000"/>
          <w:spacing w:val="0"/>
          <w:w w:val="100"/>
          <w:position w:val="0"/>
        </w:rPr>
        <w:t>对管理层使用持续经营假设的恰当性得出结论。同时，根据获取的审计证据，就可能导致对金财互联持续经营能力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截至审计报告日可获得的信息。然而，未来的事项或情况可能导致金财互联不能持续经营。</w:t>
      </w:r>
    </w:p>
    <w:p>
      <w:pPr>
        <w:pStyle w:val="Style35"/>
        <w:keepNext w:val="0"/>
        <w:keepLines w:val="0"/>
        <w:widowControl w:val="0"/>
        <w:numPr>
          <w:ilvl w:val="0"/>
          <w:numId w:val="67"/>
        </w:numPr>
        <w:shd w:val="clear" w:color="auto" w:fill="auto"/>
        <w:tabs>
          <w:tab w:pos="800" w:val="left"/>
        </w:tabs>
        <w:bidi w:val="0"/>
        <w:spacing w:before="0" w:after="0" w:line="312" w:lineRule="exact"/>
        <w:ind w:left="0" w:right="0" w:firstLine="420"/>
        <w:jc w:val="both"/>
      </w:pPr>
      <w:bookmarkStart w:id="707" w:name="bookmark707"/>
      <w:bookmarkEnd w:id="707"/>
      <w:r>
        <w:rPr>
          <w:color w:val="000000"/>
          <w:spacing w:val="0"/>
          <w:w w:val="100"/>
          <w:position w:val="0"/>
        </w:rPr>
        <w:t>评价财务报表的总体列报、结构和内容，并评价财务报表是否公允反映相关交易和事项。</w:t>
      </w:r>
    </w:p>
    <w:p>
      <w:pPr>
        <w:pStyle w:val="Style35"/>
        <w:keepNext w:val="0"/>
        <w:keepLines w:val="0"/>
        <w:widowControl w:val="0"/>
        <w:numPr>
          <w:ilvl w:val="0"/>
          <w:numId w:val="67"/>
        </w:numPr>
        <w:shd w:val="clear" w:color="auto" w:fill="auto"/>
        <w:tabs>
          <w:tab w:pos="773" w:val="left"/>
        </w:tabs>
        <w:bidi w:val="0"/>
        <w:spacing w:before="0" w:after="0" w:line="312" w:lineRule="exact"/>
        <w:ind w:left="0" w:right="0" w:firstLine="420"/>
        <w:jc w:val="both"/>
      </w:pPr>
      <w:bookmarkStart w:id="708" w:name="bookmark708"/>
      <w:bookmarkEnd w:id="708"/>
      <w:r>
        <w:rPr>
          <w:color w:val="000000"/>
          <w:spacing w:val="0"/>
          <w:w w:val="100"/>
          <w:position w:val="0"/>
        </w:rPr>
        <w:t>就金财互联中实体或业务活动的财务信息获取充分、适当的审计证据，以对财务报表发表审计意见。我们负责指导、 监督和执行集团审计，并对审计意见承担全部责任。</w:t>
      </w:r>
    </w:p>
    <w:p>
      <w:pPr>
        <w:pStyle w:val="Style35"/>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5"/>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35"/>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5"/>
        <w:keepNext w:val="0"/>
        <w:keepLines w:val="0"/>
        <w:widowControl w:val="0"/>
        <w:shd w:val="clear" w:color="auto" w:fill="auto"/>
        <w:tabs>
          <w:tab w:pos="5678" w:val="left"/>
        </w:tabs>
        <w:bidi w:val="0"/>
        <w:spacing w:before="0" w:after="380" w:line="312" w:lineRule="exact"/>
        <w:ind w:left="0" w:right="0" w:firstLine="480"/>
        <w:jc w:val="both"/>
      </w:pPr>
      <w:r>
        <w:rPr>
          <w:color w:val="000000"/>
          <w:spacing w:val="0"/>
          <w:w w:val="100"/>
          <w:position w:val="0"/>
        </w:rPr>
        <w:t>众华会计师事务所（特殊普通合伙）</w:t>
        <w:tab/>
        <w:t>中国注册会计师 卞文漪</w:t>
      </w:r>
    </w:p>
    <w:p>
      <w:pPr>
        <w:pStyle w:val="Style35"/>
        <w:keepNext w:val="0"/>
        <w:keepLines w:val="0"/>
        <w:widowControl w:val="0"/>
        <w:shd w:val="clear" w:color="auto" w:fill="auto"/>
        <w:bidi w:val="0"/>
        <w:spacing w:before="0" w:after="380" w:line="312" w:lineRule="exact"/>
        <w:ind w:left="5640" w:right="0" w:firstLine="0"/>
        <w:jc w:val="left"/>
      </w:pPr>
      <w:r>
        <w:rPr>
          <w:color w:val="000000"/>
          <w:spacing w:val="0"/>
          <w:w w:val="100"/>
          <w:position w:val="0"/>
        </w:rPr>
        <w:t>中国注册会计师 赵海蓉</w:t>
      </w:r>
    </w:p>
    <w:p>
      <w:pPr>
        <w:pStyle w:val="Style35"/>
        <w:keepNext w:val="0"/>
        <w:keepLines w:val="0"/>
        <w:widowControl w:val="0"/>
        <w:shd w:val="clear" w:color="auto" w:fill="auto"/>
        <w:tabs>
          <w:tab w:pos="4402" w:val="left"/>
        </w:tabs>
        <w:bidi w:val="0"/>
        <w:spacing w:before="0" w:after="0" w:line="312" w:lineRule="exact"/>
        <w:ind w:left="0" w:right="0" w:firstLine="0"/>
        <w:jc w:val="center"/>
      </w:pPr>
      <w:r>
        <w:rPr>
          <w:color w:val="000000"/>
          <w:spacing w:val="0"/>
          <w:w w:val="100"/>
          <w:position w:val="0"/>
        </w:rPr>
        <w:t>中国上海</w:t>
        <w:tab/>
        <w:t>二。二一年四月二十六日</w:t>
      </w:r>
      <w:r>
        <w:br w:type="page"/>
      </w:r>
    </w:p>
    <w:p>
      <w:pPr>
        <w:pStyle w:val="Style29"/>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r>
        <w:rPr>
          <w:color w:val="000000"/>
          <w:spacing w:val="0"/>
          <w:w w:val="100"/>
          <w:position w:val="0"/>
          <w:sz w:val="24"/>
          <w:szCs w:val="24"/>
        </w:rPr>
        <w:t>二、财务报表</w:t>
      </w:r>
      <w:bookmarkEnd w:id="709"/>
      <w:bookmarkEnd w:id="710"/>
      <w:bookmarkEnd w:id="711"/>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9"/>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、合并资产负债表</w:t>
      </w:r>
      <w:bookmarkEnd w:id="712"/>
      <w:bookmarkEnd w:id="713"/>
      <w:bookmarkEnd w:id="715"/>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编制单位：金财互联控股股份有限公司</w:t>
      </w:r>
    </w:p>
    <w:p>
      <w:pPr>
        <w:pStyle w:val="Style25"/>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674,635,122.69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587,932,848.34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109,344,569.71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258,979,798.63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42,064,902.50</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406,923,039.17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612,082,200.55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69,064,757.77</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58,884,567.50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134,618,543.65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100,803,971.84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63,568,961.83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297,195,907.21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237,252,321.59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15,491,049.52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40,267,436.73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27,671,055.13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1,780,124,922.14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1,964,170,632.22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2,542,486.32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4,914,086.32</w:t>
            </w:r>
          </w:p>
        </w:tc>
      </w:tr>
    </w:tbl>
    <w:p>
      <w:pPr>
        <w:widowControl w:val="0"/>
        <w:spacing w:line="1" w:lineRule="exact"/>
      </w:pPr>
      <w:r>
        <w:br w:type="page"/>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114,279,280.53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114,629,578.67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18,918,318.55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21,796,374.50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31,581,577.57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32,349,777.57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624,794,987.49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600,209,558.29</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107,008,452.64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42,839,078.98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368,561,239.83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359,646,427.21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12,356,334.78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65,108,114.83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135,599,466.62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971,725,622.38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54,679,546.61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64,981,679.92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78,369,885.93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27,875,640.68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14,290,000.00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1,548,691,576.87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2,320,365,939.35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3,328,816,499.01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4,284,536,571.57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203,835,528.38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41,500,693.51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5,666,799.26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7,440,794.73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259,041,904.03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194,514,694.70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1,200,427.72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211,223,393.33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282,050,544.25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25,235,341.87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23,413,874.13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12,610,138.93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12,236,248.52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78,652,542.91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91,037,108.58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sectPr>
          <w:headerReference w:type="default" r:id="rId127"/>
          <w:footerReference w:type="default" r:id="rId128"/>
          <w:headerReference w:type="even" r:id="rId129"/>
          <w:footerReference w:type="even" r:id="rId130"/>
          <w:footnotePr>
            <w:pos w:val="pageBottom"/>
            <w:numFmt w:val="decimal"/>
            <w:numRestart w:val="continuous"/>
          </w:footnotePr>
          <w:type w:val="continuous"/>
          <w:pgSz w:w="11900" w:h="16840"/>
          <w:pgMar w:top="1263" w:right="1054" w:bottom="1436" w:left="1039" w:header="0" w:footer="3" w:gutter="0"/>
          <w:cols w:space="720"/>
          <w:noEndnote/>
          <w:rtlGutter w:val="0"/>
          <w:docGrid w:linePitch="360"/>
        </w:sectPr>
      </w:pPr>
    </w:p>
    <w:p>
      <w:pPr>
        <w:widowControl w:val="0"/>
        <w:spacing w:line="1" w:lineRule="exact"/>
      </w:pPr>
      <w:r>
        <mc:AlternateContent>
          <mc:Choice Requires="wps">
            <w:drawing>
              <wp:anchor distT="152400" distB="0" distL="114300" distR="5146675" simplePos="0" relativeHeight="125829448" behindDoc="0" locked="0" layoutInCell="1" allowOverlap="1">
                <wp:simplePos x="0" y="0"/>
                <wp:positionH relativeFrom="page">
                  <wp:posOffset>727075</wp:posOffset>
                </wp:positionH>
                <wp:positionV relativeFrom="margin">
                  <wp:posOffset>8820785</wp:posOffset>
                </wp:positionV>
                <wp:extent cx="1054735" cy="149225"/>
                <wp:wrapTopAndBottom/>
                <wp:docPr id="380" name="Shape 38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wps:txbx>
                      <wps:bodyPr wrap="none" lIns="0" tIns="0" rIns="0" bIns="0">
                        <a:noAutoFit/>
                      </wps:bodyPr>
                    </wps:wsp>
                  </a:graphicData>
                </a:graphic>
              </wp:anchor>
            </w:drawing>
          </mc:Choice>
          <mc:Fallback>
            <w:pict>
              <v:shape id="_x0000_s1406" type="#_x0000_t202" style="position:absolute;margin-left:57.25pt;margin-top:694.55000000000007pt;width:83.049999999999997pt;height:11.75pt;z-index:-125829305;mso-wrap-distance-left:9.pt;mso-wrap-distance-top:12.pt;mso-wrap-distance-right:405.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法定代表人：朱文明</w:t>
                      </w:r>
                    </w:p>
                  </w:txbxContent>
                </v:textbox>
                <w10:wrap type="topAndBottom" anchorx="page" anchory="margin"/>
              </v:shape>
            </w:pict>
          </mc:Fallback>
        </mc:AlternateContent>
      </w:r>
      <w:r>
        <mc:AlternateContent>
          <mc:Choice Requires="wps">
            <w:drawing>
              <wp:anchor distT="152400" distB="3175" distL="2290445" distR="2516505" simplePos="0" relativeHeight="125829450" behindDoc="0" locked="0" layoutInCell="1" allowOverlap="1">
                <wp:simplePos x="0" y="0"/>
                <wp:positionH relativeFrom="page">
                  <wp:posOffset>2903220</wp:posOffset>
                </wp:positionH>
                <wp:positionV relativeFrom="margin">
                  <wp:posOffset>8820785</wp:posOffset>
                </wp:positionV>
                <wp:extent cx="1508760" cy="146050"/>
                <wp:wrapTopAndBottom/>
                <wp:docPr id="382" name="Shape 38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主管会计工作负责人：褚文兰</w:t>
                            </w:r>
                          </w:p>
                        </w:txbxContent>
                      </wps:txbx>
                      <wps:bodyPr wrap="none" lIns="0" tIns="0" rIns="0" bIns="0">
                        <a:noAutoFit/>
                      </wps:bodyPr>
                    </wps:wsp>
                  </a:graphicData>
                </a:graphic>
              </wp:anchor>
            </w:drawing>
          </mc:Choice>
          <mc:Fallback>
            <w:pict>
              <v:shape id="_x0000_s1408" type="#_x0000_t202" style="position:absolute;margin-left:228.59999999999999pt;margin-top:694.55000000000007pt;width:118.8pt;height:11.5pt;z-index:-125829303;mso-wrap-distance-left:180.34999999999999pt;mso-wrap-distance-top:12.pt;mso-wrap-distance-right:198.15000000000001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主管会计工作负责人：褚文兰</w:t>
                      </w:r>
                    </w:p>
                  </w:txbxContent>
                </v:textbox>
                <w10:wrap type="topAndBottom" anchorx="page" anchory="margin"/>
              </v:shape>
            </w:pict>
          </mc:Fallback>
        </mc:AlternateContent>
      </w:r>
      <w:r>
        <mc:AlternateContent>
          <mc:Choice Requires="wps">
            <w:drawing>
              <wp:anchor distT="152400" distB="0" distL="4914900" distR="114300" simplePos="0" relativeHeight="125829452" behindDoc="0" locked="0" layoutInCell="1" allowOverlap="1">
                <wp:simplePos x="0" y="0"/>
                <wp:positionH relativeFrom="page">
                  <wp:posOffset>5527675</wp:posOffset>
                </wp:positionH>
                <wp:positionV relativeFrom="margin">
                  <wp:posOffset>8820785</wp:posOffset>
                </wp:positionV>
                <wp:extent cx="1286510" cy="149225"/>
                <wp:wrapTopAndBottom/>
                <wp:docPr id="384" name="Shape 38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会计机构负责人：褚文兰</w:t>
                            </w:r>
                          </w:p>
                        </w:txbxContent>
                      </wps:txbx>
                      <wps:bodyPr wrap="none" lIns="0" tIns="0" rIns="0" bIns="0">
                        <a:noAutoFit/>
                      </wps:bodyPr>
                    </wps:wsp>
                  </a:graphicData>
                </a:graphic>
              </wp:anchor>
            </w:drawing>
          </mc:Choice>
          <mc:Fallback>
            <w:pict>
              <v:shape id="_x0000_s1410" type="#_x0000_t202" style="position:absolute;margin-left:435.25pt;margin-top:694.55000000000007pt;width:101.3pt;height:11.75pt;z-index:-125829301;mso-wrap-distance-left:387.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会计机构负责人：褚文兰</w:t>
                      </w:r>
                    </w:p>
                  </w:txbxContent>
                </v:textbox>
                <w10:wrap type="topAndBottom" anchorx="page" anchory="margin"/>
              </v:shape>
            </w:pict>
          </mc:Fallback>
        </mc:AlternateContent>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15,153,320.10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13,859,246.96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9,714,704.75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893,161,252.20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595,226,054.46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76,178,912.15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82,347,590.17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2,464,935.00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53,770,066.85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36,737,270.57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3,911,545.50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7,919,787.07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12,311,517.89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148,636,977.39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139,316,165.70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1,041,798,229.59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734,542,220.16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779,198,175.00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779,198,175.00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2,586,262,509.31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2,592,342,515.06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-73,567,548.96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33,579,171.66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33,579,171.66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-1,210,446,776.73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38,459,731.31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2,115,025,530.28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3,375,976,593.03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171,992,739.14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174,017,758.38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2,287,018,269.42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3,549,994,351.41</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3,328,816,499.01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4,284,536,571.57</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、母公司资产负债表</w:t>
      </w:r>
      <w:bookmarkEnd w:id="716"/>
      <w:bookmarkEnd w:id="717"/>
      <w:bookmarkEnd w:id="7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209,878,452.56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54,759,578.39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56,035,945.20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177,665,468.49</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235,569.24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1,723,615.39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4,213,353.20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2,113,137.38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283,200.00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634,600.00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1,408,710.32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1,143,241.79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272,709,830.52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238,103,341.44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2,207,784,130.09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2,873,207,899.42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3,060,243.50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4,060,243.50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1,366,990.23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2,004,390.04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1,824,160.95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2,472,110.95</w:t>
            </w:r>
          </w:p>
        </w:tc>
      </w:tr>
    </w:tbl>
    <w:p>
      <w:pPr>
        <w:widowControl w:val="0"/>
        <w:spacing w:line="1" w:lineRule="exact"/>
      </w:pPr>
      <w:r>
        <w:br w:type="page"/>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79,610.07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2,214,035,524.77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2,881,824,253.98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2,486,745,355.29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3,119,927,595.42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42,007,491.66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123,808.45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9,569,132.66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5,103,238.90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1,026,055.22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1,037,385.54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15,488.63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1,029,789.14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106,672,645.41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49,310,129.95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122,418,460.69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166,367.12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12,311,517.89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12,477,885.01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61,621,647.84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134,896,345.70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779,198,175.00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779,198,175.00</w:t>
            </w:r>
          </w:p>
        </w:tc>
      </w:tr>
    </w:tbl>
    <w:p>
      <w:pPr>
        <w:widowControl w:val="0"/>
        <w:spacing w:line="1" w:lineRule="exact"/>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263" w:right="1054" w:bottom="1436" w:left="1039" w:header="0" w:footer="3" w:gutter="0"/>
          <w:cols w:space="720"/>
          <w:noEndnote/>
          <w:rtlGutter w:val="0"/>
          <w:docGrid w:linePitch="360"/>
        </w:sectPr>
      </w:pP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2,607,782,666.83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2,607,782,666.83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33,579,171.66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33,579,171.66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-981,436,306.04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-422,528,763.77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2,425,123,707.45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2,985,031,249.72</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2,486,745,355.29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3,119,927,595.42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、合并利润表</w:t>
      </w:r>
      <w:bookmarkEnd w:id="720"/>
      <w:bookmarkEnd w:id="721"/>
      <w:bookmarkEnd w:id="72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6"/>
        <w:gridCol w:w="2414"/>
        <w:gridCol w:w="2083"/>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1,262,451,044.10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1,262,451,044.10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1,185,226,962.13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1,110,063,890.88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797,030,474.99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817,057,056.61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9,123,922.96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9,518,363.96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98,637,565.94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59,161,897.62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160,966,776.55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159,483,055.09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112,174,319.28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60,762,511.25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7,293,902.41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4,081,006.35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11,400,376.67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9,989,430.25</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5,196,065.60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7,038,965.04</w:t>
            </w:r>
          </w:p>
        </w:tc>
      </w:tr>
    </w:tbl>
    <w:p>
      <w:pPr>
        <w:widowControl w:val="0"/>
        <w:spacing w:line="1" w:lineRule="exact"/>
      </w:pPr>
      <w:r>
        <w:br w:type="page"/>
      </w:r>
    </w:p>
    <w:tbl>
      <w:tblPr>
        <w:tblOverlap w:val="never"/>
        <w:jc w:val="center"/>
        <w:tblLayout w:type="fixed"/>
      </w:tblPr>
      <w:tblGrid>
        <w:gridCol w:w="5146"/>
        <w:gridCol w:w="2414"/>
        <w:gridCol w:w="2083"/>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16,394,193.55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14,727,423.15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18,148,829.13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84,330,264.92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9,252,367.24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13,507,603.98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-95,664.09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2,079,798.63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-168,567,403.10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-39,641,282.12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-985,524,043.39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-850,430,538.84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145,109.24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-1,292,805,778.82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-636,402,071.80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35,438,342.57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9,832,179.03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2,910,239.82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1,876,794.03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-1,260,277,676.07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-628,446,686.80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-36,874,108.92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27,136,581.41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-1,223,403,567.15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-655,583,268.21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-1,223,403,567.15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-655,583,268.21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-1,243,619,838.77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-679,068,948.10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20,216,271.62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23,485,679.89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-5,964,548.96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-5,964,548.96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-5,964,548.96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-5,964,548.96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46"/>
        <w:gridCol w:w="2414"/>
        <w:gridCol w:w="2083"/>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-1,229,368,116.11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-723,186,268.21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-1,249,584,387.73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-746,671,948.10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20,216,271.62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23,485,679.89</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bl>
    <w:p>
      <w:pPr>
        <w:pStyle w:val="Style33"/>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5"/>
        <w:keepNext w:val="0"/>
        <w:keepLines w:val="0"/>
        <w:widowControl w:val="0"/>
        <w:shd w:val="clear" w:color="auto" w:fill="auto"/>
        <w:tabs>
          <w:tab w:pos="3422" w:val="left"/>
          <w:tab w:pos="7555" w:val="left"/>
        </w:tabs>
        <w:bidi w:val="0"/>
        <w:spacing w:before="0" w:after="380" w:line="240" w:lineRule="auto"/>
        <w:ind w:left="0" w:right="0" w:firstLine="0"/>
        <w:jc w:val="left"/>
      </w:pPr>
      <w:r>
        <w:rPr>
          <w:color w:val="000000"/>
          <w:spacing w:val="0"/>
          <w:w w:val="100"/>
          <w:position w:val="0"/>
        </w:rPr>
        <w:t>法定代表人：朱文明</w:t>
        <w:tab/>
        <w:t>主管会计工作负责人：褚文兰</w:t>
        <w:tab/>
        <w:t>会计机构负责人：褚文兰</w:t>
      </w:r>
    </w:p>
    <w:p>
      <w:pPr>
        <w:pStyle w:val="Style39"/>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、母公司利润表</w:t>
      </w:r>
      <w:bookmarkEnd w:id="724"/>
      <w:bookmarkEnd w:id="725"/>
      <w:bookmarkEnd w:id="7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2,538,461.54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2,538,461.54</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10,326.33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12,449,488.14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14,568,569.43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-965,528.97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1,080,811.61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280,744.16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1,714,273.62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1,254,925.89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620,105.93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7,413.82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117,639,595.45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66,626,160.29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1140"/>
              <w:jc w:val="left"/>
            </w:pPr>
            <w:r>
              <w:rPr>
                <w:color w:val="000000"/>
                <w:spacing w:val="0"/>
                <w:w w:val="100"/>
                <w:position w:val="0"/>
              </w:rPr>
              <w:t>以摊余成本计量的金融资产终止确认收益（损失以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665,468.49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-82,169.56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-665,457,169.33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-634,000,000.00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-559,252,687.66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-582,442,834.33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358,853.79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233,315.01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500,728.41</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-558,994,299.32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-582,710,247.73</w:t>
            </w:r>
          </w:p>
        </w:tc>
      </w:tr>
    </w:tbl>
    <w:p>
      <w:pPr>
        <w:widowControl w:val="0"/>
        <w:spacing w:line="1" w:lineRule="exact"/>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263" w:right="1054" w:bottom="1436" w:left="1039" w:header="0" w:footer="3" w:gutter="0"/>
          <w:cols w:space="720"/>
          <w:noEndnote/>
          <w:titlePg/>
          <w:rtlGutter w:val="0"/>
          <w:docGrid w:linePitch="360"/>
        </w:sectPr>
      </w:pP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12,407,342.62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-558,907,542.27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-595,117,590.35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-558,907,542.27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-595,117,590.35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-559,907,542.27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-608,117,590.35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、合并现金流量表</w:t>
      </w:r>
      <w:bookmarkEnd w:id="728"/>
      <w:bookmarkEnd w:id="729"/>
      <w:bookmarkEnd w:id="7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1,286,446,112.28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1,172,250,273.82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723,255.68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6,669,138.16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48,742,734.37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37,582,971.58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1,335,912,102.33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1,216,502,383.56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638,579,303.39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636,068,461.68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478,757,565.96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450,837,387.62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64,468,158.46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85,729,102.61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160,258,535.86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102,820,599.15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1,342,063,563.67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1,275,455,551.06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-6,151,461.34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-58,953,167.50</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1,339,206,836.06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890,348,191.84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20,264,932.47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18,682,776.93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257,798.54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1,290,582.81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187,160.21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1,359,729,567.07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910,508,711.79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180,463,767.32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165,075,933.16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1,217,316,000.00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844,033,754.58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1,397,779,767.32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1,009,109,687.74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-38,050,200.25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-98,600,975.95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467,330,933.92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171,129,652.71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479,700,933.92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175,129,652.71</w:t>
            </w:r>
          </w:p>
        </w:tc>
      </w:tr>
    </w:tbl>
    <w:p>
      <w:pPr>
        <w:widowControl w:val="0"/>
        <w:spacing w:line="1" w:lineRule="exac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263" w:right="1054" w:bottom="1436" w:left="1039" w:header="0" w:footer="3" w:gutter="0"/>
          <w:cols w:space="720"/>
          <w:noEndnote/>
          <w:rtlGutter w:val="0"/>
          <w:docGrid w:linePitch="360"/>
        </w:sectPr>
      </w:pP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309,016,006.80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213,729,673.08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36,078,228.20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15,481,806.41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22,344,000.00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5,580,271.49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856,204.62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95,664.09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345,950,439.62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229,307,143.58</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133,750,494.30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-54,177,490.87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-478,668.57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-623,938.39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89,070,164.14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-212,355,572.71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579,863,605.83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792,219,178.54</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668,933,769.97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579,863,605.83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、母公司现金流量表</w:t>
      </w:r>
      <w:bookmarkEnd w:id="732"/>
      <w:bookmarkEnd w:id="733"/>
      <w:bookmarkEnd w:id="7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2,469,118.29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5,966,603.34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2,001,821.15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4,100,595.52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4,470,939.44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10,067,198.86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8,089,518.49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4,743,813.86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4,602,757.64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4,889,843.76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65,237.48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6,590,059.82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9,220,083.79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19,288,412.05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18,918,978.89</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-14,817,472.61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-8,851,780.03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534,010,000.00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730,998,191.84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118,305,063.94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8,013,212.19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187,160.21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652,315,063.94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739,198,564.24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84,359.87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413,010,000.00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651,998,191.84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413,098,818.83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652,082,551.71</w:t>
            </w:r>
          </w:p>
        </w:tc>
      </w:tr>
    </w:tbl>
    <w:p>
      <w:pPr>
        <w:widowControl w:val="0"/>
        <w:spacing w:line="1" w:lineRule="exact"/>
      </w:pPr>
      <w:r>
        <w:br w:type="page"/>
      </w:r>
    </w:p>
    <w:tbl>
      <w:tblPr>
        <w:tblOverlap w:val="never"/>
        <w:jc w:val="center"/>
        <w:tblLayout w:type="fixed"/>
      </w:tblPr>
      <w:tblGrid>
        <w:gridCol w:w="5146"/>
        <w:gridCol w:w="2275"/>
        <w:gridCol w:w="2222"/>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239,216,245.11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87,116,012.53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279,898.33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1,801,097.23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106,000,000.00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284,279,898.33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71,801,097.23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-69,279,898.33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-66,801,097.23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22,246.75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155,118,874.17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11,485,382.02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54,759,578.39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43,274,196.37</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209,878,452.56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54,759,578.39</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7</w:t>
      </w:r>
      <w:bookmarkEnd w:id="738"/>
      <w:r>
        <w:rPr>
          <w:color w:val="000000"/>
          <w:spacing w:val="0"/>
          <w:w w:val="100"/>
          <w:position w:val="0"/>
        </w:rPr>
        <w:t>、合并所有者权益变动表</w:t>
      </w:r>
      <w:bookmarkEnd w:id="736"/>
      <w:bookmarkEnd w:id="737"/>
      <w:bookmarkEnd w:id="739"/>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33"/>
        <w:keepNext w:val="0"/>
        <w:keepLines w:val="0"/>
        <w:widowControl w:val="0"/>
        <w:shd w:val="clear" w:color="auto" w:fill="auto"/>
        <w:bidi w:val="0"/>
        <w:spacing w:before="0" w:after="0" w:line="240" w:lineRule="auto"/>
        <w:ind w:left="504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bl>
      <w:tblPr>
        <w:tblOverlap w:val="never"/>
        <w:jc w:val="center"/>
        <w:tblLayout w:type="fixed"/>
      </w:tblPr>
      <w:tblGrid>
        <w:gridCol w:w="1296"/>
        <w:gridCol w:w="590"/>
        <w:gridCol w:w="427"/>
        <w:gridCol w:w="422"/>
        <w:gridCol w:w="456"/>
        <w:gridCol w:w="682"/>
        <w:gridCol w:w="566"/>
        <w:gridCol w:w="566"/>
        <w:gridCol w:w="518"/>
        <w:gridCol w:w="590"/>
        <w:gridCol w:w="456"/>
        <w:gridCol w:w="710"/>
        <w:gridCol w:w="422"/>
        <w:gridCol w:w="710"/>
        <w:gridCol w:w="566"/>
        <w:gridCol w:w="658"/>
      </w:tblGrid>
      <w:tr>
        <w:trPr>
          <w:trHeight w:val="408"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1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331"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2,592,342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38,459,73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3,375,976,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174,017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3,549,99</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,515.06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593.03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,758.38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4,351.41</w:t>
            </w: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-5,286,669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-5,286,669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-5,286,66</w:t>
            </w:r>
          </w:p>
        </w:tc>
      </w:tr>
      <w:tr>
        <w:trPr>
          <w:trHeight w:val="26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9.27</w:t>
            </w: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2,592,342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33,173,06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3,370,689,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174,017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3,544,70</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,515.06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923.76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,758.38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7,682.14</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-6,080,00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-5,964,5</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-1,243,619</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-1,255,664</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-2,025,0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-1,257,68</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9,412.72</w:t>
            </w: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-5,964,5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-1,249,584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20,216,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-1,229,36</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,387.73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271.62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8,116.11</w:t>
            </w:r>
          </w:p>
        </w:tc>
      </w:tr>
      <w:tr>
        <w:trPr>
          <w:trHeight w:val="341"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-6,080,005</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2,632,7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-3,447,29</w:t>
            </w:r>
          </w:p>
        </w:tc>
      </w:tr>
    </w:tbl>
    <w:p>
      <w:pPr>
        <w:widowControl w:val="0"/>
        <w:spacing w:line="1" w:lineRule="exact"/>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263" w:right="1054" w:bottom="1436" w:left="1039" w:header="0" w:footer="3" w:gutter="0"/>
          <w:cols w:space="720"/>
          <w:noEndnote/>
          <w:rtlGutter w:val="0"/>
          <w:docGrid w:linePitch="360"/>
        </w:sectPr>
      </w:pPr>
    </w:p>
    <w:tbl>
      <w:tblPr>
        <w:tblOverlap w:val="never"/>
        <w:jc w:val="center"/>
        <w:tblLayout w:type="fixed"/>
      </w:tblPr>
      <w:tblGrid>
        <w:gridCol w:w="1296"/>
        <w:gridCol w:w="590"/>
        <w:gridCol w:w="427"/>
        <w:gridCol w:w="422"/>
        <w:gridCol w:w="456"/>
        <w:gridCol w:w="682"/>
        <w:gridCol w:w="566"/>
        <w:gridCol w:w="566"/>
        <w:gridCol w:w="518"/>
        <w:gridCol w:w="590"/>
        <w:gridCol w:w="456"/>
        <w:gridCol w:w="710"/>
        <w:gridCol w:w="422"/>
        <w:gridCol w:w="710"/>
        <w:gridCol w:w="566"/>
        <w:gridCol w:w="658"/>
      </w:tblGrid>
      <w:tr>
        <w:trPr>
          <w:trHeight w:val="29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09.14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6.61</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12,370,</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12,370,0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00.00</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-6,080,00</w:t>
            </w:r>
          </w:p>
          <w:p>
            <w:pPr>
              <w:pStyle w:val="Style25"/>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-6,080,005</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-9,737,2</w:t>
            </w:r>
          </w:p>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-15,817,2</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96.61</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-24,874,</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-24,874,0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-24,874,</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-24,874,0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779,198,</w:t>
            </w:r>
          </w:p>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2,586,262</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-73,567,</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33,579,1</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-1,210,446</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2,115,025,</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530.28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171,992</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,739.14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2,287,01</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8,269.42</w:t>
            </w:r>
          </w:p>
        </w:tc>
      </w:tr>
    </w:tbl>
    <w:p>
      <w:pPr>
        <w:spacing w:lineRule="exact" w:line="1"/>
        <w:rPr>
          <w:sz w:val="2"/>
          <w:szCs w:val="2"/>
        </w:rPr>
      </w:pPr>
      <w:r>
        <w:br w:type="page"/>
      </w:r>
    </w:p>
    <w:p>
      <w:pPr>
        <w:pStyle w:val="Style3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p>
      <w:pPr>
        <w:pStyle w:val="Style35"/>
        <w:keepNext w:val="0"/>
        <w:keepLines w:val="0"/>
        <w:widowControl w:val="0"/>
        <w:shd w:val="clear" w:color="auto" w:fill="auto"/>
        <w:bidi w:val="0"/>
        <w:spacing w:before="0" w:after="80" w:line="240" w:lineRule="auto"/>
        <w:ind w:left="496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bl>
      <w:tblPr>
        <w:tblOverlap w:val="never"/>
        <w:jc w:val="center"/>
        <w:tblLayout w:type="fixed"/>
      </w:tblPr>
      <w:tblGrid>
        <w:gridCol w:w="1258"/>
        <w:gridCol w:w="629"/>
        <w:gridCol w:w="566"/>
        <w:gridCol w:w="427"/>
        <w:gridCol w:w="422"/>
        <w:gridCol w:w="710"/>
        <w:gridCol w:w="566"/>
        <w:gridCol w:w="566"/>
        <w:gridCol w:w="427"/>
        <w:gridCol w:w="571"/>
        <w:gridCol w:w="456"/>
        <w:gridCol w:w="590"/>
        <w:gridCol w:w="514"/>
        <w:gridCol w:w="619"/>
        <w:gridCol w:w="643"/>
        <w:gridCol w:w="677"/>
      </w:tblGrid>
      <w:tr>
        <w:trPr>
          <w:trHeight w:val="408"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项目</w:t>
            </w:r>
          </w:p>
        </w:tc>
        <w:tc>
          <w:tcPr>
            <w:gridSpan w:val="1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331"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优先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1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2,644,966,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717,528,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4,181,26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153,092,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4,334,35</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964.00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675.16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679.41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1,490.23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4,279.69</w:t>
            </w: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2,644,966,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717,528,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4,181,26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4,334,35</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964.00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675.16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679.41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1,490.23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789.46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4,279.69</w:t>
            </w:r>
          </w:p>
        </w:tc>
      </w:tr>
      <w:tr>
        <w:trPr>
          <w:trHeight w:val="54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三、本期增减 变动金额（减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-52,624,16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-805,284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20,924,9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-784,359,</w:t>
            </w:r>
          </w:p>
        </w:tc>
      </w:tr>
      <w:tr>
        <w:trPr>
          <w:trHeight w:val="504" w:hRule="exact"/>
        </w:trPr>
        <w:tc>
          <w:tcPr>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8,948.10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,897.20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68.92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928.28</w:t>
            </w: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-746,671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23,485,6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-723,186,</w:t>
            </w:r>
          </w:p>
        </w:tc>
      </w:tr>
      <w:tr>
        <w:trPr>
          <w:trHeight w:val="25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8,948.10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,948.10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79.89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268.21</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-5,988,78</w:t>
            </w:r>
          </w:p>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-52,624,16</w:t>
            </w:r>
          </w:p>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-58,612,</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-54,612,9</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49.10</w:t>
            </w:r>
          </w:p>
        </w:tc>
      </w:tr>
      <w:tr>
        <w:trPr>
          <w:trHeight w:val="30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-5,988,78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-52,624,16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-58,612,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-54,612,9</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949.10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49.10</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-6,560,71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-6,560,71</w:t>
            </w:r>
          </w:p>
        </w:tc>
      </w:tr>
      <w:tr>
        <w:trPr>
          <w:trHeight w:val="25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0.97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0.97</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-6,560,71</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-6,560,71</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0.97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11900" w:h="16840"/>
          <w:pgMar w:top="1263" w:right="1054" w:bottom="1436" w:left="1039" w:header="0" w:footer="3" w:gutter="0"/>
          <w:cols w:space="720"/>
          <w:noEndnote/>
          <w:titlePg/>
          <w:rtlGutter w:val="0"/>
          <w:docGrid w:linePitch="360"/>
        </w:sectPr>
      </w:pPr>
    </w:p>
    <w:tbl>
      <w:tblPr>
        <w:tblOverlap w:val="never"/>
        <w:jc w:val="center"/>
        <w:tblLayout w:type="fixed"/>
      </w:tblPr>
      <w:tblGrid>
        <w:gridCol w:w="1258"/>
        <w:gridCol w:w="629"/>
        <w:gridCol w:w="566"/>
        <w:gridCol w:w="427"/>
        <w:gridCol w:w="422"/>
        <w:gridCol w:w="710"/>
        <w:gridCol w:w="566"/>
        <w:gridCol w:w="566"/>
        <w:gridCol w:w="427"/>
        <w:gridCol w:w="571"/>
        <w:gridCol w:w="456"/>
        <w:gridCol w:w="590"/>
        <w:gridCol w:w="514"/>
        <w:gridCol w:w="619"/>
        <w:gridCol w:w="643"/>
        <w:gridCol w:w="677"/>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779,198,</w:t>
            </w:r>
          </w:p>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2,592,342,</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-67,603,</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33,579,</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38,459,7</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3,375,97</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6,593.03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174,017,</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758.38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3,549,99</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4,351.41</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、母公司所有者权益变动表</w:t>
      </w:r>
      <w:bookmarkEnd w:id="740"/>
      <w:bookmarkEnd w:id="741"/>
      <w:bookmarkEnd w:id="743"/>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33"/>
        <w:keepNext w:val="0"/>
        <w:keepLines w:val="0"/>
        <w:widowControl w:val="0"/>
        <w:shd w:val="clear" w:color="auto" w:fill="auto"/>
        <w:bidi w:val="0"/>
        <w:spacing w:before="0" w:after="0" w:line="240" w:lineRule="auto"/>
        <w:ind w:left="5069"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bl>
      <w:tblPr>
        <w:tblOverlap w:val="never"/>
        <w:jc w:val="center"/>
        <w:tblLayout w:type="fixed"/>
      </w:tblPr>
      <w:tblGrid>
        <w:gridCol w:w="1349"/>
        <w:gridCol w:w="682"/>
        <w:gridCol w:w="706"/>
        <w:gridCol w:w="710"/>
        <w:gridCol w:w="566"/>
        <w:gridCol w:w="710"/>
        <w:gridCol w:w="706"/>
        <w:gridCol w:w="715"/>
        <w:gridCol w:w="557"/>
        <w:gridCol w:w="725"/>
        <w:gridCol w:w="701"/>
        <w:gridCol w:w="624"/>
        <w:gridCol w:w="893"/>
      </w:tblGrid>
      <w:tr>
        <w:trPr>
          <w:trHeight w:val="408" w:hRule="exact"/>
        </w:trPr>
        <w:tc>
          <w:tcPr>
            <w:vMerge w:val="restart"/>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未分配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398"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2,607,78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-422,528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249.72</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78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2,607,78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-422,528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249.72</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64" w:lineRule="exact"/>
              <w:ind w:left="0" w:right="0" w:firstLine="0"/>
              <w:jc w:val="both"/>
            </w:pPr>
            <w:r>
              <w:rPr>
                <w:color w:val="000000"/>
                <w:spacing w:val="0"/>
                <w:w w:val="100"/>
                <w:position w:val="0"/>
              </w:rPr>
              <w:t>三、本期增减变 动金额（减少以</w:t>
            </w:r>
          </w:p>
          <w:p>
            <w:pPr>
              <w:pStyle w:val="Style25"/>
              <w:keepNext w:val="0"/>
              <w:keepLines w:val="0"/>
              <w:widowControl w:val="0"/>
              <w:shd w:val="clear" w:color="auto" w:fill="auto"/>
              <w:bidi w:val="0"/>
              <w:spacing w:before="0" w:after="0" w:line="307"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-558,907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-559,907,5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-558,907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-559,907,5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w:t>
            </w:r>
          </w:p>
        </w:tc>
      </w:tr>
    </w:tbl>
    <w:p>
      <w:pPr>
        <w:widowControl w:val="0"/>
        <w:spacing w:line="1" w:lineRule="exact"/>
      </w:pPr>
      <w:r>
        <w:br w:type="page"/>
      </w:r>
    </w:p>
    <w:tbl>
      <w:tblPr>
        <w:tblOverlap w:val="never"/>
        <w:jc w:val="center"/>
        <w:tblLayout w:type="fixed"/>
      </w:tblPr>
      <w:tblGrid>
        <w:gridCol w:w="1349"/>
        <w:gridCol w:w="682"/>
        <w:gridCol w:w="706"/>
        <w:gridCol w:w="710"/>
        <w:gridCol w:w="566"/>
        <w:gridCol w:w="710"/>
        <w:gridCol w:w="706"/>
        <w:gridCol w:w="715"/>
        <w:gridCol w:w="557"/>
        <w:gridCol w:w="725"/>
        <w:gridCol w:w="701"/>
        <w:gridCol w:w="624"/>
        <w:gridCol w:w="893"/>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2,607,78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2,425,123,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707.45</w:t>
            </w:r>
          </w:p>
        </w:tc>
      </w:tr>
    </w:tbl>
    <w:p>
      <w:pPr>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263" w:right="1054" w:bottom="1436" w:left="1039" w:header="0" w:footer="3" w:gutter="0"/>
          <w:cols w:space="720"/>
          <w:noEndnote/>
          <w:titlePg/>
          <w:rtlGutter w:val="0"/>
          <w:docGrid w:linePitch="360"/>
        </w:sectPr>
      </w:pPr>
    </w:p>
    <w:p>
      <w:pPr>
        <w:pStyle w:val="Style3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p>
      <w:pPr>
        <w:pStyle w:val="Style33"/>
        <w:keepNext w:val="0"/>
        <w:keepLines w:val="0"/>
        <w:widowControl w:val="0"/>
        <w:shd w:val="clear" w:color="auto" w:fill="auto"/>
        <w:bidi w:val="0"/>
        <w:spacing w:before="0" w:after="0" w:line="240" w:lineRule="auto"/>
        <w:ind w:left="503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bl>
      <w:tblPr>
        <w:tblOverlap w:val="never"/>
        <w:jc w:val="center"/>
        <w:tblLayout w:type="fixed"/>
      </w:tblPr>
      <w:tblGrid>
        <w:gridCol w:w="1459"/>
        <w:gridCol w:w="710"/>
        <w:gridCol w:w="710"/>
        <w:gridCol w:w="706"/>
        <w:gridCol w:w="566"/>
        <w:gridCol w:w="854"/>
        <w:gridCol w:w="566"/>
        <w:gridCol w:w="710"/>
        <w:gridCol w:w="571"/>
        <w:gridCol w:w="706"/>
        <w:gridCol w:w="710"/>
        <w:gridCol w:w="566"/>
        <w:gridCol w:w="806"/>
      </w:tblGrid>
      <w:tr>
        <w:trPr>
          <w:trHeight w:val="408" w:hRule="exact"/>
        </w:trPr>
        <w:tc>
          <w:tcPr>
            <w:vMerge w:val="restart"/>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专项</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盈余</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未分配</w:t>
            </w:r>
          </w:p>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益合计</w:t>
            </w:r>
          </w:p>
        </w:tc>
      </w:tr>
      <w:tr>
        <w:trPr>
          <w:trHeight w:val="403"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785,186,</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2,660,406,</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33,579,1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172,588,</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3,651,761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,789.17</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42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780"/>
              <w:jc w:val="left"/>
            </w:pPr>
            <w:r>
              <w:rPr>
                <w:color w:val="000000"/>
                <w:spacing w:val="0"/>
                <w:w w:val="100"/>
                <w:position w:val="0"/>
              </w:rPr>
              <w:t>前期差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785,186,</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2,660,406,</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33,579,1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172,588,</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3,651,761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,789.17</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-5,988,7</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-52,624,16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-595,117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539.45</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-595,117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590.35</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-5,988,7</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-52,624,16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-58,612,9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-5,988,7</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-52,624,16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-58,612,9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9"/>
        <w:gridCol w:w="710"/>
        <w:gridCol w:w="710"/>
        <w:gridCol w:w="706"/>
        <w:gridCol w:w="566"/>
        <w:gridCol w:w="854"/>
        <w:gridCol w:w="566"/>
        <w:gridCol w:w="710"/>
        <w:gridCol w:w="571"/>
        <w:gridCol w:w="706"/>
        <w:gridCol w:w="710"/>
        <w:gridCol w:w="566"/>
        <w:gridCol w:w="806"/>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779,198,</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,249.72</w:t>
            </w:r>
          </w:p>
        </w:tc>
      </w:tr>
    </w:tbl>
    <w:p>
      <w:pPr>
        <w:widowControl w:val="0"/>
        <w:spacing w:after="299" w:line="1" w:lineRule="exact"/>
      </w:pPr>
    </w:p>
    <w:p>
      <w:pPr>
        <w:pStyle w:val="Style29"/>
        <w:keepNext/>
        <w:keepLines/>
        <w:widowControl w:val="0"/>
        <w:shd w:val="clear" w:color="auto" w:fill="auto"/>
        <w:bidi w:val="0"/>
        <w:spacing w:before="0" w:after="260" w:line="240" w:lineRule="auto"/>
        <w:ind w:left="0" w:right="0" w:firstLine="0"/>
        <w:jc w:val="left"/>
      </w:pPr>
      <w:bookmarkStart w:id="744" w:name="bookmark744"/>
      <w:bookmarkStart w:id="745" w:name="bookmark745"/>
      <w:bookmarkStart w:id="746" w:name="bookmark746"/>
      <w:r>
        <w:rPr>
          <w:color w:val="000000"/>
          <w:spacing w:val="0"/>
          <w:w w:val="100"/>
          <w:position w:val="0"/>
          <w:sz w:val="24"/>
          <w:szCs w:val="24"/>
        </w:rPr>
        <w:t>三、公司基本情况</w:t>
      </w:r>
      <w:bookmarkEnd w:id="744"/>
      <w:bookmarkEnd w:id="745"/>
      <w:bookmarkEnd w:id="746"/>
    </w:p>
    <w:p>
      <w:pPr>
        <w:pStyle w:val="Style35"/>
        <w:keepNext w:val="0"/>
        <w:keepLines w:val="0"/>
        <w:widowControl w:val="0"/>
        <w:shd w:val="clear" w:color="auto" w:fill="auto"/>
        <w:bidi w:val="0"/>
        <w:spacing w:before="0" w:after="0" w:line="326" w:lineRule="exact"/>
        <w:ind w:left="0" w:right="0"/>
        <w:jc w:val="both"/>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以下简称“本公司”，原名“江苏丰东热技术股份有限公司”</w:t>
      </w:r>
      <w:r>
        <w:rPr>
          <w:color w:val="000000"/>
          <w:spacing w:val="0"/>
          <w:w w:val="100"/>
          <w:position w:val="0"/>
          <w:sz w:val="18"/>
          <w:szCs w:val="18"/>
        </w:rPr>
        <w:t>）</w:t>
      </w:r>
      <w:r>
        <w:rPr>
          <w:color w:val="000000"/>
          <w:spacing w:val="0"/>
          <w:w w:val="100"/>
          <w:position w:val="0"/>
        </w:rPr>
        <w:t>为境内公开发行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 在深圳证券交易所上市的股份有限公司。</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经中国证券监督管理委员会《关于核准江苏丰东热技术股份有限公司首次公开发行股票的批复》（证监许可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1757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的核准，公司向社会公开发行人民币普通股股票</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万股，每股面值壹元，每股发行价为人民币壹拾贰元，募集资金总 额为人民币肆亿零捌佰万元整。经深圳证券交易所《关于江苏丰东热技术股份有限公司人民币普通股股票上市交易的通知》 （深证上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号）同意，本公司发行的人民币普通股股票在深圳证券交易所上市，证券简称“丰东股份”，股票代 码</w:t>
      </w:r>
      <w:r>
        <w:rPr>
          <w:rFonts w:ascii="Times New Roman" w:eastAsia="Times New Roman" w:hAnsi="Times New Roman" w:cs="Times New Roman"/>
          <w:color w:val="000000"/>
          <w:spacing w:val="0"/>
          <w:w w:val="100"/>
          <w:position w:val="0"/>
          <w:sz w:val="18"/>
          <w:szCs w:val="18"/>
        </w:rPr>
        <w:t>002530</w:t>
      </w:r>
      <w:r>
        <w:rPr>
          <w:color w:val="000000"/>
          <w:spacing w:val="0"/>
          <w:w w:val="100"/>
          <w:position w:val="0"/>
        </w:rPr>
        <w:t>。</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根据财政部、国资委、证监会和全国社保基金理事会联合印发的《境内证券市场转持部分国有股充实全国社会保障基金 实施办法》文件规定及江苏省国资委《关于同意江苏丰东热技术股份有限公司国有股转持的批复》（苏国资复</w:t>
      </w:r>
      <w:r>
        <w:rPr>
          <w:rFonts w:ascii="Times New Roman" w:eastAsia="Times New Roman" w:hAnsi="Times New Roman" w:cs="Times New Roman"/>
          <w:color w:val="000000"/>
          <w:spacing w:val="0"/>
          <w:w w:val="100"/>
          <w:position w:val="0"/>
          <w:sz w:val="18"/>
          <w:szCs w:val="18"/>
        </w:rPr>
        <w:t>[2010]51</w:t>
      </w:r>
      <w:r>
        <w:rPr>
          <w:color w:val="000000"/>
          <w:spacing w:val="0"/>
          <w:w w:val="100"/>
          <w:position w:val="0"/>
        </w:rPr>
        <w:t>号）， 江苏高科技投资集团有限公司将持有的本公司</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万股股份（按本次发行</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计算）划转给全国社会保障基金理 事会。</w:t>
      </w:r>
    </w:p>
    <w:p>
      <w:pPr>
        <w:pStyle w:val="Style35"/>
        <w:keepNext w:val="0"/>
        <w:keepLines w:val="0"/>
        <w:widowControl w:val="0"/>
        <w:shd w:val="clear" w:color="auto" w:fill="auto"/>
        <w:bidi w:val="0"/>
        <w:spacing w:before="0" w:after="0" w:line="318" w:lineRule="exact"/>
        <w:ind w:left="0" w:right="0"/>
        <w:jc w:val="both"/>
      </w:pPr>
      <w:r>
        <w:rPr>
          <w:color w:val="000000"/>
          <w:spacing w:val="0"/>
          <w:w w:val="100"/>
          <w:position w:val="0"/>
        </w:rPr>
        <w:t>根据中华人民共和国财政部《关于回拨江苏丰东热技术股份有限公司部分国有股有关问题的通知》（财企</w:t>
      </w:r>
      <w:r>
        <w:rPr>
          <w:rFonts w:ascii="Times New Roman" w:eastAsia="Times New Roman" w:hAnsi="Times New Roman" w:cs="Times New Roman"/>
          <w:color w:val="000000"/>
          <w:spacing w:val="0"/>
          <w:w w:val="100"/>
          <w:position w:val="0"/>
          <w:sz w:val="18"/>
          <w:szCs w:val="18"/>
        </w:rPr>
        <w:t>[2011]43</w:t>
      </w:r>
      <w:r>
        <w:rPr>
          <w:color w:val="000000"/>
          <w:spacing w:val="0"/>
          <w:w w:val="100"/>
          <w:position w:val="0"/>
        </w:rPr>
        <w:t>号） 文件规定，江苏高科技投资集团有限公司原划转给全国社会保障基金理事会持有的本公司</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万股限售流通股于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日回拨到江苏高科技投资集团有限公司的证券账户中。</w:t>
      </w:r>
    </w:p>
    <w:p>
      <w:pPr>
        <w:pStyle w:val="Style35"/>
        <w:keepNext w:val="0"/>
        <w:keepLines w:val="0"/>
        <w:widowControl w:val="0"/>
        <w:shd w:val="clear" w:color="auto" w:fill="auto"/>
        <w:bidi w:val="0"/>
        <w:spacing w:before="0" w:after="0" w:line="318"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年年度股东大会决议，本公司实施资本公积转增注册资本</w:t>
      </w:r>
      <w:r>
        <w:rPr>
          <w:rFonts w:ascii="Times New Roman" w:eastAsia="Times New Roman" w:hAnsi="Times New Roman" w:cs="Times New Roman"/>
          <w:color w:val="000000"/>
          <w:spacing w:val="0"/>
          <w:w w:val="100"/>
          <w:position w:val="0"/>
          <w:sz w:val="18"/>
          <w:szCs w:val="18"/>
        </w:rPr>
        <w:t>134,000,000</w:t>
      </w:r>
      <w:r>
        <w:rPr>
          <w:color w:val="000000"/>
          <w:spacing w:val="0"/>
          <w:w w:val="100"/>
          <w:position w:val="0"/>
        </w:rPr>
        <w:t>元，转增基准日为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rFonts w:ascii="Arial" w:eastAsia="Arial" w:hAnsi="Arial" w:cs="Arial"/>
          <w:color w:val="000000"/>
          <w:spacing w:val="0"/>
          <w:w w:val="100"/>
          <w:position w:val="0"/>
        </w:rPr>
        <w:t>0</w:t>
      </w:r>
      <w:r>
        <w:rPr>
          <w:color w:val="000000"/>
          <w:spacing w:val="0"/>
          <w:w w:val="100"/>
          <w:position w:val="0"/>
          <w:sz w:val="20"/>
          <w:szCs w:val="20"/>
        </w:rPr>
        <w:t>，</w:t>
      </w:r>
      <w:r>
        <w:rPr>
          <w:rFonts w:ascii="Arial" w:eastAsia="Arial" w:hAnsi="Arial" w:cs="Arial"/>
          <w:color w:val="000000"/>
          <w:spacing w:val="0"/>
          <w:w w:val="100"/>
          <w:position w:val="0"/>
        </w:rPr>
        <w:t xml:space="preserve"> </w:t>
      </w:r>
      <w:r>
        <w:rPr>
          <w:color w:val="000000"/>
          <w:spacing w:val="0"/>
          <w:w w:val="100"/>
          <w:position w:val="0"/>
        </w:rPr>
        <w:t>转增后本公司注册资本为人民币</w:t>
      </w:r>
      <w:r>
        <w:rPr>
          <w:rFonts w:ascii="Times New Roman" w:eastAsia="Times New Roman" w:hAnsi="Times New Roman" w:cs="Times New Roman"/>
          <w:color w:val="000000"/>
          <w:spacing w:val="0"/>
          <w:w w:val="100"/>
          <w:position w:val="0"/>
          <w:sz w:val="18"/>
          <w:szCs w:val="18"/>
        </w:rPr>
        <w:t>268,000,000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日第三届董事会第十七次会议决议及中国证券监督管理委员会《关于核准江苏丰东热技术股份有 限公司向徐正军等发行股份购买资产并募集配套资金的批复》（证监许可</w:t>
      </w:r>
      <w:r>
        <w:rPr>
          <w:rFonts w:ascii="Times New Roman" w:eastAsia="Times New Roman" w:hAnsi="Times New Roman" w:cs="Times New Roman"/>
          <w:color w:val="000000"/>
          <w:spacing w:val="0"/>
          <w:w w:val="100"/>
          <w:position w:val="0"/>
          <w:sz w:val="18"/>
          <w:szCs w:val="18"/>
        </w:rPr>
        <w:t>[2016]2334</w:t>
      </w:r>
      <w:r>
        <w:rPr>
          <w:color w:val="000000"/>
          <w:spacing w:val="0"/>
          <w:w w:val="100"/>
          <w:position w:val="0"/>
        </w:rPr>
        <w:t>号）文核准，同意本公司向方欣科技有 限公司股东徐正军发行</w:t>
      </w:r>
      <w:r>
        <w:rPr>
          <w:rFonts w:ascii="Times New Roman" w:eastAsia="Times New Roman" w:hAnsi="Times New Roman" w:cs="Times New Roman"/>
          <w:color w:val="000000"/>
          <w:spacing w:val="0"/>
          <w:w w:val="100"/>
          <w:position w:val="0"/>
          <w:sz w:val="18"/>
          <w:szCs w:val="18"/>
        </w:rPr>
        <w:t>80,126,857</w:t>
      </w:r>
      <w:r>
        <w:rPr>
          <w:color w:val="000000"/>
          <w:spacing w:val="0"/>
          <w:w w:val="100"/>
          <w:position w:val="0"/>
        </w:rPr>
        <w:t>股、向股东王金根发行</w:t>
      </w:r>
      <w:r>
        <w:rPr>
          <w:rFonts w:ascii="Times New Roman" w:eastAsia="Times New Roman" w:hAnsi="Times New Roman" w:cs="Times New Roman"/>
          <w:color w:val="000000"/>
          <w:spacing w:val="0"/>
          <w:w w:val="100"/>
          <w:position w:val="0"/>
          <w:sz w:val="18"/>
          <w:szCs w:val="18"/>
        </w:rPr>
        <w:t>34,069,687</w:t>
      </w:r>
      <w:r>
        <w:rPr>
          <w:color w:val="000000"/>
          <w:spacing w:val="0"/>
          <w:w w:val="100"/>
          <w:position w:val="0"/>
        </w:rPr>
        <w:t xml:space="preserve">股、向股东北京众诚方圆投资中心（有限合伙）发行 </w:t>
      </w:r>
      <w:r>
        <w:rPr>
          <w:rFonts w:ascii="Times New Roman" w:eastAsia="Times New Roman" w:hAnsi="Times New Roman" w:cs="Times New Roman"/>
          <w:color w:val="000000"/>
          <w:spacing w:val="0"/>
          <w:w w:val="100"/>
          <w:position w:val="0"/>
          <w:sz w:val="18"/>
          <w:szCs w:val="18"/>
        </w:rPr>
        <w:t>10,331,948</w:t>
      </w:r>
      <w:r>
        <w:rPr>
          <w:color w:val="000000"/>
          <w:spacing w:val="0"/>
          <w:w w:val="100"/>
          <w:position w:val="0"/>
        </w:rPr>
        <w:t>股、向股东深圳市金蝶软件配套用品有限公司发行</w:t>
      </w:r>
      <w:r>
        <w:rPr>
          <w:rFonts w:ascii="Times New Roman" w:eastAsia="Times New Roman" w:hAnsi="Times New Roman" w:cs="Times New Roman"/>
          <w:color w:val="000000"/>
          <w:spacing w:val="0"/>
          <w:w w:val="100"/>
          <w:position w:val="0"/>
          <w:sz w:val="18"/>
          <w:szCs w:val="18"/>
        </w:rPr>
        <w:t>6,309,201</w:t>
      </w:r>
      <w:r>
        <w:rPr>
          <w:color w:val="000000"/>
          <w:spacing w:val="0"/>
          <w:w w:val="100"/>
          <w:position w:val="0"/>
        </w:rPr>
        <w:t>股、向股东苏州松禾成长二号创业投资中心（有限合 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股、向股东广州西域洪昌互联网创业投资合伙企业（有限合伙）发行</w:t>
      </w:r>
      <w:r>
        <w:rPr>
          <w:rFonts w:ascii="Times New Roman" w:eastAsia="Times New Roman" w:hAnsi="Times New Roman" w:cs="Times New Roman"/>
          <w:color w:val="000000"/>
          <w:spacing w:val="0"/>
          <w:w w:val="100"/>
          <w:position w:val="0"/>
          <w:sz w:val="18"/>
          <w:szCs w:val="18"/>
        </w:rPr>
        <w:t>5,938,220</w:t>
      </w:r>
      <w:r>
        <w:rPr>
          <w:color w:val="000000"/>
          <w:spacing w:val="0"/>
          <w:w w:val="100"/>
          <w:position w:val="0"/>
        </w:rPr>
        <w:t>股、向股东曹锋发行</w:t>
      </w:r>
      <w:r>
        <w:rPr>
          <w:rFonts w:ascii="Times New Roman" w:eastAsia="Times New Roman" w:hAnsi="Times New Roman" w:cs="Times New Roman"/>
          <w:color w:val="000000"/>
          <w:spacing w:val="0"/>
          <w:w w:val="100"/>
          <w:position w:val="0"/>
          <w:sz w:val="18"/>
          <w:szCs w:val="18"/>
        </w:rPr>
        <w:t xml:space="preserve">3,785,520 </w:t>
      </w:r>
      <w:r>
        <w:rPr>
          <w:color w:val="000000"/>
          <w:spacing w:val="0"/>
          <w:w w:val="100"/>
          <w:position w:val="0"/>
        </w:rPr>
        <w:t>股、向股东邓国庭发行</w:t>
      </w:r>
      <w:r>
        <w:rPr>
          <w:rFonts w:ascii="Times New Roman" w:eastAsia="Times New Roman" w:hAnsi="Times New Roman" w:cs="Times New Roman"/>
          <w:color w:val="000000"/>
          <w:spacing w:val="0"/>
          <w:w w:val="100"/>
          <w:position w:val="0"/>
          <w:sz w:val="18"/>
          <w:szCs w:val="18"/>
        </w:rPr>
        <w:t>1,892,760</w:t>
      </w:r>
      <w:r>
        <w:rPr>
          <w:color w:val="000000"/>
          <w:spacing w:val="0"/>
          <w:w w:val="100"/>
          <w:position w:val="0"/>
        </w:rPr>
        <w:t>股；同意本公司非公开发行股份募集配套资金不超过</w:t>
      </w:r>
      <w:r>
        <w:rPr>
          <w:rFonts w:ascii="Times New Roman" w:eastAsia="Times New Roman" w:hAnsi="Times New Roman" w:cs="Times New Roman"/>
          <w:color w:val="000000"/>
          <w:spacing w:val="0"/>
          <w:w w:val="100"/>
          <w:position w:val="0"/>
          <w:sz w:val="18"/>
          <w:szCs w:val="18"/>
        </w:rPr>
        <w:t>74,349,440</w:t>
      </w:r>
      <w:r>
        <w:rPr>
          <w:color w:val="000000"/>
          <w:spacing w:val="0"/>
          <w:w w:val="100"/>
          <w:position w:val="0"/>
        </w:rPr>
        <w:t>股。此次定向增发及配套募 集资金完成后，本公司注册资本为人民币</w:t>
      </w:r>
      <w:r>
        <w:rPr>
          <w:rFonts w:ascii="Times New Roman" w:eastAsia="Times New Roman" w:hAnsi="Times New Roman" w:cs="Times New Roman"/>
          <w:color w:val="000000"/>
          <w:spacing w:val="0"/>
          <w:w w:val="100"/>
          <w:position w:val="0"/>
          <w:sz w:val="18"/>
          <w:szCs w:val="18"/>
        </w:rPr>
        <w:t>490,741,853.00</w:t>
      </w:r>
      <w:r>
        <w:rPr>
          <w:color w:val="000000"/>
          <w:spacing w:val="0"/>
          <w:w w:val="100"/>
          <w:position w:val="0"/>
        </w:rPr>
        <w:t>元。</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年年度股东大会决议，公司变更名称、证券简称及经营范围。公司名称变更为“金财 互联控股股份有限公司”，并于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日完成工商变更登记；经公司申请，深圳证券交易所批准，自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 公司中文证券简称由“丰东股份”变更为“金财互联”。</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年年度股东大会决议，公司以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490,741,853</w:t>
      </w:r>
      <w:r>
        <w:rPr>
          <w:color w:val="000000"/>
          <w:spacing w:val="0"/>
          <w:w w:val="100"/>
          <w:position w:val="0"/>
        </w:rPr>
        <w:t>股为基数，以资本 公积转增股本方式向全体股东每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18"/>
          <w:szCs w:val="18"/>
        </w:rPr>
        <w:t>785,186,964</w:t>
      </w:r>
      <w:r>
        <w:rPr>
          <w:color w:val="000000"/>
          <w:spacing w:val="0"/>
          <w:w w:val="100"/>
          <w:position w:val="0"/>
        </w:rPr>
        <w:t>股，公司注册资本为人民币</w:t>
      </w:r>
      <w:r>
        <w:rPr>
          <w:rFonts w:ascii="Times New Roman" w:eastAsia="Times New Roman" w:hAnsi="Times New Roman" w:cs="Times New Roman"/>
          <w:color w:val="000000"/>
          <w:spacing w:val="0"/>
          <w:w w:val="100"/>
          <w:position w:val="0"/>
          <w:sz w:val="18"/>
          <w:szCs w:val="18"/>
        </w:rPr>
        <w:t>785,186,964.00</w:t>
      </w:r>
      <w:r>
        <w:rPr>
          <w:color w:val="000000"/>
          <w:spacing w:val="0"/>
          <w:w w:val="100"/>
          <w:position w:val="0"/>
        </w:rPr>
        <w:t>元。</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年年度股东大会决议，公司于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日完成对方欣科技业绩补偿义务人</w:t>
      </w:r>
      <w:r>
        <w:rPr>
          <w:rFonts w:ascii="Times New Roman" w:eastAsia="Times New Roman" w:hAnsi="Times New Roman" w:cs="Times New Roman"/>
          <w:color w:val="000000"/>
          <w:spacing w:val="0"/>
          <w:w w:val="100"/>
          <w:position w:val="0"/>
          <w:sz w:val="18"/>
          <w:szCs w:val="18"/>
        </w:rPr>
        <w:t>1,604,396</w:t>
      </w:r>
      <w:r>
        <w:rPr>
          <w:color w:val="000000"/>
          <w:spacing w:val="0"/>
          <w:w w:val="100"/>
          <w:position w:val="0"/>
        </w:rPr>
        <w:t xml:space="preserve">股及 </w:t>
      </w:r>
      <w:r>
        <w:rPr>
          <w:rFonts w:ascii="Times New Roman" w:eastAsia="Times New Roman" w:hAnsi="Times New Roman" w:cs="Times New Roman"/>
          <w:color w:val="000000"/>
          <w:spacing w:val="0"/>
          <w:w w:val="100"/>
          <w:position w:val="0"/>
          <w:sz w:val="18"/>
          <w:szCs w:val="18"/>
        </w:rPr>
        <w:t>4,384,393</w:t>
      </w:r>
      <w:r>
        <w:rPr>
          <w:color w:val="000000"/>
          <w:spacing w:val="0"/>
          <w:w w:val="100"/>
          <w:position w:val="0"/>
        </w:rPr>
        <w:t>股的回购注销手续。本次回购注销完成之后，公司总股本由</w:t>
      </w:r>
      <w:r>
        <w:rPr>
          <w:rFonts w:ascii="Times New Roman" w:eastAsia="Times New Roman" w:hAnsi="Times New Roman" w:cs="Times New Roman"/>
          <w:color w:val="000000"/>
          <w:spacing w:val="0"/>
          <w:w w:val="100"/>
          <w:position w:val="0"/>
          <w:sz w:val="18"/>
          <w:szCs w:val="18"/>
        </w:rPr>
        <w:t>783,582,568</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779,198,175</w:t>
      </w:r>
      <w:r>
        <w:rPr>
          <w:color w:val="000000"/>
          <w:spacing w:val="0"/>
          <w:w w:val="100"/>
          <w:position w:val="0"/>
        </w:rPr>
        <w:t>股。</w:t>
      </w:r>
    </w:p>
    <w:p>
      <w:pPr>
        <w:pStyle w:val="Style33"/>
        <w:keepNext w:val="0"/>
        <w:keepLines w:val="0"/>
        <w:widowControl w:val="0"/>
        <w:shd w:val="clear" w:color="auto" w:fill="auto"/>
        <w:bidi w:val="0"/>
        <w:spacing w:before="0" w:after="0" w:line="240" w:lineRule="auto"/>
        <w:ind w:left="312"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日止的公司股权结构如下:</w:t>
      </w:r>
    </w:p>
    <w:tbl>
      <w:tblPr>
        <w:tblOverlap w:val="never"/>
        <w:jc w:val="center"/>
        <w:tblLayout w:type="fixed"/>
      </w:tblPr>
      <w:tblGrid>
        <w:gridCol w:w="2174"/>
        <w:gridCol w:w="1949"/>
        <w:gridCol w:w="1882"/>
        <w:gridCol w:w="1704"/>
        <w:gridCol w:w="1867"/>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无限售流通股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限售流通股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比例</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632,503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165,882,319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165,882,319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369,005,786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142,314,794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511,320,580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92,572,214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92,572,214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1,068,980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7,721,579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636,883,381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142,314,794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779,198,175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5"/>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经营范围：实业投资；股权投资；投资咨询；资产管理；税务服务；财务、税务咨询服务；互联网软、硬件产品研发、 销售、技术服务、系统集成服务；数据服务；金属材料热处理及表面改性设备的技术开发、技术咨询、制造、销售及维修服 务；房屋、设备租赁。（依法须经批准的项目，经相关部门批准后方可开展经营活动）</w:t>
      </w:r>
    </w:p>
    <w:p>
      <w:pPr>
        <w:pStyle w:val="Style35"/>
        <w:keepNext w:val="0"/>
        <w:keepLines w:val="0"/>
        <w:widowControl w:val="0"/>
        <w:shd w:val="clear" w:color="auto" w:fill="auto"/>
        <w:bidi w:val="0"/>
        <w:spacing w:before="0" w:after="40" w:line="313" w:lineRule="exact"/>
        <w:ind w:left="0" w:right="0" w:firstLine="380"/>
        <w:jc w:val="left"/>
      </w:pPr>
      <w:r>
        <w:rPr>
          <w:color w:val="000000"/>
          <w:spacing w:val="0"/>
          <w:w w:val="100"/>
          <w:position w:val="0"/>
        </w:rPr>
        <w:t>本年度纳入合并范围的公司为：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江苏丰东热技术有限公司、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方欣科技有限公司。</w:t>
      </w:r>
    </w:p>
    <w:p>
      <w:pPr>
        <w:pStyle w:val="Style35"/>
        <w:keepNext w:val="0"/>
        <w:keepLines w:val="0"/>
        <w:widowControl w:val="0"/>
        <w:shd w:val="clear" w:color="auto" w:fill="auto"/>
        <w:bidi w:val="0"/>
        <w:spacing w:before="0" w:after="40" w:line="314" w:lineRule="exact"/>
        <w:ind w:left="0" w:right="0" w:firstLine="380"/>
        <w:jc w:val="left"/>
      </w:pPr>
      <w:r>
        <w:rPr>
          <w:color w:val="000000"/>
          <w:spacing w:val="0"/>
          <w:w w:val="100"/>
          <w:position w:val="0"/>
        </w:rPr>
        <w:t>纳入丰东热技术合并财务报表范围的子公司及下属公司共</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户为：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上海丰东热处理工程有限公司、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青岛丰东热处 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江苏丰东热处理及表面改性工程技术研究有限公司、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盐城丰东特种炉业有限公司、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重庆丰东热处理工 程有限公司、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南京丰东热处理工程有限公司、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天津丰东热处理有限公司、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潍坊丰东热处理有限公司、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盐城丰东祺 耀工业炉有限公司、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广州鑫润丰东热处理有限公司、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常州鑫润丰东热处理工程有限公司、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上海宝华威热处理设备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艾普零件制造（苏州）股份有限公司、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青岛丰东热工技术有限公司、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烟台丰东热技术有限公司、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苏州丰东热处理技术有限公司、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重庆丰东金属表面处理有限公司，（</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）武汉丰东热技术有限公司，其中</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度新纳入合并报表范围。</w:t>
      </w:r>
    </w:p>
    <w:p>
      <w:pPr>
        <w:pStyle w:val="Style35"/>
        <w:keepNext w:val="0"/>
        <w:keepLines w:val="0"/>
        <w:widowControl w:val="0"/>
        <w:shd w:val="clear" w:color="auto" w:fill="auto"/>
        <w:bidi w:val="0"/>
        <w:spacing w:before="0" w:after="40" w:line="313" w:lineRule="exact"/>
        <w:ind w:left="0" w:right="0" w:firstLine="380"/>
        <w:jc w:val="left"/>
      </w:pPr>
      <w:r>
        <w:rPr>
          <w:color w:val="000000"/>
          <w:spacing w:val="0"/>
          <w:w w:val="100"/>
          <w:position w:val="0"/>
        </w:rPr>
        <w:t>纳入方欣科技合并财务报表范围的子公司及下属公司共</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户为：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广州金财互联税务顾问有限公司、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山东神创信息 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广州方欣现代信息产业园有限公司、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广东浪潮创新计算机科技服务有限公司、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广州翼税数据服务有 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金财互联数据服务有限公司、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方欣智慧财税服务有限公司、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浙江金财立信财务管理有限公司、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北京方欣 恒利科技有限公司、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上海金财企盈企业服务有限公司、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东莞市金财互联信息科技有限公司、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江门市金财互联数据 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浙江金财立信之友科技有限公司、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黄山怀信商务信息咨询有限公司、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新疆金财立信财务管理有限 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北京金财纵横信息咨询服务有限公司、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广东益东金财资产管理中心（有限合伙）、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青岛高新金财信息科技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广州金财互联区块链科技有限公司、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广东龙达财税服务有限公司、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深圳龙达财税有限公司、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青岛 百旺金赋信息科技有限公司、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金财慧盈保险经纪有限公司、（</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）浙江金财共享智能科技有限公司、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金财云商（平 潭）数字科技有限公司、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广东金财云商数字科技有限公司、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山东金财互联数据服务有限公司、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江门龙达财税服务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东莞市龙达金财企业管理咨询有限公司、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东莞市龙达骏洋企业管理咨询有限公司、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东莞市龙达临深财 税服务有限公司、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东莞市龙达灵狮产业孵化运营有限公司、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东莞市龙达湾区财税服务有限公司、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东莞市龙达中城 财税服务有限公司、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江西金财数据技术有限公司、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四川方欣全方数据科技有限公司、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 xml:space="preserve">山东欣税软件有限公司、 </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青岛方欣儒商信息科技有限公司、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浙江协企财务管理有限公司、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杭州泓德财务管理有限公司、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金财互联 智链研究院（青岛）有限公司、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惠州市金财互联技术有限公司、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金财云商（青岛）数据科技有限公司、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金财 互联（江门）财税服务有限公司、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金财云盟数字科技有限公司、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金财（高安）云商信息科技有限公司、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上海 金财盛慧科技有限公司、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福建麦税数字科技有限公司，其中</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年度新纳入合并报表范围，（</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）浙江金 财共享智能科技有限公司因注销，自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月起不再纳入合并范围。</w:t>
      </w:r>
    </w:p>
    <w:p>
      <w:pPr>
        <w:pStyle w:val="Style29"/>
        <w:keepNext/>
        <w:keepLines/>
        <w:widowControl w:val="0"/>
        <w:shd w:val="clear" w:color="auto" w:fill="auto"/>
        <w:tabs>
          <w:tab w:pos="498" w:val="left"/>
        </w:tabs>
        <w:bidi w:val="0"/>
        <w:spacing w:before="0" w:after="38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sz w:val="24"/>
          <w:szCs w:val="24"/>
        </w:rPr>
        <w:t>四</w:t>
      </w:r>
      <w:bookmarkEnd w:id="749"/>
      <w:r>
        <w:rPr>
          <w:color w:val="000000"/>
          <w:spacing w:val="0"/>
          <w:w w:val="100"/>
          <w:position w:val="0"/>
          <w:sz w:val="24"/>
          <w:szCs w:val="24"/>
        </w:rPr>
        <w:t>、</w:t>
        <w:tab/>
        <w:t>财务报表的编制基础</w:t>
      </w:r>
      <w:bookmarkEnd w:id="747"/>
      <w:bookmarkEnd w:id="748"/>
      <w:bookmarkEnd w:id="750"/>
    </w:p>
    <w:p>
      <w:pPr>
        <w:pStyle w:val="Style39"/>
        <w:keepNext/>
        <w:keepLines/>
        <w:widowControl w:val="0"/>
        <w:shd w:val="clear" w:color="auto" w:fill="auto"/>
        <w:tabs>
          <w:tab w:pos="848" w:val="left"/>
        </w:tabs>
        <w:bidi w:val="0"/>
        <w:spacing w:before="0" w:after="260" w:line="240" w:lineRule="auto"/>
        <w:ind w:left="0" w:right="0" w:firstLine="48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color w:val="000000"/>
          <w:spacing w:val="0"/>
          <w:w w:val="100"/>
          <w:position w:val="0"/>
        </w:rPr>
        <w:t>、</w:t>
        <w:tab/>
        <w:t>编制基础</w:t>
      </w:r>
      <w:bookmarkEnd w:id="751"/>
      <w:bookmarkEnd w:id="752"/>
      <w:bookmarkEnd w:id="754"/>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本公司以持续经营为基础，根据实际发生的交易和事项，按照《企业会计准则</w:t>
      </w:r>
      <w:r>
        <w:rPr>
          <w:color w:val="000000"/>
          <w:spacing w:val="0"/>
          <w:w w:val="100"/>
          <w:position w:val="0"/>
          <w:sz w:val="18"/>
          <w:szCs w:val="18"/>
        </w:rPr>
        <w:t>一</w:t>
      </w:r>
      <w:r>
        <w:rPr>
          <w:color w:val="000000"/>
          <w:spacing w:val="0"/>
          <w:w w:val="100"/>
          <w:position w:val="0"/>
        </w:rPr>
        <w:t>基本准则》和其他各项会计准则的规定 进行确认和计量，在此基础上编制财务报表。</w:t>
      </w:r>
    </w:p>
    <w:p>
      <w:pPr>
        <w:pStyle w:val="Style39"/>
        <w:keepNext/>
        <w:keepLines/>
        <w:widowControl w:val="0"/>
        <w:shd w:val="clear" w:color="auto" w:fill="auto"/>
        <w:tabs>
          <w:tab w:pos="858" w:val="left"/>
        </w:tabs>
        <w:bidi w:val="0"/>
        <w:spacing w:before="0" w:after="260" w:line="240" w:lineRule="auto"/>
        <w:ind w:left="0" w:right="0" w:firstLine="48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color w:val="000000"/>
          <w:spacing w:val="0"/>
          <w:w w:val="100"/>
          <w:position w:val="0"/>
        </w:rPr>
        <w:t>、</w:t>
        <w:tab/>
        <w:t>持续经营</w:t>
      </w:r>
      <w:bookmarkEnd w:id="755"/>
      <w:bookmarkEnd w:id="756"/>
      <w:bookmarkEnd w:id="758"/>
    </w:p>
    <w:p>
      <w:pPr>
        <w:pStyle w:val="Style35"/>
        <w:keepNext w:val="0"/>
        <w:keepLines w:val="0"/>
        <w:widowControl w:val="0"/>
        <w:shd w:val="clear" w:color="auto" w:fill="auto"/>
        <w:bidi w:val="0"/>
        <w:spacing w:before="0" w:after="380" w:line="322" w:lineRule="exact"/>
        <w:ind w:left="0" w:right="0"/>
        <w:jc w:val="both"/>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个月内，本公司持续经营能力良好，不存在导致对本公司持续经营能力产生重大怀 疑的因素。</w:t>
      </w:r>
    </w:p>
    <w:p>
      <w:pPr>
        <w:pStyle w:val="Style29"/>
        <w:keepNext/>
        <w:keepLines/>
        <w:widowControl w:val="0"/>
        <w:shd w:val="clear" w:color="auto" w:fill="auto"/>
        <w:tabs>
          <w:tab w:pos="517" w:val="left"/>
        </w:tabs>
        <w:bidi w:val="0"/>
        <w:spacing w:before="0" w:after="26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sz w:val="24"/>
          <w:szCs w:val="24"/>
        </w:rPr>
        <w:t>五</w:t>
      </w:r>
      <w:bookmarkEnd w:id="761"/>
      <w:r>
        <w:rPr>
          <w:color w:val="000000"/>
          <w:spacing w:val="0"/>
          <w:w w:val="100"/>
          <w:position w:val="0"/>
          <w:sz w:val="24"/>
          <w:szCs w:val="24"/>
        </w:rPr>
        <w:t>、</w:t>
        <w:tab/>
        <w:t>重要会计政策及会计估计</w:t>
      </w:r>
      <w:bookmarkEnd w:id="759"/>
      <w:bookmarkEnd w:id="760"/>
      <w:bookmarkEnd w:id="762"/>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具体会计政策和会计估计提示：</w:t>
      </w:r>
    </w:p>
    <w:p>
      <w:pPr>
        <w:pStyle w:val="Style39"/>
        <w:keepNext/>
        <w:keepLines/>
        <w:widowControl w:val="0"/>
        <w:shd w:val="clear" w:color="auto" w:fill="auto"/>
        <w:tabs>
          <w:tab w:pos="848" w:val="left"/>
        </w:tabs>
        <w:bidi w:val="0"/>
        <w:spacing w:before="0" w:after="260" w:line="240" w:lineRule="auto"/>
        <w:ind w:left="0" w:right="0" w:firstLine="48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color w:val="000000"/>
          <w:spacing w:val="0"/>
          <w:w w:val="100"/>
          <w:position w:val="0"/>
        </w:rPr>
        <w:t>、</w:t>
        <w:tab/>
        <w:t>遵循企业会计准则的声明</w:t>
      </w:r>
      <w:bookmarkEnd w:id="763"/>
      <w:bookmarkEnd w:id="764"/>
      <w:bookmarkEnd w:id="766"/>
    </w:p>
    <w:p>
      <w:pPr>
        <w:pStyle w:val="Style35"/>
        <w:keepNext w:val="0"/>
        <w:keepLines w:val="0"/>
        <w:widowControl w:val="0"/>
        <w:shd w:val="clear" w:color="auto" w:fill="auto"/>
        <w:bidi w:val="0"/>
        <w:spacing w:before="0" w:after="380" w:line="307" w:lineRule="exact"/>
        <w:ind w:left="0" w:right="0"/>
        <w:jc w:val="both"/>
      </w:pPr>
      <w:r>
        <w:rPr>
          <w:color w:val="000000"/>
          <w:spacing w:val="0"/>
          <w:w w:val="100"/>
          <w:position w:val="0"/>
        </w:rPr>
        <w:t>本公司所编制的财务报表符合企业会计准则的要求，真实、完整地反映了本公司的财务状况、经营成果、所有者权益变 动和现金流量等有关信息。</w:t>
      </w:r>
    </w:p>
    <w:p>
      <w:pPr>
        <w:pStyle w:val="Style39"/>
        <w:keepNext/>
        <w:keepLines/>
        <w:widowControl w:val="0"/>
        <w:shd w:val="clear" w:color="auto" w:fill="auto"/>
        <w:tabs>
          <w:tab w:pos="858" w:val="left"/>
        </w:tabs>
        <w:bidi w:val="0"/>
        <w:spacing w:before="0" w:after="260" w:line="240" w:lineRule="auto"/>
        <w:ind w:left="0" w:right="0" w:firstLine="48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2</w:t>
      </w:r>
      <w:bookmarkEnd w:id="769"/>
      <w:r>
        <w:rPr>
          <w:color w:val="000000"/>
          <w:spacing w:val="0"/>
          <w:w w:val="100"/>
          <w:position w:val="0"/>
        </w:rPr>
        <w:t>、</w:t>
        <w:tab/>
        <w:t>会计期间</w:t>
      </w:r>
      <w:bookmarkEnd w:id="767"/>
      <w:bookmarkEnd w:id="768"/>
      <w:bookmarkEnd w:id="770"/>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会计期间自公历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9"/>
        <w:keepNext/>
        <w:keepLines/>
        <w:widowControl w:val="0"/>
        <w:shd w:val="clear" w:color="auto" w:fill="auto"/>
        <w:tabs>
          <w:tab w:pos="858" w:val="left"/>
        </w:tabs>
        <w:bidi w:val="0"/>
        <w:spacing w:before="0" w:after="260" w:line="240" w:lineRule="auto"/>
        <w:ind w:left="0" w:right="0" w:firstLine="48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3</w:t>
      </w:r>
      <w:bookmarkEnd w:id="773"/>
      <w:r>
        <w:rPr>
          <w:color w:val="000000"/>
          <w:spacing w:val="0"/>
          <w:w w:val="100"/>
          <w:position w:val="0"/>
        </w:rPr>
        <w:t>、</w:t>
        <w:tab/>
        <w:t>记账本位币</w:t>
      </w:r>
      <w:bookmarkEnd w:id="771"/>
      <w:bookmarkEnd w:id="772"/>
      <w:bookmarkEnd w:id="774"/>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记账本位币为人民币。</w:t>
      </w:r>
    </w:p>
    <w:p>
      <w:pPr>
        <w:pStyle w:val="Style39"/>
        <w:keepNext/>
        <w:keepLines/>
        <w:widowControl w:val="0"/>
        <w:shd w:val="clear" w:color="auto" w:fill="auto"/>
        <w:tabs>
          <w:tab w:pos="858" w:val="left"/>
        </w:tabs>
        <w:bidi w:val="0"/>
        <w:spacing w:before="0" w:after="260" w:line="240" w:lineRule="auto"/>
        <w:ind w:left="0" w:right="0" w:firstLine="48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4</w:t>
      </w:r>
      <w:bookmarkEnd w:id="777"/>
      <w:r>
        <w:rPr>
          <w:color w:val="000000"/>
          <w:spacing w:val="0"/>
          <w:w w:val="100"/>
          <w:position w:val="0"/>
        </w:rPr>
        <w:t>、</w:t>
        <w:tab/>
        <w:t>同一控制下和非同一控制下企业合并的会计处理方法</w:t>
      </w:r>
      <w:bookmarkEnd w:id="775"/>
      <w:bookmarkEnd w:id="776"/>
      <w:bookmarkEnd w:id="778"/>
    </w:p>
    <w:p>
      <w:pPr>
        <w:pStyle w:val="Style35"/>
        <w:keepNext w:val="0"/>
        <w:keepLines w:val="0"/>
        <w:widowControl w:val="0"/>
        <w:shd w:val="clear" w:color="auto" w:fill="auto"/>
        <w:tabs>
          <w:tab w:pos="845" w:val="left"/>
        </w:tabs>
        <w:bidi w:val="0"/>
        <w:spacing w:before="0" w:after="0" w:line="312" w:lineRule="exact"/>
        <w:ind w:left="0" w:right="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参与合并的企业在合并前后均受同一方或相同的多方最终控制且该控制并非暂时性的，认定为同一控制下的企业合并。</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合并方以支付现金、转让非现金资产或承担债务方式作为合并对价的，在合并日按照被合并方所有者权益在最终控制方 合并财务报表中的账面价值的份额作为长期股权投资的初始投资成本。长期股权投资初始投资成本与支付的现金、转让的非 现金资产以及所承担债务账面价值之间的差额，调整资本公积；资本公积不足冲减的，调整留存收益。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合并方以发行权益性证券作为合并对价的，在合并日按照被合并方所有者权益在最终控制方合并财务报表中的账面价值 的份额作为长期股权投资的初始投资成本。按照发行股份的面值总额作为股本，长期股权投资初始投资成本与所发行股份面 值总额之间的差额，调整资本公积；资本公积不足冲减的，调整留存收益。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合并方为企业合并发生的审计、法律服务、评估咨询等中介费用以及其他相关管理费用，于发生时计入当期损益。</w:t>
      </w:r>
    </w:p>
    <w:p>
      <w:pPr>
        <w:pStyle w:val="Style35"/>
        <w:keepNext w:val="0"/>
        <w:keepLines w:val="0"/>
        <w:widowControl w:val="0"/>
        <w:shd w:val="clear" w:color="auto" w:fill="auto"/>
        <w:tabs>
          <w:tab w:pos="845" w:val="left"/>
        </w:tabs>
        <w:bidi w:val="0"/>
        <w:spacing w:before="0" w:after="0" w:line="312" w:lineRule="exact"/>
        <w:ind w:left="0" w:right="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参与合并的各方在合并前后不受同一方或相同的多方最终控制的，认定为非同一控制下的企业合并。</w:t>
      </w:r>
    </w:p>
    <w:p>
      <w:pPr>
        <w:pStyle w:val="Style35"/>
        <w:keepNext w:val="0"/>
        <w:keepLines w:val="0"/>
        <w:widowControl w:val="0"/>
        <w:shd w:val="clear" w:color="auto" w:fill="auto"/>
        <w:bidi w:val="0"/>
        <w:spacing w:before="0" w:after="260" w:line="307" w:lineRule="exact"/>
        <w:ind w:left="0" w:right="0"/>
        <w:jc w:val="both"/>
        <w:sectPr>
          <w:headerReference w:type="default" r:id="rId161"/>
          <w:footerReference w:type="default" r:id="rId162"/>
          <w:headerReference w:type="even" r:id="rId163"/>
          <w:footerReference w:type="even" r:id="rId164"/>
          <w:headerReference w:type="first" r:id="rId165"/>
          <w:footerReference w:type="first" r:id="rId166"/>
          <w:footnotePr>
            <w:pos w:val="pageBottom"/>
            <w:numFmt w:val="decimal"/>
            <w:numRestart w:val="continuous"/>
          </w:footnotePr>
          <w:pgSz w:w="11900" w:h="16840"/>
          <w:pgMar w:top="1263" w:right="1054" w:bottom="1436" w:left="1039" w:header="0" w:footer="3" w:gutter="0"/>
          <w:cols w:space="720"/>
          <w:noEndnote/>
          <w:titlePg/>
          <w:rtlGutter w:val="0"/>
          <w:docGrid w:linePitch="360"/>
        </w:sectPr>
      </w:pPr>
      <w:r>
        <w:rPr>
          <w:color w:val="000000"/>
          <w:spacing w:val="0"/>
          <w:w w:val="100"/>
          <w:position w:val="0"/>
        </w:rPr>
        <w:t>购买方通过一次交换交易实现的企业合并，合并成本为购买方在购买日为取得对被购买方的控制权而付出的资产、发生 或承担的负债以及发行的权益性证券的公允价值。购买方为企业合并发生的审计、法律服务、评估咨询等中介费用以及其他</w:t>
      </w:r>
    </w:p>
    <w:p>
      <w:pPr>
        <w:pStyle w:val="Style35"/>
        <w:keepNext w:val="0"/>
        <w:keepLines w:val="0"/>
        <w:widowControl w:val="0"/>
        <w:shd w:val="clear" w:color="auto" w:fill="auto"/>
        <w:bidi w:val="0"/>
        <w:spacing w:before="0" w:after="0" w:line="480" w:lineRule="exact"/>
        <w:ind w:left="0" w:right="0" w:firstLine="5820"/>
        <w:jc w:val="both"/>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相关管理费用，于发生时计入当期损益；购买方作为合并对价发行的权益性证券或债务性证券的交易费用，计入权益性证券 或债务性证券的初始确认金额。</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购买方的合并成本和购买方在合并中取得的可辨认净资产按购买日的公允价值计量。合并成本大于合并中取得的被购买 方于购买日可辨认净资产公允价值份额的差额，确认为商誉；合并成本小于合并中取得的被购买方可辨认净资产公允价值份 额的差额，计入当期损益。</w:t>
      </w:r>
    </w:p>
    <w:p>
      <w:pPr>
        <w:pStyle w:val="Style35"/>
        <w:keepNext w:val="0"/>
        <w:keepLines w:val="0"/>
        <w:widowControl w:val="0"/>
        <w:shd w:val="clear" w:color="auto" w:fill="auto"/>
        <w:bidi w:val="0"/>
        <w:spacing w:before="0" w:after="0" w:line="317" w:lineRule="exact"/>
        <w:ind w:left="0" w:right="0"/>
        <w:jc w:val="left"/>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）因追加投资等原因能够对非同一控制下的被投资单位实施控制的</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在编制个别财务报表时,按照原持有的股权投资账面价值加上新增投资成本之和，作为改按成本法核算的初始投资成本。 购买日之前持有的股权投资因采用权益法核算而确认的其他综合收益，在处置该项投资时采用与被投资单位直接处置相关资 产或负债相同的基础进行会计处理。购买日之前持有的股权投资按照《企业会计准则第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 关规定进行会计处理的，原计入其他综合收益的累计公允价值变动在改按成本法核算时转入当期损益。</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关的其他综合收益等应当转为购买日所属当期收益。</w:t>
      </w:r>
    </w:p>
    <w:p>
      <w:pPr>
        <w:pStyle w:val="Style39"/>
        <w:keepNext/>
        <w:keepLines/>
        <w:widowControl w:val="0"/>
        <w:shd w:val="clear" w:color="auto" w:fill="auto"/>
        <w:bidi w:val="0"/>
        <w:spacing w:before="0" w:after="260" w:line="240" w:lineRule="auto"/>
        <w:ind w:left="0" w:right="0" w:firstLine="24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5</w:t>
      </w:r>
      <w:bookmarkEnd w:id="784"/>
      <w:r>
        <w:rPr>
          <w:color w:val="000000"/>
          <w:spacing w:val="0"/>
          <w:w w:val="100"/>
          <w:position w:val="0"/>
        </w:rPr>
        <w:t>、合并财务报表的编制方法</w:t>
      </w:r>
      <w:bookmarkEnd w:id="782"/>
      <w:bookmarkEnd w:id="783"/>
      <w:bookmarkEnd w:id="785"/>
    </w:p>
    <w:p>
      <w:pPr>
        <w:pStyle w:val="Style35"/>
        <w:keepNext w:val="0"/>
        <w:keepLines w:val="0"/>
        <w:widowControl w:val="0"/>
        <w:shd w:val="clear" w:color="auto" w:fill="auto"/>
        <w:tabs>
          <w:tab w:pos="845" w:val="left"/>
        </w:tabs>
        <w:bidi w:val="0"/>
        <w:spacing w:before="0" w:after="0" w:line="317"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合并财务报表的合并范围包括本公司及子公司。合并财务报表的合并范围以控制为基础予以确定。</w:t>
      </w:r>
    </w:p>
    <w:p>
      <w:pPr>
        <w:pStyle w:val="Style35"/>
        <w:keepNext w:val="0"/>
        <w:keepLines w:val="0"/>
        <w:widowControl w:val="0"/>
        <w:shd w:val="clear" w:color="auto" w:fill="auto"/>
        <w:tabs>
          <w:tab w:pos="845" w:val="left"/>
        </w:tabs>
        <w:bidi w:val="0"/>
        <w:spacing w:before="0" w:after="0" w:line="317" w:lineRule="exact"/>
        <w:ind w:left="0" w:right="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控制的依据</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投资方拥有对被投资方的权力，通过参与被投资方的相关活动而享有可变回报，并且有能力运用对被投资方的权力影响 其回报金额，视为投资方控制被投资方。相关活动，系为对被投资方的回报产生重大影响的活动。</w:t>
      </w:r>
    </w:p>
    <w:p>
      <w:pPr>
        <w:pStyle w:val="Style35"/>
        <w:keepNext w:val="0"/>
        <w:keepLines w:val="0"/>
        <w:widowControl w:val="0"/>
        <w:shd w:val="clear" w:color="auto" w:fill="auto"/>
        <w:tabs>
          <w:tab w:pos="845" w:val="left"/>
        </w:tabs>
        <w:bidi w:val="0"/>
        <w:spacing w:before="0" w:after="0" w:line="317" w:lineRule="exact"/>
        <w:ind w:left="0" w:right="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决策者和代理人</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代理人仅代表主要责任人行使决策权，不控制被投资方。投资方将被投资方相关活动的决策权委托给代理人的，将该决 策权视为自身直接持有。</w:t>
      </w:r>
    </w:p>
    <w:p>
      <w:pPr>
        <w:pStyle w:val="Style35"/>
        <w:keepNext w:val="0"/>
        <w:keepLines w:val="0"/>
        <w:widowControl w:val="0"/>
        <w:shd w:val="clear" w:color="auto" w:fill="auto"/>
        <w:bidi w:val="0"/>
        <w:spacing w:before="0" w:after="0" w:line="331" w:lineRule="exact"/>
        <w:ind w:left="0" w:right="0"/>
        <w:jc w:val="both"/>
      </w:pPr>
      <w:r>
        <w:rPr>
          <w:color w:val="000000"/>
          <w:spacing w:val="0"/>
          <w:w w:val="100"/>
          <w:position w:val="0"/>
        </w:rPr>
        <w:t>在确定决策者是否为代理人时，公司综合考虑该决策者与被投资方以及其他投资方之间的关系。</w:t>
      </w:r>
    </w:p>
    <w:p>
      <w:pPr>
        <w:pStyle w:val="Style35"/>
        <w:keepNext w:val="0"/>
        <w:keepLines w:val="0"/>
        <w:widowControl w:val="0"/>
        <w:numPr>
          <w:ilvl w:val="0"/>
          <w:numId w:val="69"/>
        </w:numPr>
        <w:shd w:val="clear" w:color="auto" w:fill="auto"/>
        <w:tabs>
          <w:tab w:pos="706" w:val="left"/>
        </w:tabs>
        <w:bidi w:val="0"/>
        <w:spacing w:before="0" w:after="0" w:line="331" w:lineRule="exact"/>
        <w:ind w:left="0" w:right="0"/>
        <w:jc w:val="both"/>
      </w:pPr>
      <w:bookmarkStart w:id="789" w:name="bookmark789"/>
      <w:bookmarkEnd w:id="789"/>
      <w:r>
        <w:rPr>
          <w:color w:val="000000"/>
          <w:spacing w:val="0"/>
          <w:w w:val="100"/>
          <w:position w:val="0"/>
        </w:rPr>
        <w:t>存在单独一方拥有实质性权利可以无条件罢免决策者的，该决策者为代理人。</w:t>
      </w:r>
    </w:p>
    <w:p>
      <w:pPr>
        <w:pStyle w:val="Style35"/>
        <w:keepNext w:val="0"/>
        <w:keepLines w:val="0"/>
        <w:widowControl w:val="0"/>
        <w:numPr>
          <w:ilvl w:val="0"/>
          <w:numId w:val="69"/>
        </w:numPr>
        <w:shd w:val="clear" w:color="auto" w:fill="auto"/>
        <w:tabs>
          <w:tab w:pos="670" w:val="left"/>
        </w:tabs>
        <w:bidi w:val="0"/>
        <w:spacing w:before="0" w:after="0" w:line="331" w:lineRule="exact"/>
        <w:ind w:left="0" w:right="0"/>
        <w:jc w:val="both"/>
      </w:pPr>
      <w:bookmarkStart w:id="790" w:name="bookmark790"/>
      <w:bookmarkEnd w:id="790"/>
      <w:r>
        <w:rPr>
          <w:color w:val="000000"/>
          <w:spacing w:val="0"/>
          <w:w w:val="100"/>
          <w:position w:val="0"/>
        </w:rPr>
        <w:t>除</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以外的情况下，综合考虑决策者对被投资方的决策权范围、其他方享有的实质性权利、决策者的薪酬水平、决策 者因持有被投资方中的其他权益所承担可变回报的风险等相关因素进行判断。</w:t>
      </w:r>
    </w:p>
    <w:p>
      <w:pPr>
        <w:pStyle w:val="Style35"/>
        <w:keepNext w:val="0"/>
        <w:keepLines w:val="0"/>
        <w:widowControl w:val="0"/>
        <w:shd w:val="clear" w:color="auto" w:fill="auto"/>
        <w:tabs>
          <w:tab w:pos="845" w:val="left"/>
        </w:tabs>
        <w:bidi w:val="0"/>
        <w:spacing w:before="0" w:after="0" w:line="331" w:lineRule="exact"/>
        <w:ind w:left="0" w:right="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投资性主体</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当同时满足下列条件时，视为投资性主体：</w:t>
      </w:r>
    </w:p>
    <w:p>
      <w:pPr>
        <w:pStyle w:val="Style35"/>
        <w:keepNext w:val="0"/>
        <w:keepLines w:val="0"/>
        <w:widowControl w:val="0"/>
        <w:numPr>
          <w:ilvl w:val="0"/>
          <w:numId w:val="71"/>
        </w:numPr>
        <w:shd w:val="clear" w:color="auto" w:fill="auto"/>
        <w:tabs>
          <w:tab w:pos="706" w:val="left"/>
        </w:tabs>
        <w:bidi w:val="0"/>
        <w:spacing w:before="0" w:after="0" w:line="317" w:lineRule="exact"/>
        <w:ind w:left="0" w:right="0"/>
        <w:jc w:val="left"/>
      </w:pPr>
      <w:bookmarkStart w:id="792" w:name="bookmark792"/>
      <w:bookmarkEnd w:id="792"/>
      <w:r>
        <w:rPr>
          <w:color w:val="000000"/>
          <w:spacing w:val="0"/>
          <w:w w:val="100"/>
          <w:position w:val="0"/>
        </w:rPr>
        <w:t>该公司是以向投资者提供投资管理服务为目的，从一个或多个投资者处获取资金；</w:t>
      </w:r>
    </w:p>
    <w:p>
      <w:pPr>
        <w:pStyle w:val="Style35"/>
        <w:keepNext w:val="0"/>
        <w:keepLines w:val="0"/>
        <w:widowControl w:val="0"/>
        <w:numPr>
          <w:ilvl w:val="0"/>
          <w:numId w:val="71"/>
        </w:numPr>
        <w:shd w:val="clear" w:color="auto" w:fill="auto"/>
        <w:tabs>
          <w:tab w:pos="720" w:val="left"/>
        </w:tabs>
        <w:bidi w:val="0"/>
        <w:spacing w:before="0" w:after="0" w:line="317" w:lineRule="exact"/>
        <w:ind w:left="0" w:right="0"/>
        <w:jc w:val="left"/>
      </w:pPr>
      <w:bookmarkStart w:id="793" w:name="bookmark793"/>
      <w:bookmarkEnd w:id="793"/>
      <w:r>
        <w:rPr>
          <w:color w:val="000000"/>
          <w:spacing w:val="0"/>
          <w:w w:val="100"/>
          <w:position w:val="0"/>
        </w:rPr>
        <w:t>该公司的唯一经营目的，是通过资本增值、投资收益或两者兼有而让投资者获得回报；</w:t>
      </w:r>
    </w:p>
    <w:p>
      <w:pPr>
        <w:pStyle w:val="Style35"/>
        <w:keepNext w:val="0"/>
        <w:keepLines w:val="0"/>
        <w:widowControl w:val="0"/>
        <w:numPr>
          <w:ilvl w:val="0"/>
          <w:numId w:val="71"/>
        </w:numPr>
        <w:shd w:val="clear" w:color="auto" w:fill="auto"/>
        <w:tabs>
          <w:tab w:pos="720" w:val="left"/>
        </w:tabs>
        <w:bidi w:val="0"/>
        <w:spacing w:before="0" w:after="0" w:line="317" w:lineRule="exact"/>
        <w:ind w:left="0" w:right="0"/>
        <w:jc w:val="left"/>
      </w:pPr>
      <w:bookmarkStart w:id="794" w:name="bookmark794"/>
      <w:bookmarkEnd w:id="794"/>
      <w:r>
        <w:rPr>
          <w:color w:val="000000"/>
          <w:spacing w:val="0"/>
          <w:w w:val="100"/>
          <w:position w:val="0"/>
        </w:rPr>
        <w:t>该公司按照公允价值对几乎所有投资的业绩进行考量和评价。</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属于投资性主体的，通常情况下符合下列所有特征：</w:t>
      </w:r>
    </w:p>
    <w:p>
      <w:pPr>
        <w:pStyle w:val="Style35"/>
        <w:keepNext w:val="0"/>
        <w:keepLines w:val="0"/>
        <w:widowControl w:val="0"/>
        <w:numPr>
          <w:ilvl w:val="0"/>
          <w:numId w:val="73"/>
        </w:numPr>
        <w:shd w:val="clear" w:color="auto" w:fill="auto"/>
        <w:tabs>
          <w:tab w:pos="706" w:val="left"/>
        </w:tabs>
        <w:bidi w:val="0"/>
        <w:spacing w:before="0" w:after="0" w:line="317" w:lineRule="exact"/>
        <w:ind w:left="0" w:right="0"/>
        <w:jc w:val="left"/>
      </w:pPr>
      <w:bookmarkStart w:id="795" w:name="bookmark795"/>
      <w:bookmarkEnd w:id="795"/>
      <w:r>
        <w:rPr>
          <w:color w:val="000000"/>
          <w:spacing w:val="0"/>
          <w:w w:val="100"/>
          <w:position w:val="0"/>
        </w:rPr>
        <w:t>拥有一个以上投资；</w:t>
      </w:r>
    </w:p>
    <w:p>
      <w:pPr>
        <w:pStyle w:val="Style35"/>
        <w:keepNext w:val="0"/>
        <w:keepLines w:val="0"/>
        <w:widowControl w:val="0"/>
        <w:numPr>
          <w:ilvl w:val="0"/>
          <w:numId w:val="73"/>
        </w:numPr>
        <w:shd w:val="clear" w:color="auto" w:fill="auto"/>
        <w:tabs>
          <w:tab w:pos="720" w:val="left"/>
        </w:tabs>
        <w:bidi w:val="0"/>
        <w:spacing w:before="0" w:after="0" w:line="317" w:lineRule="exact"/>
        <w:ind w:left="0" w:right="0"/>
        <w:jc w:val="both"/>
      </w:pPr>
      <w:bookmarkStart w:id="796" w:name="bookmark796"/>
      <w:bookmarkEnd w:id="796"/>
      <w:r>
        <w:rPr>
          <w:color w:val="000000"/>
          <w:spacing w:val="0"/>
          <w:w w:val="100"/>
          <w:position w:val="0"/>
        </w:rPr>
        <w:t>拥有一个以上投资者；</w:t>
      </w:r>
    </w:p>
    <w:p>
      <w:pPr>
        <w:pStyle w:val="Style35"/>
        <w:keepNext w:val="0"/>
        <w:keepLines w:val="0"/>
        <w:widowControl w:val="0"/>
        <w:numPr>
          <w:ilvl w:val="0"/>
          <w:numId w:val="73"/>
        </w:numPr>
        <w:shd w:val="clear" w:color="auto" w:fill="auto"/>
        <w:tabs>
          <w:tab w:pos="720" w:val="left"/>
        </w:tabs>
        <w:bidi w:val="0"/>
        <w:spacing w:before="0" w:after="0" w:line="317" w:lineRule="exact"/>
        <w:ind w:left="0" w:right="0"/>
        <w:jc w:val="both"/>
      </w:pPr>
      <w:bookmarkStart w:id="797" w:name="bookmark797"/>
      <w:bookmarkEnd w:id="797"/>
      <w:r>
        <w:rPr>
          <w:color w:val="000000"/>
          <w:spacing w:val="0"/>
          <w:w w:val="100"/>
          <w:position w:val="0"/>
        </w:rPr>
        <w:t>投资者不是该主体的关联方；</w:t>
      </w:r>
    </w:p>
    <w:p>
      <w:pPr>
        <w:pStyle w:val="Style35"/>
        <w:keepNext w:val="0"/>
        <w:keepLines w:val="0"/>
        <w:widowControl w:val="0"/>
        <w:numPr>
          <w:ilvl w:val="0"/>
          <w:numId w:val="73"/>
        </w:numPr>
        <w:shd w:val="clear" w:color="auto" w:fill="auto"/>
        <w:tabs>
          <w:tab w:pos="720" w:val="left"/>
        </w:tabs>
        <w:bidi w:val="0"/>
        <w:spacing w:before="0" w:after="0" w:line="317" w:lineRule="exact"/>
        <w:ind w:left="0" w:right="0"/>
        <w:jc w:val="both"/>
      </w:pPr>
      <w:bookmarkStart w:id="798" w:name="bookmark798"/>
      <w:bookmarkEnd w:id="798"/>
      <w:r>
        <w:rPr>
          <w:color w:val="000000"/>
          <w:spacing w:val="0"/>
          <w:w w:val="100"/>
          <w:position w:val="0"/>
        </w:rPr>
        <w:t>其所有者权益以股权或类似权益方式存在。</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如果母公司是投资性主体，则母公司仅将为其投资活动提供相关服务的子公司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纳入合并范围并编制合并财务报 表；其他子公司不予以合并，母公司对其他子公司的投资按照公允价值计量且其变动计入当期损益。</w:t>
      </w:r>
    </w:p>
    <w:p>
      <w:pPr>
        <w:pStyle w:val="Style35"/>
        <w:keepNext w:val="0"/>
        <w:keepLines w:val="0"/>
        <w:widowControl w:val="0"/>
        <w:shd w:val="clear" w:color="auto" w:fill="auto"/>
        <w:bidi w:val="0"/>
        <w:spacing w:before="0" w:after="0" w:line="322" w:lineRule="exact"/>
        <w:ind w:left="0" w:right="0"/>
        <w:jc w:val="both"/>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591" w:right="1015" w:bottom="1157" w:left="1073" w:header="0" w:footer="3" w:gutter="0"/>
          <w:cols w:space="720"/>
          <w:noEndnote/>
          <w:rtlGutter w:val="0"/>
          <w:docGrid w:linePitch="360"/>
        </w:sectPr>
      </w:pPr>
      <w:r>
        <w:rPr>
          <w:color w:val="000000"/>
          <w:spacing w:val="0"/>
          <w:w w:val="100"/>
          <w:position w:val="0"/>
        </w:rPr>
        <w:t>投资性主体的母公司本身不是投资性主体，则将其控制的全部主体，包括那些通过投资性主体所间接控制的主体，纳入</w:t>
      </w:r>
    </w:p>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合并财务报表范围。</w:t>
      </w:r>
    </w:p>
    <w:p>
      <w:pPr>
        <w:pStyle w:val="Style35"/>
        <w:keepNext w:val="0"/>
        <w:keepLines w:val="0"/>
        <w:widowControl w:val="0"/>
        <w:shd w:val="clear" w:color="auto" w:fill="auto"/>
        <w:tabs>
          <w:tab w:pos="787" w:val="left"/>
        </w:tabs>
        <w:bidi w:val="0"/>
        <w:spacing w:before="0" w:after="0" w:line="314" w:lineRule="exact"/>
        <w:ind w:left="0" w:right="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合并程序</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子公司所采用的会计政策或会计期间与本公司不一致的，按照本公司的会计政策或会计期间对子公司财务报表进行必要 的调整；或者要求子公司按照本公司的会计政策或会计期间另行编报财务报表。</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合并资产负债表、合并利润表、合并现金流量表及合并所有者（股东）权益变动表分别以本公司和子公司的资产负债表、 利润表、现金流量表及所有者（股东）权益变动表为基础，在抵销本公司与子公司、子公司相互之间发生的内部交易对合并 资产负债表、合并利润表、合并现金流量表及合并所有者（股东）权益变动表的影响后，由本公司合并编制。</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本公司向子公司出售资产所发生的未实现内部交易损益，全额抵销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归属于母公司所有者的净利润子公司向本公司出 售资产所发生的未实现内部交易损益，按照本公司对该子公司的分配比例在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'之间分配抵销。子公司之间出售资产所发生的未实现内部交易损益，应当按照本公司对出售方子公司的分配比例在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 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子公司所有者权益中不属于本公司的份额，作为少数股东权益，在合并资产负债表中所有者权益项目下以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 子公司当期综合收益中属于少数股东权益的份额，在合并利润表中综合收益总额项目下以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项目列示。有少数股东的，在合并所有者权益变动表中增加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栏目，反映少数股东权益变动的情况。子公司少 数股东分担的当期亏损超过了少数股东在该子公司期初所有者权益中所享有的份额的，其余额仍应当冲减少数股东权益。</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本公司在报告期内因同一控制下企业合并增加的子公司以及业务，编制合并资产负债表时，调整合并资产负债表的期初 数；编制合并利润表时，将该子公司以及业务合并当期期初至报告期末的收入、费用、利润纳入合并利润表；编制现金流量 表时，将该子公司以及业务合并当期期初至报告期末的现金流量纳入合并现金流量表；同时对比较报表的相关项目进行调整， 视同合并后的报告主体自最终控制方开始控制时点起一直存在。</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因非同一控制下企业合并或其他方式增加的子公司以及业务，编制合并资产负债表时,不调整合并资产负债表的期初数； 编制合并利润表时，将该子公司以及业务购买日至报告期末的收入、费用、利润纳入合并利润表；编制合并现金流量表时， 将该子公司购买日至报告期末的现金流量纳入合并现金流量表。</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本公司在报告期内处置子公司以及业务，编制合并资产负债表时，不调整合并资产负债表的期初数；编制合并利润表时， 将该子公司以及业务期初至处置日的收入、费用、利润纳入合并利润表；编制合并现金流量表时，将该子公司以及业务期初 至处置日的现金流量纳入合并现金流量表。</w:t>
      </w:r>
    </w:p>
    <w:p>
      <w:pPr>
        <w:pStyle w:val="Style35"/>
        <w:keepNext w:val="0"/>
        <w:keepLines w:val="0"/>
        <w:widowControl w:val="0"/>
        <w:shd w:val="clear" w:color="auto" w:fill="auto"/>
        <w:tabs>
          <w:tab w:pos="787" w:val="left"/>
        </w:tabs>
        <w:bidi w:val="0"/>
        <w:spacing w:before="0" w:after="0" w:line="314" w:lineRule="exact"/>
        <w:ind w:left="0" w:right="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特殊交易会计处理</w:t>
      </w:r>
    </w:p>
    <w:p>
      <w:pPr>
        <w:pStyle w:val="Style35"/>
        <w:keepNext w:val="0"/>
        <w:keepLines w:val="0"/>
        <w:widowControl w:val="0"/>
        <w:shd w:val="clear" w:color="auto" w:fill="auto"/>
        <w:tabs>
          <w:tab w:pos="700" w:val="left"/>
        </w:tabs>
        <w:bidi w:val="0"/>
        <w:spacing w:before="0" w:after="0" w:line="314" w:lineRule="exact"/>
        <w:ind w:left="0" w:right="0"/>
        <w:jc w:val="left"/>
      </w:pPr>
      <w:bookmarkStart w:id="801" w:name="bookmark801"/>
      <w:r>
        <w:rPr>
          <w:rFonts w:ascii="Times New Roman" w:eastAsia="Times New Roman" w:hAnsi="Times New Roman" w:cs="Times New Roman"/>
          <w:color w:val="000000"/>
          <w:spacing w:val="0"/>
          <w:w w:val="100"/>
          <w:position w:val="0"/>
          <w:sz w:val="18"/>
          <w:szCs w:val="18"/>
        </w:rPr>
        <w:t>1</w:t>
      </w:r>
      <w:bookmarkEnd w:id="801"/>
      <w:r>
        <w:rPr>
          <w:color w:val="000000"/>
          <w:spacing w:val="0"/>
          <w:w w:val="100"/>
          <w:position w:val="0"/>
        </w:rPr>
        <w:t>）</w:t>
        <w:tab/>
        <w:t>购买子公司少数股东拥有的子公司股权</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在合并财务报表中，因购买少数股权新取得的长期股权投资与按照新增持股比例计算应享有子公司自购买日或合并日开 始持续计算的净资产份额之间的差额，调整资本公积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，资本公积不足冲减的，调整留存收益。</w:t>
      </w:r>
    </w:p>
    <w:p>
      <w:pPr>
        <w:pStyle w:val="Style35"/>
        <w:keepNext w:val="0"/>
        <w:keepLines w:val="0"/>
        <w:widowControl w:val="0"/>
        <w:shd w:val="clear" w:color="auto" w:fill="auto"/>
        <w:tabs>
          <w:tab w:pos="711" w:val="left"/>
        </w:tabs>
        <w:bidi w:val="0"/>
        <w:spacing w:before="0" w:after="0" w:line="314" w:lineRule="exact"/>
        <w:ind w:left="0" w:right="0"/>
        <w:jc w:val="left"/>
      </w:pPr>
      <w:bookmarkStart w:id="802" w:name="bookmark802"/>
      <w:r>
        <w:rPr>
          <w:rFonts w:ascii="Times New Roman" w:eastAsia="Times New Roman" w:hAnsi="Times New Roman" w:cs="Times New Roman"/>
          <w:color w:val="000000"/>
          <w:spacing w:val="0"/>
          <w:w w:val="100"/>
          <w:position w:val="0"/>
          <w:sz w:val="18"/>
          <w:szCs w:val="18"/>
        </w:rPr>
        <w:t>2</w:t>
      </w:r>
      <w:bookmarkEnd w:id="802"/>
      <w:r>
        <w:rPr>
          <w:color w:val="000000"/>
          <w:spacing w:val="0"/>
          <w:w w:val="100"/>
          <w:position w:val="0"/>
        </w:rPr>
        <w:t>）</w:t>
        <w:tab/>
        <w:t>不丧失控制权的情况下处置对子公司长期股权投资</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在不丧失控制权的情况下部分处置对子公司的长期股权投资，在合并财务报表中，处置价款与处置长期股权投资相对应 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 不足冲减的，调整留存收益。</w:t>
      </w:r>
    </w:p>
    <w:p>
      <w:pPr>
        <w:pStyle w:val="Style35"/>
        <w:keepNext w:val="0"/>
        <w:keepLines w:val="0"/>
        <w:widowControl w:val="0"/>
        <w:shd w:val="clear" w:color="auto" w:fill="auto"/>
        <w:tabs>
          <w:tab w:pos="711" w:val="left"/>
        </w:tabs>
        <w:bidi w:val="0"/>
        <w:spacing w:before="0" w:after="0" w:line="314" w:lineRule="exact"/>
        <w:ind w:left="0" w:right="0"/>
        <w:jc w:val="left"/>
      </w:pPr>
      <w:bookmarkStart w:id="803" w:name="bookmark803"/>
      <w:r>
        <w:rPr>
          <w:rFonts w:ascii="Times New Roman" w:eastAsia="Times New Roman" w:hAnsi="Times New Roman" w:cs="Times New Roman"/>
          <w:color w:val="000000"/>
          <w:spacing w:val="0"/>
          <w:w w:val="100"/>
          <w:position w:val="0"/>
          <w:sz w:val="18"/>
          <w:szCs w:val="18"/>
        </w:rPr>
        <w:t>3</w:t>
      </w:r>
      <w:bookmarkEnd w:id="803"/>
      <w:r>
        <w:rPr>
          <w:color w:val="000000"/>
          <w:spacing w:val="0"/>
          <w:w w:val="100"/>
          <w:position w:val="0"/>
        </w:rPr>
        <w:t>）</w:t>
        <w:tab/>
        <w:t>处置部分股权投资等原因丧失了对被投资方的控制权时，对于剩余股权的处理</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在编制合并财务报表时，对于剩余股权，按照其在丧失控制权日的公允价值进行重新计量。处置股权取得的对价与剩余 股权公允价值之和，减去按原持股比例计算应享有原有子公司自购买日或合并日开始持续计算的净资产的份额之间的差额， 计入丧失控制权当期的投资收益，同时冲减商誉。与原有子公司股权投资相关的其他综合收益等，在丧失控制权时转为当期 投资收益。</w:t>
      </w:r>
    </w:p>
    <w:p>
      <w:pPr>
        <w:pStyle w:val="Style35"/>
        <w:keepNext w:val="0"/>
        <w:keepLines w:val="0"/>
        <w:widowControl w:val="0"/>
        <w:shd w:val="clear" w:color="auto" w:fill="auto"/>
        <w:tabs>
          <w:tab w:pos="711" w:val="left"/>
        </w:tabs>
        <w:bidi w:val="0"/>
        <w:spacing w:before="0" w:after="0" w:line="314" w:lineRule="exact"/>
        <w:ind w:left="0" w:right="0"/>
        <w:jc w:val="both"/>
      </w:pPr>
      <w:bookmarkStart w:id="804" w:name="bookmark804"/>
      <w:r>
        <w:rPr>
          <w:rFonts w:ascii="Times New Roman" w:eastAsia="Times New Roman" w:hAnsi="Times New Roman" w:cs="Times New Roman"/>
          <w:color w:val="000000"/>
          <w:spacing w:val="0"/>
          <w:w w:val="100"/>
          <w:position w:val="0"/>
          <w:sz w:val="18"/>
          <w:szCs w:val="18"/>
        </w:rPr>
        <w:t>4</w:t>
      </w:r>
      <w:bookmarkEnd w:id="804"/>
      <w:r>
        <w:rPr>
          <w:color w:val="000000"/>
          <w:spacing w:val="0"/>
          <w:w w:val="100"/>
          <w:position w:val="0"/>
        </w:rPr>
        <w:t>）</w:t>
        <w:tab/>
        <w:t>企业通过多次交易分步处置对子公司股权投资直至丧失控制权，且该多次交易属于一揽子交易的处理</w:t>
      </w:r>
    </w:p>
    <w:p>
      <w:pPr>
        <w:pStyle w:val="Style35"/>
        <w:keepNext w:val="0"/>
        <w:keepLines w:val="0"/>
        <w:widowControl w:val="0"/>
        <w:shd w:val="clear" w:color="auto" w:fill="auto"/>
        <w:bidi w:val="0"/>
        <w:spacing w:before="0" w:after="0" w:line="317" w:lineRule="exact"/>
        <w:ind w:left="0" w:right="0"/>
        <w:jc w:val="both"/>
        <w:sectPr>
          <w:footnotePr>
            <w:pos w:val="pageBottom"/>
            <w:numFmt w:val="decimal"/>
            <w:numRestart w:val="continuous"/>
          </w:footnotePr>
          <w:pgSz w:w="11900" w:h="16840"/>
          <w:pgMar w:top="1518" w:right="1015" w:bottom="1518" w:left="1073" w:header="0" w:footer="3" w:gutter="0"/>
          <w:cols w:space="720"/>
          <w:noEndnote/>
          <w:rtlGutter w:val="0"/>
          <w:docGrid w:linePitch="360"/>
        </w:sectPr>
      </w:pPr>
      <w:r>
        <w:rPr>
          <w:color w:val="000000"/>
          <w:spacing w:val="0"/>
          <w:w w:val="100"/>
          <w:position w:val="0"/>
        </w:rPr>
        <w:t>处置对子公司股权投资直至丧失控制权的各项交易属于一揽子交易的，应当将各项交易作为一项处置子公司并丧失控制 权的交易进行会计处理；但是，在丧失控制权之前每一次处置价款与处置投资对应的享有该子公司净资产份额的差额，在合</w:t>
      </w:r>
    </w:p>
    <w:p>
      <w:pPr>
        <w:pStyle w:val="Style35"/>
        <w:keepNext w:val="0"/>
        <w:keepLines w:val="0"/>
        <w:widowControl w:val="0"/>
        <w:shd w:val="clear" w:color="auto" w:fill="auto"/>
        <w:bidi w:val="0"/>
        <w:spacing w:before="0" w:after="0" w:line="643" w:lineRule="exact"/>
        <w:ind w:left="0" w:right="0" w:firstLine="0"/>
        <w:jc w:val="righ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并财务报表中确认为其他综合收益，在丧失控制权时一并转入丧失控制权当期的损益。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判断分步处置股权至丧失控制权过程的各项交易是否属于一揽子交易的原则如下：</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处置对子公司股权投资的各项交易的条款、条件以及经济影响符合以下一种或多种情况，通常表明多次交易事项属于一 揽子交易：</w:t>
      </w:r>
    </w:p>
    <w:p>
      <w:pPr>
        <w:pStyle w:val="Style35"/>
        <w:keepNext w:val="0"/>
        <w:keepLines w:val="0"/>
        <w:widowControl w:val="0"/>
        <w:numPr>
          <w:ilvl w:val="0"/>
          <w:numId w:val="75"/>
        </w:numPr>
        <w:shd w:val="clear" w:color="auto" w:fill="auto"/>
        <w:tabs>
          <w:tab w:pos="706" w:val="left"/>
        </w:tabs>
        <w:bidi w:val="0"/>
        <w:spacing w:before="0" w:after="0" w:line="314" w:lineRule="exact"/>
        <w:ind w:left="0" w:right="0"/>
        <w:jc w:val="both"/>
      </w:pPr>
      <w:bookmarkStart w:id="805" w:name="bookmark805"/>
      <w:bookmarkEnd w:id="805"/>
      <w:r>
        <w:rPr>
          <w:color w:val="000000"/>
          <w:spacing w:val="0"/>
          <w:w w:val="100"/>
          <w:position w:val="0"/>
        </w:rPr>
        <w:t>这些交易是同时或者在考虑了彼此影响的情况下订立的；</w:t>
      </w:r>
    </w:p>
    <w:p>
      <w:pPr>
        <w:pStyle w:val="Style35"/>
        <w:keepNext w:val="0"/>
        <w:keepLines w:val="0"/>
        <w:widowControl w:val="0"/>
        <w:numPr>
          <w:ilvl w:val="0"/>
          <w:numId w:val="75"/>
        </w:numPr>
        <w:shd w:val="clear" w:color="auto" w:fill="auto"/>
        <w:tabs>
          <w:tab w:pos="720" w:val="left"/>
        </w:tabs>
        <w:bidi w:val="0"/>
        <w:spacing w:before="0" w:after="0" w:line="314" w:lineRule="exact"/>
        <w:ind w:left="0" w:right="0"/>
        <w:jc w:val="both"/>
      </w:pPr>
      <w:bookmarkStart w:id="806" w:name="bookmark806"/>
      <w:bookmarkEnd w:id="806"/>
      <w:r>
        <w:rPr>
          <w:color w:val="000000"/>
          <w:spacing w:val="0"/>
          <w:w w:val="100"/>
          <w:position w:val="0"/>
        </w:rPr>
        <w:t>这些交易整体才能达成一项完整的商业结果；</w:t>
      </w:r>
    </w:p>
    <w:p>
      <w:pPr>
        <w:pStyle w:val="Style35"/>
        <w:keepNext w:val="0"/>
        <w:keepLines w:val="0"/>
        <w:widowControl w:val="0"/>
        <w:numPr>
          <w:ilvl w:val="0"/>
          <w:numId w:val="75"/>
        </w:numPr>
        <w:shd w:val="clear" w:color="auto" w:fill="auto"/>
        <w:tabs>
          <w:tab w:pos="720" w:val="left"/>
        </w:tabs>
        <w:bidi w:val="0"/>
        <w:spacing w:before="0" w:after="0" w:line="314" w:lineRule="exact"/>
        <w:ind w:left="0" w:right="0"/>
        <w:jc w:val="both"/>
      </w:pPr>
      <w:bookmarkStart w:id="807" w:name="bookmark807"/>
      <w:bookmarkEnd w:id="807"/>
      <w:r>
        <w:rPr>
          <w:color w:val="000000"/>
          <w:spacing w:val="0"/>
          <w:w w:val="100"/>
          <w:position w:val="0"/>
        </w:rPr>
        <w:t>一项交易的发生取决于其他至少一项交易的发生；</w:t>
      </w:r>
    </w:p>
    <w:p>
      <w:pPr>
        <w:pStyle w:val="Style35"/>
        <w:keepNext w:val="0"/>
        <w:keepLines w:val="0"/>
        <w:widowControl w:val="0"/>
        <w:numPr>
          <w:ilvl w:val="0"/>
          <w:numId w:val="75"/>
        </w:numPr>
        <w:shd w:val="clear" w:color="auto" w:fill="auto"/>
        <w:tabs>
          <w:tab w:pos="720" w:val="left"/>
        </w:tabs>
        <w:bidi w:val="0"/>
        <w:spacing w:before="0" w:after="380" w:line="314" w:lineRule="exact"/>
        <w:ind w:left="0" w:right="0"/>
        <w:jc w:val="both"/>
      </w:pPr>
      <w:bookmarkStart w:id="808" w:name="bookmark808"/>
      <w:bookmarkEnd w:id="808"/>
      <w:r>
        <w:rPr>
          <w:color w:val="000000"/>
          <w:spacing w:val="0"/>
          <w:w w:val="100"/>
          <w:position w:val="0"/>
        </w:rPr>
        <w:t>一项交易单独看是不经济的，但是和其他交易一并考虑时是经济的。</w:t>
      </w:r>
    </w:p>
    <w:p>
      <w:pPr>
        <w:pStyle w:val="Style39"/>
        <w:keepNext/>
        <w:keepLines/>
        <w:widowControl w:val="0"/>
        <w:shd w:val="clear" w:color="auto" w:fill="auto"/>
        <w:tabs>
          <w:tab w:pos="858" w:val="left"/>
        </w:tabs>
        <w:bidi w:val="0"/>
        <w:spacing w:before="0" w:after="280" w:line="240" w:lineRule="auto"/>
        <w:ind w:left="0" w:right="0" w:firstLine="48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6</w:t>
      </w:r>
      <w:bookmarkEnd w:id="811"/>
      <w:r>
        <w:rPr>
          <w:color w:val="000000"/>
          <w:spacing w:val="0"/>
          <w:w w:val="100"/>
          <w:position w:val="0"/>
        </w:rPr>
        <w:t>、</w:t>
        <w:tab/>
        <w:t>合营安排分类及共同经营会计处理方法</w:t>
      </w:r>
      <w:bookmarkEnd w:id="809"/>
      <w:bookmarkEnd w:id="810"/>
      <w:bookmarkEnd w:id="812"/>
    </w:p>
    <w:p>
      <w:pPr>
        <w:pStyle w:val="Style35"/>
        <w:keepNext w:val="0"/>
        <w:keepLines w:val="0"/>
        <w:widowControl w:val="0"/>
        <w:shd w:val="clear" w:color="auto" w:fill="auto"/>
        <w:tabs>
          <w:tab w:pos="845" w:val="left"/>
        </w:tabs>
        <w:bidi w:val="0"/>
        <w:spacing w:before="0" w:after="0" w:line="314" w:lineRule="exact"/>
        <w:ind w:left="0" w:right="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合营安排的分类</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合营安排分为共同经营和合营企业。</w:t>
      </w:r>
    </w:p>
    <w:p>
      <w:pPr>
        <w:pStyle w:val="Style35"/>
        <w:keepNext w:val="0"/>
        <w:keepLines w:val="0"/>
        <w:widowControl w:val="0"/>
        <w:shd w:val="clear" w:color="auto" w:fill="auto"/>
        <w:tabs>
          <w:tab w:pos="845" w:val="left"/>
        </w:tabs>
        <w:bidi w:val="0"/>
        <w:spacing w:before="0" w:after="0" w:line="314" w:lineRule="exact"/>
        <w:ind w:left="0" w:right="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共同经营参与方的会计处理</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合营方确认其与共同经营中利益份额相关的下列项目，并按照相关企业会计准则的规定进行会计处理：</w:t>
      </w:r>
    </w:p>
    <w:p>
      <w:pPr>
        <w:pStyle w:val="Style35"/>
        <w:keepNext w:val="0"/>
        <w:keepLines w:val="0"/>
        <w:widowControl w:val="0"/>
        <w:numPr>
          <w:ilvl w:val="0"/>
          <w:numId w:val="77"/>
        </w:numPr>
        <w:shd w:val="clear" w:color="auto" w:fill="auto"/>
        <w:tabs>
          <w:tab w:pos="706" w:val="left"/>
        </w:tabs>
        <w:bidi w:val="0"/>
        <w:spacing w:before="0" w:after="0" w:line="314" w:lineRule="exact"/>
        <w:ind w:left="0" w:right="0"/>
        <w:jc w:val="both"/>
      </w:pPr>
      <w:bookmarkStart w:id="815" w:name="bookmark815"/>
      <w:bookmarkEnd w:id="815"/>
      <w:r>
        <w:rPr>
          <w:color w:val="000000"/>
          <w:spacing w:val="0"/>
          <w:w w:val="100"/>
          <w:position w:val="0"/>
        </w:rPr>
        <w:t>确认单独所持有的资产，以及按其份额确认共同持有的资产；</w:t>
      </w:r>
    </w:p>
    <w:p>
      <w:pPr>
        <w:pStyle w:val="Style35"/>
        <w:keepNext w:val="0"/>
        <w:keepLines w:val="0"/>
        <w:widowControl w:val="0"/>
        <w:numPr>
          <w:ilvl w:val="0"/>
          <w:numId w:val="77"/>
        </w:numPr>
        <w:shd w:val="clear" w:color="auto" w:fill="auto"/>
        <w:tabs>
          <w:tab w:pos="720" w:val="left"/>
        </w:tabs>
        <w:bidi w:val="0"/>
        <w:spacing w:before="0" w:after="0" w:line="314" w:lineRule="exact"/>
        <w:ind w:left="0" w:right="0"/>
        <w:jc w:val="both"/>
      </w:pPr>
      <w:bookmarkStart w:id="816" w:name="bookmark816"/>
      <w:bookmarkEnd w:id="816"/>
      <w:r>
        <w:rPr>
          <w:color w:val="000000"/>
          <w:spacing w:val="0"/>
          <w:w w:val="100"/>
          <w:position w:val="0"/>
        </w:rPr>
        <w:t>确认单独所承担的负债，以及按其份额确认共同承担的负债；</w:t>
      </w:r>
    </w:p>
    <w:p>
      <w:pPr>
        <w:pStyle w:val="Style35"/>
        <w:keepNext w:val="0"/>
        <w:keepLines w:val="0"/>
        <w:widowControl w:val="0"/>
        <w:numPr>
          <w:ilvl w:val="0"/>
          <w:numId w:val="77"/>
        </w:numPr>
        <w:shd w:val="clear" w:color="auto" w:fill="auto"/>
        <w:tabs>
          <w:tab w:pos="720" w:val="left"/>
        </w:tabs>
        <w:bidi w:val="0"/>
        <w:spacing w:before="0" w:after="0" w:line="314" w:lineRule="exact"/>
        <w:ind w:left="0" w:right="0"/>
        <w:jc w:val="both"/>
      </w:pPr>
      <w:bookmarkStart w:id="817" w:name="bookmark817"/>
      <w:bookmarkEnd w:id="817"/>
      <w:r>
        <w:rPr>
          <w:color w:val="000000"/>
          <w:spacing w:val="0"/>
          <w:w w:val="100"/>
          <w:position w:val="0"/>
        </w:rPr>
        <w:t>确认出售其享有的共同经营产出份额所产生的收入；</w:t>
      </w:r>
    </w:p>
    <w:p>
      <w:pPr>
        <w:pStyle w:val="Style35"/>
        <w:keepNext w:val="0"/>
        <w:keepLines w:val="0"/>
        <w:widowControl w:val="0"/>
        <w:numPr>
          <w:ilvl w:val="0"/>
          <w:numId w:val="77"/>
        </w:numPr>
        <w:shd w:val="clear" w:color="auto" w:fill="auto"/>
        <w:tabs>
          <w:tab w:pos="720" w:val="left"/>
        </w:tabs>
        <w:bidi w:val="0"/>
        <w:spacing w:before="0" w:after="0" w:line="314" w:lineRule="exact"/>
        <w:ind w:left="0" w:right="0"/>
        <w:jc w:val="both"/>
      </w:pPr>
      <w:bookmarkStart w:id="818" w:name="bookmark818"/>
      <w:bookmarkEnd w:id="818"/>
      <w:r>
        <w:rPr>
          <w:color w:val="000000"/>
          <w:spacing w:val="0"/>
          <w:w w:val="100"/>
          <w:position w:val="0"/>
        </w:rPr>
        <w:t>按其份额确认共同经营因出售产出所产生的收入；</w:t>
      </w:r>
    </w:p>
    <w:p>
      <w:pPr>
        <w:pStyle w:val="Style35"/>
        <w:keepNext w:val="0"/>
        <w:keepLines w:val="0"/>
        <w:widowControl w:val="0"/>
        <w:numPr>
          <w:ilvl w:val="0"/>
          <w:numId w:val="77"/>
        </w:numPr>
        <w:shd w:val="clear" w:color="auto" w:fill="auto"/>
        <w:tabs>
          <w:tab w:pos="720" w:val="left"/>
        </w:tabs>
        <w:bidi w:val="0"/>
        <w:spacing w:before="0" w:after="0" w:line="314" w:lineRule="exact"/>
        <w:ind w:left="0" w:right="0"/>
        <w:jc w:val="both"/>
      </w:pPr>
      <w:bookmarkStart w:id="819" w:name="bookmark819"/>
      <w:bookmarkEnd w:id="819"/>
      <w:r>
        <w:rPr>
          <w:color w:val="000000"/>
          <w:spacing w:val="0"/>
          <w:w w:val="100"/>
          <w:position w:val="0"/>
        </w:rPr>
        <w:t>确认单独所发生的费用，以及按其份额确认共同经营发生的费用。</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合营方向共同经营投出或出售资产等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，在该资产等由共同经营出售给第三方之前，仅确认因该 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 规定的资产减值损失的，合营方全额确认该损失。</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合营方自共同经营购买资产等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，在将该资产等出售给第三方之前，仅确认因该交易产生的损益 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号一资产减值》等规定的资产减值损失的， 合营方按其承担的份额确认该部分损失。</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对共同经营不享有共同控制的参与方，如果享有该共同经营相关资产且承担该共同经营相关负债的，按照上述方法进行 会计处理；否则，按照相关企业会计准则的规定进行会计处理。</w:t>
      </w:r>
    </w:p>
    <w:p>
      <w:pPr>
        <w:pStyle w:val="Style39"/>
        <w:keepNext/>
        <w:keepLines/>
        <w:widowControl w:val="0"/>
        <w:shd w:val="clear" w:color="auto" w:fill="auto"/>
        <w:tabs>
          <w:tab w:pos="858" w:val="left"/>
        </w:tabs>
        <w:bidi w:val="0"/>
        <w:spacing w:before="0" w:after="280" w:line="240" w:lineRule="auto"/>
        <w:ind w:left="0" w:right="0" w:firstLine="48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7</w:t>
      </w:r>
      <w:bookmarkEnd w:id="822"/>
      <w:r>
        <w:rPr>
          <w:color w:val="000000"/>
          <w:spacing w:val="0"/>
          <w:w w:val="100"/>
          <w:position w:val="0"/>
        </w:rPr>
        <w:t>、</w:t>
        <w:tab/>
        <w:t>现金及现金等价物的确定标准</w:t>
      </w:r>
      <w:bookmarkEnd w:id="820"/>
      <w:bookmarkEnd w:id="821"/>
      <w:bookmarkEnd w:id="823"/>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列示于现金流量表中的现金是指库存现金及可随时用于支付的存款，现金等价物是指持有的期限短（一般指从购买日起 三个月内到期）、流动性强、易于转换为已知金额现金及价值变动风险很小的投资。</w:t>
      </w:r>
    </w:p>
    <w:p>
      <w:pPr>
        <w:pStyle w:val="Style39"/>
        <w:keepNext/>
        <w:keepLines/>
        <w:widowControl w:val="0"/>
        <w:shd w:val="clear" w:color="auto" w:fill="auto"/>
        <w:tabs>
          <w:tab w:pos="858" w:val="left"/>
        </w:tabs>
        <w:bidi w:val="0"/>
        <w:spacing w:before="0" w:after="280" w:line="240" w:lineRule="auto"/>
        <w:ind w:left="0" w:right="0" w:firstLine="48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8</w:t>
      </w:r>
      <w:bookmarkEnd w:id="826"/>
      <w:r>
        <w:rPr>
          <w:color w:val="000000"/>
          <w:spacing w:val="0"/>
          <w:w w:val="100"/>
          <w:position w:val="0"/>
        </w:rPr>
        <w:t>、</w:t>
        <w:tab/>
        <w:t>外币业务和外币报表折算</w:t>
      </w:r>
      <w:bookmarkEnd w:id="824"/>
      <w:bookmarkEnd w:id="825"/>
      <w:bookmarkEnd w:id="827"/>
    </w:p>
    <w:p>
      <w:pPr>
        <w:pStyle w:val="Style35"/>
        <w:keepNext w:val="0"/>
        <w:keepLines w:val="0"/>
        <w:widowControl w:val="0"/>
        <w:shd w:val="clear" w:color="auto" w:fill="auto"/>
        <w:tabs>
          <w:tab w:pos="845" w:val="left"/>
        </w:tabs>
        <w:bidi w:val="0"/>
        <w:spacing w:before="0" w:after="0" w:line="314" w:lineRule="exact"/>
        <w:ind w:left="0" w:right="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外币业务</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外币业务按业务发生日的即期汇率将外币金额折算为人民币入账。</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于资产负债表日，外币货币性项目采用资产负债表日的即期汇率折算为人民币，所产生的折算差额除了为购建或生产符 合资本化条件的资产而借入的外币借款产生的汇兑差额按资本化的原则处理外，直接计入当期损益。以历史成本计量的外币 非货币性项目，于资产负债表日采用交易发生日的即期汇率折算。</w:t>
      </w:r>
    </w:p>
    <w:p>
      <w:pPr>
        <w:pStyle w:val="Style35"/>
        <w:keepNext w:val="0"/>
        <w:keepLines w:val="0"/>
        <w:widowControl w:val="0"/>
        <w:shd w:val="clear" w:color="auto" w:fill="auto"/>
        <w:tabs>
          <w:tab w:pos="845" w:val="left"/>
        </w:tabs>
        <w:bidi w:val="0"/>
        <w:spacing w:before="0" w:after="0" w:line="314" w:lineRule="exact"/>
        <w:ind w:left="0" w:right="0"/>
        <w:jc w:val="both"/>
        <w:sectPr>
          <w:footnotePr>
            <w:pos w:val="pageBottom"/>
            <w:numFmt w:val="decimal"/>
            <w:numRestart w:val="continuous"/>
          </w:footnotePr>
          <w:pgSz w:w="11900" w:h="16840"/>
          <w:pgMar w:top="495" w:right="1011" w:bottom="1157" w:left="1073" w:header="0" w:footer="3" w:gutter="0"/>
          <w:cols w:space="720"/>
          <w:noEndnote/>
          <w:rtlGutter w:val="0"/>
          <w:docGrid w:linePitch="360"/>
        </w:sectPr>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以非记账本位币编制的资产负债表中的资产和负债项目，采用资产负债表日的即期汇率折算成记账本位币，所有者权益 中除未分配利润项目外，其他项目采用发生时的即期汇率折算。以非记账本位币编制的利润表中的收入与费用项目，采用交 易发生日的即期汇率折算成记账本位币。上述折算产生的外币报表折算差额，在其他综合收益中核算。以非记账本位币编制 的现金流量表中各项目的现金流量采用现金流量发生日的即期汇率折算成记账本位币。汇率变动对现金的影响额，在现金流 量表中单独列示。</w:t>
      </w:r>
    </w:p>
    <w:p>
      <w:pPr>
        <w:pStyle w:val="Style39"/>
        <w:keepNext/>
        <w:keepLines/>
        <w:widowControl w:val="0"/>
        <w:shd w:val="clear" w:color="auto" w:fill="auto"/>
        <w:bidi w:val="0"/>
        <w:spacing w:before="0" w:after="260" w:line="240" w:lineRule="auto"/>
        <w:ind w:left="0" w:right="0" w:firstLine="48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9</w:t>
      </w:r>
      <w:bookmarkEnd w:id="832"/>
      <w:r>
        <w:rPr>
          <w:color w:val="000000"/>
          <w:spacing w:val="0"/>
          <w:w w:val="100"/>
          <w:position w:val="0"/>
        </w:rPr>
        <w:t>、金融工具</w:t>
      </w:r>
      <w:bookmarkEnd w:id="830"/>
      <w:bookmarkEnd w:id="831"/>
      <w:bookmarkEnd w:id="833"/>
    </w:p>
    <w:p>
      <w:pPr>
        <w:pStyle w:val="Style35"/>
        <w:keepNext w:val="0"/>
        <w:keepLines w:val="0"/>
        <w:widowControl w:val="0"/>
        <w:shd w:val="clear" w:color="auto" w:fill="auto"/>
        <w:tabs>
          <w:tab w:pos="845" w:val="left"/>
        </w:tabs>
        <w:bidi w:val="0"/>
        <w:spacing w:before="0" w:after="0" w:line="316" w:lineRule="exact"/>
        <w:ind w:left="0" w:right="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金融工具的确认和终止确认</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本公司成为金融工具合同的一方时，确认一项金融资产或金融负债。</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对于以常规方式购买或出售金融资产的，本公司在交易日确认将收到的资产和为此将承担的负债，或者在交易日终止确 认已出售的资产，同时确认处置利得或损失以及应向买方收取的应收款项。</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金融资产满足下列条件之一的，终止确认：</w:t>
      </w:r>
    </w:p>
    <w:p>
      <w:pPr>
        <w:pStyle w:val="Style35"/>
        <w:keepNext w:val="0"/>
        <w:keepLines w:val="0"/>
        <w:widowControl w:val="0"/>
        <w:numPr>
          <w:ilvl w:val="0"/>
          <w:numId w:val="79"/>
        </w:numPr>
        <w:shd w:val="clear" w:color="auto" w:fill="auto"/>
        <w:tabs>
          <w:tab w:pos="706" w:val="left"/>
        </w:tabs>
        <w:bidi w:val="0"/>
        <w:spacing w:before="0" w:after="0" w:line="316" w:lineRule="exact"/>
        <w:ind w:left="0" w:right="0"/>
        <w:jc w:val="both"/>
      </w:pPr>
      <w:bookmarkStart w:id="835" w:name="bookmark835"/>
      <w:bookmarkEnd w:id="835"/>
      <w:r>
        <w:rPr>
          <w:color w:val="000000"/>
          <w:spacing w:val="0"/>
          <w:w w:val="100"/>
          <w:position w:val="0"/>
        </w:rPr>
        <w:t>收取该金融资产现金流量的合同权利终止；</w:t>
      </w:r>
    </w:p>
    <w:p>
      <w:pPr>
        <w:pStyle w:val="Style35"/>
        <w:keepNext w:val="0"/>
        <w:keepLines w:val="0"/>
        <w:widowControl w:val="0"/>
        <w:numPr>
          <w:ilvl w:val="0"/>
          <w:numId w:val="79"/>
        </w:numPr>
        <w:shd w:val="clear" w:color="auto" w:fill="auto"/>
        <w:tabs>
          <w:tab w:pos="720" w:val="left"/>
        </w:tabs>
        <w:bidi w:val="0"/>
        <w:spacing w:before="0" w:after="0" w:line="316" w:lineRule="exact"/>
        <w:ind w:left="0" w:right="0"/>
        <w:jc w:val="both"/>
      </w:pPr>
      <w:bookmarkStart w:id="836" w:name="bookmark836"/>
      <w:bookmarkEnd w:id="836"/>
      <w:r>
        <w:rPr>
          <w:color w:val="000000"/>
          <w:spacing w:val="0"/>
          <w:w w:val="100"/>
          <w:position w:val="0"/>
        </w:rPr>
        <w:t>该金融资产已转移，且本公司转移了该金融资产所有权上几乎所有的风险和报酬；</w:t>
      </w:r>
    </w:p>
    <w:p>
      <w:pPr>
        <w:pStyle w:val="Style35"/>
        <w:keepNext w:val="0"/>
        <w:keepLines w:val="0"/>
        <w:widowControl w:val="0"/>
        <w:numPr>
          <w:ilvl w:val="0"/>
          <w:numId w:val="79"/>
        </w:numPr>
        <w:shd w:val="clear" w:color="auto" w:fill="auto"/>
        <w:tabs>
          <w:tab w:pos="680" w:val="left"/>
        </w:tabs>
        <w:bidi w:val="0"/>
        <w:spacing w:before="0" w:after="0" w:line="326" w:lineRule="exact"/>
        <w:ind w:left="0" w:right="0"/>
        <w:jc w:val="both"/>
      </w:pPr>
      <w:bookmarkStart w:id="837" w:name="bookmark837"/>
      <w:bookmarkEnd w:id="837"/>
      <w:r>
        <w:rPr>
          <w:color w:val="000000"/>
          <w:spacing w:val="0"/>
          <w:w w:val="100"/>
          <w:position w:val="0"/>
        </w:rPr>
        <w:t>该金融资产已转移，且本公司既没有转移也没有保留金融资产所有权上几乎所有的风险和报酬，但是，本公司未保留 对该金融资产的控制。</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金融负债（或其一部分）的现时义务已经解除的，本公司终止确认该金融负债（或该部分金融负债）。</w:t>
      </w:r>
    </w:p>
    <w:p>
      <w:pPr>
        <w:pStyle w:val="Style35"/>
        <w:keepNext w:val="0"/>
        <w:keepLines w:val="0"/>
        <w:widowControl w:val="0"/>
        <w:shd w:val="clear" w:color="auto" w:fill="auto"/>
        <w:tabs>
          <w:tab w:pos="845" w:val="left"/>
        </w:tabs>
        <w:bidi w:val="0"/>
        <w:spacing w:before="0" w:after="0" w:line="316" w:lineRule="exact"/>
        <w:ind w:left="0" w:right="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金融资产的分类</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根据管理金融资产的业务模式和金融资产的合同现金流量特征，将金融资产划分为以下三类：</w:t>
      </w:r>
    </w:p>
    <w:p>
      <w:pPr>
        <w:pStyle w:val="Style35"/>
        <w:keepNext w:val="0"/>
        <w:keepLines w:val="0"/>
        <w:widowControl w:val="0"/>
        <w:numPr>
          <w:ilvl w:val="0"/>
          <w:numId w:val="81"/>
        </w:numPr>
        <w:shd w:val="clear" w:color="auto" w:fill="auto"/>
        <w:tabs>
          <w:tab w:pos="706" w:val="left"/>
        </w:tabs>
        <w:bidi w:val="0"/>
        <w:spacing w:before="0" w:after="0" w:line="316" w:lineRule="exact"/>
        <w:ind w:left="0" w:right="0"/>
        <w:jc w:val="both"/>
      </w:pPr>
      <w:bookmarkStart w:id="839" w:name="bookmark839"/>
      <w:bookmarkEnd w:id="839"/>
      <w:r>
        <w:rPr>
          <w:color w:val="000000"/>
          <w:spacing w:val="0"/>
          <w:w w:val="100"/>
          <w:position w:val="0"/>
        </w:rPr>
        <w:t>以摊余成本计量的金融资产；</w:t>
      </w:r>
    </w:p>
    <w:p>
      <w:pPr>
        <w:pStyle w:val="Style35"/>
        <w:keepNext w:val="0"/>
        <w:keepLines w:val="0"/>
        <w:widowControl w:val="0"/>
        <w:numPr>
          <w:ilvl w:val="0"/>
          <w:numId w:val="81"/>
        </w:numPr>
        <w:shd w:val="clear" w:color="auto" w:fill="auto"/>
        <w:tabs>
          <w:tab w:pos="720" w:val="left"/>
        </w:tabs>
        <w:bidi w:val="0"/>
        <w:spacing w:before="0" w:after="0" w:line="316" w:lineRule="exact"/>
        <w:ind w:left="0" w:right="0"/>
        <w:jc w:val="both"/>
      </w:pPr>
      <w:bookmarkStart w:id="840" w:name="bookmark840"/>
      <w:bookmarkEnd w:id="840"/>
      <w:r>
        <w:rPr>
          <w:color w:val="000000"/>
          <w:spacing w:val="0"/>
          <w:w w:val="100"/>
          <w:position w:val="0"/>
        </w:rPr>
        <w:t>以公允价值计量且其变动计入其他综合收益的金融资产；</w:t>
      </w:r>
    </w:p>
    <w:p>
      <w:pPr>
        <w:pStyle w:val="Style35"/>
        <w:keepNext w:val="0"/>
        <w:keepLines w:val="0"/>
        <w:widowControl w:val="0"/>
        <w:numPr>
          <w:ilvl w:val="0"/>
          <w:numId w:val="81"/>
        </w:numPr>
        <w:shd w:val="clear" w:color="auto" w:fill="auto"/>
        <w:tabs>
          <w:tab w:pos="720" w:val="left"/>
        </w:tabs>
        <w:bidi w:val="0"/>
        <w:spacing w:before="0" w:after="0" w:line="316" w:lineRule="exact"/>
        <w:ind w:left="0" w:right="0"/>
        <w:jc w:val="both"/>
      </w:pPr>
      <w:bookmarkStart w:id="841" w:name="bookmark841"/>
      <w:bookmarkEnd w:id="841"/>
      <w:r>
        <w:rPr>
          <w:color w:val="000000"/>
          <w:spacing w:val="0"/>
          <w:w w:val="100"/>
          <w:position w:val="0"/>
        </w:rPr>
        <w:t>以公允价值计量且其变动计入当期损益的金融资产。</w:t>
      </w:r>
    </w:p>
    <w:p>
      <w:pPr>
        <w:pStyle w:val="Style35"/>
        <w:keepNext w:val="0"/>
        <w:keepLines w:val="0"/>
        <w:widowControl w:val="0"/>
        <w:shd w:val="clear" w:color="auto" w:fill="auto"/>
        <w:tabs>
          <w:tab w:pos="749" w:val="left"/>
        </w:tabs>
        <w:bidi w:val="0"/>
        <w:spacing w:before="0" w:after="0" w:line="316" w:lineRule="exact"/>
        <w:ind w:left="0" w:right="0"/>
        <w:jc w:val="both"/>
      </w:pPr>
      <w:bookmarkStart w:id="842" w:name="bookmark842"/>
      <w:r>
        <w:rPr>
          <w:rFonts w:ascii="Times New Roman" w:eastAsia="Times New Roman" w:hAnsi="Times New Roman" w:cs="Times New Roman"/>
          <w:color w:val="000000"/>
          <w:spacing w:val="0"/>
          <w:w w:val="100"/>
          <w:position w:val="0"/>
          <w:sz w:val="18"/>
          <w:szCs w:val="18"/>
        </w:rPr>
        <w:t>1</w:t>
      </w:r>
      <w:bookmarkEnd w:id="842"/>
      <w:r>
        <w:rPr>
          <w:color w:val="000000"/>
          <w:spacing w:val="0"/>
          <w:w w:val="100"/>
          <w:position w:val="0"/>
        </w:rPr>
        <w:t>）</w:t>
        <w:tab/>
        <w:t>以摊余成本计量的金融资产</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金融资产同时符合下列条件的，本公司将其分类为以摊余成本计量的金融资产：</w:t>
      </w:r>
    </w:p>
    <w:p>
      <w:pPr>
        <w:pStyle w:val="Style35"/>
        <w:keepNext w:val="0"/>
        <w:keepLines w:val="0"/>
        <w:widowControl w:val="0"/>
        <w:numPr>
          <w:ilvl w:val="0"/>
          <w:numId w:val="83"/>
        </w:numPr>
        <w:shd w:val="clear" w:color="auto" w:fill="auto"/>
        <w:tabs>
          <w:tab w:pos="706" w:val="left"/>
        </w:tabs>
        <w:bidi w:val="0"/>
        <w:spacing w:before="0" w:after="0" w:line="316" w:lineRule="exact"/>
        <w:ind w:left="0" w:right="0"/>
        <w:jc w:val="both"/>
      </w:pPr>
      <w:bookmarkStart w:id="843" w:name="bookmark843"/>
      <w:bookmarkEnd w:id="843"/>
      <w:r>
        <w:rPr>
          <w:color w:val="000000"/>
          <w:spacing w:val="0"/>
          <w:w w:val="100"/>
          <w:position w:val="0"/>
        </w:rPr>
        <w:t>本公司管理该金融资产的业务模式是以收取合同现金流量为目标；</w:t>
      </w:r>
    </w:p>
    <w:p>
      <w:pPr>
        <w:pStyle w:val="Style35"/>
        <w:keepNext w:val="0"/>
        <w:keepLines w:val="0"/>
        <w:widowControl w:val="0"/>
        <w:numPr>
          <w:ilvl w:val="0"/>
          <w:numId w:val="83"/>
        </w:numPr>
        <w:shd w:val="clear" w:color="auto" w:fill="auto"/>
        <w:tabs>
          <w:tab w:pos="720" w:val="left"/>
        </w:tabs>
        <w:bidi w:val="0"/>
        <w:spacing w:before="0" w:after="0" w:line="316" w:lineRule="exact"/>
        <w:ind w:left="0" w:right="0"/>
        <w:jc w:val="both"/>
      </w:pPr>
      <w:bookmarkStart w:id="844" w:name="bookmark844"/>
      <w:bookmarkEnd w:id="844"/>
      <w:r>
        <w:rPr>
          <w:color w:val="000000"/>
          <w:spacing w:val="0"/>
          <w:w w:val="100"/>
          <w:position w:val="0"/>
        </w:rPr>
        <w:t>该金融资产的合同条款规定，在特定日期产生的现金流量，仅为对本金和以未偿付本金金额为基础的利息的支付。</w:t>
      </w:r>
    </w:p>
    <w:p>
      <w:pPr>
        <w:pStyle w:val="Style35"/>
        <w:keepNext w:val="0"/>
        <w:keepLines w:val="0"/>
        <w:widowControl w:val="0"/>
        <w:shd w:val="clear" w:color="auto" w:fill="auto"/>
        <w:tabs>
          <w:tab w:pos="768" w:val="left"/>
        </w:tabs>
        <w:bidi w:val="0"/>
        <w:spacing w:before="0" w:after="0" w:line="316" w:lineRule="exact"/>
        <w:ind w:left="0" w:right="0"/>
        <w:jc w:val="both"/>
      </w:pPr>
      <w:bookmarkStart w:id="845" w:name="bookmark845"/>
      <w:r>
        <w:rPr>
          <w:rFonts w:ascii="Times New Roman" w:eastAsia="Times New Roman" w:hAnsi="Times New Roman" w:cs="Times New Roman"/>
          <w:color w:val="000000"/>
          <w:spacing w:val="0"/>
          <w:w w:val="100"/>
          <w:position w:val="0"/>
          <w:sz w:val="18"/>
          <w:szCs w:val="18"/>
        </w:rPr>
        <w:t>2</w:t>
      </w:r>
      <w:bookmarkEnd w:id="845"/>
      <w:r>
        <w:rPr>
          <w:color w:val="000000"/>
          <w:spacing w:val="0"/>
          <w:w w:val="100"/>
          <w:position w:val="0"/>
        </w:rPr>
        <w:t>）</w:t>
        <w:tab/>
        <w:t>以公允价值计量且其变动计入其他综合收益的金融资产（债务工具投资）</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金融资产同时符合下列条件的，本公司将其分类为以公允价值计量且其变动计入其他综合收益的金融资产：</w:t>
      </w:r>
    </w:p>
    <w:p>
      <w:pPr>
        <w:pStyle w:val="Style35"/>
        <w:keepNext w:val="0"/>
        <w:keepLines w:val="0"/>
        <w:widowControl w:val="0"/>
        <w:numPr>
          <w:ilvl w:val="0"/>
          <w:numId w:val="85"/>
        </w:numPr>
        <w:shd w:val="clear" w:color="auto" w:fill="auto"/>
        <w:tabs>
          <w:tab w:pos="706" w:val="left"/>
        </w:tabs>
        <w:bidi w:val="0"/>
        <w:spacing w:before="0" w:after="0" w:line="316" w:lineRule="exact"/>
        <w:ind w:left="0" w:right="0"/>
        <w:jc w:val="both"/>
      </w:pPr>
      <w:bookmarkStart w:id="846" w:name="bookmark846"/>
      <w:bookmarkEnd w:id="846"/>
      <w:r>
        <w:rPr>
          <w:color w:val="000000"/>
          <w:spacing w:val="0"/>
          <w:w w:val="100"/>
          <w:position w:val="0"/>
        </w:rPr>
        <w:t>本公司管理该金融资产的业务模式既以收取合同现金流量为目标又以出售该金融资产为目标；</w:t>
      </w:r>
    </w:p>
    <w:p>
      <w:pPr>
        <w:pStyle w:val="Style35"/>
        <w:keepNext w:val="0"/>
        <w:keepLines w:val="0"/>
        <w:widowControl w:val="0"/>
        <w:numPr>
          <w:ilvl w:val="0"/>
          <w:numId w:val="85"/>
        </w:numPr>
        <w:shd w:val="clear" w:color="auto" w:fill="auto"/>
        <w:tabs>
          <w:tab w:pos="720" w:val="left"/>
        </w:tabs>
        <w:bidi w:val="0"/>
        <w:spacing w:before="0" w:after="0" w:line="316" w:lineRule="exact"/>
        <w:ind w:left="0" w:right="0"/>
        <w:jc w:val="both"/>
      </w:pPr>
      <w:bookmarkStart w:id="847" w:name="bookmark847"/>
      <w:bookmarkEnd w:id="847"/>
      <w:r>
        <w:rPr>
          <w:color w:val="000000"/>
          <w:spacing w:val="0"/>
          <w:w w:val="100"/>
          <w:position w:val="0"/>
        </w:rPr>
        <w:t>该金融资产的合同条款规定，在特定日期产生的现金流量，仅为对本金和以未偿付本金金额为基础的利息的支付。</w:t>
      </w:r>
    </w:p>
    <w:p>
      <w:pPr>
        <w:pStyle w:val="Style35"/>
        <w:keepNext w:val="0"/>
        <w:keepLines w:val="0"/>
        <w:widowControl w:val="0"/>
        <w:shd w:val="clear" w:color="auto" w:fill="auto"/>
        <w:tabs>
          <w:tab w:pos="768" w:val="left"/>
        </w:tabs>
        <w:bidi w:val="0"/>
        <w:spacing w:before="0" w:after="0" w:line="316" w:lineRule="exact"/>
        <w:ind w:left="0" w:right="0"/>
        <w:jc w:val="both"/>
      </w:pPr>
      <w:bookmarkStart w:id="848" w:name="bookmark848"/>
      <w:r>
        <w:rPr>
          <w:rFonts w:ascii="Times New Roman" w:eastAsia="Times New Roman" w:hAnsi="Times New Roman" w:cs="Times New Roman"/>
          <w:color w:val="000000"/>
          <w:spacing w:val="0"/>
          <w:w w:val="100"/>
          <w:position w:val="0"/>
          <w:sz w:val="18"/>
          <w:szCs w:val="18"/>
        </w:rPr>
        <w:t>3</w:t>
      </w:r>
      <w:bookmarkEnd w:id="848"/>
      <w:r>
        <w:rPr>
          <w:color w:val="000000"/>
          <w:spacing w:val="0"/>
          <w:w w:val="100"/>
          <w:position w:val="0"/>
        </w:rPr>
        <w:t>）</w:t>
        <w:tab/>
        <w:t>以公允价值计量且其变动计入当期损益的金融资产</w:t>
      </w:r>
    </w:p>
    <w:p>
      <w:pPr>
        <w:pStyle w:val="Style35"/>
        <w:keepNext w:val="0"/>
        <w:keepLines w:val="0"/>
        <w:widowControl w:val="0"/>
        <w:shd w:val="clear" w:color="auto" w:fill="auto"/>
        <w:bidi w:val="0"/>
        <w:spacing w:before="0" w:after="0" w:line="326" w:lineRule="exact"/>
        <w:ind w:left="0" w:right="0"/>
        <w:jc w:val="both"/>
      </w:pPr>
      <w:r>
        <w:rPr>
          <w:color w:val="000000"/>
          <w:spacing w:val="0"/>
          <w:w w:val="100"/>
          <w:position w:val="0"/>
        </w:rPr>
        <w:t>按照本条第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）项分类为以摊余成本计量的金融资产和按照本条第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）项分类为以公允价值计量且其变动计入其他综合收 益的金融资产（债务工具投资）之外的金融资产，本公司将其分类为以公允价值计量且其变动计入当期损益的金融资产。</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在初始确认时，本公司可以将非交易性权益工具投资指定为以公允价值计量且其变动计入其他综合收益的金融资产（非 交易性权益工具投资），并按照规定确认股利收入。该指定一经做出，不得撤销。本公司在非同一控制下的企业合并中确认 的或有对价构成金融资产的，该金融资产分类为以公允价值计量且其变动计入当期损益的金融资产。</w:t>
      </w:r>
    </w:p>
    <w:p>
      <w:pPr>
        <w:pStyle w:val="Style35"/>
        <w:keepNext w:val="0"/>
        <w:keepLines w:val="0"/>
        <w:widowControl w:val="0"/>
        <w:shd w:val="clear" w:color="auto" w:fill="auto"/>
        <w:tabs>
          <w:tab w:pos="845" w:val="left"/>
        </w:tabs>
        <w:bidi w:val="0"/>
        <w:spacing w:before="0" w:after="0" w:line="314" w:lineRule="exact"/>
        <w:ind w:left="0" w:right="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金融负债的分类</w:t>
      </w:r>
    </w:p>
    <w:p>
      <w:pPr>
        <w:pStyle w:val="Style35"/>
        <w:keepNext w:val="0"/>
        <w:keepLines w:val="0"/>
        <w:widowControl w:val="0"/>
        <w:shd w:val="clear" w:color="auto" w:fill="auto"/>
        <w:bidi w:val="0"/>
        <w:spacing w:before="0" w:after="0" w:line="326" w:lineRule="exact"/>
        <w:ind w:left="0" w:right="0"/>
        <w:jc w:val="both"/>
      </w:pPr>
      <w:r>
        <w:rPr>
          <w:color w:val="000000"/>
          <w:spacing w:val="0"/>
          <w:w w:val="100"/>
          <w:position w:val="0"/>
        </w:rPr>
        <w:t>除下列各项外，本公司将金融负债分类为以摊余成本计量的金融负债：</w:t>
      </w:r>
    </w:p>
    <w:p>
      <w:pPr>
        <w:pStyle w:val="Style35"/>
        <w:keepNext w:val="0"/>
        <w:keepLines w:val="0"/>
        <w:widowControl w:val="0"/>
        <w:numPr>
          <w:ilvl w:val="0"/>
          <w:numId w:val="87"/>
        </w:numPr>
        <w:shd w:val="clear" w:color="auto" w:fill="auto"/>
        <w:bidi w:val="0"/>
        <w:spacing w:before="0" w:after="0" w:line="326" w:lineRule="exact"/>
        <w:ind w:left="0" w:right="0"/>
        <w:jc w:val="both"/>
      </w:pPr>
      <w:bookmarkStart w:id="850" w:name="bookmark850"/>
      <w:bookmarkEnd w:id="850"/>
      <w:r>
        <w:rPr>
          <w:color w:val="000000"/>
          <w:spacing w:val="0"/>
          <w:w w:val="100"/>
          <w:position w:val="0"/>
        </w:rPr>
        <w:t>以公允价值计量且其变动计入当期损益的金融负债，包括交易性金融负债（含属于金融负债的衍生工具）和指定为以 公允价值计量且其变动计入当期损益的金融负债。</w:t>
      </w:r>
    </w:p>
    <w:p>
      <w:pPr>
        <w:pStyle w:val="Style35"/>
        <w:keepNext w:val="0"/>
        <w:keepLines w:val="0"/>
        <w:widowControl w:val="0"/>
        <w:numPr>
          <w:ilvl w:val="0"/>
          <w:numId w:val="87"/>
        </w:numPr>
        <w:shd w:val="clear" w:color="auto" w:fill="auto"/>
        <w:tabs>
          <w:tab w:pos="720" w:val="left"/>
        </w:tabs>
        <w:bidi w:val="0"/>
        <w:spacing w:before="0" w:after="0" w:line="365" w:lineRule="exact"/>
        <w:ind w:left="0" w:right="0"/>
        <w:jc w:val="both"/>
      </w:pPr>
      <w:bookmarkStart w:id="851" w:name="bookmark851"/>
      <w:bookmarkEnd w:id="851"/>
      <w:r>
        <w:rPr>
          <w:color w:val="000000"/>
          <w:spacing w:val="0"/>
          <w:w w:val="100"/>
          <w:position w:val="0"/>
        </w:rPr>
        <w:t>金融资产转移不符合终止确认条件或继续涉入被转移金融资产所形成的金融负债。</w:t>
      </w:r>
    </w:p>
    <w:p>
      <w:pPr>
        <w:pStyle w:val="Style35"/>
        <w:keepNext w:val="0"/>
        <w:keepLines w:val="0"/>
        <w:widowControl w:val="0"/>
        <w:numPr>
          <w:ilvl w:val="0"/>
          <w:numId w:val="87"/>
        </w:numPr>
        <w:shd w:val="clear" w:color="auto" w:fill="auto"/>
        <w:tabs>
          <w:tab w:pos="720" w:val="left"/>
        </w:tabs>
        <w:bidi w:val="0"/>
        <w:spacing w:before="0" w:after="0" w:line="365" w:lineRule="exact"/>
        <w:ind w:left="400" w:right="0" w:firstLine="0"/>
        <w:jc w:val="left"/>
      </w:pPr>
      <w:bookmarkStart w:id="852" w:name="bookmark852"/>
      <w:bookmarkEnd w:id="852"/>
      <w:r>
        <w:rPr>
          <w:color w:val="000000"/>
          <w:spacing w:val="0"/>
          <w:w w:val="100"/>
          <w:position w:val="0"/>
        </w:rPr>
        <w:t>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）项或第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）项情形的以低于市场利率贷款的贷款承诺。 在非同一控制下的企业合并中，本公司作为购买方确认的或有对价形成金融负债的，该金融负债按照以公允价值计量且</w:t>
      </w:r>
    </w:p>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其变动计入当期损益进行会计处理。</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在初始确认时，为了提供更相关的会计信息，本公司可以将金融负债指定为以公允价值计量且其变动计入当期损益的金 融负债，该指定满足下列条件之一：</w:t>
      </w:r>
    </w:p>
    <w:p>
      <w:pPr>
        <w:pStyle w:val="Style35"/>
        <w:keepNext w:val="0"/>
        <w:keepLines w:val="0"/>
        <w:widowControl w:val="0"/>
        <w:numPr>
          <w:ilvl w:val="0"/>
          <w:numId w:val="89"/>
        </w:numPr>
        <w:shd w:val="clear" w:color="auto" w:fill="auto"/>
        <w:tabs>
          <w:tab w:pos="706" w:val="left"/>
        </w:tabs>
        <w:bidi w:val="0"/>
        <w:spacing w:before="0" w:after="0" w:line="322" w:lineRule="exact"/>
        <w:ind w:left="0" w:right="0"/>
        <w:jc w:val="both"/>
      </w:pPr>
      <w:bookmarkStart w:id="853" w:name="bookmark853"/>
      <w:bookmarkEnd w:id="853"/>
      <w:r>
        <w:rPr>
          <w:color w:val="000000"/>
          <w:spacing w:val="0"/>
          <w:w w:val="100"/>
          <w:position w:val="0"/>
        </w:rPr>
        <w:t>能够消除或显著减少会计错配。</w:t>
      </w:r>
    </w:p>
    <w:p>
      <w:pPr>
        <w:pStyle w:val="Style35"/>
        <w:keepNext w:val="0"/>
        <w:keepLines w:val="0"/>
        <w:widowControl w:val="0"/>
        <w:numPr>
          <w:ilvl w:val="0"/>
          <w:numId w:val="89"/>
        </w:numPr>
        <w:shd w:val="clear" w:color="auto" w:fill="auto"/>
        <w:tabs>
          <w:tab w:pos="666" w:val="left"/>
        </w:tabs>
        <w:bidi w:val="0"/>
        <w:spacing w:before="0" w:after="0" w:line="322" w:lineRule="exact"/>
        <w:ind w:left="0" w:right="0"/>
        <w:jc w:val="both"/>
      </w:pPr>
      <w:bookmarkStart w:id="854" w:name="bookmark854"/>
      <w:bookmarkEnd w:id="854"/>
      <w:r>
        <w:rPr>
          <w:color w:val="000000"/>
          <w:spacing w:val="0"/>
          <w:w w:val="100"/>
          <w:position w:val="0"/>
        </w:rPr>
        <w:t>据正式书面文件载明的企业风险管理或投资策略，以公允价值为基础对金融负债组合或金融资产和金融负债组合进行 管理和业绩评价，并在本公司内部以此为基础向关键管理人员报告。</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该指定一经做出，不得撤销。</w:t>
      </w:r>
    </w:p>
    <w:p>
      <w:pPr>
        <w:pStyle w:val="Style35"/>
        <w:keepNext w:val="0"/>
        <w:keepLines w:val="0"/>
        <w:widowControl w:val="0"/>
        <w:shd w:val="clear" w:color="auto" w:fill="auto"/>
        <w:tabs>
          <w:tab w:pos="845" w:val="left"/>
        </w:tabs>
        <w:bidi w:val="0"/>
        <w:spacing w:before="0" w:after="0" w:line="322" w:lineRule="exact"/>
        <w:ind w:left="0" w:right="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嵌入衍生工具</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嵌入衍生工具，是指嵌入到非衍生工具（即主合同）中的衍生工具。</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混合合同包含的主合同属于金融工具确认和计量准则规范的资产的，本公司将该混合合同作为一个整体适用该准则关于 金融资产分类的相关规定。</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混合合同包含的主合同不属于金融工具确认和计量准则规范的资产，且同时符合下列条件的，本公司从混合合同中分拆 嵌入衍生工具，将其作为单独存在的衍生工具处理：</w:t>
      </w:r>
    </w:p>
    <w:p>
      <w:pPr>
        <w:pStyle w:val="Style35"/>
        <w:keepNext w:val="0"/>
        <w:keepLines w:val="0"/>
        <w:widowControl w:val="0"/>
        <w:numPr>
          <w:ilvl w:val="0"/>
          <w:numId w:val="91"/>
        </w:numPr>
        <w:shd w:val="clear" w:color="auto" w:fill="auto"/>
        <w:tabs>
          <w:tab w:pos="706" w:val="left"/>
        </w:tabs>
        <w:bidi w:val="0"/>
        <w:spacing w:before="0" w:after="0" w:line="322" w:lineRule="exact"/>
        <w:ind w:left="0" w:right="0"/>
        <w:jc w:val="both"/>
      </w:pPr>
      <w:bookmarkStart w:id="856" w:name="bookmark856"/>
      <w:bookmarkEnd w:id="856"/>
      <w:r>
        <w:rPr>
          <w:color w:val="000000"/>
          <w:spacing w:val="0"/>
          <w:w w:val="100"/>
          <w:position w:val="0"/>
        </w:rPr>
        <w:t>嵌入衍生工具的经济特征和风险与主合同的经济特征和风险不紧密相关。</w:t>
      </w:r>
    </w:p>
    <w:p>
      <w:pPr>
        <w:pStyle w:val="Style35"/>
        <w:keepNext w:val="0"/>
        <w:keepLines w:val="0"/>
        <w:widowControl w:val="0"/>
        <w:numPr>
          <w:ilvl w:val="0"/>
          <w:numId w:val="91"/>
        </w:numPr>
        <w:shd w:val="clear" w:color="auto" w:fill="auto"/>
        <w:tabs>
          <w:tab w:pos="720" w:val="left"/>
        </w:tabs>
        <w:bidi w:val="0"/>
        <w:spacing w:before="0" w:after="0" w:line="322" w:lineRule="exact"/>
        <w:ind w:left="0" w:right="0"/>
        <w:jc w:val="both"/>
      </w:pPr>
      <w:bookmarkStart w:id="857" w:name="bookmark857"/>
      <w:bookmarkEnd w:id="857"/>
      <w:r>
        <w:rPr>
          <w:color w:val="000000"/>
          <w:spacing w:val="0"/>
          <w:w w:val="100"/>
          <w:position w:val="0"/>
        </w:rPr>
        <w:t>与嵌入衍生工具具有相同条款的单独工具符合衍生工具的定义。</w:t>
      </w:r>
    </w:p>
    <w:p>
      <w:pPr>
        <w:pStyle w:val="Style35"/>
        <w:keepNext w:val="0"/>
        <w:keepLines w:val="0"/>
        <w:widowControl w:val="0"/>
        <w:numPr>
          <w:ilvl w:val="0"/>
          <w:numId w:val="91"/>
        </w:numPr>
        <w:shd w:val="clear" w:color="auto" w:fill="auto"/>
        <w:tabs>
          <w:tab w:pos="720" w:val="left"/>
        </w:tabs>
        <w:bidi w:val="0"/>
        <w:spacing w:before="0" w:after="0" w:line="322" w:lineRule="exact"/>
        <w:ind w:left="0" w:right="0"/>
        <w:jc w:val="both"/>
      </w:pPr>
      <w:bookmarkStart w:id="858" w:name="bookmark858"/>
      <w:bookmarkEnd w:id="858"/>
      <w:r>
        <w:rPr>
          <w:color w:val="000000"/>
          <w:spacing w:val="0"/>
          <w:w w:val="100"/>
          <w:position w:val="0"/>
        </w:rPr>
        <w:t>该混合合同不是以公允价值计量且其变动计入当期损益进行会计处理。</w:t>
      </w:r>
    </w:p>
    <w:p>
      <w:pPr>
        <w:pStyle w:val="Style35"/>
        <w:keepNext w:val="0"/>
        <w:keepLines w:val="0"/>
        <w:widowControl w:val="0"/>
        <w:shd w:val="clear" w:color="auto" w:fill="auto"/>
        <w:tabs>
          <w:tab w:pos="845" w:val="left"/>
        </w:tabs>
        <w:bidi w:val="0"/>
        <w:spacing w:before="0" w:after="0" w:line="322" w:lineRule="exact"/>
        <w:ind w:left="0" w:right="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金融工具的重分类</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本公司改变管理金融资产的业务模式时，对所有受影响的相关金融资产进行重分类。本公司对所有金融负债均不得进行 重分类。</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本公司对金融资产进行重分类，自重分类日起采用未来适用法进行相关会计处理。重分类日，是指导致本公司对金融资 产进行重分类的业务模式发生变更后的首个报告期间的第一天。</w:t>
      </w:r>
    </w:p>
    <w:p>
      <w:pPr>
        <w:pStyle w:val="Style35"/>
        <w:keepNext w:val="0"/>
        <w:keepLines w:val="0"/>
        <w:widowControl w:val="0"/>
        <w:shd w:val="clear" w:color="auto" w:fill="auto"/>
        <w:tabs>
          <w:tab w:pos="845" w:val="left"/>
        </w:tabs>
        <w:bidi w:val="0"/>
        <w:spacing w:before="0" w:after="140" w:line="322" w:lineRule="exact"/>
        <w:ind w:left="0" w:right="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金融工具的计量</w:t>
      </w:r>
    </w:p>
    <w:p>
      <w:pPr>
        <w:pStyle w:val="Style35"/>
        <w:keepNext w:val="0"/>
        <w:keepLines w:val="0"/>
        <w:widowControl w:val="0"/>
        <w:shd w:val="clear" w:color="auto" w:fill="auto"/>
        <w:tabs>
          <w:tab w:pos="757" w:val="left"/>
        </w:tabs>
        <w:bidi w:val="0"/>
        <w:spacing w:before="0" w:after="0" w:line="374" w:lineRule="auto"/>
        <w:ind w:left="0" w:right="0"/>
        <w:jc w:val="both"/>
      </w:pPr>
      <w:bookmarkStart w:id="861" w:name="bookmark861"/>
      <w:r>
        <w:rPr>
          <w:rFonts w:ascii="Times New Roman" w:eastAsia="Times New Roman" w:hAnsi="Times New Roman" w:cs="Times New Roman"/>
          <w:color w:val="000000"/>
          <w:spacing w:val="0"/>
          <w:w w:val="100"/>
          <w:position w:val="0"/>
          <w:sz w:val="18"/>
          <w:szCs w:val="18"/>
        </w:rPr>
        <w:t>1</w:t>
      </w:r>
      <w:bookmarkEnd w:id="861"/>
      <w:r>
        <w:rPr>
          <w:color w:val="000000"/>
          <w:spacing w:val="0"/>
          <w:w w:val="100"/>
          <w:position w:val="0"/>
        </w:rPr>
        <w:t>）</w:t>
        <w:tab/>
        <w:t>初始计量</w:t>
      </w:r>
    </w:p>
    <w:p>
      <w:pPr>
        <w:pStyle w:val="Style35"/>
        <w:keepNext w:val="0"/>
        <w:keepLines w:val="0"/>
        <w:widowControl w:val="0"/>
        <w:shd w:val="clear" w:color="auto" w:fill="auto"/>
        <w:bidi w:val="0"/>
        <w:spacing w:before="0" w:after="140" w:line="322" w:lineRule="exact"/>
        <w:ind w:left="0" w:right="0"/>
        <w:jc w:val="both"/>
      </w:pPr>
      <w:r>
        <w:rPr>
          <w:color w:val="000000"/>
          <w:spacing w:val="0"/>
          <w:w w:val="100"/>
          <w:position w:val="0"/>
        </w:rPr>
        <w:t>本公司初始确认金融资产或金融负债，按照公允价值计量。对于以公允价值计量且其变动计入当期损益的金融资产和金 融负债，相关交易费用直接计入当期损益；对于其他类别的金融资产或金融负债，相关交易费用应当计入初始确认金额。</w:t>
      </w:r>
    </w:p>
    <w:p>
      <w:pPr>
        <w:pStyle w:val="Style35"/>
        <w:keepNext w:val="0"/>
        <w:keepLines w:val="0"/>
        <w:widowControl w:val="0"/>
        <w:shd w:val="clear" w:color="auto" w:fill="auto"/>
        <w:tabs>
          <w:tab w:pos="768" w:val="left"/>
        </w:tabs>
        <w:bidi w:val="0"/>
        <w:spacing w:before="0" w:after="0" w:line="374" w:lineRule="auto"/>
        <w:ind w:left="0" w:right="0"/>
        <w:jc w:val="both"/>
      </w:pPr>
      <w:bookmarkStart w:id="862" w:name="bookmark862"/>
      <w:r>
        <w:rPr>
          <w:rFonts w:ascii="Times New Roman" w:eastAsia="Times New Roman" w:hAnsi="Times New Roman" w:cs="Times New Roman"/>
          <w:color w:val="000000"/>
          <w:spacing w:val="0"/>
          <w:w w:val="100"/>
          <w:position w:val="0"/>
          <w:sz w:val="18"/>
          <w:szCs w:val="18"/>
        </w:rPr>
        <w:t>2</w:t>
      </w:r>
      <w:bookmarkEnd w:id="862"/>
      <w:r>
        <w:rPr>
          <w:color w:val="000000"/>
          <w:spacing w:val="0"/>
          <w:w w:val="100"/>
          <w:position w:val="0"/>
        </w:rPr>
        <w:t>）</w:t>
        <w:tab/>
        <w:t>后续计量</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初始确认后，本公司对不同类别的金融资产，分别以摊余成本、以公允价值计量且其变动计入其他综合收益或以公允价 值计量且其变动计入当期损益进行后续计量。</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初始确认后，本公司对不同类别的金融负债，分别以摊余成本、以公允价值计量且其变动计入当期损益或以其他适当方 法进行后续计量。</w:t>
      </w:r>
    </w:p>
    <w:p>
      <w:pPr>
        <w:pStyle w:val="Style35"/>
        <w:keepNext w:val="0"/>
        <w:keepLines w:val="0"/>
        <w:widowControl w:val="0"/>
        <w:shd w:val="clear" w:color="auto" w:fill="auto"/>
        <w:bidi w:val="0"/>
        <w:spacing w:before="0" w:after="0" w:line="322" w:lineRule="exact"/>
        <w:ind w:left="0" w:right="0"/>
        <w:jc w:val="left"/>
      </w:pPr>
      <w:r>
        <w:rPr>
          <w:color w:val="000000"/>
          <w:spacing w:val="0"/>
          <w:w w:val="100"/>
          <w:position w:val="0"/>
        </w:rPr>
        <w:t>金融资产或金融负债的摊余成本，以该金融资产或金融负债的初始确认金额经下列调整后的结果确定：</w:t>
      </w:r>
    </w:p>
    <w:p>
      <w:pPr>
        <w:pStyle w:val="Style35"/>
        <w:keepNext w:val="0"/>
        <w:keepLines w:val="0"/>
        <w:widowControl w:val="0"/>
        <w:numPr>
          <w:ilvl w:val="0"/>
          <w:numId w:val="93"/>
        </w:numPr>
        <w:shd w:val="clear" w:color="auto" w:fill="auto"/>
        <w:tabs>
          <w:tab w:pos="706" w:val="left"/>
        </w:tabs>
        <w:bidi w:val="0"/>
        <w:spacing w:before="0" w:after="0" w:line="322" w:lineRule="exact"/>
        <w:ind w:left="0" w:right="0"/>
        <w:jc w:val="both"/>
      </w:pPr>
      <w:bookmarkStart w:id="863" w:name="bookmark863"/>
      <w:bookmarkEnd w:id="863"/>
      <w:r>
        <w:rPr>
          <w:color w:val="000000"/>
          <w:spacing w:val="0"/>
          <w:w w:val="100"/>
          <w:position w:val="0"/>
        </w:rPr>
        <w:t>扣除已偿还的本金。</w:t>
      </w:r>
    </w:p>
    <w:p>
      <w:pPr>
        <w:pStyle w:val="Style35"/>
        <w:keepNext w:val="0"/>
        <w:keepLines w:val="0"/>
        <w:widowControl w:val="0"/>
        <w:numPr>
          <w:ilvl w:val="0"/>
          <w:numId w:val="93"/>
        </w:numPr>
        <w:shd w:val="clear" w:color="auto" w:fill="auto"/>
        <w:tabs>
          <w:tab w:pos="720" w:val="left"/>
        </w:tabs>
        <w:bidi w:val="0"/>
        <w:spacing w:before="0" w:after="0" w:line="322" w:lineRule="exact"/>
        <w:ind w:left="0" w:right="0"/>
        <w:jc w:val="both"/>
      </w:pPr>
      <w:bookmarkStart w:id="864" w:name="bookmark864"/>
      <w:bookmarkEnd w:id="864"/>
      <w:r>
        <w:rPr>
          <w:color w:val="000000"/>
          <w:spacing w:val="0"/>
          <w:w w:val="100"/>
          <w:position w:val="0"/>
        </w:rPr>
        <w:t>加上或减去采用实际利率法将该初始确认金额与到期日金额之间的差额进行摊销形成的累计摊销额。</w:t>
      </w:r>
    </w:p>
    <w:p>
      <w:pPr>
        <w:pStyle w:val="Style35"/>
        <w:keepNext w:val="0"/>
        <w:keepLines w:val="0"/>
        <w:widowControl w:val="0"/>
        <w:numPr>
          <w:ilvl w:val="0"/>
          <w:numId w:val="93"/>
        </w:numPr>
        <w:shd w:val="clear" w:color="auto" w:fill="auto"/>
        <w:tabs>
          <w:tab w:pos="720" w:val="left"/>
        </w:tabs>
        <w:bidi w:val="0"/>
        <w:spacing w:before="0" w:after="0" w:line="322" w:lineRule="exact"/>
        <w:ind w:left="0" w:right="0"/>
        <w:jc w:val="both"/>
      </w:pPr>
      <w:bookmarkStart w:id="865" w:name="bookmark865"/>
      <w:bookmarkEnd w:id="865"/>
      <w:r>
        <w:rPr>
          <w:color w:val="000000"/>
          <w:spacing w:val="0"/>
          <w:w w:val="100"/>
          <w:position w:val="0"/>
        </w:rPr>
        <w:t>扣除累计计提的损失准备（仅适用于金融资产）。</w:t>
      </w:r>
    </w:p>
    <w:p>
      <w:pPr>
        <w:pStyle w:val="Style35"/>
        <w:keepNext w:val="0"/>
        <w:keepLines w:val="0"/>
        <w:widowControl w:val="0"/>
        <w:shd w:val="clear" w:color="auto" w:fill="auto"/>
        <w:bidi w:val="0"/>
        <w:spacing w:before="0" w:after="0" w:line="326" w:lineRule="exact"/>
        <w:ind w:left="0" w:right="0"/>
        <w:jc w:val="both"/>
      </w:pPr>
      <w:r>
        <w:rPr>
          <w:color w:val="000000"/>
          <w:spacing w:val="0"/>
          <w:w w:val="100"/>
          <w:position w:val="0"/>
        </w:rPr>
        <w:t>本公司按照实际利率法确认利息收入。利息收入根据金融资产账面余额乘以实际利率计算确定，但下列情况除外：</w:t>
      </w:r>
    </w:p>
    <w:p>
      <w:pPr>
        <w:pStyle w:val="Style35"/>
        <w:keepNext w:val="0"/>
        <w:keepLines w:val="0"/>
        <w:widowControl w:val="0"/>
        <w:numPr>
          <w:ilvl w:val="0"/>
          <w:numId w:val="95"/>
        </w:numPr>
        <w:shd w:val="clear" w:color="auto" w:fill="auto"/>
        <w:tabs>
          <w:tab w:pos="651" w:val="left"/>
        </w:tabs>
        <w:bidi w:val="0"/>
        <w:spacing w:before="0" w:after="0" w:line="326" w:lineRule="exact"/>
        <w:ind w:left="0" w:right="0"/>
        <w:jc w:val="both"/>
      </w:pPr>
      <w:bookmarkStart w:id="866" w:name="bookmark866"/>
      <w:bookmarkEnd w:id="866"/>
      <w:r>
        <w:rPr>
          <w:color w:val="000000"/>
          <w:spacing w:val="0"/>
          <w:w w:val="100"/>
          <w:position w:val="0"/>
        </w:rPr>
        <w:t>对于购入或源生的已发生信用减值的金融资产，本公司自初始确认起，按照该金融资产的摊余成本和经信用调整的实 际利率计算确定其利息收入。</w:t>
      </w:r>
    </w:p>
    <w:p>
      <w:pPr>
        <w:pStyle w:val="Style35"/>
        <w:keepNext w:val="0"/>
        <w:keepLines w:val="0"/>
        <w:widowControl w:val="0"/>
        <w:numPr>
          <w:ilvl w:val="0"/>
          <w:numId w:val="95"/>
        </w:numPr>
        <w:shd w:val="clear" w:color="auto" w:fill="auto"/>
        <w:tabs>
          <w:tab w:pos="720" w:val="left"/>
        </w:tabs>
        <w:bidi w:val="0"/>
        <w:spacing w:before="0" w:after="0" w:line="326" w:lineRule="exact"/>
        <w:ind w:left="0" w:right="0"/>
        <w:jc w:val="both"/>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513" w:right="1025" w:bottom="1475" w:left="1059" w:header="0" w:footer="3" w:gutter="0"/>
          <w:cols w:space="720"/>
          <w:noEndnote/>
          <w:rtlGutter w:val="0"/>
          <w:docGrid w:linePitch="360"/>
        </w:sectPr>
      </w:pPr>
      <w:bookmarkStart w:id="867" w:name="bookmark867"/>
      <w:bookmarkEnd w:id="867"/>
      <w:r>
        <w:rPr>
          <w:color w:val="000000"/>
          <w:spacing w:val="0"/>
          <w:w w:val="100"/>
          <w:position w:val="0"/>
        </w:rPr>
        <w:t>对于购入或源生的未发生信用减值、但在后续期间成为已发生信用减值的金融资产，本公司在后续期间，按照该金融</w:t>
      </w:r>
    </w:p>
    <w:p>
      <w:pPr>
        <w:pStyle w:val="Style35"/>
        <w:keepNext w:val="0"/>
        <w:keepLines w:val="0"/>
        <w:widowControl w:val="0"/>
        <w:shd w:val="clear" w:color="auto" w:fill="auto"/>
        <w:bidi w:val="0"/>
        <w:spacing w:before="0" w:after="0" w:line="424" w:lineRule="exact"/>
        <w:ind w:left="0" w:right="0" w:firstLine="5820"/>
        <w:jc w:val="both"/>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资产的摊余成本和实际利率计算确定其利息收入。本公司按照上述政策对金融资产的摊余成本运用实际利率法计算利息收入 的，若该金融工具在后续期间因其信用风险有所改善而不再存在信用减值，并且这一改善在客观上可与应用上述政策之后发 生的某一事件相联系（如债务人的信用评级被上调），本公司转按实际利率乘以该金融资产账面余额来计算确定利息收入。</w:t>
      </w:r>
    </w:p>
    <w:p>
      <w:pPr>
        <w:pStyle w:val="Style35"/>
        <w:keepNext w:val="0"/>
        <w:keepLines w:val="0"/>
        <w:widowControl w:val="0"/>
        <w:shd w:val="clear" w:color="auto" w:fill="auto"/>
        <w:bidi w:val="0"/>
        <w:spacing w:before="0" w:after="140" w:line="319" w:lineRule="exact"/>
        <w:ind w:left="0" w:right="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）金融工具的减值</w:t>
      </w:r>
    </w:p>
    <w:p>
      <w:pPr>
        <w:pStyle w:val="Style35"/>
        <w:keepNext w:val="0"/>
        <w:keepLines w:val="0"/>
        <w:widowControl w:val="0"/>
        <w:shd w:val="clear" w:color="auto" w:fill="auto"/>
        <w:tabs>
          <w:tab w:pos="724" w:val="left"/>
        </w:tabs>
        <w:bidi w:val="0"/>
        <w:spacing w:before="0" w:after="0" w:line="360" w:lineRule="auto"/>
        <w:ind w:left="0" w:right="0"/>
        <w:jc w:val="both"/>
      </w:pPr>
      <w:bookmarkStart w:id="869" w:name="bookmark869"/>
      <w:r>
        <w:rPr>
          <w:rFonts w:ascii="Times New Roman" w:eastAsia="Times New Roman" w:hAnsi="Times New Roman" w:cs="Times New Roman"/>
          <w:color w:val="000000"/>
          <w:spacing w:val="0"/>
          <w:w w:val="100"/>
          <w:position w:val="0"/>
          <w:sz w:val="18"/>
          <w:szCs w:val="18"/>
        </w:rPr>
        <w:t>1</w:t>
      </w:r>
      <w:bookmarkEnd w:id="869"/>
      <w:r>
        <w:rPr>
          <w:color w:val="000000"/>
          <w:spacing w:val="0"/>
          <w:w w:val="100"/>
          <w:position w:val="0"/>
        </w:rPr>
        <w:t>）</w:t>
        <w:tab/>
        <w:t>减值项目</w:t>
      </w:r>
    </w:p>
    <w:p>
      <w:pPr>
        <w:pStyle w:val="Style35"/>
        <w:keepNext w:val="0"/>
        <w:keepLines w:val="0"/>
        <w:widowControl w:val="0"/>
        <w:shd w:val="clear" w:color="auto" w:fill="auto"/>
        <w:bidi w:val="0"/>
        <w:spacing w:before="0" w:after="0" w:line="319" w:lineRule="exact"/>
        <w:ind w:left="0" w:right="0"/>
        <w:jc w:val="both"/>
      </w:pPr>
      <w:r>
        <w:rPr>
          <w:color w:val="000000"/>
          <w:spacing w:val="0"/>
          <w:w w:val="100"/>
          <w:position w:val="0"/>
        </w:rPr>
        <w:t>本公司以预期信用损失为基础，对下列项目进行减值会计处理并确认损失准备：</w:t>
      </w:r>
    </w:p>
    <w:p>
      <w:pPr>
        <w:pStyle w:val="Style35"/>
        <w:keepNext w:val="0"/>
        <w:keepLines w:val="0"/>
        <w:widowControl w:val="0"/>
        <w:numPr>
          <w:ilvl w:val="0"/>
          <w:numId w:val="97"/>
        </w:numPr>
        <w:shd w:val="clear" w:color="auto" w:fill="auto"/>
        <w:tabs>
          <w:tab w:pos="681" w:val="left"/>
        </w:tabs>
        <w:bidi w:val="0"/>
        <w:spacing w:before="0" w:after="140" w:line="319" w:lineRule="exact"/>
        <w:ind w:left="0" w:right="0"/>
        <w:jc w:val="both"/>
      </w:pPr>
      <w:bookmarkStart w:id="870" w:name="bookmark870"/>
      <w:bookmarkEnd w:id="870"/>
      <w:r>
        <w:rPr>
          <w:color w:val="000000"/>
          <w:spacing w:val="0"/>
          <w:w w:val="100"/>
          <w:position w:val="0"/>
        </w:rPr>
        <w:t>分类为以摊余成本计量的金融资产和分类为以公允价值计量且其变动计入其他综合收益的金融资产。</w:t>
      </w:r>
    </w:p>
    <w:p>
      <w:pPr>
        <w:pStyle w:val="Style35"/>
        <w:keepNext w:val="0"/>
        <w:keepLines w:val="0"/>
        <w:widowControl w:val="0"/>
        <w:numPr>
          <w:ilvl w:val="0"/>
          <w:numId w:val="97"/>
        </w:numPr>
        <w:shd w:val="clear" w:color="auto" w:fill="auto"/>
        <w:tabs>
          <w:tab w:pos="695" w:val="left"/>
        </w:tabs>
        <w:bidi w:val="0"/>
        <w:spacing w:before="0" w:after="0" w:line="360" w:lineRule="auto"/>
        <w:ind w:left="0" w:right="0"/>
        <w:jc w:val="both"/>
      </w:pPr>
      <w:bookmarkStart w:id="871" w:name="bookmark871"/>
      <w:bookmarkEnd w:id="871"/>
      <w:r>
        <w:rPr>
          <w:color w:val="000000"/>
          <w:spacing w:val="0"/>
          <w:w w:val="100"/>
          <w:position w:val="0"/>
        </w:rPr>
        <w:t>租赁应收款。</w:t>
      </w:r>
    </w:p>
    <w:p>
      <w:pPr>
        <w:pStyle w:val="Style35"/>
        <w:keepNext w:val="0"/>
        <w:keepLines w:val="0"/>
        <w:widowControl w:val="0"/>
        <w:numPr>
          <w:ilvl w:val="0"/>
          <w:numId w:val="97"/>
        </w:numPr>
        <w:shd w:val="clear" w:color="auto" w:fill="auto"/>
        <w:tabs>
          <w:tab w:pos="695" w:val="left"/>
        </w:tabs>
        <w:bidi w:val="0"/>
        <w:spacing w:before="0" w:after="0" w:line="319" w:lineRule="exact"/>
        <w:ind w:left="0" w:right="0"/>
        <w:jc w:val="both"/>
      </w:pPr>
      <w:bookmarkStart w:id="872" w:name="bookmark872"/>
      <w:bookmarkEnd w:id="872"/>
      <w:r>
        <w:rPr>
          <w:color w:val="000000"/>
          <w:spacing w:val="0"/>
          <w:w w:val="100"/>
          <w:position w:val="0"/>
        </w:rPr>
        <w:t>贷款承诺和财务担保合同。</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本公司持有的其他以公允价值计量的金融资产不适用预期信用损失模型，包括以公允价值计量且其变动计入当期损益的 金融资产，指定为以公允价值计量且其变动计入其他综合收益的金融资产（非交易性权益工具投资），以及衍生金融资产。</w:t>
      </w:r>
    </w:p>
    <w:p>
      <w:pPr>
        <w:pStyle w:val="Style35"/>
        <w:keepNext w:val="0"/>
        <w:keepLines w:val="0"/>
        <w:widowControl w:val="0"/>
        <w:shd w:val="clear" w:color="auto" w:fill="auto"/>
        <w:tabs>
          <w:tab w:pos="743" w:val="left"/>
        </w:tabs>
        <w:bidi w:val="0"/>
        <w:spacing w:before="0" w:after="0" w:line="319" w:lineRule="exact"/>
        <w:ind w:left="0" w:right="0"/>
        <w:jc w:val="both"/>
      </w:pPr>
      <w:bookmarkStart w:id="873" w:name="bookmark873"/>
      <w:r>
        <w:rPr>
          <w:rFonts w:ascii="Times New Roman" w:eastAsia="Times New Roman" w:hAnsi="Times New Roman" w:cs="Times New Roman"/>
          <w:color w:val="000000"/>
          <w:spacing w:val="0"/>
          <w:w w:val="100"/>
          <w:position w:val="0"/>
          <w:sz w:val="18"/>
          <w:szCs w:val="18"/>
        </w:rPr>
        <w:t>2</w:t>
      </w:r>
      <w:bookmarkEnd w:id="873"/>
      <w:r>
        <w:rPr>
          <w:color w:val="000000"/>
          <w:spacing w:val="0"/>
          <w:w w:val="100"/>
          <w:position w:val="0"/>
        </w:rPr>
        <w:t>）</w:t>
        <w:tab/>
        <w:t>减值准备的确认和计量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除了对于购买或源生的已发生信用减值的金融资产以及始终按照相当于整个存续期内预期信用损失的金额计量损失准 备的金融资产之外，本公司在每个资产负债表日评估相关金融工具的信用风险自初始确认后是否已显著增加，并按照下列情 形分别计量其损失准备、确认预期信用损失及其变动：</w:t>
      </w:r>
    </w:p>
    <w:p>
      <w:pPr>
        <w:pStyle w:val="Style35"/>
        <w:keepNext w:val="0"/>
        <w:keepLines w:val="0"/>
        <w:widowControl w:val="0"/>
        <w:shd w:val="clear" w:color="auto" w:fill="auto"/>
        <w:bidi w:val="0"/>
        <w:spacing w:before="0" w:after="0" w:line="319" w:lineRule="exact"/>
        <w:ind w:left="0" w:right="0"/>
        <w:jc w:val="both"/>
      </w:pPr>
      <w:r>
        <w:rPr>
          <w:color w:val="000000"/>
          <w:spacing w:val="0"/>
          <w:w w:val="100"/>
          <w:position w:val="0"/>
        </w:rPr>
        <w:t>如果该金融工具的信用风险自初始确认后并未显著增加，处于第一阶段，本公司按照相当于该金融工具未来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 期信用损失的金额计量其损失准备，无论本公司评估信用损失的基础是单项金融工具还是金融工具组合，由此形成的损失准 备的增加或转回金额，作为减值损失或利得计入当期损益。</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如果该金融工具的信用风险自初始确认后已显著增加，处于第二阶段，本公司按照相当于该金融工具整个存续期内预期 信用损失的金额计量其损失准备。无论本公司评估信用损失的基础是单项金融工具还是金融工具组合，由此形成的损失准备 的增加或转回金额，作为减值损失或利得计入当期损益。</w:t>
      </w:r>
    </w:p>
    <w:p>
      <w:pPr>
        <w:pStyle w:val="Style35"/>
        <w:keepNext w:val="0"/>
        <w:keepLines w:val="0"/>
        <w:widowControl w:val="0"/>
        <w:shd w:val="clear" w:color="auto" w:fill="auto"/>
        <w:bidi w:val="0"/>
        <w:spacing w:before="0" w:after="0" w:line="304" w:lineRule="exact"/>
        <w:ind w:left="0" w:right="0"/>
        <w:jc w:val="both"/>
      </w:pPr>
      <w:r>
        <w:rPr>
          <w:color w:val="000000"/>
          <w:spacing w:val="0"/>
          <w:w w:val="100"/>
          <w:position w:val="0"/>
        </w:rPr>
        <w:t>对于已发生信用减值的金融资产，处于第三阶段，本公司在资产负债表日仅将自初始确认后整个存续期内预期信用损失 的累计变动确认为损失准备。在每个资产负债表日，本公司将整个存续期内预期信用损失的变动金额作为减值损失或利得计 入当期损益。即使该资产负债表日确定的整个存续期内预期信用损失小于初始确认时估计现金流量所反映的预期信用损失的 金额，本公司也将预期信用损失的有利变动确认为减值利得。</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对于分类为以公允价值计量且其变动计入其他综合收益的金融资产（债务工具投资），本公司在其他综合收益中确认其 损失准备，并将减值损失或利得计入当期损益，且不应减少该金融资产在资产负债表中列示的账面价值。</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内预期信用损失的金额计量该金融工具的损失准备，由此形成的损失准备的转回金额应当作为减值利得计入当期损益。</w:t>
      </w:r>
    </w:p>
    <w:p>
      <w:pPr>
        <w:pStyle w:val="Style35"/>
        <w:keepNext w:val="0"/>
        <w:keepLines w:val="0"/>
        <w:widowControl w:val="0"/>
        <w:shd w:val="clear" w:color="auto" w:fill="auto"/>
        <w:bidi w:val="0"/>
        <w:spacing w:before="0" w:after="0" w:line="331" w:lineRule="exact"/>
        <w:ind w:left="0" w:right="0"/>
        <w:jc w:val="both"/>
      </w:pPr>
      <w:r>
        <w:rPr>
          <w:color w:val="000000"/>
          <w:spacing w:val="0"/>
          <w:w w:val="100"/>
          <w:position w:val="0"/>
        </w:rPr>
        <w:t>本公司在单项工具层面无法以合理成本获得关于信用风险显著增加的充分证据时，本公司在组合基础上评估信用风险是 否显著增加。</w:t>
      </w:r>
    </w:p>
    <w:p>
      <w:pPr>
        <w:pStyle w:val="Style35"/>
        <w:keepNext w:val="0"/>
        <w:keepLines w:val="0"/>
        <w:widowControl w:val="0"/>
        <w:shd w:val="clear" w:color="auto" w:fill="auto"/>
        <w:bidi w:val="0"/>
        <w:spacing w:before="0" w:after="0" w:line="331" w:lineRule="exact"/>
        <w:ind w:left="0" w:right="0"/>
        <w:jc w:val="both"/>
      </w:pPr>
      <w:r>
        <w:rPr>
          <w:color w:val="000000"/>
          <w:spacing w:val="0"/>
          <w:w w:val="100"/>
          <w:position w:val="0"/>
        </w:rPr>
        <w:t>对于适用本项政策有关金融工具减值规定的各类金融工具，本公司按照下列方法确定其信用损失：</w:t>
      </w:r>
    </w:p>
    <w:p>
      <w:pPr>
        <w:pStyle w:val="Style35"/>
        <w:keepNext w:val="0"/>
        <w:keepLines w:val="0"/>
        <w:widowControl w:val="0"/>
        <w:numPr>
          <w:ilvl w:val="0"/>
          <w:numId w:val="99"/>
        </w:numPr>
        <w:shd w:val="clear" w:color="auto" w:fill="auto"/>
        <w:tabs>
          <w:tab w:pos="681" w:val="left"/>
        </w:tabs>
        <w:bidi w:val="0"/>
        <w:spacing w:before="0" w:after="0" w:line="331" w:lineRule="exact"/>
        <w:ind w:left="0" w:right="0"/>
        <w:jc w:val="both"/>
      </w:pPr>
      <w:bookmarkStart w:id="874" w:name="bookmark874"/>
      <w:bookmarkEnd w:id="874"/>
      <w:r>
        <w:rPr>
          <w:color w:val="000000"/>
          <w:spacing w:val="0"/>
          <w:w w:val="100"/>
          <w:position w:val="0"/>
        </w:rPr>
        <w:t>对于金融资产，信用损失为本公司收取的合同现金流量与预期收取的现金流量之间差额的现值。</w:t>
      </w:r>
    </w:p>
    <w:p>
      <w:pPr>
        <w:pStyle w:val="Style35"/>
        <w:keepNext w:val="0"/>
        <w:keepLines w:val="0"/>
        <w:widowControl w:val="0"/>
        <w:numPr>
          <w:ilvl w:val="0"/>
          <w:numId w:val="99"/>
        </w:numPr>
        <w:shd w:val="clear" w:color="auto" w:fill="auto"/>
        <w:tabs>
          <w:tab w:pos="695" w:val="left"/>
        </w:tabs>
        <w:bidi w:val="0"/>
        <w:spacing w:before="0" w:after="0" w:line="331" w:lineRule="exact"/>
        <w:ind w:left="0" w:right="0"/>
        <w:jc w:val="both"/>
      </w:pPr>
      <w:bookmarkStart w:id="875" w:name="bookmark875"/>
      <w:bookmarkEnd w:id="875"/>
      <w:r>
        <w:rPr>
          <w:color w:val="000000"/>
          <w:spacing w:val="0"/>
          <w:w w:val="100"/>
          <w:position w:val="0"/>
        </w:rPr>
        <w:t>对于租赁应收款项，信用损失为本公司应收取的合同现金流量与预期收取的现金流量之间差额的现值。</w:t>
      </w:r>
    </w:p>
    <w:p>
      <w:pPr>
        <w:pStyle w:val="Style35"/>
        <w:keepNext w:val="0"/>
        <w:keepLines w:val="0"/>
        <w:widowControl w:val="0"/>
        <w:numPr>
          <w:ilvl w:val="0"/>
          <w:numId w:val="99"/>
        </w:numPr>
        <w:shd w:val="clear" w:color="auto" w:fill="auto"/>
        <w:tabs>
          <w:tab w:pos="651" w:val="left"/>
        </w:tabs>
        <w:bidi w:val="0"/>
        <w:spacing w:before="0" w:after="0" w:line="331" w:lineRule="exact"/>
        <w:ind w:left="0" w:right="0"/>
        <w:jc w:val="both"/>
      </w:pPr>
      <w:bookmarkStart w:id="876" w:name="bookmark876"/>
      <w:bookmarkEnd w:id="876"/>
      <w:r>
        <w:rPr>
          <w:color w:val="000000"/>
          <w:spacing w:val="0"/>
          <w:w w:val="100"/>
          <w:position w:val="0"/>
        </w:rPr>
        <w:t>对于未提用的贷款承诺，信用损失应为在贷款承诺持有人提用相应贷款的情况下，本公司应收取的合同现金流量与预 期收取的现金流量之间差额的现值。</w:t>
      </w:r>
    </w:p>
    <w:p>
      <w:pPr>
        <w:pStyle w:val="Style35"/>
        <w:keepNext w:val="0"/>
        <w:keepLines w:val="0"/>
        <w:widowControl w:val="0"/>
        <w:numPr>
          <w:ilvl w:val="0"/>
          <w:numId w:val="99"/>
        </w:numPr>
        <w:shd w:val="clear" w:color="auto" w:fill="auto"/>
        <w:tabs>
          <w:tab w:pos="651" w:val="left"/>
        </w:tabs>
        <w:bidi w:val="0"/>
        <w:spacing w:before="0" w:after="0" w:line="331" w:lineRule="exact"/>
        <w:ind w:left="0" w:right="0"/>
        <w:jc w:val="both"/>
      </w:pPr>
      <w:bookmarkStart w:id="877" w:name="bookmark877"/>
      <w:bookmarkEnd w:id="877"/>
      <w:r>
        <w:rPr>
          <w:color w:val="000000"/>
          <w:spacing w:val="0"/>
          <w:w w:val="100"/>
          <w:position w:val="0"/>
        </w:rPr>
        <w:t>对于财务担保合同，信用损失应为本公司就该合同持有人发生的信用损失向其做出赔付的预计付款额，减去本公司预 期向该合同持有人、债务人或任何其他方收取的金额之间差额的现值。</w:t>
      </w:r>
    </w:p>
    <w:p>
      <w:pPr>
        <w:pStyle w:val="Style35"/>
        <w:keepNext w:val="0"/>
        <w:keepLines w:val="0"/>
        <w:widowControl w:val="0"/>
        <w:numPr>
          <w:ilvl w:val="0"/>
          <w:numId w:val="99"/>
        </w:numPr>
        <w:shd w:val="clear" w:color="auto" w:fill="auto"/>
        <w:tabs>
          <w:tab w:pos="646" w:val="left"/>
        </w:tabs>
        <w:bidi w:val="0"/>
        <w:spacing w:before="0" w:after="140" w:line="331" w:lineRule="exact"/>
        <w:ind w:left="0" w:right="0"/>
        <w:jc w:val="both"/>
      </w:pPr>
      <w:bookmarkStart w:id="878" w:name="bookmark878"/>
      <w:bookmarkEnd w:id="878"/>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35"/>
        <w:keepNext w:val="0"/>
        <w:keepLines w:val="0"/>
        <w:widowControl w:val="0"/>
        <w:shd w:val="clear" w:color="auto" w:fill="auto"/>
        <w:bidi w:val="0"/>
        <w:spacing w:before="0" w:after="0" w:line="240" w:lineRule="auto"/>
        <w:ind w:left="0" w:right="0"/>
        <w:jc w:val="both"/>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649" w:right="1030" w:bottom="1158" w:left="1073" w:header="221" w:footer="3" w:gutter="0"/>
          <w:cols w:space="720"/>
          <w:noEndnote/>
          <w:rtlGutter w:val="0"/>
          <w:docGrid w:linePitch="360"/>
        </w:sectPr>
      </w:pPr>
      <w:bookmarkStart w:id="879" w:name="bookmark879"/>
      <w:r>
        <w:rPr>
          <w:rFonts w:ascii="Times New Roman" w:eastAsia="Times New Roman" w:hAnsi="Times New Roman" w:cs="Times New Roman"/>
          <w:color w:val="000000"/>
          <w:spacing w:val="0"/>
          <w:w w:val="100"/>
          <w:position w:val="0"/>
          <w:sz w:val="18"/>
          <w:szCs w:val="18"/>
        </w:rPr>
        <w:t>3</w:t>
      </w:r>
      <w:bookmarkEnd w:id="879"/>
      <w:r>
        <w:rPr>
          <w:color w:val="000000"/>
          <w:spacing w:val="0"/>
          <w:w w:val="100"/>
          <w:position w:val="0"/>
        </w:rPr>
        <w:t>）信用风险显著增加</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本公司通过比较金融工具在初始确认时所确定的预计存续期内的违约概率和该工具在资产负债表日所确定的预计存续 期内的违约概率，来判定金融工具信用风险是否显著增加。除特殊情形外，本公司采用未来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 作为整个存续期内发生违约风险变化的合理估计，以确定自初始确认后信用风险是否已显著增加。</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本公司确定金融工具在资产负债表日只具有较低的信用风险的，可以假设该金融工具的信用风险自初始确认后并未显著 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日，本公司即认为该金融工具的信用风险已显著增加，除非有确凿证据证明该金融工具的信用风险自 初始确认后并未显著增加。</w:t>
      </w:r>
    </w:p>
    <w:p>
      <w:pPr>
        <w:pStyle w:val="Style35"/>
        <w:keepNext w:val="0"/>
        <w:keepLines w:val="0"/>
        <w:widowControl w:val="0"/>
        <w:shd w:val="clear" w:color="auto" w:fill="auto"/>
        <w:bidi w:val="0"/>
        <w:spacing w:before="0" w:after="0" w:line="314" w:lineRule="exact"/>
        <w:ind w:left="0" w:right="0"/>
        <w:jc w:val="both"/>
      </w:pPr>
      <w:bookmarkStart w:id="880" w:name="bookmark880"/>
      <w:r>
        <w:rPr>
          <w:rFonts w:ascii="Times New Roman" w:eastAsia="Times New Roman" w:hAnsi="Times New Roman" w:cs="Times New Roman"/>
          <w:color w:val="000000"/>
          <w:spacing w:val="0"/>
          <w:w w:val="100"/>
          <w:position w:val="0"/>
          <w:sz w:val="18"/>
          <w:szCs w:val="18"/>
        </w:rPr>
        <w:t>4</w:t>
      </w:r>
      <w:bookmarkEnd w:id="880"/>
      <w:r>
        <w:rPr>
          <w:color w:val="000000"/>
          <w:spacing w:val="0"/>
          <w:w w:val="100"/>
          <w:position w:val="0"/>
        </w:rPr>
        <w:t>）应收票据及应收账款减值</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对于应收票据及应收账款，无论是否存在重大融资成分，本公司均按照整个存续期的预期信用损失计量损失准备。</w:t>
      </w:r>
    </w:p>
    <w:p>
      <w:pPr>
        <w:pStyle w:val="Style35"/>
        <w:keepNext w:val="0"/>
        <w:keepLines w:val="0"/>
        <w:widowControl w:val="0"/>
        <w:shd w:val="clear" w:color="auto" w:fill="auto"/>
        <w:bidi w:val="0"/>
        <w:spacing w:before="0" w:after="120" w:line="313" w:lineRule="exact"/>
        <w:ind w:left="0" w:right="0"/>
        <w:jc w:val="both"/>
      </w:pPr>
      <w:r>
        <w:rPr>
          <w:color w:val="000000"/>
          <w:spacing w:val="0"/>
          <w:w w:val="100"/>
          <w:position w:val="0"/>
        </w:rPr>
        <w:t>当单项应收票据及应收账款无法以合理成本评估预期信用损失的信息时，本公司依据信用风险特征将应收票据及应收账 款划分为若干组合，在组合基础上计算预期信用损失。如果有客观证据表明某项应收票据及应收账款已经发生信用减值，则 本公司对该应收票据及应收账款单项计提坏准备并确认预期信用损失。对于划分为组合的应收票据及应收账款，本公司参考 历史信用损失经验，结合当前状况以及对未来经济状况的预测，通过违约风险敞口和整个存续期预期信用损失率，计算预期 信用损失。</w:t>
      </w:r>
    </w:p>
    <w:p>
      <w:pPr>
        <w:pStyle w:val="Style33"/>
        <w:keepNext w:val="0"/>
        <w:keepLines w:val="0"/>
        <w:widowControl w:val="0"/>
        <w:shd w:val="clear" w:color="auto" w:fill="auto"/>
        <w:bidi w:val="0"/>
        <w:spacing w:before="0" w:after="0" w:line="240" w:lineRule="auto"/>
        <w:ind w:left="384" w:right="0" w:firstLine="0"/>
        <w:jc w:val="left"/>
      </w:pPr>
      <w:r>
        <w:rPr>
          <w:color w:val="000000"/>
          <w:spacing w:val="0"/>
          <w:w w:val="100"/>
          <w:position w:val="0"/>
        </w:rPr>
        <w:t>应收票据及应收账款组合:</w:t>
      </w:r>
    </w:p>
    <w:tbl>
      <w:tblPr>
        <w:tblOverlap w:val="never"/>
        <w:jc w:val="center"/>
        <w:tblLayout w:type="fixed"/>
      </w:tblPr>
      <w:tblGrid>
        <w:gridCol w:w="3725"/>
        <w:gridCol w:w="5933"/>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确定组合依据</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评估为正常的、低风险的商业承兑汇票</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热处理业务类款项</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互联财税业务类款项</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应收关联公司账款</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jc w:val="both"/>
      </w:pPr>
      <w:r>
        <w:rPr>
          <w:color w:val="000000"/>
          <w:spacing w:val="0"/>
          <w:w w:val="100"/>
          <w:position w:val="0"/>
        </w:rPr>
        <w:t>经过测试，上述应收票据组合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一般情况下不计提预期信用损失。</w:t>
      </w:r>
    </w:p>
    <w:p>
      <w:pPr>
        <w:pStyle w:val="Style35"/>
        <w:keepNext w:val="0"/>
        <w:keepLines w:val="0"/>
        <w:widowControl w:val="0"/>
        <w:shd w:val="clear" w:color="auto" w:fill="auto"/>
        <w:bidi w:val="0"/>
        <w:spacing w:before="0" w:after="120" w:line="240" w:lineRule="auto"/>
        <w:ind w:left="0" w:right="0"/>
        <w:jc w:val="both"/>
      </w:pPr>
      <w:bookmarkStart w:id="881" w:name="bookmark881"/>
      <w:r>
        <w:rPr>
          <w:rFonts w:ascii="Times New Roman" w:eastAsia="Times New Roman" w:hAnsi="Times New Roman" w:cs="Times New Roman"/>
          <w:color w:val="000000"/>
          <w:spacing w:val="0"/>
          <w:w w:val="100"/>
          <w:position w:val="0"/>
          <w:sz w:val="18"/>
          <w:szCs w:val="18"/>
        </w:rPr>
        <w:t>5</w:t>
      </w:r>
      <w:bookmarkEnd w:id="881"/>
      <w:r>
        <w:rPr>
          <w:color w:val="000000"/>
          <w:spacing w:val="0"/>
          <w:w w:val="100"/>
          <w:position w:val="0"/>
        </w:rPr>
        <w:t>）其他应收款减值</w:t>
      </w:r>
    </w:p>
    <w:p>
      <w:pPr>
        <w:pStyle w:val="Style35"/>
        <w:keepNext w:val="0"/>
        <w:keepLines w:val="0"/>
        <w:widowControl w:val="0"/>
        <w:shd w:val="clear" w:color="auto" w:fill="auto"/>
        <w:bidi w:val="0"/>
        <w:spacing w:before="0" w:after="120" w:line="240" w:lineRule="auto"/>
        <w:ind w:left="0" w:right="0"/>
        <w:jc w:val="both"/>
      </w:pPr>
      <w:r>
        <w:rPr>
          <w:color w:val="000000"/>
          <w:spacing w:val="0"/>
          <w:w w:val="100"/>
          <w:position w:val="0"/>
        </w:rPr>
        <w:t>按照（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）金融工具的减值</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减值准备的确认和计量中的描述确认和计量减值。</w:t>
      </w:r>
    </w:p>
    <w:p>
      <w:pPr>
        <w:pStyle w:val="Style35"/>
        <w:keepNext w:val="0"/>
        <w:keepLines w:val="0"/>
        <w:widowControl w:val="0"/>
        <w:shd w:val="clear" w:color="auto" w:fill="auto"/>
        <w:bidi w:val="0"/>
        <w:spacing w:before="0" w:after="120" w:line="240" w:lineRule="auto"/>
        <w:ind w:left="0" w:right="0"/>
        <w:jc w:val="both"/>
      </w:pPr>
      <w:r>
        <w:rPr>
          <w:color w:val="000000"/>
          <w:spacing w:val="0"/>
          <w:w w:val="100"/>
          <w:position w:val="0"/>
        </w:rPr>
        <w:t xml:space="preserve">当单项其他应收款无法以合理成本评估预期信用损失的信息时，本公司依据信用风险特征将其他应收款划分为若干组 </w:t>
      </w:r>
      <w:r>
        <w:rPr>
          <w:color w:val="000000"/>
          <w:spacing w:val="0"/>
          <w:w w:val="100"/>
          <w:position w:val="0"/>
        </w:rPr>
        <w:t>合，在组合基础上计算预期信用损失，确定组合的依据如下:</w:t>
      </w:r>
    </w:p>
    <w:p>
      <w:pPr>
        <w:pStyle w:val="Style35"/>
        <w:keepNext w:val="0"/>
        <w:keepLines w:val="0"/>
        <w:widowControl w:val="0"/>
        <w:shd w:val="clear" w:color="auto" w:fill="auto"/>
        <w:bidi w:val="0"/>
        <w:spacing w:before="0" w:after="120" w:line="240" w:lineRule="auto"/>
        <w:ind w:left="0" w:right="0"/>
        <w:jc w:val="both"/>
      </w:pPr>
      <w:r>
        <w:rPr>
          <w:color w:val="000000"/>
          <w:spacing w:val="0"/>
          <w:w w:val="100"/>
          <w:position w:val="0"/>
        </w:rPr>
        <w:t>其他应收款组合：</w:t>
      </w:r>
    </w:p>
    <w:tbl>
      <w:tblPr>
        <w:tblOverlap w:val="never"/>
        <w:jc w:val="center"/>
        <w:tblLayout w:type="fixed"/>
      </w:tblPr>
      <w:tblGrid>
        <w:gridCol w:w="3725"/>
        <w:gridCol w:w="5990"/>
      </w:tblGrid>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应收代垫款项</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r>
    </w:tbl>
    <w:p>
      <w:pPr>
        <w:widowControl w:val="0"/>
        <w:spacing w:after="119" w:line="1" w:lineRule="exact"/>
      </w:pPr>
    </w:p>
    <w:p>
      <w:pPr>
        <w:pStyle w:val="Style35"/>
        <w:keepNext w:val="0"/>
        <w:keepLines w:val="0"/>
        <w:widowControl w:val="0"/>
        <w:shd w:val="clear" w:color="auto" w:fill="auto"/>
        <w:tabs>
          <w:tab w:pos="763" w:val="left"/>
        </w:tabs>
        <w:bidi w:val="0"/>
        <w:spacing w:before="0" w:after="120" w:line="240" w:lineRule="auto"/>
        <w:ind w:left="0" w:right="0"/>
        <w:jc w:val="both"/>
      </w:pPr>
      <w:bookmarkStart w:id="882" w:name="bookmark882"/>
      <w:r>
        <w:rPr>
          <w:rFonts w:ascii="Times New Roman" w:eastAsia="Times New Roman" w:hAnsi="Times New Roman" w:cs="Times New Roman"/>
          <w:color w:val="000000"/>
          <w:spacing w:val="0"/>
          <w:w w:val="100"/>
          <w:position w:val="0"/>
          <w:sz w:val="18"/>
          <w:szCs w:val="18"/>
        </w:rPr>
        <w:t>6</w:t>
      </w:r>
      <w:bookmarkEnd w:id="882"/>
      <w:r>
        <w:rPr>
          <w:color w:val="000000"/>
          <w:spacing w:val="0"/>
          <w:w w:val="100"/>
          <w:position w:val="0"/>
        </w:rPr>
        <w:t>）</w:t>
        <w:tab/>
        <w:t>合同资产减值</w:t>
      </w:r>
    </w:p>
    <w:p>
      <w:pPr>
        <w:pStyle w:val="Style35"/>
        <w:keepNext w:val="0"/>
        <w:keepLines w:val="0"/>
        <w:widowControl w:val="0"/>
        <w:shd w:val="clear" w:color="auto" w:fill="auto"/>
        <w:bidi w:val="0"/>
        <w:spacing w:before="0" w:after="120" w:line="240" w:lineRule="auto"/>
        <w:ind w:left="0" w:right="0"/>
        <w:jc w:val="both"/>
      </w:pPr>
      <w:r>
        <w:rPr>
          <w:color w:val="000000"/>
          <w:spacing w:val="0"/>
          <w:w w:val="100"/>
          <w:position w:val="0"/>
        </w:rPr>
        <w:t>对于合同资产，无论是否存在重大融资成分，本公司均按照整个存续期的预期信用损失计量损失准备。</w:t>
      </w:r>
    </w:p>
    <w:p>
      <w:pPr>
        <w:pStyle w:val="Style35"/>
        <w:keepNext w:val="0"/>
        <w:keepLines w:val="0"/>
        <w:widowControl w:val="0"/>
        <w:shd w:val="clear" w:color="auto" w:fill="auto"/>
        <w:tabs>
          <w:tab w:pos="763" w:val="left"/>
        </w:tabs>
        <w:bidi w:val="0"/>
        <w:spacing w:before="0" w:after="120" w:line="240" w:lineRule="auto"/>
        <w:ind w:left="0" w:right="0"/>
        <w:jc w:val="both"/>
      </w:pPr>
      <w:bookmarkStart w:id="883" w:name="bookmark883"/>
      <w:r>
        <w:rPr>
          <w:rFonts w:ascii="Times New Roman" w:eastAsia="Times New Roman" w:hAnsi="Times New Roman" w:cs="Times New Roman"/>
          <w:color w:val="000000"/>
          <w:spacing w:val="0"/>
          <w:w w:val="100"/>
          <w:position w:val="0"/>
          <w:sz w:val="18"/>
          <w:szCs w:val="18"/>
        </w:rPr>
        <w:t>7</w:t>
      </w:r>
      <w:bookmarkEnd w:id="883"/>
      <w:r>
        <w:rPr>
          <w:color w:val="000000"/>
          <w:spacing w:val="0"/>
          <w:w w:val="100"/>
          <w:position w:val="0"/>
        </w:rPr>
        <w:t>）</w:t>
        <w:tab/>
        <w:t>长期应收款及长期应收款减值</w:t>
      </w:r>
    </w:p>
    <w:p>
      <w:pPr>
        <w:pStyle w:val="Style35"/>
        <w:keepNext w:val="0"/>
        <w:keepLines w:val="0"/>
        <w:widowControl w:val="0"/>
        <w:shd w:val="clear" w:color="auto" w:fill="auto"/>
        <w:bidi w:val="0"/>
        <w:spacing w:before="0" w:after="120" w:line="240" w:lineRule="auto"/>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号——收入》规范的交易形成的长期应收款，无论是否存在重大融资成分，本公司均按照整</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个存续期的预期信用损失计量损失准备。其他情形形成的长期应收款，则按照</w:t>
      </w:r>
      <w:r>
        <w:rPr>
          <w:rFonts w:ascii="Times New Roman" w:eastAsia="Times New Roman" w:hAnsi="Times New Roman" w:cs="Times New Roman"/>
          <w:color w:val="000000"/>
          <w:spacing w:val="0"/>
          <w:w w:val="100"/>
          <w:position w:val="0"/>
          <w:sz w:val="18"/>
          <w:szCs w:val="18"/>
        </w:rPr>
        <w:t xml:space="preserve">3.10.7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中的描述确认和计量减值。</w:t>
      </w:r>
    </w:p>
    <w:p>
      <w:pPr>
        <w:pStyle w:val="Style35"/>
        <w:keepNext w:val="0"/>
        <w:keepLines w:val="0"/>
        <w:widowControl w:val="0"/>
        <w:shd w:val="clear" w:color="auto" w:fill="auto"/>
        <w:bidi w:val="0"/>
        <w:spacing w:before="0" w:after="120" w:line="240" w:lineRule="auto"/>
        <w:ind w:left="0" w:right="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8</w:t>
      </w:r>
      <w:r>
        <w:rPr>
          <w:color w:val="000000"/>
          <w:spacing w:val="0"/>
          <w:w w:val="100"/>
          <w:position w:val="0"/>
        </w:rPr>
        <w:t>）利得和损失</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本公司将以公允价值计量的金融资产或金融负债的利得或损失计入当期损益，除非该金融资产或金融负债属于下列情形 之一:</w:t>
      </w:r>
    </w:p>
    <w:p>
      <w:pPr>
        <w:pStyle w:val="Style35"/>
        <w:keepNext w:val="0"/>
        <w:keepLines w:val="0"/>
        <w:widowControl w:val="0"/>
        <w:numPr>
          <w:ilvl w:val="0"/>
          <w:numId w:val="101"/>
        </w:numPr>
        <w:shd w:val="clear" w:color="auto" w:fill="auto"/>
        <w:tabs>
          <w:tab w:pos="661" w:val="left"/>
        </w:tabs>
        <w:bidi w:val="0"/>
        <w:spacing w:before="0" w:after="0" w:line="314" w:lineRule="exact"/>
        <w:ind w:left="0" w:right="0"/>
        <w:jc w:val="both"/>
      </w:pPr>
      <w:bookmarkStart w:id="885" w:name="bookmark885"/>
      <w:bookmarkEnd w:id="885"/>
      <w:r>
        <w:rPr>
          <w:color w:val="000000"/>
          <w:spacing w:val="0"/>
          <w:w w:val="100"/>
          <w:position w:val="0"/>
        </w:rPr>
        <w:t>属于《企业会计准则第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号——套期会计》规定的套期关系的一部分。</w:t>
      </w:r>
    </w:p>
    <w:p>
      <w:pPr>
        <w:pStyle w:val="Style35"/>
        <w:keepNext w:val="0"/>
        <w:keepLines w:val="0"/>
        <w:widowControl w:val="0"/>
        <w:numPr>
          <w:ilvl w:val="0"/>
          <w:numId w:val="101"/>
        </w:numPr>
        <w:shd w:val="clear" w:color="auto" w:fill="auto"/>
        <w:tabs>
          <w:tab w:pos="676" w:val="left"/>
        </w:tabs>
        <w:bidi w:val="0"/>
        <w:spacing w:before="0" w:after="0" w:line="314" w:lineRule="exact"/>
        <w:ind w:left="0" w:right="0"/>
        <w:jc w:val="both"/>
      </w:pPr>
      <w:bookmarkStart w:id="886" w:name="bookmark886"/>
      <w:bookmarkEnd w:id="886"/>
      <w:r>
        <w:rPr>
          <w:color w:val="000000"/>
          <w:spacing w:val="0"/>
          <w:w w:val="100"/>
          <w:position w:val="0"/>
        </w:rPr>
        <w:t>是一项对非交易性权益工具的投资，且本公司将其指定为以公允价值计量且其变动计入其他综合收益的金融资产。</w:t>
      </w:r>
    </w:p>
    <w:p>
      <w:pPr>
        <w:pStyle w:val="Style35"/>
        <w:keepNext w:val="0"/>
        <w:keepLines w:val="0"/>
        <w:widowControl w:val="0"/>
        <w:numPr>
          <w:ilvl w:val="0"/>
          <w:numId w:val="101"/>
        </w:numPr>
        <w:shd w:val="clear" w:color="auto" w:fill="auto"/>
        <w:tabs>
          <w:tab w:pos="631" w:val="left"/>
        </w:tabs>
        <w:bidi w:val="0"/>
        <w:spacing w:before="0" w:after="0" w:line="326" w:lineRule="exact"/>
        <w:ind w:left="0" w:right="0"/>
        <w:jc w:val="both"/>
      </w:pPr>
      <w:bookmarkStart w:id="887" w:name="bookmark887"/>
      <w:bookmarkEnd w:id="887"/>
      <w:r>
        <w:rPr>
          <w:color w:val="000000"/>
          <w:spacing w:val="0"/>
          <w:w w:val="100"/>
          <w:position w:val="0"/>
        </w:rPr>
        <w:t>是一项被指定为以公允价值计量且其变动计入当期损益的金融负债，该负债由本公司自身信用风险变动引起的其公允 价值变动应当计入其他综合收益。</w:t>
      </w:r>
    </w:p>
    <w:p>
      <w:pPr>
        <w:pStyle w:val="Style35"/>
        <w:keepNext w:val="0"/>
        <w:keepLines w:val="0"/>
        <w:widowControl w:val="0"/>
        <w:numPr>
          <w:ilvl w:val="0"/>
          <w:numId w:val="101"/>
        </w:numPr>
        <w:shd w:val="clear" w:color="auto" w:fill="auto"/>
        <w:tabs>
          <w:tab w:pos="631" w:val="left"/>
        </w:tabs>
        <w:bidi w:val="0"/>
        <w:spacing w:before="0" w:after="0" w:line="326" w:lineRule="exact"/>
        <w:ind w:left="0" w:right="0"/>
        <w:jc w:val="both"/>
      </w:pPr>
      <w:bookmarkStart w:id="888" w:name="bookmark888"/>
      <w:bookmarkEnd w:id="888"/>
      <w:r>
        <w:rPr>
          <w:color w:val="000000"/>
          <w:spacing w:val="0"/>
          <w:w w:val="100"/>
          <w:position w:val="0"/>
        </w:rPr>
        <w:t>是一项分类为以公允价值计量且其变动计入其他综合收益的金融资产（债务工具投资），其减值损失或利得和汇兑损 益之外的公允价值变动计入其他综合收益。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本公司只有在同时符合下列条件时，才能确认股利收入并计入当期损益：</w:t>
      </w:r>
    </w:p>
    <w:p>
      <w:pPr>
        <w:pStyle w:val="Style35"/>
        <w:keepNext w:val="0"/>
        <w:keepLines w:val="0"/>
        <w:widowControl w:val="0"/>
        <w:numPr>
          <w:ilvl w:val="0"/>
          <w:numId w:val="103"/>
        </w:numPr>
        <w:shd w:val="clear" w:color="auto" w:fill="auto"/>
        <w:tabs>
          <w:tab w:pos="661" w:val="left"/>
        </w:tabs>
        <w:bidi w:val="0"/>
        <w:spacing w:before="0" w:after="0" w:line="314" w:lineRule="exact"/>
        <w:ind w:left="0" w:right="0"/>
        <w:jc w:val="both"/>
      </w:pPr>
      <w:bookmarkStart w:id="889" w:name="bookmark889"/>
      <w:bookmarkEnd w:id="889"/>
      <w:r>
        <w:rPr>
          <w:color w:val="000000"/>
          <w:spacing w:val="0"/>
          <w:w w:val="100"/>
          <w:position w:val="0"/>
        </w:rPr>
        <w:t>本公司收取股利的权利已经确立；</w:t>
      </w:r>
    </w:p>
    <w:p>
      <w:pPr>
        <w:pStyle w:val="Style35"/>
        <w:keepNext w:val="0"/>
        <w:keepLines w:val="0"/>
        <w:widowControl w:val="0"/>
        <w:numPr>
          <w:ilvl w:val="0"/>
          <w:numId w:val="103"/>
        </w:numPr>
        <w:shd w:val="clear" w:color="auto" w:fill="auto"/>
        <w:tabs>
          <w:tab w:pos="676" w:val="left"/>
        </w:tabs>
        <w:bidi w:val="0"/>
        <w:spacing w:before="0" w:after="0" w:line="314" w:lineRule="exact"/>
        <w:ind w:left="0" w:right="0"/>
        <w:jc w:val="both"/>
      </w:pPr>
      <w:bookmarkStart w:id="890" w:name="bookmark890"/>
      <w:bookmarkEnd w:id="890"/>
      <w:r>
        <w:rPr>
          <w:color w:val="000000"/>
          <w:spacing w:val="0"/>
          <w:w w:val="100"/>
          <w:position w:val="0"/>
        </w:rPr>
        <w:t>与股利相关的经济利益很可能流入本公司；</w:t>
      </w:r>
    </w:p>
    <w:p>
      <w:pPr>
        <w:pStyle w:val="Style35"/>
        <w:keepNext w:val="0"/>
        <w:keepLines w:val="0"/>
        <w:widowControl w:val="0"/>
        <w:numPr>
          <w:ilvl w:val="0"/>
          <w:numId w:val="103"/>
        </w:numPr>
        <w:shd w:val="clear" w:color="auto" w:fill="auto"/>
        <w:tabs>
          <w:tab w:pos="676" w:val="left"/>
        </w:tabs>
        <w:bidi w:val="0"/>
        <w:spacing w:before="0" w:after="0" w:line="314" w:lineRule="exact"/>
        <w:ind w:left="0" w:right="0"/>
        <w:jc w:val="both"/>
      </w:pPr>
      <w:bookmarkStart w:id="891" w:name="bookmark891"/>
      <w:bookmarkEnd w:id="891"/>
      <w:r>
        <w:rPr>
          <w:color w:val="000000"/>
          <w:spacing w:val="0"/>
          <w:w w:val="100"/>
          <w:position w:val="0"/>
        </w:rPr>
        <w:t>股利的金额能够可靠计量。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以摊余成本计量且不属于任何套期关系的一部分的金融资产所产生的利得或损失，在终止确认、按照本项重分类、按照 实际利率法摊销或确认减值时，计入当期损益。本公司将一项以摊余成本计量的金融资产重分类为以公允价值计量且其变动 计入当期损益的金融资产的，按照该资产在重分类日的公允价值进行计量。原账面价值与公允价值之间的差额计入当期损益。 将一项以摊余成本计量的金融资产重分类为以公允价值计量且其变动计入其他综合收益的金融资产的，按照该金融资产在重 分类日的公允价值进行计量。原账面价值与公允价值之间的差额计入其他综合收益。以摊余成本计量且不属于任何套期关系 的一部分的金融负债所产生的利得或损失，在终止确认时计入当期损益或在按照实际利率法摊销时计入相关期间损益。</w:t>
      </w:r>
    </w:p>
    <w:p>
      <w:pPr>
        <w:pStyle w:val="Style35"/>
        <w:keepNext w:val="0"/>
        <w:keepLines w:val="0"/>
        <w:widowControl w:val="0"/>
        <w:shd w:val="clear" w:color="auto" w:fill="auto"/>
        <w:bidi w:val="0"/>
        <w:spacing w:before="0" w:after="0" w:line="336" w:lineRule="exact"/>
        <w:ind w:left="0" w:right="0"/>
        <w:jc w:val="both"/>
      </w:pPr>
      <w:r>
        <w:rPr>
          <w:color w:val="000000"/>
          <w:spacing w:val="0"/>
          <w:w w:val="100"/>
          <w:position w:val="0"/>
        </w:rPr>
        <w:t>对于本公司将金融负债指定为以公允价值计量且其变动计入当期损益的金融负债，该金融负债所产生的利得或损失按照 下列规定进行处理：</w:t>
      </w:r>
    </w:p>
    <w:p>
      <w:pPr>
        <w:pStyle w:val="Style35"/>
        <w:keepNext w:val="0"/>
        <w:keepLines w:val="0"/>
        <w:widowControl w:val="0"/>
        <w:numPr>
          <w:ilvl w:val="0"/>
          <w:numId w:val="105"/>
        </w:numPr>
        <w:shd w:val="clear" w:color="auto" w:fill="auto"/>
        <w:tabs>
          <w:tab w:pos="661" w:val="left"/>
        </w:tabs>
        <w:bidi w:val="0"/>
        <w:spacing w:before="0" w:after="0" w:line="336" w:lineRule="exact"/>
        <w:ind w:left="0" w:right="0"/>
        <w:jc w:val="both"/>
      </w:pPr>
      <w:bookmarkStart w:id="892" w:name="bookmark892"/>
      <w:bookmarkEnd w:id="892"/>
      <w:r>
        <w:rPr>
          <w:color w:val="000000"/>
          <w:spacing w:val="0"/>
          <w:w w:val="100"/>
          <w:position w:val="0"/>
        </w:rPr>
        <w:t>由本公司自身信用风险变动引起的该金融负债公允价值的变动金额，计入其他综合收益；</w:t>
      </w:r>
    </w:p>
    <w:p>
      <w:pPr>
        <w:pStyle w:val="Style35"/>
        <w:keepNext w:val="0"/>
        <w:keepLines w:val="0"/>
        <w:widowControl w:val="0"/>
        <w:numPr>
          <w:ilvl w:val="0"/>
          <w:numId w:val="105"/>
        </w:numPr>
        <w:shd w:val="clear" w:color="auto" w:fill="auto"/>
        <w:tabs>
          <w:tab w:pos="676" w:val="left"/>
        </w:tabs>
        <w:bidi w:val="0"/>
        <w:spacing w:before="0" w:after="0" w:line="336" w:lineRule="exact"/>
        <w:ind w:left="0" w:right="0"/>
        <w:jc w:val="both"/>
      </w:pPr>
      <w:bookmarkStart w:id="893" w:name="bookmark893"/>
      <w:bookmarkEnd w:id="893"/>
      <w:r>
        <w:rPr>
          <w:color w:val="000000"/>
          <w:spacing w:val="0"/>
          <w:w w:val="100"/>
          <w:position w:val="0"/>
        </w:rPr>
        <w:t>该金融负债的其他公允价值变动计入当期损益。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按照本条第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）规定对该金融负债的自身信用风险变动的影响进行处理会造成或扩大损益中的会计错配的，本公司将该 金融负债的全部利得或损失（包括本公司自身信用风险变动的影响金额）计入当期损益。该金融负债终止确认时，之前计入 其他综合收益的累计利得或损失应当从其他综合收益中转出，计入留存收益。</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本公司将非交易性权益工具投资指定为以公允价值计量且其变动计入其他综合收益的金融资产的，当该金融资产终止确 认时，之前计入其他综合收益的累计利得或损失从其他综合收益中转出，计入留存收益。</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分类为以公允价值计量且其变动计入其他综合收益的金融资产所产生的所有利得或损失（债务工具投资），除减值损失 或利得和汇兑损益之外，均计入其他综合收益，直至该金融资产终止确认或被重分类。但是，采用实际利率法计算的该金融 资产的利息计入当期损益。该金融资产终止确认时，之前计入其他综合收益的累计利得或损失应当从其他综合收益中转出， 计入当期损益。本公司将该金融资产重分类为其他类别金融资产的，对之前计入其他综合收益的累计利得或损失转出，调整 该金融资产在重分类日的公允价值，并以调整后的金额作为新的账面价值。</w:t>
      </w:r>
    </w:p>
    <w:p>
      <w:pPr>
        <w:pStyle w:val="Style35"/>
        <w:keepNext w:val="0"/>
        <w:keepLines w:val="0"/>
        <w:widowControl w:val="0"/>
        <w:shd w:val="clear" w:color="auto" w:fill="auto"/>
        <w:bidi w:val="0"/>
        <w:spacing w:before="0" w:after="0" w:line="314" w:lineRule="exact"/>
        <w:ind w:left="0" w:right="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9</w:t>
      </w:r>
      <w:r>
        <w:rPr>
          <w:color w:val="000000"/>
          <w:spacing w:val="0"/>
          <w:w w:val="100"/>
          <w:position w:val="0"/>
        </w:rPr>
        <w:t>）报表列示</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本公司将分类为以公允价值计量且其变动计入当期损益的金融资产，在“交易性金融资产”科目中列示。自资产负债表 日起超过一年到期且预期持有超过一年的以公允价值计量且其变动计入当期损益的非流动金融资产，在“其他非流动金融资 产”科目列示。</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本公司将分类为以摊余成本计量的长期债权投资，在“债权投资”科目中列示。自资产负债表日起一年内到期的长期债 权投资，在“一年内到期的非流动资产”科目列示。本公司购入的以摊余成本计量的一年内到期的债权投资，在“其他流动 资产”科目列示。</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本公司将分类为以公允价值计量且其变动计入其他综合收益的长期债权投资，在“其他债权投资”科目列示。自资产负 债表日起一年内到期的长期债权投资的期末账面价值，在“一年内到期的非流动资产”科目列示。本公司购入的以公允价值 计量且其变动计入其他综合收益的一年内到期的债权投资，在“其他流动资产”科目列示。</w:t>
      </w:r>
    </w:p>
    <w:p>
      <w:pPr>
        <w:pStyle w:val="Style35"/>
        <w:keepNext w:val="0"/>
        <w:keepLines w:val="0"/>
        <w:widowControl w:val="0"/>
        <w:shd w:val="clear" w:color="auto" w:fill="auto"/>
        <w:bidi w:val="0"/>
        <w:spacing w:before="0" w:after="0" w:line="302" w:lineRule="exact"/>
        <w:ind w:left="0" w:right="0"/>
        <w:jc w:val="both"/>
      </w:pPr>
      <w:r>
        <w:rPr>
          <w:color w:val="000000"/>
          <w:spacing w:val="0"/>
          <w:w w:val="100"/>
          <w:position w:val="0"/>
        </w:rPr>
        <w:t>本公司将指定为以公允价值计量且其变动计入其他综合收益的非交易性权益工具投资，在“其他权益工具投资”科目列 小。</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本公司承担的交易性金融负债，以及本公司持有的直接指定为以公允价值计量且其变动计入当期损益的金融负债，在 “交易性金融负债”科目列示。</w:t>
      </w:r>
    </w:p>
    <w:p>
      <w:pPr>
        <w:pStyle w:val="Style35"/>
        <w:keepNext w:val="0"/>
        <w:keepLines w:val="0"/>
        <w:widowControl w:val="0"/>
        <w:shd w:val="clear" w:color="auto" w:fill="auto"/>
        <w:bidi w:val="0"/>
        <w:spacing w:before="0" w:after="0" w:line="314" w:lineRule="exact"/>
        <w:ind w:left="0" w:right="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）权益工具</w:t>
      </w:r>
    </w:p>
    <w:p>
      <w:pPr>
        <w:pStyle w:val="Style35"/>
        <w:keepNext w:val="0"/>
        <w:keepLines w:val="0"/>
        <w:widowControl w:val="0"/>
        <w:shd w:val="clear" w:color="auto" w:fill="auto"/>
        <w:bidi w:val="0"/>
        <w:spacing w:before="0" w:after="400" w:line="314" w:lineRule="exact"/>
        <w:ind w:left="0" w:right="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 本公司对权益工具持有方的分配作为利润分配处理，发放的股票股利不影响所有者权益总额。</w:t>
      </w:r>
    </w:p>
    <w:p>
      <w:pPr>
        <w:pStyle w:val="Style39"/>
        <w:keepNext/>
        <w:keepLines/>
        <w:widowControl w:val="0"/>
        <w:shd w:val="clear" w:color="auto" w:fill="auto"/>
        <w:tabs>
          <w:tab w:pos="954" w:val="left"/>
        </w:tabs>
        <w:bidi w:val="0"/>
        <w:spacing w:before="0" w:after="280" w:line="240" w:lineRule="auto"/>
        <w:ind w:left="0" w:right="0" w:firstLine="48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0</w:t>
      </w:r>
      <w:r>
        <w:rPr>
          <w:color w:val="000000"/>
          <w:spacing w:val="0"/>
          <w:w w:val="100"/>
          <w:position w:val="0"/>
        </w:rPr>
        <w:t>、</w:t>
        <w:tab/>
        <w:t>应收票据</w:t>
      </w:r>
      <w:bookmarkEnd w:id="896"/>
      <w:bookmarkEnd w:id="897"/>
      <w:bookmarkEnd w:id="899"/>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应收票据的预期信用损失的确定方法及会计处理方法</w:t>
      </w:r>
    </w:p>
    <w:p>
      <w:pPr>
        <w:pStyle w:val="Style35"/>
        <w:keepNext w:val="0"/>
        <w:keepLines w:val="0"/>
        <w:widowControl w:val="0"/>
        <w:shd w:val="clear" w:color="auto" w:fill="auto"/>
        <w:bidi w:val="0"/>
        <w:spacing w:before="0" w:after="400" w:line="314"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9"/>
        <w:keepNext/>
        <w:keepLines/>
        <w:widowControl w:val="0"/>
        <w:shd w:val="clear" w:color="auto" w:fill="auto"/>
        <w:tabs>
          <w:tab w:pos="954" w:val="left"/>
        </w:tabs>
        <w:bidi w:val="0"/>
        <w:spacing w:before="0" w:after="280" w:line="240" w:lineRule="auto"/>
        <w:ind w:left="0" w:right="0" w:firstLine="48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900"/>
      <w:bookmarkEnd w:id="901"/>
      <w:bookmarkEnd w:id="903"/>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应收账款的预期信用损失的确定方法及会计处理方法</w:t>
      </w:r>
    </w:p>
    <w:p>
      <w:pPr>
        <w:pStyle w:val="Style35"/>
        <w:keepNext w:val="0"/>
        <w:keepLines w:val="0"/>
        <w:widowControl w:val="0"/>
        <w:shd w:val="clear" w:color="auto" w:fill="auto"/>
        <w:bidi w:val="0"/>
        <w:spacing w:before="0" w:after="400" w:line="314"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9"/>
        <w:keepNext/>
        <w:keepLines/>
        <w:widowControl w:val="0"/>
        <w:shd w:val="clear" w:color="auto" w:fill="auto"/>
        <w:tabs>
          <w:tab w:pos="954" w:val="left"/>
        </w:tabs>
        <w:bidi w:val="0"/>
        <w:spacing w:before="0" w:after="280" w:line="240" w:lineRule="auto"/>
        <w:ind w:left="0" w:right="0" w:firstLine="48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904"/>
      <w:bookmarkEnd w:id="905"/>
      <w:bookmarkEnd w:id="907"/>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当应收票据和应收账款同时满足以下条件时，本公司将其划分为以公允价值计量且其变动计入其他综合收益的金融资 产，相关具体会计处理方式见</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金融工具，在报表中列示为应收款项融资：</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合同现金流量为对本金和以未偿付本金金额为基础的利息的支付；</w:t>
      </w:r>
    </w:p>
    <w:p>
      <w:pPr>
        <w:pStyle w:val="Style35"/>
        <w:keepNext w:val="0"/>
        <w:keepLines w:val="0"/>
        <w:widowControl w:val="0"/>
        <w:shd w:val="clear" w:color="auto" w:fill="auto"/>
        <w:bidi w:val="0"/>
        <w:spacing w:before="0" w:after="400" w:line="314" w:lineRule="exact"/>
        <w:ind w:left="0" w:right="0"/>
        <w:jc w:val="both"/>
      </w:pPr>
      <w:r>
        <w:rPr>
          <w:color w:val="000000"/>
          <w:spacing w:val="0"/>
          <w:w w:val="100"/>
          <w:position w:val="0"/>
        </w:rPr>
        <w:t>本公司管理应收票据和应收账款的业务模式既以收取合同现金流量为目标又以出售为目标。</w:t>
      </w:r>
    </w:p>
    <w:p>
      <w:pPr>
        <w:pStyle w:val="Style39"/>
        <w:keepNext/>
        <w:keepLines/>
        <w:widowControl w:val="0"/>
        <w:shd w:val="clear" w:color="auto" w:fill="auto"/>
        <w:tabs>
          <w:tab w:pos="954" w:val="left"/>
        </w:tabs>
        <w:bidi w:val="0"/>
        <w:spacing w:before="0" w:after="280" w:line="240" w:lineRule="auto"/>
        <w:ind w:left="0" w:right="0" w:firstLine="48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908"/>
      <w:bookmarkEnd w:id="909"/>
      <w:bookmarkEnd w:id="911"/>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其他应收款的预期信用损失的确定方法及会计处理方法</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其他应收款的预期信用损失的确定方法及会计处理方法</w:t>
      </w:r>
    </w:p>
    <w:p>
      <w:pPr>
        <w:pStyle w:val="Style35"/>
        <w:keepNext w:val="0"/>
        <w:keepLines w:val="0"/>
        <w:widowControl w:val="0"/>
        <w:shd w:val="clear" w:color="auto" w:fill="auto"/>
        <w:bidi w:val="0"/>
        <w:spacing w:before="0" w:after="400" w:line="314"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9"/>
        <w:keepNext/>
        <w:keepLines/>
        <w:widowControl w:val="0"/>
        <w:shd w:val="clear" w:color="auto" w:fill="auto"/>
        <w:tabs>
          <w:tab w:pos="954" w:val="left"/>
        </w:tabs>
        <w:bidi w:val="0"/>
        <w:spacing w:before="0" w:after="280" w:line="240" w:lineRule="auto"/>
        <w:ind w:left="0" w:right="0" w:firstLine="48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912"/>
      <w:bookmarkEnd w:id="913"/>
      <w:bookmarkEnd w:id="915"/>
    </w:p>
    <w:p>
      <w:pPr>
        <w:pStyle w:val="Style35"/>
        <w:keepNext w:val="0"/>
        <w:keepLines w:val="0"/>
        <w:widowControl w:val="0"/>
        <w:shd w:val="clear" w:color="auto" w:fill="auto"/>
        <w:tabs>
          <w:tab w:pos="845" w:val="left"/>
        </w:tabs>
        <w:bidi w:val="0"/>
        <w:spacing w:before="0" w:after="0" w:line="314" w:lineRule="exact"/>
        <w:ind w:left="0" w:right="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存货的类别</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存货包括原材料、在产品、库存商品、发出商品、低值易耗品等，按成本与可变现净值孰低列示。</w:t>
      </w:r>
    </w:p>
    <w:p>
      <w:pPr>
        <w:pStyle w:val="Style35"/>
        <w:keepNext w:val="0"/>
        <w:keepLines w:val="0"/>
        <w:widowControl w:val="0"/>
        <w:shd w:val="clear" w:color="auto" w:fill="auto"/>
        <w:tabs>
          <w:tab w:pos="845" w:val="left"/>
        </w:tabs>
        <w:bidi w:val="0"/>
        <w:spacing w:before="0" w:after="0" w:line="314" w:lineRule="exact"/>
        <w:ind w:left="0" w:right="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存货发出时的成本按加权平均法核算，产成品和在产品成本包括原材料、直接人工以及在正常生产能力下按照一定方法 分配的制造费用。</w:t>
      </w:r>
    </w:p>
    <w:p>
      <w:pPr>
        <w:pStyle w:val="Style35"/>
        <w:keepNext w:val="0"/>
        <w:keepLines w:val="0"/>
        <w:widowControl w:val="0"/>
        <w:shd w:val="clear" w:color="auto" w:fill="auto"/>
        <w:tabs>
          <w:tab w:pos="845" w:val="left"/>
        </w:tabs>
        <w:bidi w:val="0"/>
        <w:spacing w:before="0" w:after="0" w:line="322" w:lineRule="exact"/>
        <w:ind w:left="0" w:right="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确定不同类别存货可变现净值的依据</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存货成本高于其可变现净值的，计提存货跌价准备，计入当期损益。可变现净值，是指在日常活动中，存货的估计售价 减去至完工时估计将要发生的成本、估计的销售费用以及相关税费后的金额。公司确定存货的可变现净值，以取得的确凿证 据为基础，并且考虑持有存货的目的、资产负债表日后事项的影响等因素。</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为生产而持有的材料等，用其生产的产成品的可变现净值高于成本的，该材料仍然按照成本计量；材料价格的下降表明 产成品的可变现净值低于成本的，该材料按照可变现净值计量。</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为执行销售合同或者劳务合同而持有的存货，其可变现净值以合同价格为基础计算。持有存货的数量多于销售合同订购 数量的，超出部分的存货的可变现净值以一般销售价格为基础计算。</w:t>
      </w:r>
    </w:p>
    <w:p>
      <w:pPr>
        <w:pStyle w:val="Style35"/>
        <w:keepNext w:val="0"/>
        <w:keepLines w:val="0"/>
        <w:widowControl w:val="0"/>
        <w:shd w:val="clear" w:color="auto" w:fill="auto"/>
        <w:tabs>
          <w:tab w:pos="845" w:val="left"/>
        </w:tabs>
        <w:bidi w:val="0"/>
        <w:spacing w:before="0" w:after="0" w:line="317" w:lineRule="exact"/>
        <w:ind w:left="0" w:right="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存货盘存制度采用永续盘存制。</w:t>
      </w:r>
    </w:p>
    <w:p>
      <w:pPr>
        <w:pStyle w:val="Style35"/>
        <w:keepNext w:val="0"/>
        <w:keepLines w:val="0"/>
        <w:widowControl w:val="0"/>
        <w:shd w:val="clear" w:color="auto" w:fill="auto"/>
        <w:tabs>
          <w:tab w:pos="845" w:val="left"/>
        </w:tabs>
        <w:bidi w:val="0"/>
        <w:spacing w:before="0" w:after="0" w:line="317" w:lineRule="exact"/>
        <w:ind w:left="0" w:right="0"/>
        <w:jc w:val="left"/>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低值易耗品在领用时采用一次转销法核算成本。</w:t>
      </w:r>
    </w:p>
    <w:p>
      <w:pPr>
        <w:pStyle w:val="Style35"/>
        <w:keepNext w:val="0"/>
        <w:keepLines w:val="0"/>
        <w:widowControl w:val="0"/>
        <w:shd w:val="clear" w:color="auto" w:fill="auto"/>
        <w:bidi w:val="0"/>
        <w:spacing w:before="0" w:after="400" w:line="317" w:lineRule="exact"/>
        <w:ind w:left="0" w:right="0"/>
        <w:jc w:val="left"/>
      </w:pPr>
      <w:r>
        <w:rPr>
          <w:color w:val="000000"/>
          <w:spacing w:val="0"/>
          <w:w w:val="100"/>
          <w:position w:val="0"/>
        </w:rPr>
        <w:t>包装物在领用时采用一次转销法核算成本。</w:t>
      </w:r>
    </w:p>
    <w:p>
      <w:pPr>
        <w:pStyle w:val="Style39"/>
        <w:keepNext/>
        <w:keepLines/>
        <w:widowControl w:val="0"/>
        <w:shd w:val="clear" w:color="auto" w:fill="auto"/>
        <w:tabs>
          <w:tab w:pos="954" w:val="left"/>
        </w:tabs>
        <w:bidi w:val="0"/>
        <w:spacing w:before="0" w:after="280" w:line="240" w:lineRule="auto"/>
        <w:ind w:left="0" w:right="0" w:firstLine="48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921"/>
      <w:bookmarkEnd w:id="922"/>
      <w:bookmarkEnd w:id="924"/>
    </w:p>
    <w:p>
      <w:pPr>
        <w:pStyle w:val="Style35"/>
        <w:keepNext w:val="0"/>
        <w:keepLines w:val="0"/>
        <w:widowControl w:val="0"/>
        <w:shd w:val="clear" w:color="auto" w:fill="auto"/>
        <w:tabs>
          <w:tab w:pos="845" w:val="left"/>
        </w:tabs>
        <w:bidi w:val="0"/>
        <w:spacing w:before="0" w:after="0" w:line="317" w:lineRule="exact"/>
        <w:ind w:left="0" w:right="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合同资产的确认方法及标准</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本公司将拥有的、无条件（即仅取决于时间流逝）向客户收取对价的权利作为应收款项列示，将已向客户转让商品而有 权收取对价的权利，且该权利取决于时间流逝之外的其他因素作为合同资产列示。</w:t>
      </w:r>
    </w:p>
    <w:p>
      <w:pPr>
        <w:pStyle w:val="Style35"/>
        <w:keepNext w:val="0"/>
        <w:keepLines w:val="0"/>
        <w:widowControl w:val="0"/>
        <w:shd w:val="clear" w:color="auto" w:fill="auto"/>
        <w:tabs>
          <w:tab w:pos="845" w:val="left"/>
        </w:tabs>
        <w:bidi w:val="0"/>
        <w:spacing w:before="0" w:after="0" w:line="317" w:lineRule="exact"/>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合同资产预期信用损失的确定方法及会计处理方法</w:t>
      </w:r>
    </w:p>
    <w:p>
      <w:pPr>
        <w:pStyle w:val="Style35"/>
        <w:keepNext w:val="0"/>
        <w:keepLines w:val="0"/>
        <w:widowControl w:val="0"/>
        <w:shd w:val="clear" w:color="auto" w:fill="auto"/>
        <w:bidi w:val="0"/>
        <w:spacing w:before="0" w:after="400" w:line="317"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金融工具</w:t>
      </w:r>
    </w:p>
    <w:p>
      <w:pPr>
        <w:pStyle w:val="Style39"/>
        <w:keepNext/>
        <w:keepLines/>
        <w:widowControl w:val="0"/>
        <w:shd w:val="clear" w:color="auto" w:fill="auto"/>
        <w:tabs>
          <w:tab w:pos="954" w:val="left"/>
        </w:tabs>
        <w:bidi w:val="0"/>
        <w:spacing w:before="0" w:after="280" w:line="240" w:lineRule="auto"/>
        <w:ind w:left="0" w:right="0" w:firstLine="48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927"/>
      <w:bookmarkEnd w:id="928"/>
      <w:bookmarkEnd w:id="930"/>
    </w:p>
    <w:p>
      <w:pPr>
        <w:pStyle w:val="Style35"/>
        <w:keepNext w:val="0"/>
        <w:keepLines w:val="0"/>
        <w:widowControl w:val="0"/>
        <w:shd w:val="clear" w:color="auto" w:fill="auto"/>
        <w:tabs>
          <w:tab w:pos="845" w:val="left"/>
        </w:tabs>
        <w:bidi w:val="0"/>
        <w:spacing w:before="0" w:after="0" w:line="317" w:lineRule="exact"/>
        <w:ind w:left="0" w:right="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与合同成本有关的资产金额的确定方法</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本公司与合同成本有关的资产包括合同履约成本和合同取得成本。</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合同履约成本，即本公司为履行合同发生的成本，不属于其他企业会计准则规范范围且同时满足下列条件的，作为合同 履约成本确认为一项资产：</w:t>
      </w:r>
    </w:p>
    <w:p>
      <w:pPr>
        <w:pStyle w:val="Style35"/>
        <w:keepNext w:val="0"/>
        <w:keepLines w:val="0"/>
        <w:widowControl w:val="0"/>
        <w:numPr>
          <w:ilvl w:val="0"/>
          <w:numId w:val="107"/>
        </w:numPr>
        <w:shd w:val="clear" w:color="auto" w:fill="auto"/>
        <w:tabs>
          <w:tab w:pos="661" w:val="left"/>
        </w:tabs>
        <w:bidi w:val="0"/>
        <w:spacing w:before="0" w:after="0" w:line="336" w:lineRule="exact"/>
        <w:ind w:left="0" w:right="0"/>
        <w:jc w:val="both"/>
      </w:pPr>
      <w:bookmarkStart w:id="932" w:name="bookmark932"/>
      <w:bookmarkEnd w:id="932"/>
      <w:r>
        <w:rPr>
          <w:color w:val="000000"/>
          <w:spacing w:val="0"/>
          <w:w w:val="100"/>
          <w:position w:val="0"/>
        </w:rPr>
        <w:t>该成本与一份当期或预期取得的合同直接相关，包括直接人工、直接材料、制造费用（或类似费用）、明确由客户承 担的成本以及仅因该合同而发生的其他成本；</w:t>
      </w:r>
    </w:p>
    <w:p>
      <w:pPr>
        <w:pStyle w:val="Style35"/>
        <w:keepNext w:val="0"/>
        <w:keepLines w:val="0"/>
        <w:widowControl w:val="0"/>
        <w:numPr>
          <w:ilvl w:val="0"/>
          <w:numId w:val="107"/>
        </w:numPr>
        <w:shd w:val="clear" w:color="auto" w:fill="auto"/>
        <w:tabs>
          <w:tab w:pos="720" w:val="left"/>
        </w:tabs>
        <w:bidi w:val="0"/>
        <w:spacing w:before="0" w:after="0" w:line="336" w:lineRule="exact"/>
        <w:ind w:left="0" w:right="0"/>
        <w:jc w:val="both"/>
      </w:pPr>
      <w:bookmarkStart w:id="933" w:name="bookmark933"/>
      <w:bookmarkEnd w:id="933"/>
      <w:r>
        <w:rPr>
          <w:color w:val="000000"/>
          <w:spacing w:val="0"/>
          <w:w w:val="100"/>
          <w:position w:val="0"/>
        </w:rPr>
        <w:t>该成本增加了本公司未来用于履行履约义务的资源；</w:t>
      </w:r>
    </w:p>
    <w:p>
      <w:pPr>
        <w:pStyle w:val="Style35"/>
        <w:keepNext w:val="0"/>
        <w:keepLines w:val="0"/>
        <w:widowControl w:val="0"/>
        <w:numPr>
          <w:ilvl w:val="0"/>
          <w:numId w:val="107"/>
        </w:numPr>
        <w:shd w:val="clear" w:color="auto" w:fill="auto"/>
        <w:tabs>
          <w:tab w:pos="720" w:val="left"/>
        </w:tabs>
        <w:bidi w:val="0"/>
        <w:spacing w:before="0" w:after="0" w:line="336" w:lineRule="exact"/>
        <w:ind w:left="0" w:right="0"/>
        <w:jc w:val="both"/>
      </w:pPr>
      <w:bookmarkStart w:id="934" w:name="bookmark934"/>
      <w:bookmarkEnd w:id="934"/>
      <w:r>
        <w:rPr>
          <w:color w:val="000000"/>
          <w:spacing w:val="0"/>
          <w:w w:val="100"/>
          <w:position w:val="0"/>
        </w:rPr>
        <w:t>该成本预期能够收回。</w:t>
      </w:r>
    </w:p>
    <w:p>
      <w:pPr>
        <w:pStyle w:val="Style35"/>
        <w:keepNext w:val="0"/>
        <w:keepLines w:val="0"/>
        <w:widowControl w:val="0"/>
        <w:shd w:val="clear" w:color="auto" w:fill="auto"/>
        <w:bidi w:val="0"/>
        <w:spacing w:before="0" w:after="0" w:line="336" w:lineRule="exact"/>
        <w:ind w:left="0" w:right="0"/>
        <w:jc w:val="both"/>
      </w:pPr>
      <w:r>
        <w:rPr>
          <w:color w:val="000000"/>
          <w:spacing w:val="0"/>
          <w:w w:val="100"/>
          <w:position w:val="0"/>
        </w:rPr>
        <w:t>与合同成本有关的资产金额的确定方法</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合同取得成本，即本公司为取得合同发生的增量成本预期能够收回的，作为合同取得成本确认为一项资产；该资产摊销 期限不超过一年的，在发生时计入当期损益。增量成本，是指本企业不取得合同就不会发生的成本（如销售佣金等）。本公 司为取得合同发生的、除预期能够收回的增量成本之外的其他支出（如无论是否取得合同均会发生的差率费等），在发生时 计入当期损益，但是，明确由客户承担的除外。</w:t>
      </w:r>
    </w:p>
    <w:p>
      <w:pPr>
        <w:pStyle w:val="Style35"/>
        <w:keepNext w:val="0"/>
        <w:keepLines w:val="0"/>
        <w:widowControl w:val="0"/>
        <w:shd w:val="clear" w:color="auto" w:fill="auto"/>
        <w:tabs>
          <w:tab w:pos="845" w:val="left"/>
        </w:tabs>
        <w:bidi w:val="0"/>
        <w:spacing w:before="0" w:after="0" w:line="317" w:lineRule="exact"/>
        <w:ind w:left="0" w:right="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与合同成本有关的资产的摊销</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本公司与合同成本有关的资产采用与该资产相关的商品收入确认相同的基础进行摊销，计入当期损益。</w:t>
      </w:r>
    </w:p>
    <w:p>
      <w:pPr>
        <w:pStyle w:val="Style35"/>
        <w:keepNext w:val="0"/>
        <w:keepLines w:val="0"/>
        <w:widowControl w:val="0"/>
        <w:shd w:val="clear" w:color="auto" w:fill="auto"/>
        <w:tabs>
          <w:tab w:pos="845" w:val="left"/>
        </w:tabs>
        <w:bidi w:val="0"/>
        <w:spacing w:before="0" w:after="0" w:line="317" w:lineRule="exact"/>
        <w:ind w:left="0" w:right="0"/>
        <w:jc w:val="left"/>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与合同成本有关的资产的减值</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本公司在确定与合同成本有关的资产的减值损失时，首先对按照其他相关企业会计准则确认的、与合同有关的其他资产 确定减值损失;然后根据其账面价值高于本公司因转让与资产相关的商品预期能够取得的剩余对价以及为转让该相关商品估 计将要发生的成本这两项的差额的，超出部分应当计提减值准备，并确认为资产减值损失。</w:t>
      </w:r>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9"/>
        <w:keepNext/>
        <w:keepLines/>
        <w:widowControl w:val="0"/>
        <w:shd w:val="clear" w:color="auto" w:fill="auto"/>
        <w:tabs>
          <w:tab w:pos="949" w:val="left"/>
        </w:tabs>
        <w:bidi w:val="0"/>
        <w:spacing w:before="0" w:after="280" w:line="240" w:lineRule="auto"/>
        <w:ind w:left="0" w:right="0" w:firstLine="48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937"/>
      <w:bookmarkEnd w:id="938"/>
      <w:bookmarkEnd w:id="940"/>
    </w:p>
    <w:p>
      <w:pPr>
        <w:pStyle w:val="Style35"/>
        <w:keepNext w:val="0"/>
        <w:keepLines w:val="0"/>
        <w:widowControl w:val="0"/>
        <w:numPr>
          <w:ilvl w:val="0"/>
          <w:numId w:val="109"/>
        </w:numPr>
        <w:shd w:val="clear" w:color="auto" w:fill="auto"/>
        <w:tabs>
          <w:tab w:pos="840" w:val="left"/>
        </w:tabs>
        <w:bidi w:val="0"/>
        <w:spacing w:before="0" w:after="0" w:line="317" w:lineRule="exact"/>
        <w:ind w:left="0" w:right="0"/>
        <w:jc w:val="both"/>
      </w:pPr>
      <w:bookmarkStart w:id="941" w:name="bookmark941"/>
      <w:bookmarkEnd w:id="941"/>
      <w:r>
        <w:rPr>
          <w:color w:val="000000"/>
          <w:spacing w:val="0"/>
          <w:w w:val="100"/>
          <w:position w:val="0"/>
        </w:rPr>
        <w:t>划分为持有待售类别的条件</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同时满足下列条件的非流动资产或处置组，确认为持有待售类别：</w:t>
      </w:r>
    </w:p>
    <w:p>
      <w:pPr>
        <w:pStyle w:val="Style35"/>
        <w:keepNext w:val="0"/>
        <w:keepLines w:val="0"/>
        <w:widowControl w:val="0"/>
        <w:numPr>
          <w:ilvl w:val="0"/>
          <w:numId w:val="111"/>
        </w:numPr>
        <w:shd w:val="clear" w:color="auto" w:fill="auto"/>
        <w:tabs>
          <w:tab w:pos="701" w:val="left"/>
        </w:tabs>
        <w:bidi w:val="0"/>
        <w:spacing w:before="0" w:after="0" w:line="317" w:lineRule="exact"/>
        <w:ind w:left="0" w:right="0"/>
        <w:jc w:val="both"/>
      </w:pPr>
      <w:bookmarkStart w:id="942" w:name="bookmark942"/>
      <w:bookmarkEnd w:id="942"/>
      <w:r>
        <w:rPr>
          <w:color w:val="000000"/>
          <w:spacing w:val="0"/>
          <w:w w:val="100"/>
          <w:position w:val="0"/>
        </w:rPr>
        <w:t>根据类似交易中出售此类资产或处置组的惯例，在当前状况下即可立即出售；</w:t>
      </w:r>
    </w:p>
    <w:p>
      <w:pPr>
        <w:pStyle w:val="Style35"/>
        <w:keepNext w:val="0"/>
        <w:keepLines w:val="0"/>
        <w:widowControl w:val="0"/>
        <w:numPr>
          <w:ilvl w:val="0"/>
          <w:numId w:val="111"/>
        </w:numPr>
        <w:shd w:val="clear" w:color="auto" w:fill="auto"/>
        <w:tabs>
          <w:tab w:pos="666" w:val="left"/>
        </w:tabs>
        <w:bidi w:val="0"/>
        <w:spacing w:before="0" w:after="0" w:line="326" w:lineRule="exact"/>
        <w:ind w:left="0" w:right="0"/>
        <w:jc w:val="both"/>
      </w:pPr>
      <w:bookmarkStart w:id="943" w:name="bookmark943"/>
      <w:bookmarkEnd w:id="943"/>
      <w:r>
        <w:rPr>
          <w:color w:val="000000"/>
          <w:spacing w:val="0"/>
          <w:w w:val="100"/>
          <w:position w:val="0"/>
        </w:rPr>
        <w:t>出售极可能发生，即公司已经就一项出售计划作出决议且获得确定的购买承诺，预计出售将在一年内完成。有关规定 要求公司相关权力机构或者监管部门批准后方可出售的，已经获得批准。</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确定的购买承诺，是指公司与其他方签订的具有法律约束力的购买协议，该协议包含交易价格、时间和足够严厉的违约 惩罚等重要条款，使协议出现重大调整或者撤销的可能性极小。</w:t>
      </w:r>
    </w:p>
    <w:p>
      <w:pPr>
        <w:pStyle w:val="Style35"/>
        <w:keepNext w:val="0"/>
        <w:keepLines w:val="0"/>
        <w:widowControl w:val="0"/>
        <w:numPr>
          <w:ilvl w:val="0"/>
          <w:numId w:val="109"/>
        </w:numPr>
        <w:shd w:val="clear" w:color="auto" w:fill="auto"/>
        <w:tabs>
          <w:tab w:pos="840" w:val="left"/>
        </w:tabs>
        <w:bidi w:val="0"/>
        <w:spacing w:before="0" w:after="0" w:line="317" w:lineRule="exact"/>
        <w:ind w:left="0" w:right="0"/>
        <w:jc w:val="both"/>
      </w:pPr>
      <w:bookmarkStart w:id="944" w:name="bookmark944"/>
      <w:bookmarkEnd w:id="944"/>
      <w:r>
        <w:rPr>
          <w:color w:val="000000"/>
          <w:spacing w:val="0"/>
          <w:w w:val="100"/>
          <w:position w:val="0"/>
        </w:rPr>
        <w:t>持有待售的非流动资产或处置组的计量</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公司初始计量或在资产负债表日重新计量持有待售的非流动资产或处置组时，其账面价值高于公允价值减去出售费用后 的净额的，将账面价值减记至公允价值减去出售费用后的净额，减记的金额确认为资产减值损失，计入当期损益，同时计提 持有待售资产减值准备。</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对于取得日划分为持有待售类别的非流动资产或处置组，公司在初始计量时比较假定其不划分为持有待售类别情况下的 初始计量金额和公允价值减去出售费用后的净额，以两者孰低计量。除公司合并中取得的非流动资产或处置组外，由非流动 资产或处置组以公允价值减去出售费用后的净额作为初始计量金额而产生的差额，计入当期损益。</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公司在资产负债表日重新计量持有待售的处置组时，首先按照相关会计准则规定计量处置组中资产和负债的账面价值， 然后按照上款的规定进行会计处理。</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对于持有待售的处置组确认的资产减值损失金额，先抵减处置组中商誉的账面价值，再根据处置组中适用准则计量规定 的各项非流动资产账面价值所占比重，按比例抵减其账面价值。</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得转回。</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后续资产负债表日持有待售的处置组公允价值减去出售费用后的净额增加的，以前减记的金额予以恢复，并在划分为持 有待售类别后适用准则计量规定的非流动资产确认的资产减值损失金额内转回，转回金额计入当期损益。已抵减的商誉账面 价值，以及适用准则计量规定的非流动资产在划分为持有待售类别前确认的资产减值损失不得转回。</w:t>
      </w:r>
    </w:p>
    <w:p>
      <w:pPr>
        <w:pStyle w:val="Style35"/>
        <w:keepNext w:val="0"/>
        <w:keepLines w:val="0"/>
        <w:widowControl w:val="0"/>
        <w:shd w:val="clear" w:color="auto" w:fill="auto"/>
        <w:bidi w:val="0"/>
        <w:spacing w:before="0" w:after="0" w:line="331" w:lineRule="exact"/>
        <w:ind w:left="0" w:right="0"/>
        <w:jc w:val="both"/>
      </w:pPr>
      <w:r>
        <w:rPr>
          <w:color w:val="000000"/>
          <w:spacing w:val="0"/>
          <w:w w:val="100"/>
          <w:position w:val="0"/>
        </w:rPr>
        <w:t>持有待售的处置组确认的资产减值损失后续转回金额，根据处置组中除商誉外适用准则计量规定的各项非流动资产账面 价值所占比重，按比例增加其账面价值。</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p>
    <w:p>
      <w:pPr>
        <w:pStyle w:val="Style35"/>
        <w:keepNext w:val="0"/>
        <w:keepLines w:val="0"/>
        <w:widowControl w:val="0"/>
        <w:numPr>
          <w:ilvl w:val="0"/>
          <w:numId w:val="113"/>
        </w:numPr>
        <w:shd w:val="clear" w:color="auto" w:fill="auto"/>
        <w:tabs>
          <w:tab w:pos="656" w:val="left"/>
        </w:tabs>
        <w:bidi w:val="0"/>
        <w:spacing w:before="0" w:after="140" w:line="326" w:lineRule="exact"/>
        <w:ind w:left="0" w:right="0"/>
        <w:jc w:val="both"/>
      </w:pPr>
      <w:bookmarkStart w:id="945" w:name="bookmark945"/>
      <w:bookmarkEnd w:id="945"/>
      <w:r>
        <w:rPr>
          <w:color w:val="000000"/>
          <w:spacing w:val="0"/>
          <w:w w:val="100"/>
          <w:position w:val="0"/>
        </w:rPr>
        <w:t>划分为持有待售类别前的账面价值，按照假定不划分为持有待售类别情况下本应确认的折旧、摊销或减值等进行调整 后的金额；</w:t>
      </w:r>
    </w:p>
    <w:p>
      <w:pPr>
        <w:pStyle w:val="Style35"/>
        <w:keepNext w:val="0"/>
        <w:keepLines w:val="0"/>
        <w:widowControl w:val="0"/>
        <w:numPr>
          <w:ilvl w:val="0"/>
          <w:numId w:val="113"/>
        </w:numPr>
        <w:shd w:val="clear" w:color="auto" w:fill="auto"/>
        <w:tabs>
          <w:tab w:pos="715" w:val="left"/>
        </w:tabs>
        <w:bidi w:val="0"/>
        <w:spacing w:before="0" w:after="0" w:line="379" w:lineRule="auto"/>
        <w:ind w:left="0" w:right="0"/>
        <w:jc w:val="both"/>
      </w:pPr>
      <w:bookmarkStart w:id="946" w:name="bookmark946"/>
      <w:bookmarkEnd w:id="946"/>
      <w:r>
        <w:rPr>
          <w:color w:val="000000"/>
          <w:spacing w:val="0"/>
          <w:w w:val="100"/>
          <w:position w:val="0"/>
        </w:rPr>
        <w:t>可收回金额。</w:t>
      </w:r>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公司终止确认持有待售的非流动资产或处置组时，将尚未确认的利得或损失计入当期损益。</w:t>
      </w:r>
    </w:p>
    <w:p>
      <w:pPr>
        <w:pStyle w:val="Style39"/>
        <w:keepNext/>
        <w:keepLines/>
        <w:widowControl w:val="0"/>
        <w:shd w:val="clear" w:color="auto" w:fill="auto"/>
        <w:tabs>
          <w:tab w:pos="949" w:val="left"/>
        </w:tabs>
        <w:bidi w:val="0"/>
        <w:spacing w:before="0" w:after="280" w:line="240" w:lineRule="auto"/>
        <w:ind w:left="0" w:right="0" w:firstLine="48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8</w:t>
      </w:r>
      <w:r>
        <w:rPr>
          <w:color w:val="000000"/>
          <w:spacing w:val="0"/>
          <w:w w:val="100"/>
          <w:position w:val="0"/>
        </w:rPr>
        <w:t>、</w:t>
        <w:tab/>
        <w:t>长期应收款</w:t>
      </w:r>
      <w:bookmarkEnd w:id="947"/>
      <w:bookmarkEnd w:id="948"/>
      <w:bookmarkEnd w:id="950"/>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长期应收款预期信用损失的确定方法及会计处理方法</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金融工具</w:t>
      </w:r>
    </w:p>
    <w:p>
      <w:pPr>
        <w:pStyle w:val="Style39"/>
        <w:keepNext/>
        <w:keepLines/>
        <w:widowControl w:val="0"/>
        <w:shd w:val="clear" w:color="auto" w:fill="auto"/>
        <w:bidi w:val="0"/>
        <w:spacing w:before="0" w:after="280" w:line="240" w:lineRule="auto"/>
        <w:ind w:left="0" w:right="0" w:firstLine="48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bookmarkEnd w:id="953"/>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951"/>
      <w:bookmarkEnd w:id="952"/>
      <w:bookmarkEnd w:id="954"/>
    </w:p>
    <w:p>
      <w:pPr>
        <w:pStyle w:val="Style35"/>
        <w:keepNext w:val="0"/>
        <w:keepLines w:val="0"/>
        <w:widowControl w:val="0"/>
        <w:shd w:val="clear" w:color="auto" w:fill="auto"/>
        <w:tabs>
          <w:tab w:pos="807" w:val="left"/>
        </w:tabs>
        <w:bidi w:val="0"/>
        <w:spacing w:before="0" w:after="0" w:line="317" w:lineRule="exact"/>
        <w:ind w:left="0" w:right="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共同控制、重大影响的判断标准</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按照相关约定对某项安排所共有的控制，并且该安排的相关活动必须经过分享控制权的参与方一致同意后才能决策，则 视为共同控制。如果存在两个或两个以上的参与方组合能够集体控制某项安排的，不视为共同控制。</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对被投资单位的财务和经营政策有参与决策的权力，但并不能够控制或者与其他方一起共同控制这些政策的制定，则视 为对被投资单位实施重大影响。</w:t>
      </w:r>
    </w:p>
    <w:p>
      <w:pPr>
        <w:pStyle w:val="Style35"/>
        <w:keepNext w:val="0"/>
        <w:keepLines w:val="0"/>
        <w:widowControl w:val="0"/>
        <w:shd w:val="clear" w:color="auto" w:fill="auto"/>
        <w:tabs>
          <w:tab w:pos="807" w:val="left"/>
        </w:tabs>
        <w:bidi w:val="0"/>
        <w:spacing w:before="0" w:after="0" w:line="317" w:lineRule="exact"/>
        <w:ind w:left="0" w:right="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初始投资成本确定</w:t>
      </w:r>
    </w:p>
    <w:p>
      <w:pPr>
        <w:pStyle w:val="Style35"/>
        <w:keepNext w:val="0"/>
        <w:keepLines w:val="0"/>
        <w:widowControl w:val="0"/>
        <w:shd w:val="clear" w:color="auto" w:fill="auto"/>
        <w:bidi w:val="0"/>
        <w:spacing w:before="0" w:after="0" w:line="325" w:lineRule="exact"/>
        <w:ind w:left="0" w:right="0"/>
        <w:jc w:val="both"/>
      </w:pPr>
      <w:r>
        <w:rPr>
          <w:color w:val="000000"/>
          <w:spacing w:val="0"/>
          <w:w w:val="100"/>
          <w:position w:val="0"/>
        </w:rPr>
        <w:t>企业合并形成的长期股权投资，按照本附注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的相关内容确认 初始投资成本；除企业合并形成的长期股权投资以外，其他方式取得的长期股权投资，按照下述方法确认其初始投资成本：</w:t>
      </w:r>
    </w:p>
    <w:p>
      <w:pPr>
        <w:pStyle w:val="Style35"/>
        <w:keepNext w:val="0"/>
        <w:keepLines w:val="0"/>
        <w:widowControl w:val="0"/>
        <w:numPr>
          <w:ilvl w:val="0"/>
          <w:numId w:val="115"/>
        </w:numPr>
        <w:shd w:val="clear" w:color="auto" w:fill="auto"/>
        <w:tabs>
          <w:tab w:pos="623" w:val="left"/>
        </w:tabs>
        <w:bidi w:val="0"/>
        <w:spacing w:before="0" w:after="0" w:line="325" w:lineRule="exact"/>
        <w:ind w:left="0" w:right="0"/>
        <w:jc w:val="both"/>
      </w:pPr>
      <w:bookmarkStart w:id="957" w:name="bookmark957"/>
      <w:bookmarkEnd w:id="957"/>
      <w:r>
        <w:rPr>
          <w:color w:val="000000"/>
          <w:spacing w:val="0"/>
          <w:w w:val="100"/>
          <w:position w:val="0"/>
        </w:rPr>
        <w:t>以支付现金取得的长期股权投资，应当按照实际支付的购买价款作为初始投资成本。初始投资成本包括与取得长期股 权投资直接相关的费用、税金及其他必要支出。</w:t>
      </w:r>
    </w:p>
    <w:p>
      <w:pPr>
        <w:pStyle w:val="Style35"/>
        <w:keepNext w:val="0"/>
        <w:keepLines w:val="0"/>
        <w:widowControl w:val="0"/>
        <w:numPr>
          <w:ilvl w:val="0"/>
          <w:numId w:val="115"/>
        </w:numPr>
        <w:shd w:val="clear" w:color="auto" w:fill="auto"/>
        <w:tabs>
          <w:tab w:pos="633" w:val="left"/>
        </w:tabs>
        <w:bidi w:val="0"/>
        <w:spacing w:before="0" w:after="0" w:line="325" w:lineRule="exact"/>
        <w:ind w:left="0" w:right="0"/>
        <w:jc w:val="both"/>
      </w:pPr>
      <w:bookmarkStart w:id="958" w:name="bookmark958"/>
      <w:bookmarkEnd w:id="958"/>
      <w:r>
        <w:rPr>
          <w:color w:val="000000"/>
          <w:spacing w:val="0"/>
          <w:w w:val="100"/>
          <w:position w:val="0"/>
        </w:rPr>
        <w:t>以发行权益性证券取得的长期股权投资，应当按照发行权益性证券的公允价值作为初始投资成本。与发行权益性证券 直接相关的费用，应当按照《企业会计准则第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号——金融工具列报》的有关规定确定。</w:t>
      </w:r>
    </w:p>
    <w:p>
      <w:pPr>
        <w:pStyle w:val="Style35"/>
        <w:keepNext w:val="0"/>
        <w:keepLines w:val="0"/>
        <w:widowControl w:val="0"/>
        <w:numPr>
          <w:ilvl w:val="0"/>
          <w:numId w:val="115"/>
        </w:numPr>
        <w:shd w:val="clear" w:color="auto" w:fill="auto"/>
        <w:tabs>
          <w:tab w:pos="638" w:val="left"/>
        </w:tabs>
        <w:bidi w:val="0"/>
        <w:spacing w:before="0" w:after="0" w:line="319" w:lineRule="exact"/>
        <w:ind w:left="0" w:right="0"/>
        <w:jc w:val="both"/>
      </w:pPr>
      <w:bookmarkStart w:id="959" w:name="bookmark959"/>
      <w:bookmarkEnd w:id="959"/>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35"/>
        <w:keepNext w:val="0"/>
        <w:keepLines w:val="0"/>
        <w:widowControl w:val="0"/>
        <w:numPr>
          <w:ilvl w:val="0"/>
          <w:numId w:val="115"/>
        </w:numPr>
        <w:shd w:val="clear" w:color="auto" w:fill="auto"/>
        <w:tabs>
          <w:tab w:pos="682" w:val="left"/>
        </w:tabs>
        <w:bidi w:val="0"/>
        <w:spacing w:before="0" w:after="0" w:line="319" w:lineRule="exact"/>
        <w:ind w:left="0" w:right="0"/>
        <w:jc w:val="both"/>
      </w:pPr>
      <w:bookmarkStart w:id="960" w:name="bookmark960"/>
      <w:bookmarkEnd w:id="960"/>
      <w:r>
        <w:rPr>
          <w:color w:val="000000"/>
          <w:spacing w:val="0"/>
          <w:w w:val="100"/>
          <w:position w:val="0"/>
        </w:rPr>
        <w:t>通过债务重组取得的长期股权投资，其初始投资成本按照公允价值为基础确定。</w:t>
      </w:r>
    </w:p>
    <w:p>
      <w:pPr>
        <w:pStyle w:val="Style35"/>
        <w:keepNext w:val="0"/>
        <w:keepLines w:val="0"/>
        <w:widowControl w:val="0"/>
        <w:shd w:val="clear" w:color="auto" w:fill="auto"/>
        <w:tabs>
          <w:tab w:pos="807" w:val="left"/>
        </w:tabs>
        <w:bidi w:val="0"/>
        <w:spacing w:before="0" w:after="140" w:line="317" w:lineRule="exact"/>
        <w:ind w:left="0" w:right="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后续计量及损益确认方法</w:t>
      </w:r>
    </w:p>
    <w:p>
      <w:pPr>
        <w:pStyle w:val="Style35"/>
        <w:keepNext w:val="0"/>
        <w:keepLines w:val="0"/>
        <w:widowControl w:val="0"/>
        <w:shd w:val="clear" w:color="auto" w:fill="auto"/>
        <w:tabs>
          <w:tab w:pos="711" w:val="left"/>
        </w:tabs>
        <w:bidi w:val="0"/>
        <w:spacing w:before="0" w:after="0" w:line="360" w:lineRule="auto"/>
        <w:ind w:left="0" w:right="0"/>
        <w:jc w:val="both"/>
      </w:pPr>
      <w:bookmarkStart w:id="962" w:name="bookmark962"/>
      <w:r>
        <w:rPr>
          <w:rFonts w:ascii="Times New Roman" w:eastAsia="Times New Roman" w:hAnsi="Times New Roman" w:cs="Times New Roman"/>
          <w:color w:val="000000"/>
          <w:spacing w:val="0"/>
          <w:w w:val="100"/>
          <w:position w:val="0"/>
          <w:sz w:val="18"/>
          <w:szCs w:val="18"/>
        </w:rPr>
        <w:t>1</w:t>
      </w:r>
      <w:bookmarkEnd w:id="962"/>
      <w:r>
        <w:rPr>
          <w:color w:val="000000"/>
          <w:spacing w:val="0"/>
          <w:w w:val="100"/>
          <w:position w:val="0"/>
        </w:rPr>
        <w:t>）</w:t>
        <w:tab/>
        <w:t>成本法后续计量</w:t>
      </w:r>
    </w:p>
    <w:p>
      <w:pPr>
        <w:pStyle w:val="Style35"/>
        <w:keepNext w:val="0"/>
        <w:keepLines w:val="0"/>
        <w:widowControl w:val="0"/>
        <w:shd w:val="clear" w:color="auto" w:fill="auto"/>
        <w:bidi w:val="0"/>
        <w:spacing w:before="0" w:after="140" w:line="317" w:lineRule="exact"/>
        <w:ind w:left="0" w:right="0"/>
        <w:jc w:val="both"/>
      </w:pPr>
      <w:r>
        <w:rPr>
          <w:color w:val="000000"/>
          <w:spacing w:val="0"/>
          <w:w w:val="100"/>
          <w:position w:val="0"/>
        </w:rPr>
        <w:t>公司能够对被投资单位实施控制的长期股权投资采用成本法核算，长期股权投资按照初始投资成本计价。追加或收回投 资调整长期股权投资的成本。被投资单位宣告分派的现金股利或利润，确认为当期投资收益。</w:t>
      </w:r>
    </w:p>
    <w:p>
      <w:pPr>
        <w:pStyle w:val="Style35"/>
        <w:keepNext w:val="0"/>
        <w:keepLines w:val="0"/>
        <w:widowControl w:val="0"/>
        <w:shd w:val="clear" w:color="auto" w:fill="auto"/>
        <w:tabs>
          <w:tab w:pos="730" w:val="left"/>
        </w:tabs>
        <w:bidi w:val="0"/>
        <w:spacing w:before="0" w:after="0" w:line="360" w:lineRule="auto"/>
        <w:ind w:left="0" w:right="0"/>
        <w:jc w:val="both"/>
      </w:pPr>
      <w:bookmarkStart w:id="963" w:name="bookmark963"/>
      <w:r>
        <w:rPr>
          <w:rFonts w:ascii="Times New Roman" w:eastAsia="Times New Roman" w:hAnsi="Times New Roman" w:cs="Times New Roman"/>
          <w:color w:val="000000"/>
          <w:spacing w:val="0"/>
          <w:w w:val="100"/>
          <w:position w:val="0"/>
          <w:sz w:val="18"/>
          <w:szCs w:val="18"/>
        </w:rPr>
        <w:t>2</w:t>
      </w:r>
      <w:bookmarkEnd w:id="963"/>
      <w:r>
        <w:rPr>
          <w:color w:val="000000"/>
          <w:spacing w:val="0"/>
          <w:w w:val="100"/>
          <w:position w:val="0"/>
        </w:rPr>
        <w:t>）</w:t>
        <w:tab/>
        <w:t>权益法后续计量</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公司对联营企业和合营企业的长期股权投资，采用权益法核算，长期股权投资的初始投资成本大于投资时应享有被投资 单位可辨认净资产公允价值份额的，不调整长期股权投资的初始投资成本；长期股权投资的初始投资成本小于投资时应享有 被投资单位可辨认净资产公允价值份额的，其差额计入当期损益，同时调整长期股权投资的成本。</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采用权益法核算时，投资方取得长期股权投资后，按照应享有或应分担的被投资单位实现的净损益和其他综合收益的份 额，分别确认投资收益和其他综合收益，同时调整长期股权投资的账面价值；投资方按照被投资单位宣告分派的利润或现金 股利计算应享有的部分，相应减少长期股权投资的账面价值；投资方对于被投资单位除净损益、其他综合收益和利润分配以 外所有者权益的其他变动，调整长期股权投资的账面价值并计入所有者权益。投资方在确认应享有被投资单位净损益的份额 时，以取得投资时被投资单位可辨认净资产的公允价值为基础，对被投资单位的净利润进行调整后确认。被投资单位采用的 会计政策及会计期间与投资方不一致的，按照投资方的会计政策及会计期间对被投资单位的财务报表进行调整，并据以确认 投资收益和其他综合收益等。</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投资方确认被投资单位发生的净亏损，以长期股权投资的账面价值以及其他实质上构成对被投资单位净投资的长期权益 减记至零为限，投资方负有承担额外损失义务的除外。被投资单位以后实现净利润的，投资方在其收益分享额弥补未确认的 亏损分担额后，恢复确认收益分享额。</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投资方计算确认应享有或应分担被投资单位的净损益时，与联营企业、合营企业之间发生的未实现内部交易损益按照应 享有的比例计算归属于投资方的部分，予以抵销，在此基础上确认投资收益。投资方与被投资单位发生的未实现内部交易损 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号一资产减值》等的有关规定属于资产减值损失的，全额确认。</w:t>
      </w:r>
    </w:p>
    <w:p>
      <w:pPr>
        <w:pStyle w:val="Style35"/>
        <w:keepNext w:val="0"/>
        <w:keepLines w:val="0"/>
        <w:widowControl w:val="0"/>
        <w:shd w:val="clear" w:color="auto" w:fill="auto"/>
        <w:bidi w:val="0"/>
        <w:spacing w:before="0" w:after="0" w:line="317" w:lineRule="exact"/>
        <w:ind w:left="0" w:right="0"/>
        <w:jc w:val="both"/>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398" w:right="939" w:bottom="1465" w:left="958" w:header="0" w:footer="3" w:gutter="0"/>
          <w:cols w:space="720"/>
          <w:noEndnote/>
          <w:rtlGutter w:val="0"/>
          <w:docGrid w:linePitch="360"/>
        </w:sectPr>
      </w:pPr>
      <w:r>
        <w:rPr>
          <w:color w:val="000000"/>
          <w:spacing w:val="0"/>
          <w:w w:val="100"/>
          <w:position w:val="0"/>
        </w:rPr>
        <w:t xml:space="preserve">投资方对联营企业的权益性投资，其中一部分通过风险投资机构、共同基金、信托公司或包括投连险基金在内的类似主 </w:t>
      </w:r>
      <w:r>
        <w:rPr>
          <w:color w:val="000000"/>
          <w:spacing w:val="0"/>
          <w:w w:val="100"/>
          <w:position w:val="0"/>
        </w:rPr>
        <w:t>体间接持有的，无论以上主体是否对这部分投资具有重大影响，投资方都按照金融工具政策的有关规定，对间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）接持有的 该部分投资选择以公允价值计量且其变动计入损益，并对其余部分采用权益法核算。</w:t>
      </w:r>
    </w:p>
    <w:p>
      <w:pPr>
        <w:pStyle w:val="Style35"/>
        <w:keepNext w:val="0"/>
        <w:keepLines w:val="0"/>
        <w:widowControl w:val="0"/>
        <w:shd w:val="clear" w:color="auto" w:fill="auto"/>
        <w:tabs>
          <w:tab w:pos="734" w:val="left"/>
        </w:tabs>
        <w:bidi w:val="0"/>
        <w:spacing w:before="0" w:after="0" w:line="313" w:lineRule="exact"/>
        <w:ind w:left="0" w:right="0"/>
        <w:jc w:val="both"/>
      </w:pPr>
      <w:bookmarkStart w:id="964" w:name="bookmark964"/>
      <w:r>
        <w:rPr>
          <w:rFonts w:ascii="Times New Roman" w:eastAsia="Times New Roman" w:hAnsi="Times New Roman" w:cs="Times New Roman"/>
          <w:color w:val="000000"/>
          <w:spacing w:val="0"/>
          <w:w w:val="100"/>
          <w:position w:val="0"/>
          <w:sz w:val="18"/>
          <w:szCs w:val="18"/>
        </w:rPr>
        <w:t>3</w:t>
      </w:r>
      <w:bookmarkEnd w:id="964"/>
      <w:r>
        <w:rPr>
          <w:color w:val="000000"/>
          <w:spacing w:val="0"/>
          <w:w w:val="100"/>
          <w:position w:val="0"/>
        </w:rPr>
        <w:t>）</w:t>
        <w:tab/>
        <w:t>因追加投资等原因能够对被投资单位施加重大影响或实施共同控制但不构成控制的处理</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号——金融工具确认和计量》确定的原持有的股权投资的公允价值加上新增投资成本之和，作 为改按权益法核算的初始投资成本。原持有的股权投资分类为可供出售金融资产的，其公允价值与账面价值之间的差额，以 及原计入其他综合收益的累计公允价值变动转入改按权益法核算的当期损益。</w:t>
      </w:r>
    </w:p>
    <w:p>
      <w:pPr>
        <w:pStyle w:val="Style35"/>
        <w:keepNext w:val="0"/>
        <w:keepLines w:val="0"/>
        <w:widowControl w:val="0"/>
        <w:shd w:val="clear" w:color="auto" w:fill="auto"/>
        <w:tabs>
          <w:tab w:pos="743" w:val="left"/>
        </w:tabs>
        <w:bidi w:val="0"/>
        <w:spacing w:before="0" w:after="0" w:line="313" w:lineRule="exact"/>
        <w:ind w:left="0" w:right="0"/>
        <w:jc w:val="both"/>
      </w:pPr>
      <w:bookmarkStart w:id="965" w:name="bookmark965"/>
      <w:r>
        <w:rPr>
          <w:rFonts w:ascii="Times New Roman" w:eastAsia="Times New Roman" w:hAnsi="Times New Roman" w:cs="Times New Roman"/>
          <w:color w:val="000000"/>
          <w:spacing w:val="0"/>
          <w:w w:val="100"/>
          <w:position w:val="0"/>
          <w:sz w:val="18"/>
          <w:szCs w:val="18"/>
        </w:rPr>
        <w:t>4</w:t>
      </w:r>
      <w:bookmarkEnd w:id="965"/>
      <w:r>
        <w:rPr>
          <w:color w:val="000000"/>
          <w:spacing w:val="0"/>
          <w:w w:val="100"/>
          <w:position w:val="0"/>
        </w:rPr>
        <w:t>）</w:t>
        <w:tab/>
        <w:t>处置部分股权的处理</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因处置部分股权投资等原因丧失了对被投资单位的共同控制或重大影响的，处置后的剩余股权改按本附注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的政策核算，其在丧失共同控制或重大影响之日的公允价值与账面价值之间的差额计入当期损益。原股权投资因采用权益法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因处置部分权益性投资等原因丧失了对被投资单位的控制的，在编制个别财务报表时，处置后的剩余股权能够对被投资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的有关政策进行会计处理，其在丧失 控制之日的公允价值与账面价值间的差额计入当期损益。在编制合并财务报表时，按照本附注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的相关内容处理。</w:t>
      </w:r>
    </w:p>
    <w:p>
      <w:pPr>
        <w:pStyle w:val="Style35"/>
        <w:keepNext w:val="0"/>
        <w:keepLines w:val="0"/>
        <w:widowControl w:val="0"/>
        <w:shd w:val="clear" w:color="auto" w:fill="auto"/>
        <w:tabs>
          <w:tab w:pos="743" w:val="left"/>
        </w:tabs>
        <w:bidi w:val="0"/>
        <w:spacing w:before="0" w:after="0" w:line="313" w:lineRule="exact"/>
        <w:ind w:left="0" w:right="0"/>
        <w:jc w:val="both"/>
      </w:pPr>
      <w:bookmarkStart w:id="966" w:name="bookmark966"/>
      <w:r>
        <w:rPr>
          <w:rFonts w:ascii="Times New Roman" w:eastAsia="Times New Roman" w:hAnsi="Times New Roman" w:cs="Times New Roman"/>
          <w:color w:val="000000"/>
          <w:spacing w:val="0"/>
          <w:w w:val="100"/>
          <w:position w:val="0"/>
          <w:sz w:val="18"/>
          <w:szCs w:val="18"/>
        </w:rPr>
        <w:t>5</w:t>
      </w:r>
      <w:bookmarkEnd w:id="966"/>
      <w:r>
        <w:rPr>
          <w:color w:val="000000"/>
          <w:spacing w:val="0"/>
          <w:w w:val="100"/>
          <w:position w:val="0"/>
        </w:rPr>
        <w:t>）</w:t>
        <w:tab/>
        <w:t>对联营企业或合营企业的权益性投资全部或部分分类为持有待售资产的处理</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分类为持有待售资产的对联营企业或合营企业的权益性投资，以账面价值与公允价值减去处置费用孰低的金额列示，公 允价值减去处置费用低于原账面价值的金额，确认为资产减值损失。对于未划分为持有待售资产的剩余权益性投资，采用权 益法进行会计处理。已划分为持有待售的对联营企业或合营企业的权益性投资，不再符合持有待售资产分类条件的，从被分 类为持有待售资产之日起采用权益法进行追溯调整。分类为持有待售期间的财务报表作相应调整。</w:t>
      </w:r>
    </w:p>
    <w:p>
      <w:pPr>
        <w:pStyle w:val="Style35"/>
        <w:keepNext w:val="0"/>
        <w:keepLines w:val="0"/>
        <w:widowControl w:val="0"/>
        <w:shd w:val="clear" w:color="auto" w:fill="auto"/>
        <w:tabs>
          <w:tab w:pos="743" w:val="left"/>
        </w:tabs>
        <w:bidi w:val="0"/>
        <w:spacing w:before="0" w:after="0" w:line="313" w:lineRule="exact"/>
        <w:ind w:left="0" w:right="0"/>
        <w:jc w:val="both"/>
      </w:pPr>
      <w:bookmarkStart w:id="967" w:name="bookmark967"/>
      <w:r>
        <w:rPr>
          <w:rFonts w:ascii="Times New Roman" w:eastAsia="Times New Roman" w:hAnsi="Times New Roman" w:cs="Times New Roman"/>
          <w:color w:val="000000"/>
          <w:spacing w:val="0"/>
          <w:w w:val="100"/>
          <w:position w:val="0"/>
          <w:sz w:val="18"/>
          <w:szCs w:val="18"/>
        </w:rPr>
        <w:t>6</w:t>
      </w:r>
      <w:bookmarkEnd w:id="967"/>
      <w:r>
        <w:rPr>
          <w:color w:val="000000"/>
          <w:spacing w:val="0"/>
          <w:w w:val="100"/>
          <w:position w:val="0"/>
        </w:rPr>
        <w:t>）</w:t>
        <w:tab/>
        <w:t>处置长期股权投资的处理</w:t>
      </w:r>
    </w:p>
    <w:p>
      <w:pPr>
        <w:pStyle w:val="Style35"/>
        <w:keepNext w:val="0"/>
        <w:keepLines w:val="0"/>
        <w:widowControl w:val="0"/>
        <w:shd w:val="clear" w:color="auto" w:fill="auto"/>
        <w:bidi w:val="0"/>
        <w:spacing w:before="0" w:after="380" w:line="307" w:lineRule="exact"/>
        <w:ind w:left="0" w:right="0"/>
        <w:jc w:val="both"/>
      </w:pPr>
      <w:r>
        <w:rPr>
          <w:color w:val="000000"/>
          <w:spacing w:val="0"/>
          <w:w w:val="100"/>
          <w:position w:val="0"/>
        </w:rPr>
        <w:t>处置长期股权投资，其账面价值与实际取得价款之间的差额，计入当期损益。采用权益法核算的长期股权投资，在处置 该项投资时，采用与被投资单位直接处置相关资产或负债相同的基础，按相应比例对原计入其他综合收益的部分进行会计处 理。</w:t>
      </w:r>
    </w:p>
    <w:p>
      <w:pPr>
        <w:pStyle w:val="Style39"/>
        <w:keepNext/>
        <w:keepLines/>
        <w:widowControl w:val="0"/>
        <w:shd w:val="clear" w:color="auto" w:fill="auto"/>
        <w:bidi w:val="0"/>
        <w:spacing w:before="0" w:after="280" w:line="240" w:lineRule="auto"/>
        <w:ind w:left="0" w:right="0" w:firstLine="46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968"/>
      <w:bookmarkEnd w:id="969"/>
      <w:bookmarkEnd w:id="971"/>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投资性房地产计量模式</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成本法计量</w:t>
      </w:r>
    </w:p>
    <w:p>
      <w:pPr>
        <w:pStyle w:val="Style35"/>
        <w:keepNext w:val="0"/>
        <w:keepLines w:val="0"/>
        <w:widowControl w:val="0"/>
        <w:shd w:val="clear" w:color="auto" w:fill="auto"/>
        <w:bidi w:val="0"/>
        <w:spacing w:before="0" w:after="0" w:line="313" w:lineRule="exact"/>
        <w:ind w:left="0" w:right="0"/>
        <w:jc w:val="left"/>
      </w:pPr>
      <w:r>
        <w:rPr>
          <w:color w:val="000000"/>
          <w:spacing w:val="0"/>
          <w:w w:val="100"/>
          <w:position w:val="0"/>
        </w:rPr>
        <w:t>折旧或摊销方法</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投资性房地产包括已出租持有并准备增值后转让的土地使用权以及已出租的建筑物，以实际成本进行初始计量。与投资 性房地产有关的后续支出，在相关的经济利益很可能流入本公司且其成本能够可靠的计量时，计入投资性房地产成本；否则， 在发生时计入当期损益。</w:t>
      </w:r>
    </w:p>
    <w:p>
      <w:pPr>
        <w:pStyle w:val="Style35"/>
        <w:keepNext w:val="0"/>
        <w:keepLines w:val="0"/>
        <w:widowControl w:val="0"/>
        <w:shd w:val="clear" w:color="auto" w:fill="auto"/>
        <w:bidi w:val="0"/>
        <w:spacing w:before="0" w:after="160" w:line="312" w:lineRule="exact"/>
        <w:ind w:left="0" w:right="0"/>
        <w:jc w:val="both"/>
      </w:pPr>
      <w:r>
        <w:rPr>
          <w:color w:val="000000"/>
          <w:spacing w:val="0"/>
          <w:w w:val="100"/>
          <w:position w:val="0"/>
        </w:rPr>
        <w:t>本公司采用成本模式对所有投资性房地产进行后续计量，按其预计使用寿命及净残值率对建筑物和土地使用权计提折旧 或摊销。投资性房地产的预计使用寿命、净残值率及年折旧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率列示如下：</w:t>
      </w:r>
    </w:p>
    <w:tbl>
      <w:tblPr>
        <w:tblOverlap w:val="never"/>
        <w:jc w:val="center"/>
        <w:tblLayout w:type="fixed"/>
      </w:tblPr>
      <w:tblGrid>
        <w:gridCol w:w="2424"/>
        <w:gridCol w:w="2381"/>
        <w:gridCol w:w="2294"/>
        <w:gridCol w:w="2501"/>
      </w:tblGrid>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35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bottom w:val="single" w:sz="4"/>
            </w:tcBorders>
            <w:shd w:val="clear" w:color="auto" w:fill="FFFFFF"/>
            <w:vAlign w:val="top"/>
          </w:tcPr>
          <w:p>
            <w:pPr>
              <w:pStyle w:val="Style25"/>
              <w:keepNext w:val="0"/>
              <w:keepLines w:val="0"/>
              <w:widowControl w:val="0"/>
              <w:shd w:val="clear" w:color="auto" w:fill="auto"/>
              <w:tabs>
                <w:tab w:pos="96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tab/>
              <w:t>2.25%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72"/>
      <w:bookmarkEnd w:id="973"/>
      <w:bookmarkEnd w:id="975"/>
    </w:p>
    <w:p>
      <w:pPr>
        <w:pStyle w:val="Style45"/>
        <w:keepNext/>
        <w:keepLines/>
        <w:widowControl w:val="0"/>
        <w:shd w:val="clear" w:color="auto" w:fill="auto"/>
        <w:bidi w:val="0"/>
        <w:spacing w:before="0" w:after="380" w:line="240" w:lineRule="auto"/>
        <w:ind w:left="0" w:right="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76"/>
      <w:bookmarkEnd w:id="977"/>
      <w:bookmarkEnd w:id="979"/>
    </w:p>
    <w:p>
      <w:pPr>
        <w:pStyle w:val="Style35"/>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固定资产是指为生产商品、提供劳务、出租或经营管理而持有的，使用寿命超过一个会计年度的有形资产。固定资产同 </w:t>
      </w:r>
      <w:r>
        <w:rPr>
          <w:color w:val="000000"/>
          <w:spacing w:val="0"/>
          <w:w w:val="100"/>
          <w:position w:val="0"/>
        </w:rPr>
        <w:t>时满足下列条件的，才能予以确认：与该固定资产有关的经济利益很可能流入企业；该固定资产的成本能够可靠地计量。</w:t>
      </w:r>
    </w:p>
    <w:p>
      <w:pPr>
        <w:pStyle w:val="Style45"/>
        <w:keepNext/>
        <w:keepLines/>
        <w:widowControl w:val="0"/>
        <w:shd w:val="clear" w:color="auto" w:fill="auto"/>
        <w:bidi w:val="0"/>
        <w:spacing w:before="0" w:after="320" w:line="240" w:lineRule="auto"/>
        <w:ind w:left="0" w:right="0" w:firstLine="60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80"/>
      <w:bookmarkEnd w:id="981"/>
      <w:bookmarkEnd w:id="983"/>
    </w:p>
    <w:tbl>
      <w:tblPr>
        <w:tblOverlap w:val="never"/>
        <w:jc w:val="center"/>
        <w:tblLayout w:type="fixed"/>
      </w:tblPr>
      <w:tblGrid>
        <w:gridCol w:w="1958"/>
        <w:gridCol w:w="1915"/>
        <w:gridCol w:w="1910"/>
        <w:gridCol w:w="1920"/>
        <w:gridCol w:w="194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20-40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2.25-4.75%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18-23.75%</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18-31.67%</w:t>
            </w:r>
          </w:p>
        </w:tc>
      </w:tr>
    </w:tbl>
    <w:p>
      <w:pPr>
        <w:widowControl w:val="0"/>
        <w:spacing w:after="319" w:line="1" w:lineRule="exact"/>
      </w:pPr>
    </w:p>
    <w:p>
      <w:pPr>
        <w:pStyle w:val="Style39"/>
        <w:keepNext/>
        <w:keepLines/>
        <w:widowControl w:val="0"/>
        <w:shd w:val="clear" w:color="auto" w:fill="auto"/>
        <w:tabs>
          <w:tab w:pos="963" w:val="left"/>
        </w:tabs>
        <w:bidi w:val="0"/>
        <w:spacing w:before="0" w:after="280" w:line="240" w:lineRule="auto"/>
        <w:ind w:left="0" w:right="0" w:firstLine="48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984"/>
      <w:bookmarkEnd w:id="985"/>
      <w:bookmarkEnd w:id="987"/>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在建工程按实际发生的成本计量。实际成本包括建筑费用、其他为使在建工程达到预定可使用状态所发生的必要支出以 及在资产达到预定可使用状态之前所发生的符合资本化条件的借款费用。在建工程在达到预定可使用状态时，转入固定资产 并自次月起开始计提折旧。</w:t>
      </w:r>
    </w:p>
    <w:p>
      <w:pPr>
        <w:pStyle w:val="Style39"/>
        <w:keepNext/>
        <w:keepLines/>
        <w:widowControl w:val="0"/>
        <w:shd w:val="clear" w:color="auto" w:fill="auto"/>
        <w:tabs>
          <w:tab w:pos="963" w:val="left"/>
        </w:tabs>
        <w:bidi w:val="0"/>
        <w:spacing w:before="0" w:after="280" w:line="240" w:lineRule="auto"/>
        <w:ind w:left="0" w:right="0" w:firstLine="48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988"/>
      <w:bookmarkEnd w:id="989"/>
      <w:bookmarkEnd w:id="991"/>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发生的可直接归属于需要经过相当长时间的购建活动才能达到预定可使用状态之固定资产的购建的借款费用，在资产支 出及借款费用已经发生、为使资产达到预定可使用状态所必要的购建活动已经开始时，开始资本化并计入该资产的成本。当 购建的资产达到预定可使用状态时停止资本化，其后发生的借款费用计入当期损益。如果资产的购建活动发生非正常中断， 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个月，暂停借款费用的资本化，直至资产的购建活动重新开始。</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在资本化期间内，专门借款（指为购建或者生产符合资本化条件的资产而专门借入的款项）以专门借款当期实际发生的 利息费用，减去将尚未动用的借款资金存入银行取得的利息收入或进行暂时性投资取得的投资收益后确定应予资本化的利息 金额；一般借款则根据累计资产支出超过专门借款部分的资产支出加权平均数乘以所占用一般借款的资本化率，计算确定一 般借款应予资本化的利息金额。资本化率根据一般借款加权平均利率计算确定。</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39"/>
        <w:keepNext/>
        <w:keepLines/>
        <w:widowControl w:val="0"/>
        <w:shd w:val="clear" w:color="auto" w:fill="auto"/>
        <w:tabs>
          <w:tab w:pos="963" w:val="left"/>
        </w:tabs>
        <w:bidi w:val="0"/>
        <w:spacing w:before="0" w:after="380" w:line="240" w:lineRule="auto"/>
        <w:ind w:left="0" w:right="0" w:firstLine="48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992"/>
      <w:bookmarkEnd w:id="993"/>
      <w:bookmarkEnd w:id="995"/>
    </w:p>
    <w:p>
      <w:pPr>
        <w:pStyle w:val="Style45"/>
        <w:keepNext/>
        <w:keepLines/>
        <w:widowControl w:val="0"/>
        <w:shd w:val="clear" w:color="auto" w:fill="auto"/>
        <w:tabs>
          <w:tab w:pos="973" w:val="left"/>
        </w:tabs>
        <w:bidi w:val="0"/>
        <w:spacing w:before="0" w:after="280" w:line="240" w:lineRule="auto"/>
        <w:ind w:left="0" w:right="0" w:firstLine="48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96"/>
      <w:bookmarkEnd w:id="997"/>
      <w:bookmarkEnd w:id="999"/>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无形资产包括土地使用权、专利权及非专利技术等。无形资产以实际成本计量。</w:t>
      </w:r>
    </w:p>
    <w:p>
      <w:pPr>
        <w:pStyle w:val="Style35"/>
        <w:keepNext w:val="0"/>
        <w:keepLines w:val="0"/>
        <w:widowControl w:val="0"/>
        <w:shd w:val="clear" w:color="auto" w:fill="auto"/>
        <w:bidi w:val="0"/>
        <w:spacing w:before="0" w:after="40" w:line="317" w:lineRule="exact"/>
        <w:ind w:left="0" w:right="0"/>
        <w:jc w:val="both"/>
      </w:pPr>
      <w:r>
        <w:rPr>
          <w:color w:val="000000"/>
          <w:spacing w:val="0"/>
          <w:w w:val="100"/>
          <w:position w:val="0"/>
        </w:rPr>
        <w:t>土地使用权按使用年限平均摊销。外购土地及建筑物的价款难以在土地使用权与建筑物之间合理分配的，全部作为固定 资产。专利权按法律规定的有效年限平均摊销。</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对使用寿命有限的无形资产的预计使用寿命及摊销方法于每年年度终了进行复核并作适当调整。</w:t>
      </w:r>
    </w:p>
    <w:p>
      <w:pPr>
        <w:pStyle w:val="Style45"/>
        <w:keepNext/>
        <w:keepLines/>
        <w:widowControl w:val="0"/>
        <w:shd w:val="clear" w:color="auto" w:fill="auto"/>
        <w:tabs>
          <w:tab w:pos="973" w:val="left"/>
        </w:tabs>
        <w:bidi w:val="0"/>
        <w:spacing w:before="0" w:after="280" w:line="240" w:lineRule="auto"/>
        <w:ind w:left="0" w:right="0" w:firstLine="48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1000"/>
      <w:bookmarkEnd w:id="1001"/>
      <w:bookmarkEnd w:id="1003"/>
    </w:p>
    <w:p>
      <w:pPr>
        <w:pStyle w:val="Style35"/>
        <w:keepNext w:val="0"/>
        <w:keepLines w:val="0"/>
        <w:widowControl w:val="0"/>
        <w:shd w:val="clear" w:color="auto" w:fill="auto"/>
        <w:bidi w:val="0"/>
        <w:spacing w:before="0" w:after="40" w:line="317" w:lineRule="exact"/>
        <w:ind w:left="0" w:right="0"/>
        <w:jc w:val="both"/>
      </w:pPr>
      <w:r>
        <w:rPr>
          <w:color w:val="000000"/>
          <w:spacing w:val="0"/>
          <w:w w:val="100"/>
          <w:position w:val="0"/>
        </w:rPr>
        <w:t>根据内部研究开发项目支出的性质以及研发活动最终形成无形资产是否具有较大不确定性，分为研究阶段支出和开发阶 段支出。</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研究阶段的支出，于发生时计入当期损益；开发阶段的支出，同时满足下列条件的，确认为无形资产：</w:t>
      </w:r>
    </w:p>
    <w:p>
      <w:pPr>
        <w:pStyle w:val="Style35"/>
        <w:keepNext w:val="0"/>
        <w:keepLines w:val="0"/>
        <w:widowControl w:val="0"/>
        <w:numPr>
          <w:ilvl w:val="0"/>
          <w:numId w:val="117"/>
        </w:numPr>
        <w:shd w:val="clear" w:color="auto" w:fill="auto"/>
        <w:bidi w:val="0"/>
        <w:spacing w:before="0" w:after="280" w:line="314" w:lineRule="exact"/>
        <w:ind w:left="0" w:right="0"/>
        <w:jc w:val="both"/>
      </w:pPr>
      <w:bookmarkStart w:id="1004" w:name="bookmark1004"/>
      <w:bookmarkEnd w:id="1004"/>
      <w:r>
        <w:rPr>
          <w:color w:val="000000"/>
          <w:spacing w:val="0"/>
          <w:w w:val="100"/>
          <w:position w:val="0"/>
        </w:rPr>
        <w:t>完成该无形资产以使其能够使用或出售在技术上具有可行性；</w:t>
      </w:r>
    </w:p>
    <w:p>
      <w:pPr>
        <w:pStyle w:val="Style35"/>
        <w:keepNext w:val="0"/>
        <w:keepLines w:val="0"/>
        <w:widowControl w:val="0"/>
        <w:numPr>
          <w:ilvl w:val="0"/>
          <w:numId w:val="117"/>
        </w:numPr>
        <w:shd w:val="clear" w:color="auto" w:fill="auto"/>
        <w:tabs>
          <w:tab w:pos="720" w:val="left"/>
        </w:tabs>
        <w:bidi w:val="0"/>
        <w:spacing w:before="0" w:after="0" w:line="314" w:lineRule="exact"/>
        <w:ind w:left="0" w:right="0"/>
        <w:jc w:val="both"/>
      </w:pPr>
      <w:bookmarkStart w:id="1005" w:name="bookmark1005"/>
      <w:bookmarkEnd w:id="1005"/>
      <w:r>
        <w:rPr>
          <w:color w:val="000000"/>
          <w:spacing w:val="0"/>
          <w:w w:val="100"/>
          <w:position w:val="0"/>
        </w:rPr>
        <w:t>管理层具有完成该无形资产并使用或出售的意图；</w:t>
      </w:r>
    </w:p>
    <w:p>
      <w:pPr>
        <w:pStyle w:val="Style35"/>
        <w:keepNext w:val="0"/>
        <w:keepLines w:val="0"/>
        <w:widowControl w:val="0"/>
        <w:numPr>
          <w:ilvl w:val="0"/>
          <w:numId w:val="117"/>
        </w:numPr>
        <w:shd w:val="clear" w:color="auto" w:fill="auto"/>
        <w:tabs>
          <w:tab w:pos="720" w:val="left"/>
        </w:tabs>
        <w:bidi w:val="0"/>
        <w:spacing w:before="0" w:after="0" w:line="314" w:lineRule="exact"/>
        <w:ind w:left="0" w:right="0"/>
        <w:jc w:val="both"/>
      </w:pPr>
      <w:bookmarkStart w:id="1006" w:name="bookmark1006"/>
      <w:bookmarkEnd w:id="1006"/>
      <w:r>
        <w:rPr>
          <w:color w:val="000000"/>
          <w:spacing w:val="0"/>
          <w:w w:val="100"/>
          <w:position w:val="0"/>
        </w:rPr>
        <w:t>能够证明该无形资产将如何产生经济利益；</w:t>
      </w:r>
    </w:p>
    <w:p>
      <w:pPr>
        <w:pStyle w:val="Style35"/>
        <w:keepNext w:val="0"/>
        <w:keepLines w:val="0"/>
        <w:widowControl w:val="0"/>
        <w:numPr>
          <w:ilvl w:val="0"/>
          <w:numId w:val="117"/>
        </w:numPr>
        <w:shd w:val="clear" w:color="auto" w:fill="auto"/>
        <w:tabs>
          <w:tab w:pos="720" w:val="left"/>
        </w:tabs>
        <w:bidi w:val="0"/>
        <w:spacing w:before="0" w:after="0" w:line="314" w:lineRule="exact"/>
        <w:ind w:left="0" w:right="0"/>
        <w:jc w:val="both"/>
      </w:pPr>
      <w:bookmarkStart w:id="1007" w:name="bookmark1007"/>
      <w:bookmarkEnd w:id="1007"/>
      <w:r>
        <w:rPr>
          <w:color w:val="000000"/>
          <w:spacing w:val="0"/>
          <w:w w:val="100"/>
          <w:position w:val="0"/>
        </w:rPr>
        <w:t>有足够的技术、财务资源和其他资源支持，以完成该无形资产的开发，并有能力使用或出售该无形资产；</w:t>
      </w:r>
    </w:p>
    <w:p>
      <w:pPr>
        <w:pStyle w:val="Style35"/>
        <w:keepNext w:val="0"/>
        <w:keepLines w:val="0"/>
        <w:widowControl w:val="0"/>
        <w:numPr>
          <w:ilvl w:val="0"/>
          <w:numId w:val="117"/>
        </w:numPr>
        <w:shd w:val="clear" w:color="auto" w:fill="auto"/>
        <w:tabs>
          <w:tab w:pos="720" w:val="left"/>
        </w:tabs>
        <w:bidi w:val="0"/>
        <w:spacing w:before="0" w:after="0" w:line="314" w:lineRule="exact"/>
        <w:ind w:left="0" w:right="0"/>
        <w:jc w:val="both"/>
      </w:pPr>
      <w:bookmarkStart w:id="1008" w:name="bookmark1008"/>
      <w:bookmarkEnd w:id="1008"/>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当开发支出的可收回金额低于其账面价值时，账面价值减记至可收回金额。</w:t>
      </w:r>
    </w:p>
    <w:p>
      <w:pPr>
        <w:pStyle w:val="Style39"/>
        <w:keepNext/>
        <w:keepLines/>
        <w:widowControl w:val="0"/>
        <w:shd w:val="clear" w:color="auto" w:fill="auto"/>
        <w:tabs>
          <w:tab w:pos="963" w:val="left"/>
        </w:tabs>
        <w:bidi w:val="0"/>
        <w:spacing w:before="0" w:after="280" w:line="240" w:lineRule="auto"/>
        <w:ind w:left="0" w:right="0" w:firstLine="48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rFonts w:ascii="Times New Roman" w:eastAsia="Times New Roman" w:hAnsi="Times New Roman" w:cs="Times New Roman"/>
          <w:color w:val="000000"/>
          <w:spacing w:val="0"/>
          <w:w w:val="100"/>
          <w:position w:val="0"/>
        </w:rPr>
        <w:t>5</w:t>
      </w:r>
      <w:r>
        <w:rPr>
          <w:color w:val="000000"/>
          <w:spacing w:val="0"/>
          <w:w w:val="100"/>
          <w:position w:val="0"/>
        </w:rPr>
        <w:t>、</w:t>
        <w:tab/>
        <w:t>长期资产减值</w:t>
      </w:r>
      <w:bookmarkEnd w:id="1009"/>
      <w:bookmarkEnd w:id="1010"/>
      <w:bookmarkEnd w:id="1012"/>
    </w:p>
    <w:p>
      <w:pPr>
        <w:pStyle w:val="Style35"/>
        <w:keepNext w:val="0"/>
        <w:keepLines w:val="0"/>
        <w:widowControl w:val="0"/>
        <w:shd w:val="clear" w:color="auto" w:fill="auto"/>
        <w:bidi w:val="0"/>
        <w:spacing w:before="0" w:after="380" w:line="313" w:lineRule="exact"/>
        <w:ind w:left="0" w:right="0"/>
        <w:jc w:val="both"/>
      </w:pPr>
      <w:r>
        <w:rPr>
          <w:color w:val="000000"/>
          <w:spacing w:val="0"/>
          <w:w w:val="100"/>
          <w:position w:val="0"/>
        </w:rPr>
        <w:t>在财务报表中单独列示的商誉和使用寿命不确定的无形资产，无论是否存在减值迹象，至少每年进行减值测试。固定资 产、无形资产、以成本模式计量的投资性房地产及长期股权投资等，于资产负债表日存在减值迹象的，进行减值测试。减值 测试结果表明资产的可收回金额低于其账面价值的，按其差额计提减值准备并计入减值损失。可收回金额为资产的公允价值 减去处置费用后的净额与资产预计未来现金流量的现值两者之间的较高者。资产减值准备按单项资产为基础计算并确认，如 果难以对单项资产的可收回金额进行估计的，以该资产所属的资产组确定资产组的可收回金额。资产组是能够独立产生现金 流入的最小资产组合。前述资产减值损失一经确认，如果在以后期间价值得以恢复，也不予转回。</w:t>
      </w:r>
    </w:p>
    <w:p>
      <w:pPr>
        <w:pStyle w:val="Style39"/>
        <w:keepNext/>
        <w:keepLines/>
        <w:widowControl w:val="0"/>
        <w:shd w:val="clear" w:color="auto" w:fill="auto"/>
        <w:tabs>
          <w:tab w:pos="963" w:val="left"/>
        </w:tabs>
        <w:bidi w:val="0"/>
        <w:spacing w:before="0" w:after="280" w:line="240" w:lineRule="auto"/>
        <w:ind w:left="0" w:right="0" w:firstLine="48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1013"/>
      <w:bookmarkEnd w:id="1014"/>
      <w:bookmarkEnd w:id="1016"/>
    </w:p>
    <w:p>
      <w:pPr>
        <w:pStyle w:val="Style35"/>
        <w:keepNext w:val="0"/>
        <w:keepLines w:val="0"/>
        <w:widowControl w:val="0"/>
        <w:shd w:val="clear" w:color="auto" w:fill="auto"/>
        <w:bidi w:val="0"/>
        <w:spacing w:before="0" w:after="380" w:line="317" w:lineRule="exact"/>
        <w:ind w:left="0" w:right="0"/>
        <w:jc w:val="left"/>
      </w:pPr>
      <w:r>
        <w:rPr>
          <w:color w:val="000000"/>
          <w:spacing w:val="0"/>
          <w:w w:val="100"/>
          <w:position w:val="0"/>
        </w:rPr>
        <w:t>长期待摊费用包括经营租入固定资产改良及其他已经发生但应由本期和以后各期负担的分摊期限在一年以上的各项费 用，按预计受益期间分期平均摊销，并以实际支出减去累计摊销后的净额列示。</w:t>
      </w:r>
    </w:p>
    <w:p>
      <w:pPr>
        <w:pStyle w:val="Style39"/>
        <w:keepNext/>
        <w:keepLines/>
        <w:widowControl w:val="0"/>
        <w:shd w:val="clear" w:color="auto" w:fill="auto"/>
        <w:tabs>
          <w:tab w:pos="963" w:val="left"/>
        </w:tabs>
        <w:bidi w:val="0"/>
        <w:spacing w:before="0" w:after="280" w:line="240" w:lineRule="auto"/>
        <w:ind w:left="0" w:right="0" w:firstLine="48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1017"/>
      <w:bookmarkEnd w:id="1018"/>
      <w:bookmarkEnd w:id="1020"/>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合同负债的确认方法</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本公司根据履行履约义务与客户付款之间的关系在资产负债表中列示合同负债。本公司已收或应收客户对价而应向客户 转让商品或提供服务的义务列示为合同负债。</w:t>
      </w:r>
    </w:p>
    <w:p>
      <w:pPr>
        <w:pStyle w:val="Style39"/>
        <w:keepNext/>
        <w:keepLines/>
        <w:widowControl w:val="0"/>
        <w:shd w:val="clear" w:color="auto" w:fill="auto"/>
        <w:tabs>
          <w:tab w:pos="963" w:val="left"/>
        </w:tabs>
        <w:bidi w:val="0"/>
        <w:spacing w:before="0" w:after="380" w:line="240" w:lineRule="auto"/>
        <w:ind w:left="0" w:right="0" w:firstLine="48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1021"/>
      <w:bookmarkEnd w:id="1022"/>
      <w:bookmarkEnd w:id="1024"/>
    </w:p>
    <w:p>
      <w:pPr>
        <w:pStyle w:val="Style45"/>
        <w:keepNext/>
        <w:keepLines/>
        <w:widowControl w:val="0"/>
        <w:shd w:val="clear" w:color="auto" w:fill="auto"/>
        <w:bidi w:val="0"/>
        <w:spacing w:before="0" w:after="280" w:line="240" w:lineRule="auto"/>
        <w:ind w:left="0" w:right="0" w:firstLine="480"/>
        <w:jc w:val="both"/>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25"/>
      <w:bookmarkEnd w:id="1026"/>
      <w:bookmarkEnd w:id="1028"/>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在职工为公司提供服务的会计期间，将实际发生的短期薪酬确认为负债，并计入当期损益或相关资产成本。发生的职工 福利费，在实际发生时根据实际发生额计入当期损益或相关资产成本。职工福利费为非货币性福利的，按照公允价值计量。 为职工缴纳的医疗保险费、工伤保险费、生育保险费等社会保险费和住房公积金，以及按规定提取的工会经费和职工教育经 费，在职工为公司提供服务的会计期间，根据规定的计提基础和计提比例计算确定相应的职工薪酬金额，并确认相应负债， 计入当期损益或相关资产成本。</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在职工提供服务从而增加了其未来享有的带薪缺勤权利时，确认与累积带薪缺勤相关的职工薪酬，并以累积未行使权利 而增加的预期支付金额计量。在职工实际发生缺勤的会计期间确认与非累积带薪缺勤相关的职工薪酬。</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利润分享计划同时满足下列条件时，公司确认相关的应付职工薪酬：</w:t>
      </w:r>
    </w:p>
    <w:p>
      <w:pPr>
        <w:pStyle w:val="Style35"/>
        <w:keepNext w:val="0"/>
        <w:keepLines w:val="0"/>
        <w:widowControl w:val="0"/>
        <w:numPr>
          <w:ilvl w:val="0"/>
          <w:numId w:val="119"/>
        </w:numPr>
        <w:shd w:val="clear" w:color="auto" w:fill="auto"/>
        <w:tabs>
          <w:tab w:pos="706" w:val="left"/>
        </w:tabs>
        <w:bidi w:val="0"/>
        <w:spacing w:before="0" w:after="0" w:line="314" w:lineRule="exact"/>
        <w:ind w:left="0" w:right="0"/>
        <w:jc w:val="both"/>
      </w:pPr>
      <w:bookmarkStart w:id="1029" w:name="bookmark1029"/>
      <w:bookmarkEnd w:id="1029"/>
      <w:r>
        <w:rPr>
          <w:color w:val="000000"/>
          <w:spacing w:val="0"/>
          <w:w w:val="100"/>
          <w:position w:val="0"/>
        </w:rPr>
        <w:t>因过去事项导致现在具有支付职工薪酬的法定义务或推定义务；</w:t>
      </w:r>
    </w:p>
    <w:p>
      <w:pPr>
        <w:pStyle w:val="Style35"/>
        <w:keepNext w:val="0"/>
        <w:keepLines w:val="0"/>
        <w:widowControl w:val="0"/>
        <w:numPr>
          <w:ilvl w:val="0"/>
          <w:numId w:val="119"/>
        </w:numPr>
        <w:shd w:val="clear" w:color="auto" w:fill="auto"/>
        <w:tabs>
          <w:tab w:pos="720" w:val="left"/>
        </w:tabs>
        <w:bidi w:val="0"/>
        <w:spacing w:before="0" w:after="140" w:line="314" w:lineRule="exact"/>
        <w:ind w:left="0" w:right="0"/>
        <w:jc w:val="both"/>
      </w:pPr>
      <w:bookmarkStart w:id="1030" w:name="bookmark1030"/>
      <w:bookmarkEnd w:id="1030"/>
      <w:r>
        <w:rPr>
          <w:color w:val="000000"/>
          <w:spacing w:val="0"/>
          <w:w w:val="100"/>
          <w:position w:val="0"/>
        </w:rPr>
        <w:t>因利润分享计划所产生的应付职工薪酬义务金额能够可靠估计。</w:t>
      </w:r>
    </w:p>
    <w:p>
      <w:pPr>
        <w:pStyle w:val="Style45"/>
        <w:keepNext/>
        <w:keepLines/>
        <w:widowControl w:val="0"/>
        <w:numPr>
          <w:ilvl w:val="0"/>
          <w:numId w:val="121"/>
        </w:numPr>
        <w:shd w:val="clear" w:color="auto" w:fill="auto"/>
        <w:tabs>
          <w:tab w:pos="973" w:val="left"/>
        </w:tabs>
        <w:bidi w:val="0"/>
        <w:spacing w:before="0" w:after="380" w:line="240" w:lineRule="auto"/>
        <w:ind w:left="0" w:right="0" w:firstLine="48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离职后福利的会计处理方法</w:t>
      </w:r>
      <w:bookmarkEnd w:id="1031"/>
      <w:bookmarkEnd w:id="1032"/>
      <w:bookmarkEnd w:id="1034"/>
    </w:p>
    <w:p>
      <w:pPr>
        <w:pStyle w:val="Style35"/>
        <w:keepNext w:val="0"/>
        <w:keepLines w:val="0"/>
        <w:widowControl w:val="0"/>
        <w:numPr>
          <w:ilvl w:val="0"/>
          <w:numId w:val="123"/>
        </w:numPr>
        <w:shd w:val="clear" w:color="auto" w:fill="auto"/>
        <w:tabs>
          <w:tab w:pos="749" w:val="left"/>
        </w:tabs>
        <w:bidi w:val="0"/>
        <w:spacing w:before="0" w:after="0" w:line="372" w:lineRule="auto"/>
        <w:ind w:left="0" w:right="0"/>
        <w:jc w:val="left"/>
      </w:pPr>
      <w:bookmarkStart w:id="1035" w:name="bookmark1035"/>
      <w:bookmarkEnd w:id="1035"/>
      <w:r>
        <w:rPr>
          <w:color w:val="000000"/>
          <w:spacing w:val="0"/>
          <w:w w:val="100"/>
          <w:position w:val="0"/>
        </w:rPr>
        <w:t>设定提存计划</w:t>
      </w:r>
    </w:p>
    <w:p>
      <w:pPr>
        <w:pStyle w:val="Style35"/>
        <w:keepNext w:val="0"/>
        <w:keepLines w:val="0"/>
        <w:widowControl w:val="0"/>
        <w:shd w:val="clear" w:color="auto" w:fill="auto"/>
        <w:bidi w:val="0"/>
        <w:spacing w:before="0" w:after="140" w:line="314" w:lineRule="exact"/>
        <w:ind w:left="0" w:right="0"/>
        <w:jc w:val="left"/>
      </w:pPr>
      <w:r>
        <w:rPr>
          <w:color w:val="000000"/>
          <w:spacing w:val="0"/>
          <w:w w:val="100"/>
          <w:position w:val="0"/>
        </w:rPr>
        <w:t>公司在职工为其提供服务的会计期间，将根据设定提存计划计算的应缴存金额确认为负债，并计入当期损益或相关资产 成本。根据设定提存计划，预期不会在职工提供相关服务的年度报告期结束后十二个月内支付全部应缴存金额的，公司将全 部应缴存金额以折现后的金额计量应付职工薪酬。</w:t>
      </w:r>
    </w:p>
    <w:p>
      <w:pPr>
        <w:pStyle w:val="Style35"/>
        <w:keepNext w:val="0"/>
        <w:keepLines w:val="0"/>
        <w:widowControl w:val="0"/>
        <w:numPr>
          <w:ilvl w:val="0"/>
          <w:numId w:val="123"/>
        </w:numPr>
        <w:shd w:val="clear" w:color="auto" w:fill="auto"/>
        <w:tabs>
          <w:tab w:pos="768" w:val="left"/>
        </w:tabs>
        <w:bidi w:val="0"/>
        <w:spacing w:before="0" w:after="0" w:line="372" w:lineRule="auto"/>
        <w:ind w:left="0" w:right="0"/>
        <w:jc w:val="left"/>
      </w:pPr>
      <w:bookmarkStart w:id="1036" w:name="bookmark1036"/>
      <w:bookmarkEnd w:id="1036"/>
      <w:r>
        <w:rPr>
          <w:color w:val="000000"/>
          <w:spacing w:val="0"/>
          <w:w w:val="100"/>
          <w:position w:val="0"/>
        </w:rPr>
        <w:t>设定受益计划</w:t>
      </w:r>
    </w:p>
    <w:p>
      <w:pPr>
        <w:pStyle w:val="Style35"/>
        <w:keepNext w:val="0"/>
        <w:keepLines w:val="0"/>
        <w:widowControl w:val="0"/>
        <w:shd w:val="clear" w:color="auto" w:fill="auto"/>
        <w:bidi w:val="0"/>
        <w:spacing w:before="0" w:after="0" w:line="320" w:lineRule="exact"/>
        <w:ind w:left="0" w:right="0"/>
        <w:jc w:val="left"/>
      </w:pPr>
      <w:r>
        <w:rPr>
          <w:color w:val="000000"/>
          <w:spacing w:val="0"/>
          <w:w w:val="100"/>
          <w:position w:val="0"/>
        </w:rPr>
        <w:t>公司对设定受益计划的会计处理包括下列四个步骤：</w:t>
      </w:r>
    </w:p>
    <w:p>
      <w:pPr>
        <w:pStyle w:val="Style35"/>
        <w:keepNext w:val="0"/>
        <w:keepLines w:val="0"/>
        <w:widowControl w:val="0"/>
        <w:numPr>
          <w:ilvl w:val="0"/>
          <w:numId w:val="125"/>
        </w:numPr>
        <w:shd w:val="clear" w:color="auto" w:fill="auto"/>
        <w:tabs>
          <w:tab w:pos="661" w:val="left"/>
        </w:tabs>
        <w:bidi w:val="0"/>
        <w:spacing w:before="0" w:after="0" w:line="320" w:lineRule="exact"/>
        <w:ind w:left="0" w:right="0"/>
        <w:jc w:val="left"/>
      </w:pPr>
      <w:bookmarkStart w:id="1037" w:name="bookmark1037"/>
      <w:bookmarkEnd w:id="1037"/>
      <w:r>
        <w:rPr>
          <w:color w:val="000000"/>
          <w:spacing w:val="0"/>
          <w:w w:val="100"/>
          <w:position w:val="0"/>
        </w:rPr>
        <w:t>根据预期累计福利单位法，采用无偏且相互一致的精算假设对有关人口统计变量和财务变量等做出估计，计量设定受 益计划所产生的义务，并确定相关义务的归属期间。公司将设定受益计划所产生的义务予以折现，以确定设定受益计划义务 的现值和当期服务成本。</w:t>
      </w:r>
    </w:p>
    <w:p>
      <w:pPr>
        <w:pStyle w:val="Style35"/>
        <w:keepNext w:val="0"/>
        <w:keepLines w:val="0"/>
        <w:widowControl w:val="0"/>
        <w:numPr>
          <w:ilvl w:val="0"/>
          <w:numId w:val="125"/>
        </w:numPr>
        <w:shd w:val="clear" w:color="auto" w:fill="auto"/>
        <w:tabs>
          <w:tab w:pos="670" w:val="left"/>
        </w:tabs>
        <w:bidi w:val="0"/>
        <w:spacing w:before="0" w:after="0" w:line="320" w:lineRule="exact"/>
        <w:ind w:left="0" w:right="0"/>
        <w:jc w:val="left"/>
      </w:pPr>
      <w:bookmarkStart w:id="1038" w:name="bookmark1038"/>
      <w:bookmarkEnd w:id="1038"/>
      <w:r>
        <w:rPr>
          <w:color w:val="000000"/>
          <w:spacing w:val="0"/>
          <w:w w:val="100"/>
          <w:position w:val="0"/>
        </w:rPr>
        <w:t>设定受益计划存在资产的，公司将设定受益计划义务现值减去设定受益计划资产公允价值所形成的赤字或盈余确认为 一项设定受益计划净负债或净资产。设定受益计划存在盈余的，公司以设定受益计划的盈余和资产上限两项的孰低者计量设 定受益计划净资产。</w:t>
      </w:r>
    </w:p>
    <w:p>
      <w:pPr>
        <w:pStyle w:val="Style35"/>
        <w:keepNext w:val="0"/>
        <w:keepLines w:val="0"/>
        <w:widowControl w:val="0"/>
        <w:numPr>
          <w:ilvl w:val="0"/>
          <w:numId w:val="125"/>
        </w:numPr>
        <w:shd w:val="clear" w:color="auto" w:fill="auto"/>
        <w:tabs>
          <w:tab w:pos="720" w:val="left"/>
        </w:tabs>
        <w:bidi w:val="0"/>
        <w:spacing w:before="0" w:after="0" w:line="320" w:lineRule="exact"/>
        <w:ind w:left="0" w:right="0"/>
        <w:jc w:val="left"/>
      </w:pPr>
      <w:bookmarkStart w:id="1039" w:name="bookmark1039"/>
      <w:bookmarkEnd w:id="1039"/>
      <w:r>
        <w:rPr>
          <w:color w:val="000000"/>
          <w:spacing w:val="0"/>
          <w:w w:val="100"/>
          <w:position w:val="0"/>
        </w:rPr>
        <w:t>确定应当计入当期损益的金额。</w:t>
      </w:r>
    </w:p>
    <w:p>
      <w:pPr>
        <w:pStyle w:val="Style35"/>
        <w:keepNext w:val="0"/>
        <w:keepLines w:val="0"/>
        <w:widowControl w:val="0"/>
        <w:numPr>
          <w:ilvl w:val="0"/>
          <w:numId w:val="125"/>
        </w:numPr>
        <w:shd w:val="clear" w:color="auto" w:fill="auto"/>
        <w:tabs>
          <w:tab w:pos="720" w:val="left"/>
        </w:tabs>
        <w:bidi w:val="0"/>
        <w:spacing w:before="0" w:after="0" w:line="320" w:lineRule="exact"/>
        <w:ind w:left="0" w:right="0"/>
        <w:jc w:val="left"/>
      </w:pPr>
      <w:bookmarkStart w:id="1040" w:name="bookmark1040"/>
      <w:bookmarkEnd w:id="1040"/>
      <w:r>
        <w:rPr>
          <w:color w:val="000000"/>
          <w:spacing w:val="0"/>
          <w:w w:val="100"/>
          <w:position w:val="0"/>
        </w:rPr>
        <w:t>确定应当计入其他综合收益的金额。</w:t>
      </w:r>
    </w:p>
    <w:p>
      <w:pPr>
        <w:pStyle w:val="Style35"/>
        <w:keepNext w:val="0"/>
        <w:keepLines w:val="0"/>
        <w:widowControl w:val="0"/>
        <w:shd w:val="clear" w:color="auto" w:fill="auto"/>
        <w:bidi w:val="0"/>
        <w:spacing w:before="0" w:after="0" w:line="314" w:lineRule="exact"/>
        <w:ind w:left="0" w:right="0"/>
        <w:jc w:val="left"/>
      </w:pPr>
      <w:r>
        <w:rPr>
          <w:color w:val="000000"/>
          <w:spacing w:val="0"/>
          <w:w w:val="100"/>
          <w:position w:val="0"/>
        </w:rPr>
        <w:t>公司根据预期累计福利单位法确定的公式将设定受益计划产生的福利义务归属于职工提供服务的期间，并计入当期损益 或相关资产成本。当职工后续年度的服务将导致其享有的设定受益计划福利水平显著高于以前年度时，按照直线法将累计设 定受益计划义务分摊确认于职工提供服务而导致企业第一次产生设定受益计划福利义务至职工提供服务不再导致该福利义 务显著增加的期间。</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报告期末，公司将设定受益计划产生的职工薪酬成本确认为：服务成本、设定受益计划净负债或净资产的利息净额，以 及重新计量设定受益计划净负债或净资产所产生的变动。</w:t>
      </w:r>
    </w:p>
    <w:p>
      <w:pPr>
        <w:pStyle w:val="Style35"/>
        <w:keepNext w:val="0"/>
        <w:keepLines w:val="0"/>
        <w:widowControl w:val="0"/>
        <w:shd w:val="clear" w:color="auto" w:fill="auto"/>
        <w:bidi w:val="0"/>
        <w:spacing w:before="0" w:after="0" w:line="320" w:lineRule="exact"/>
        <w:ind w:left="0" w:right="0"/>
        <w:jc w:val="left"/>
      </w:pPr>
      <w:r>
        <w:rPr>
          <w:color w:val="000000"/>
          <w:spacing w:val="0"/>
          <w:w w:val="100"/>
          <w:position w:val="0"/>
        </w:rPr>
        <w:t>在设定受益计划下，公司在下列日期孰早日将过去服务成本确认为当期费用：</w:t>
      </w:r>
    </w:p>
    <w:p>
      <w:pPr>
        <w:pStyle w:val="Style35"/>
        <w:keepNext w:val="0"/>
        <w:keepLines w:val="0"/>
        <w:widowControl w:val="0"/>
        <w:numPr>
          <w:ilvl w:val="0"/>
          <w:numId w:val="127"/>
        </w:numPr>
        <w:shd w:val="clear" w:color="auto" w:fill="auto"/>
        <w:tabs>
          <w:tab w:pos="706" w:val="left"/>
        </w:tabs>
        <w:bidi w:val="0"/>
        <w:spacing w:before="0" w:after="0" w:line="320" w:lineRule="exact"/>
        <w:ind w:left="0" w:right="0"/>
        <w:jc w:val="left"/>
      </w:pPr>
      <w:bookmarkStart w:id="1041" w:name="bookmark1041"/>
      <w:bookmarkEnd w:id="1041"/>
      <w:r>
        <w:rPr>
          <w:color w:val="000000"/>
          <w:spacing w:val="0"/>
          <w:w w:val="100"/>
          <w:position w:val="0"/>
        </w:rPr>
        <w:t>修改设定受益计划时。</w:t>
      </w:r>
    </w:p>
    <w:p>
      <w:pPr>
        <w:pStyle w:val="Style35"/>
        <w:keepNext w:val="0"/>
        <w:keepLines w:val="0"/>
        <w:widowControl w:val="0"/>
        <w:numPr>
          <w:ilvl w:val="0"/>
          <w:numId w:val="127"/>
        </w:numPr>
        <w:shd w:val="clear" w:color="auto" w:fill="auto"/>
        <w:tabs>
          <w:tab w:pos="720" w:val="left"/>
        </w:tabs>
        <w:bidi w:val="0"/>
        <w:spacing w:before="0" w:after="0" w:line="320" w:lineRule="exact"/>
        <w:ind w:left="0" w:right="0"/>
        <w:jc w:val="left"/>
      </w:pPr>
      <w:bookmarkStart w:id="1042" w:name="bookmark1042"/>
      <w:bookmarkEnd w:id="1042"/>
      <w:r>
        <w:rPr>
          <w:color w:val="000000"/>
          <w:spacing w:val="0"/>
          <w:w w:val="100"/>
          <w:position w:val="0"/>
        </w:rPr>
        <w:t>企业确认相关重组费用或辞退福利时。</w:t>
      </w:r>
    </w:p>
    <w:p>
      <w:pPr>
        <w:pStyle w:val="Style35"/>
        <w:keepNext w:val="0"/>
        <w:keepLines w:val="0"/>
        <w:widowControl w:val="0"/>
        <w:shd w:val="clear" w:color="auto" w:fill="auto"/>
        <w:bidi w:val="0"/>
        <w:spacing w:before="0" w:after="380" w:line="320" w:lineRule="exact"/>
        <w:ind w:left="0" w:right="0"/>
        <w:jc w:val="left"/>
      </w:pPr>
      <w:r>
        <w:rPr>
          <w:color w:val="000000"/>
          <w:spacing w:val="0"/>
          <w:w w:val="100"/>
          <w:position w:val="0"/>
        </w:rPr>
        <w:t>公司在设定受益计划结算时，确认一项结算利得或损失。</w:t>
      </w:r>
    </w:p>
    <w:p>
      <w:pPr>
        <w:pStyle w:val="Style45"/>
        <w:keepNext/>
        <w:keepLines/>
        <w:widowControl w:val="0"/>
        <w:numPr>
          <w:ilvl w:val="0"/>
          <w:numId w:val="121"/>
        </w:numPr>
        <w:shd w:val="clear" w:color="auto" w:fill="auto"/>
        <w:tabs>
          <w:tab w:pos="973" w:val="left"/>
        </w:tabs>
        <w:bidi w:val="0"/>
        <w:spacing w:before="0" w:after="280" w:line="240" w:lineRule="auto"/>
        <w:ind w:left="0" w:right="0" w:firstLine="48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辞退福利的会计处理方法</w:t>
      </w:r>
      <w:bookmarkEnd w:id="1043"/>
      <w:bookmarkEnd w:id="1044"/>
      <w:bookmarkEnd w:id="1046"/>
    </w:p>
    <w:p>
      <w:pPr>
        <w:pStyle w:val="Style35"/>
        <w:keepNext w:val="0"/>
        <w:keepLines w:val="0"/>
        <w:widowControl w:val="0"/>
        <w:shd w:val="clear" w:color="auto" w:fill="auto"/>
        <w:bidi w:val="0"/>
        <w:spacing w:before="0" w:after="0" w:line="320" w:lineRule="exact"/>
        <w:ind w:left="0" w:right="0"/>
        <w:jc w:val="left"/>
      </w:pPr>
      <w:r>
        <w:rPr>
          <w:color w:val="000000"/>
          <w:spacing w:val="0"/>
          <w:w w:val="100"/>
          <w:position w:val="0"/>
        </w:rPr>
        <w:t>公司向职工提供辞退福利的，在下列两者孰早日确认辞退福利产生的职工薪酬负债，并计入当期损益：</w:t>
      </w:r>
    </w:p>
    <w:p>
      <w:pPr>
        <w:pStyle w:val="Style35"/>
        <w:keepNext w:val="0"/>
        <w:keepLines w:val="0"/>
        <w:widowControl w:val="0"/>
        <w:numPr>
          <w:ilvl w:val="0"/>
          <w:numId w:val="129"/>
        </w:numPr>
        <w:shd w:val="clear" w:color="auto" w:fill="auto"/>
        <w:tabs>
          <w:tab w:pos="706" w:val="left"/>
        </w:tabs>
        <w:bidi w:val="0"/>
        <w:spacing w:before="0" w:after="0" w:line="320" w:lineRule="exact"/>
        <w:ind w:left="0" w:right="0"/>
        <w:jc w:val="left"/>
      </w:pPr>
      <w:bookmarkStart w:id="1047" w:name="bookmark1047"/>
      <w:bookmarkEnd w:id="1047"/>
      <w:r>
        <w:rPr>
          <w:color w:val="000000"/>
          <w:spacing w:val="0"/>
          <w:w w:val="100"/>
          <w:position w:val="0"/>
        </w:rPr>
        <w:t>公司不能单方面撤回因解除劳动关系计划或裁减建议所提供的辞退福利时。</w:t>
      </w:r>
    </w:p>
    <w:p>
      <w:pPr>
        <w:pStyle w:val="Style35"/>
        <w:keepNext w:val="0"/>
        <w:keepLines w:val="0"/>
        <w:widowControl w:val="0"/>
        <w:numPr>
          <w:ilvl w:val="0"/>
          <w:numId w:val="129"/>
        </w:numPr>
        <w:shd w:val="clear" w:color="auto" w:fill="auto"/>
        <w:tabs>
          <w:tab w:pos="720" w:val="left"/>
        </w:tabs>
        <w:bidi w:val="0"/>
        <w:spacing w:before="0" w:after="0" w:line="320" w:lineRule="exact"/>
        <w:ind w:left="0" w:right="0"/>
        <w:jc w:val="left"/>
      </w:pPr>
      <w:bookmarkStart w:id="1048" w:name="bookmark1048"/>
      <w:bookmarkEnd w:id="1048"/>
      <w:r>
        <w:rPr>
          <w:color w:val="000000"/>
          <w:spacing w:val="0"/>
          <w:w w:val="100"/>
          <w:position w:val="0"/>
        </w:rPr>
        <w:t>公司确认与涉及支付辞退福利的重组相关的成本或费用时。</w:t>
      </w:r>
    </w:p>
    <w:p>
      <w:pPr>
        <w:pStyle w:val="Style35"/>
        <w:keepNext w:val="0"/>
        <w:keepLines w:val="0"/>
        <w:widowControl w:val="0"/>
        <w:shd w:val="clear" w:color="auto" w:fill="auto"/>
        <w:bidi w:val="0"/>
        <w:spacing w:before="0" w:after="380" w:line="320" w:lineRule="exact"/>
        <w:ind w:left="0" w:right="0"/>
        <w:jc w:val="left"/>
      </w:pPr>
      <w:r>
        <w:rPr>
          <w:color w:val="000000"/>
          <w:spacing w:val="0"/>
          <w:w w:val="100"/>
          <w:position w:val="0"/>
        </w:rPr>
        <w:t>公司按照辞退计划条款的规定，合理预计并确认辞退福利产生的应付职工薪酬。</w:t>
      </w:r>
    </w:p>
    <w:p>
      <w:pPr>
        <w:pStyle w:val="Style45"/>
        <w:keepNext/>
        <w:keepLines/>
        <w:widowControl w:val="0"/>
        <w:numPr>
          <w:ilvl w:val="0"/>
          <w:numId w:val="121"/>
        </w:numPr>
        <w:shd w:val="clear" w:color="auto" w:fill="auto"/>
        <w:tabs>
          <w:tab w:pos="973" w:val="left"/>
        </w:tabs>
        <w:bidi w:val="0"/>
        <w:spacing w:before="0" w:after="280" w:line="240" w:lineRule="auto"/>
        <w:ind w:left="0" w:right="0" w:firstLine="48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其他长期职工福利的会计处理方法</w:t>
      </w:r>
      <w:bookmarkEnd w:id="1049"/>
      <w:bookmarkEnd w:id="1050"/>
      <w:bookmarkEnd w:id="1052"/>
    </w:p>
    <w:p>
      <w:pPr>
        <w:pStyle w:val="Style35"/>
        <w:keepNext w:val="0"/>
        <w:keepLines w:val="0"/>
        <w:widowControl w:val="0"/>
        <w:shd w:val="clear" w:color="auto" w:fill="auto"/>
        <w:bidi w:val="0"/>
        <w:spacing w:before="0" w:after="140" w:line="331" w:lineRule="exact"/>
        <w:ind w:left="0" w:right="0"/>
        <w:jc w:val="left"/>
      </w:pPr>
      <w:r>
        <w:rPr>
          <w:color w:val="000000"/>
          <w:spacing w:val="0"/>
          <w:w w:val="100"/>
          <w:position w:val="0"/>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 将其他长期职工福利产生的职工薪酬成本确认为下列组成部分：</w:t>
      </w:r>
    </w:p>
    <w:p>
      <w:pPr>
        <w:pStyle w:val="Style35"/>
        <w:keepNext w:val="0"/>
        <w:keepLines w:val="0"/>
        <w:widowControl w:val="0"/>
        <w:numPr>
          <w:ilvl w:val="0"/>
          <w:numId w:val="131"/>
        </w:numPr>
        <w:shd w:val="clear" w:color="auto" w:fill="auto"/>
        <w:tabs>
          <w:tab w:pos="706" w:val="left"/>
        </w:tabs>
        <w:bidi w:val="0"/>
        <w:spacing w:before="0" w:after="0" w:line="384" w:lineRule="auto"/>
        <w:ind w:left="0" w:right="0"/>
        <w:jc w:val="left"/>
      </w:pPr>
      <w:bookmarkStart w:id="1053" w:name="bookmark1053"/>
      <w:bookmarkEnd w:id="1053"/>
      <w:r>
        <w:rPr>
          <w:color w:val="000000"/>
          <w:spacing w:val="0"/>
          <w:w w:val="100"/>
          <w:position w:val="0"/>
        </w:rPr>
        <w:t>服务成本。</w:t>
      </w:r>
    </w:p>
    <w:p>
      <w:pPr>
        <w:pStyle w:val="Style35"/>
        <w:keepNext w:val="0"/>
        <w:keepLines w:val="0"/>
        <w:widowControl w:val="0"/>
        <w:numPr>
          <w:ilvl w:val="0"/>
          <w:numId w:val="131"/>
        </w:numPr>
        <w:shd w:val="clear" w:color="auto" w:fill="auto"/>
        <w:tabs>
          <w:tab w:pos="720" w:val="left"/>
        </w:tabs>
        <w:bidi w:val="0"/>
        <w:spacing w:before="0" w:after="0" w:line="331" w:lineRule="exact"/>
        <w:ind w:left="0" w:right="0"/>
        <w:jc w:val="left"/>
      </w:pPr>
      <w:bookmarkStart w:id="1054" w:name="bookmark1054"/>
      <w:bookmarkEnd w:id="1054"/>
      <w:r>
        <w:rPr>
          <w:color w:val="000000"/>
          <w:spacing w:val="0"/>
          <w:w w:val="100"/>
          <w:position w:val="0"/>
        </w:rPr>
        <w:t>其他长期职工福利净负债或净资产的利息净额。</w:t>
      </w:r>
    </w:p>
    <w:p>
      <w:pPr>
        <w:pStyle w:val="Style35"/>
        <w:keepNext w:val="0"/>
        <w:keepLines w:val="0"/>
        <w:widowControl w:val="0"/>
        <w:numPr>
          <w:ilvl w:val="0"/>
          <w:numId w:val="131"/>
        </w:numPr>
        <w:shd w:val="clear" w:color="auto" w:fill="auto"/>
        <w:tabs>
          <w:tab w:pos="720" w:val="left"/>
        </w:tabs>
        <w:bidi w:val="0"/>
        <w:spacing w:before="0" w:after="0" w:line="320" w:lineRule="exact"/>
        <w:ind w:left="0" w:right="0"/>
        <w:jc w:val="left"/>
      </w:pPr>
      <w:bookmarkStart w:id="1055" w:name="bookmark1055"/>
      <w:bookmarkEnd w:id="1055"/>
      <w:r>
        <w:rPr>
          <w:color w:val="000000"/>
          <w:spacing w:val="0"/>
          <w:w w:val="100"/>
          <w:position w:val="0"/>
        </w:rPr>
        <w:t>重新计量其他长期职工福利净负债或净资产所产生的变动。</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为简化相关会计处理，上述项目的总净额应计入当期损益或相关资产成本。</w:t>
      </w:r>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长期残疾福利水平取决于职工提供服务期间长短的，公司在职工提供服务的期间确认应付长期残疾福利义务；长期残疾 福利与职工提供服务期间长短无关的，公司在导致职工长期残疾的事件发生的当期确认应付长期残疾福利义务。</w:t>
      </w:r>
    </w:p>
    <w:p>
      <w:pPr>
        <w:pStyle w:val="Style39"/>
        <w:keepNext/>
        <w:keepLines/>
        <w:widowControl w:val="0"/>
        <w:shd w:val="clear" w:color="auto" w:fill="auto"/>
        <w:tabs>
          <w:tab w:pos="963" w:val="left"/>
        </w:tabs>
        <w:bidi w:val="0"/>
        <w:spacing w:before="0" w:after="240" w:line="240" w:lineRule="auto"/>
        <w:ind w:left="0" w:right="0" w:firstLine="480"/>
        <w:jc w:val="both"/>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056"/>
      <w:bookmarkEnd w:id="1057"/>
      <w:bookmarkEnd w:id="1059"/>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对因产品质量保证、亏损合同等形成的现时义务，其履行很可能导致经济利益的流出，在该义务的金额能够可靠计量时， 确认为预计负债。对于未来经营亏损，不确认预计负债。</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于资产负债表日，对预计负债的账面价值进行复核并作适当调整，以反映当前的最佳估计数。</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收入的金额按照本公司在日常经营活动中销售商品和提供劳务时，已收或应收合同或协议价款的公允价值确定。收入按 扣除增值税、商业折扣、销售折让及销售退回的净额列示。</w:t>
      </w:r>
    </w:p>
    <w:p>
      <w:pPr>
        <w:pStyle w:val="Style35"/>
        <w:keepNext w:val="0"/>
        <w:keepLines w:val="0"/>
        <w:widowControl w:val="0"/>
        <w:shd w:val="clear" w:color="auto" w:fill="auto"/>
        <w:bidi w:val="0"/>
        <w:spacing w:before="0" w:after="380" w:line="317" w:lineRule="exact"/>
        <w:ind w:left="0" w:right="0"/>
        <w:jc w:val="both"/>
      </w:pPr>
      <w:r>
        <w:rPr>
          <w:color w:val="000000"/>
          <w:spacing w:val="0"/>
          <w:w w:val="100"/>
          <w:position w:val="0"/>
        </w:rPr>
        <w:t>与交易相关的经济利益能够流入本公司，相关的收入能够可靠计量且满足下列各项经营活动的特定收入确认标准时，确 认相关的收入。</w:t>
      </w:r>
    </w:p>
    <w:p>
      <w:pPr>
        <w:pStyle w:val="Style39"/>
        <w:keepNext/>
        <w:keepLines/>
        <w:widowControl w:val="0"/>
        <w:shd w:val="clear" w:color="auto" w:fill="auto"/>
        <w:tabs>
          <w:tab w:pos="963" w:val="left"/>
        </w:tabs>
        <w:bidi w:val="0"/>
        <w:spacing w:before="0" w:after="240" w:line="240" w:lineRule="auto"/>
        <w:ind w:left="0" w:right="0" w:firstLine="48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1060"/>
      <w:bookmarkEnd w:id="1061"/>
      <w:bookmarkEnd w:id="1063"/>
    </w:p>
    <w:p>
      <w:pPr>
        <w:pStyle w:val="Style35"/>
        <w:keepNext w:val="0"/>
        <w:keepLines w:val="0"/>
        <w:widowControl w:val="0"/>
        <w:shd w:val="clear" w:color="auto" w:fill="auto"/>
        <w:bidi w:val="0"/>
        <w:spacing w:before="0" w:after="0" w:line="365" w:lineRule="exact"/>
        <w:ind w:left="40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收入确认和计量所采用的会计政策</w:t>
      </w:r>
    </w:p>
    <w:p>
      <w:pPr>
        <w:pStyle w:val="Style35"/>
        <w:keepNext w:val="0"/>
        <w:keepLines w:val="0"/>
        <w:widowControl w:val="0"/>
        <w:shd w:val="clear" w:color="auto" w:fill="auto"/>
        <w:tabs>
          <w:tab w:pos="845" w:val="left"/>
        </w:tabs>
        <w:bidi w:val="0"/>
        <w:spacing w:before="0" w:after="0" w:line="365" w:lineRule="exact"/>
        <w:ind w:left="0" w:right="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收入确认原则</w:t>
      </w:r>
    </w:p>
    <w:p>
      <w:pPr>
        <w:pStyle w:val="Style35"/>
        <w:keepNext w:val="0"/>
        <w:keepLines w:val="0"/>
        <w:widowControl w:val="0"/>
        <w:shd w:val="clear" w:color="auto" w:fill="auto"/>
        <w:bidi w:val="0"/>
        <w:spacing w:before="0" w:after="0" w:line="317" w:lineRule="exact"/>
        <w:ind w:left="0" w:right="0"/>
        <w:jc w:val="left"/>
      </w:pPr>
      <w:r>
        <w:rPr>
          <w:color w:val="000000"/>
          <w:spacing w:val="0"/>
          <w:w w:val="100"/>
          <w:position w:val="0"/>
        </w:rPr>
        <w:t>合同开始日，本公司对合同进行评估，识别合同所包含的各单项履约义务，并确定各单项履约义务是在某一时段内履行， 还是在某一时点履行。</w:t>
      </w:r>
    </w:p>
    <w:p>
      <w:pPr>
        <w:pStyle w:val="Style35"/>
        <w:keepNext w:val="0"/>
        <w:keepLines w:val="0"/>
        <w:widowControl w:val="0"/>
        <w:shd w:val="clear" w:color="auto" w:fill="auto"/>
        <w:bidi w:val="0"/>
        <w:spacing w:before="0" w:after="0" w:line="322" w:lineRule="exact"/>
        <w:ind w:left="0" w:right="0"/>
        <w:jc w:val="left"/>
      </w:pPr>
      <w:r>
        <w:rPr>
          <w:color w:val="000000"/>
          <w:spacing w:val="0"/>
          <w:w w:val="100"/>
          <w:position w:val="0"/>
        </w:rPr>
        <w:t>满足下列条件之一时，属于在某一时段内履行履约义务，否则，属于在某一时点履行履约义务：</w:t>
      </w:r>
    </w:p>
    <w:p>
      <w:pPr>
        <w:pStyle w:val="Style35"/>
        <w:keepNext w:val="0"/>
        <w:keepLines w:val="0"/>
        <w:widowControl w:val="0"/>
        <w:numPr>
          <w:ilvl w:val="0"/>
          <w:numId w:val="133"/>
        </w:numPr>
        <w:shd w:val="clear" w:color="auto" w:fill="auto"/>
        <w:tabs>
          <w:tab w:pos="706" w:val="left"/>
        </w:tabs>
        <w:bidi w:val="0"/>
        <w:spacing w:before="0" w:after="0" w:line="322" w:lineRule="exact"/>
        <w:ind w:left="0" w:right="0"/>
        <w:jc w:val="both"/>
      </w:pPr>
      <w:bookmarkStart w:id="1065" w:name="bookmark1065"/>
      <w:bookmarkEnd w:id="1065"/>
      <w:r>
        <w:rPr>
          <w:color w:val="000000"/>
          <w:spacing w:val="0"/>
          <w:w w:val="100"/>
          <w:position w:val="0"/>
        </w:rPr>
        <w:t>客户在本公司履约的同时即取得并消耗本公司履约所带来的经济利益。</w:t>
      </w:r>
    </w:p>
    <w:p>
      <w:pPr>
        <w:pStyle w:val="Style35"/>
        <w:keepNext w:val="0"/>
        <w:keepLines w:val="0"/>
        <w:widowControl w:val="0"/>
        <w:numPr>
          <w:ilvl w:val="0"/>
          <w:numId w:val="133"/>
        </w:numPr>
        <w:shd w:val="clear" w:color="auto" w:fill="auto"/>
        <w:tabs>
          <w:tab w:pos="720" w:val="left"/>
        </w:tabs>
        <w:bidi w:val="0"/>
        <w:spacing w:before="0" w:after="0" w:line="322" w:lineRule="exact"/>
        <w:ind w:left="0" w:right="0"/>
        <w:jc w:val="both"/>
      </w:pPr>
      <w:bookmarkStart w:id="1066" w:name="bookmark1066"/>
      <w:bookmarkEnd w:id="1066"/>
      <w:r>
        <w:rPr>
          <w:color w:val="000000"/>
          <w:spacing w:val="0"/>
          <w:w w:val="100"/>
          <w:position w:val="0"/>
        </w:rPr>
        <w:t>客户能够控制本公司履约过程中在建商品或服务。</w:t>
      </w:r>
    </w:p>
    <w:p>
      <w:pPr>
        <w:pStyle w:val="Style35"/>
        <w:keepNext w:val="0"/>
        <w:keepLines w:val="0"/>
        <w:widowControl w:val="0"/>
        <w:numPr>
          <w:ilvl w:val="0"/>
          <w:numId w:val="133"/>
        </w:numPr>
        <w:shd w:val="clear" w:color="auto" w:fill="auto"/>
        <w:tabs>
          <w:tab w:pos="670" w:val="left"/>
        </w:tabs>
        <w:bidi w:val="0"/>
        <w:spacing w:before="0" w:after="0" w:line="325" w:lineRule="exact"/>
        <w:ind w:left="0" w:right="0"/>
        <w:jc w:val="both"/>
      </w:pPr>
      <w:bookmarkStart w:id="1067" w:name="bookmark1067"/>
      <w:bookmarkEnd w:id="1067"/>
      <w:r>
        <w:rPr>
          <w:color w:val="000000"/>
          <w:spacing w:val="0"/>
          <w:w w:val="100"/>
          <w:position w:val="0"/>
        </w:rPr>
        <w:t>本公司履约过程中所产出的商品或服务具有不可替代用途，且本公司在整个合同期间内有权就累计至今已完成的履约 部分收取款项。</w:t>
      </w:r>
    </w:p>
    <w:p>
      <w:pPr>
        <w:pStyle w:val="Style35"/>
        <w:keepNext w:val="0"/>
        <w:keepLines w:val="0"/>
        <w:widowControl w:val="0"/>
        <w:shd w:val="clear" w:color="auto" w:fill="auto"/>
        <w:bidi w:val="0"/>
        <w:spacing w:before="0" w:after="0" w:line="325" w:lineRule="exact"/>
        <w:ind w:left="0" w:right="0"/>
        <w:jc w:val="both"/>
      </w:pPr>
      <w:r>
        <w:rPr>
          <w:color w:val="000000"/>
          <w:spacing w:val="0"/>
          <w:w w:val="100"/>
          <w:position w:val="0"/>
        </w:rPr>
        <w:t>对于在某一时段内履行的履约义务，本公司在该段时间内按照履约进度确认收入。履约进度不能合理确定时，已经发生 的成本预计能够得到补偿的，按照已经发生的成本金额确认收入，直到履约进度能够合理确定为止。</w:t>
      </w:r>
    </w:p>
    <w:p>
      <w:pPr>
        <w:pStyle w:val="Style35"/>
        <w:keepNext w:val="0"/>
        <w:keepLines w:val="0"/>
        <w:widowControl w:val="0"/>
        <w:shd w:val="clear" w:color="auto" w:fill="auto"/>
        <w:bidi w:val="0"/>
        <w:spacing w:before="0" w:after="0" w:line="325" w:lineRule="exact"/>
        <w:ind w:left="0" w:right="0"/>
        <w:jc w:val="both"/>
      </w:pPr>
      <w:r>
        <w:rPr>
          <w:color w:val="000000"/>
          <w:spacing w:val="0"/>
          <w:w w:val="100"/>
          <w:position w:val="0"/>
        </w:rPr>
        <w:t>对于在某一时点履行的履约义务，在客户取得相关商品或服务控制权时点确认收入。在判断客户是否已取得商品控制权 时，公司考虑下列迹象：</w:t>
      </w:r>
    </w:p>
    <w:p>
      <w:pPr>
        <w:pStyle w:val="Style35"/>
        <w:keepNext w:val="0"/>
        <w:keepLines w:val="0"/>
        <w:widowControl w:val="0"/>
        <w:numPr>
          <w:ilvl w:val="0"/>
          <w:numId w:val="135"/>
        </w:numPr>
        <w:shd w:val="clear" w:color="auto" w:fill="auto"/>
        <w:tabs>
          <w:tab w:pos="706" w:val="left"/>
        </w:tabs>
        <w:bidi w:val="0"/>
        <w:spacing w:before="0" w:after="0" w:line="322" w:lineRule="exact"/>
        <w:ind w:left="0" w:right="0"/>
        <w:jc w:val="both"/>
      </w:pPr>
      <w:bookmarkStart w:id="1068" w:name="bookmark1068"/>
      <w:bookmarkEnd w:id="1068"/>
      <w:r>
        <w:rPr>
          <w:color w:val="000000"/>
          <w:spacing w:val="0"/>
          <w:w w:val="100"/>
          <w:position w:val="0"/>
        </w:rPr>
        <w:t>本公司就该商品享有现时收款权利，即客户就该商品负有现时付款义务。</w:t>
      </w:r>
    </w:p>
    <w:p>
      <w:pPr>
        <w:pStyle w:val="Style35"/>
        <w:keepNext w:val="0"/>
        <w:keepLines w:val="0"/>
        <w:widowControl w:val="0"/>
        <w:numPr>
          <w:ilvl w:val="0"/>
          <w:numId w:val="135"/>
        </w:numPr>
        <w:shd w:val="clear" w:color="auto" w:fill="auto"/>
        <w:tabs>
          <w:tab w:pos="720" w:val="left"/>
        </w:tabs>
        <w:bidi w:val="0"/>
        <w:spacing w:before="0" w:after="0" w:line="322" w:lineRule="exact"/>
        <w:ind w:left="0" w:right="0"/>
        <w:jc w:val="both"/>
      </w:pPr>
      <w:bookmarkStart w:id="1069" w:name="bookmark1069"/>
      <w:bookmarkEnd w:id="1069"/>
      <w:r>
        <w:rPr>
          <w:color w:val="000000"/>
          <w:spacing w:val="0"/>
          <w:w w:val="100"/>
          <w:position w:val="0"/>
        </w:rPr>
        <w:t>本公司已将该商品的法定所有权转移给客户，即客户已拥有该商品的法定所有权。</w:t>
      </w:r>
    </w:p>
    <w:p>
      <w:pPr>
        <w:pStyle w:val="Style35"/>
        <w:keepNext w:val="0"/>
        <w:keepLines w:val="0"/>
        <w:widowControl w:val="0"/>
        <w:numPr>
          <w:ilvl w:val="0"/>
          <w:numId w:val="135"/>
        </w:numPr>
        <w:shd w:val="clear" w:color="auto" w:fill="auto"/>
        <w:tabs>
          <w:tab w:pos="720" w:val="left"/>
        </w:tabs>
        <w:bidi w:val="0"/>
        <w:spacing w:before="0" w:after="0" w:line="322" w:lineRule="exact"/>
        <w:ind w:left="0" w:right="0"/>
        <w:jc w:val="both"/>
      </w:pPr>
      <w:bookmarkStart w:id="1070" w:name="bookmark1070"/>
      <w:bookmarkEnd w:id="1070"/>
      <w:r>
        <w:rPr>
          <w:color w:val="000000"/>
          <w:spacing w:val="0"/>
          <w:w w:val="100"/>
          <w:position w:val="0"/>
        </w:rPr>
        <w:t>本公司已将该商品实物转移给客户，即客户已实物占有该商品。</w:t>
      </w:r>
    </w:p>
    <w:p>
      <w:pPr>
        <w:pStyle w:val="Style35"/>
        <w:keepNext w:val="0"/>
        <w:keepLines w:val="0"/>
        <w:widowControl w:val="0"/>
        <w:numPr>
          <w:ilvl w:val="0"/>
          <w:numId w:val="135"/>
        </w:numPr>
        <w:shd w:val="clear" w:color="auto" w:fill="auto"/>
        <w:tabs>
          <w:tab w:pos="720" w:val="left"/>
        </w:tabs>
        <w:bidi w:val="0"/>
        <w:spacing w:before="0" w:after="0" w:line="322" w:lineRule="exact"/>
        <w:ind w:left="0" w:right="0"/>
        <w:jc w:val="left"/>
      </w:pPr>
      <w:bookmarkStart w:id="1071" w:name="bookmark1071"/>
      <w:bookmarkEnd w:id="1071"/>
      <w:r>
        <w:rPr>
          <w:color w:val="000000"/>
          <w:spacing w:val="0"/>
          <w:w w:val="100"/>
          <w:position w:val="0"/>
        </w:rPr>
        <w:t>本公司已将该商品所有权上的主要风险和报酬转移给客户，即客户已取得该商品所有权上的主要风险和报酬。</w:t>
      </w:r>
    </w:p>
    <w:p>
      <w:pPr>
        <w:pStyle w:val="Style35"/>
        <w:keepNext w:val="0"/>
        <w:keepLines w:val="0"/>
        <w:widowControl w:val="0"/>
        <w:numPr>
          <w:ilvl w:val="0"/>
          <w:numId w:val="135"/>
        </w:numPr>
        <w:shd w:val="clear" w:color="auto" w:fill="auto"/>
        <w:tabs>
          <w:tab w:pos="720" w:val="left"/>
        </w:tabs>
        <w:bidi w:val="0"/>
        <w:spacing w:before="0" w:after="0" w:line="322" w:lineRule="exact"/>
        <w:ind w:left="0" w:right="0"/>
        <w:jc w:val="left"/>
      </w:pPr>
      <w:bookmarkStart w:id="1072" w:name="bookmark1072"/>
      <w:bookmarkEnd w:id="1072"/>
      <w:r>
        <w:rPr>
          <w:color w:val="000000"/>
          <w:spacing w:val="0"/>
          <w:w w:val="100"/>
          <w:position w:val="0"/>
        </w:rPr>
        <w:t>客户已接受该商品。</w:t>
      </w:r>
    </w:p>
    <w:p>
      <w:pPr>
        <w:pStyle w:val="Style35"/>
        <w:keepNext w:val="0"/>
        <w:keepLines w:val="0"/>
        <w:widowControl w:val="0"/>
        <w:numPr>
          <w:ilvl w:val="0"/>
          <w:numId w:val="135"/>
        </w:numPr>
        <w:shd w:val="clear" w:color="auto" w:fill="auto"/>
        <w:tabs>
          <w:tab w:pos="720" w:val="left"/>
        </w:tabs>
        <w:bidi w:val="0"/>
        <w:spacing w:before="0" w:after="0" w:line="322" w:lineRule="exact"/>
        <w:ind w:left="0" w:right="0"/>
        <w:jc w:val="left"/>
      </w:pPr>
      <w:bookmarkStart w:id="1073" w:name="bookmark1073"/>
      <w:bookmarkEnd w:id="1073"/>
      <w:r>
        <w:rPr>
          <w:color w:val="000000"/>
          <w:spacing w:val="0"/>
          <w:w w:val="100"/>
          <w:position w:val="0"/>
        </w:rPr>
        <w:t>其他表明客户已取得商品控制权的迹象。</w:t>
      </w:r>
    </w:p>
    <w:p>
      <w:pPr>
        <w:pStyle w:val="Style35"/>
        <w:keepNext w:val="0"/>
        <w:keepLines w:val="0"/>
        <w:widowControl w:val="0"/>
        <w:shd w:val="clear" w:color="auto" w:fill="auto"/>
        <w:tabs>
          <w:tab w:pos="845" w:val="left"/>
        </w:tabs>
        <w:bidi w:val="0"/>
        <w:spacing w:before="0" w:after="0" w:line="322" w:lineRule="exact"/>
        <w:ind w:left="0" w:right="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收入计量原则</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本公司按照分摊至各单项履约义务的交易价格计量收入。交易价格是本公司因向客户转让商品或服务而预期有权收取的 对价金额，不包括代第三方收取的款项以及预期将退还给客户的款项。</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合同中存在可变对价的，本公司按照期望值或最可能发生金额确定可变对价的最佳估计数，但包含可变对价的交易价格， 不超过在相关不确定性消除时累计已确认收入极可能不会发生重大转回的金额。</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合同中存在重大融资成分的，本公司按照假定客户在取得商品或服务控制权时即以现金支付的应付金额确定交易价格。 该交易价格与合同对价之间的差额，在合同期间内采用实际利率法摊销。合同开始日，本公司预计客户取得商品或服务控制 权与客户支付价款间隔不超过一年的，不考虑合同中存在的重大融资成分。</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客户支付非现金对价的，本公司按照非现金对价的公允价值确定交易价格。非现金对价的公允价值不能合理估计的，参 照本公司承诺向客户转让商品的单独售价间接确定交易价格。非现金对价的公允价值因对价形式以外的原因而发生变动的， 作为可变对价处理。</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本公司应付客户（或向客户购买本公司商品的第三方）对价的，将该应付对价冲减交易价格，并在确认相关收入与支付 （或承诺支付）客户对价二者孰晚的时点冲减当期收入，但应付客户对价是为了向客户取得其他可明确区分商品的除外。</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合同中包含两项或多项履约义务的，公司在合同开始日，按照各单项履约义务所承诺商品的单独售价的相对比例，将交 易价格分摊至各单项履约义务。</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对于附有销售退回条款的销售，本公司在客户取得相关商品控制权时，按照因向客户转让商品而预期有权取得的对价金 额确认收入，按照预期因销售退回将退还的金额确认为预计负债；同时，按照预期将退回商品转让时的账面价值，扣除收回 该商品预计发生的成本（包括退回商品的价值减损）后的余额，确认为一项资产，即应收退货成本，按照所转让商品转让时 的账面价值，扣除上述资产成本的净额结转成本。每一资产负债表日，本公司重新估计未来销售退回情况，并对上述资产和 负债进行重新计量。</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根据合同约定、法律规定等，本公司为所销售的商品或所建造的资产等提供质量保证。对于为向客户保证所销售的商品 符合既定标准的保证类质量保证，本公司按照《企业会计准则第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或有事项》准则进行会计处理。对于为向客户保证所 销售的商品符合既定标准之外提供了一项单独服务的服务类质量保证，本公司将其作为一项单项履约义务，按照提供商品和 服务类质量保证的单独售价的相对比例，将部分交易价格分摊至服务类质量保证，并在客户取得服务控制权时确认收入。在 评估质量保证是否在向客户保证所销售商品符合既定标准之外提供了一项单独服务时，本公司考虑该质量保证是否为法定要 求、质量保证期限以及本公司承诺履行任务的性质等因素。</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本公司有权自主决定所交易商品的价格，即本公司在向客户转让商品及其他产品前能够控制该产品，则本公司为主要责 任人，按照已收或应收对价总额确认收入。否则，本公司为代理人，按照预期有权收取的佣金或手续费的金额确认收入，该 金额应当按照已收或应收对价总额扣除应支付给其他相关方的价款后的净额，或者按照既定的佣金金额或比例等确认。</w:t>
      </w:r>
    </w:p>
    <w:p>
      <w:pPr>
        <w:pStyle w:val="Style35"/>
        <w:keepNext w:val="0"/>
        <w:keepLines w:val="0"/>
        <w:widowControl w:val="0"/>
        <w:shd w:val="clear" w:color="auto" w:fill="auto"/>
        <w:bidi w:val="0"/>
        <w:spacing w:before="0" w:after="160" w:line="317" w:lineRule="exact"/>
        <w:ind w:left="0" w:right="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）收入确认的具体方法</w:t>
      </w:r>
    </w:p>
    <w:p>
      <w:pPr>
        <w:pStyle w:val="Style3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）按时点确认的收入</w:t>
      </w:r>
    </w:p>
    <w:p>
      <w:pPr>
        <w:pStyle w:val="Style35"/>
        <w:keepNext w:val="0"/>
        <w:keepLines w:val="0"/>
        <w:widowControl w:val="0"/>
        <w:numPr>
          <w:ilvl w:val="0"/>
          <w:numId w:val="137"/>
        </w:numPr>
        <w:shd w:val="clear" w:color="auto" w:fill="auto"/>
        <w:tabs>
          <w:tab w:pos="615" w:val="left"/>
        </w:tabs>
        <w:bidi w:val="0"/>
        <w:spacing w:before="0" w:after="0" w:line="319" w:lineRule="exact"/>
        <w:ind w:left="0" w:right="0"/>
        <w:jc w:val="both"/>
      </w:pPr>
      <w:bookmarkStart w:id="1076" w:name="bookmark1076"/>
      <w:bookmarkEnd w:id="1076"/>
      <w:r>
        <w:rPr>
          <w:color w:val="000000"/>
          <w:spacing w:val="0"/>
          <w:w w:val="100"/>
          <w:position w:val="0"/>
        </w:rPr>
        <w:t>热处理设备销售：内销热处理设备收入确认需满足以下条件：本公司已根据合同约定将产品调试后交付给客户且客户 已验收该商品，已经收回货款或取得了收款凭证且相关的经济利益很可能流入，商品所有权上的主要风险和报酬已转移，商 品的法定所有权已转移。外销产品收入确认需满足以下条件：本公司已根据合同约定将产品报关，取得提单，已经收回货款 或取得了收款凭证且相关的经济利益很可能流入，商品所有权上的主要风险和报酬已转移，商品的法定所有权已转移。</w:t>
      </w:r>
    </w:p>
    <w:p>
      <w:pPr>
        <w:pStyle w:val="Style35"/>
        <w:keepNext w:val="0"/>
        <w:keepLines w:val="0"/>
        <w:widowControl w:val="0"/>
        <w:numPr>
          <w:ilvl w:val="0"/>
          <w:numId w:val="137"/>
        </w:numPr>
        <w:shd w:val="clear" w:color="auto" w:fill="auto"/>
        <w:tabs>
          <w:tab w:pos="615" w:val="left"/>
        </w:tabs>
        <w:bidi w:val="0"/>
        <w:spacing w:before="0" w:after="0" w:line="319" w:lineRule="exact"/>
        <w:ind w:left="0" w:right="0"/>
        <w:jc w:val="both"/>
      </w:pPr>
      <w:bookmarkStart w:id="1077" w:name="bookmark1077"/>
      <w:bookmarkEnd w:id="1077"/>
      <w:r>
        <w:rPr>
          <w:color w:val="000000"/>
          <w:spacing w:val="0"/>
          <w:w w:val="100"/>
          <w:position w:val="0"/>
        </w:rPr>
        <w:t>热处理加工：热处理加工业务通常仅包含转让商品的履约义务。本公司通常在综合考虑了下列因素的基础上，以到货 验收完成时点确认收入：取得商品的现时收款权利、商品所有权上的主要风险和报酬的转移、商品的法定所有权的转移、商 品实物资产的转移、客户接受该商品。</w:t>
      </w:r>
    </w:p>
    <w:p>
      <w:pPr>
        <w:pStyle w:val="Style35"/>
        <w:keepNext w:val="0"/>
        <w:keepLines w:val="0"/>
        <w:widowControl w:val="0"/>
        <w:numPr>
          <w:ilvl w:val="0"/>
          <w:numId w:val="137"/>
        </w:numPr>
        <w:shd w:val="clear" w:color="auto" w:fill="auto"/>
        <w:tabs>
          <w:tab w:pos="615" w:val="left"/>
        </w:tabs>
        <w:bidi w:val="0"/>
        <w:spacing w:before="0" w:after="0" w:line="319" w:lineRule="exact"/>
        <w:ind w:left="0" w:right="0"/>
        <w:jc w:val="both"/>
      </w:pPr>
      <w:bookmarkStart w:id="1078" w:name="bookmark1078"/>
      <w:bookmarkEnd w:id="1078"/>
      <w:r>
        <w:rPr>
          <w:color w:val="000000"/>
          <w:spacing w:val="0"/>
          <w:w w:val="100"/>
          <w:position w:val="0"/>
        </w:rPr>
        <w:t>财税云服务收入：财税云服务业务系公司以自主研发的企业云服务产品为纳税用户提供专业互联网财税服务，包括自 营模式、合作销售模式和定制化产品。自营模式下，用户通过网络一次性支付相应服务周期的价款后，开始使用该产品，公 司与用户根据合同按月或年进行价款结算，本公司按为客户提供的互联网财税服务的所属期分期确认收入；</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合作销售模式下，公司根据合作机构确定的服务用户数量、服务期限、按照合作协议约定的分成比例进行价款结算，本 公司按为客户提供的互联网财税服务的所属期分期确认收入；</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定制化产品，公司向客户提供定制化的财税云服务软件产品，依据合同约定方式进行价款结算，本公司通常在考虑了取 得产品的现时收款权利、已完成产品交付并取得验收报告时确认收入。</w:t>
      </w:r>
    </w:p>
    <w:p>
      <w:pPr>
        <w:pStyle w:val="Style35"/>
        <w:keepNext w:val="0"/>
        <w:keepLines w:val="0"/>
        <w:widowControl w:val="0"/>
        <w:numPr>
          <w:ilvl w:val="0"/>
          <w:numId w:val="137"/>
        </w:numPr>
        <w:shd w:val="clear" w:color="auto" w:fill="auto"/>
        <w:tabs>
          <w:tab w:pos="675" w:val="left"/>
        </w:tabs>
        <w:bidi w:val="0"/>
        <w:spacing w:before="0" w:after="0" w:line="326" w:lineRule="exact"/>
        <w:ind w:left="0" w:right="0"/>
        <w:jc w:val="both"/>
      </w:pPr>
      <w:bookmarkStart w:id="1079" w:name="bookmark1079"/>
      <w:bookmarkEnd w:id="1079"/>
      <w:r>
        <w:rPr>
          <w:color w:val="000000"/>
          <w:spacing w:val="0"/>
          <w:w w:val="100"/>
          <w:position w:val="0"/>
        </w:rPr>
        <w:t>产品及开发服务：产品及开发服务系根据客户个性化需求提供的软件定制开发产品。本公司通常在考虑了取得软件开 发及销售的现时收款权利、在软件法定所有权转移及客户接受该软件的基础上，已完成软件交付并取得验收报告时确认收入。</w:t>
      </w:r>
    </w:p>
    <w:p>
      <w:pPr>
        <w:pStyle w:val="Style35"/>
        <w:keepNext w:val="0"/>
        <w:keepLines w:val="0"/>
        <w:widowControl w:val="0"/>
        <w:numPr>
          <w:ilvl w:val="0"/>
          <w:numId w:val="137"/>
        </w:numPr>
        <w:shd w:val="clear" w:color="auto" w:fill="auto"/>
        <w:tabs>
          <w:tab w:pos="675" w:val="left"/>
        </w:tabs>
        <w:bidi w:val="0"/>
        <w:spacing w:before="0" w:after="0" w:line="326" w:lineRule="exact"/>
        <w:ind w:left="0" w:right="0"/>
        <w:jc w:val="both"/>
      </w:pPr>
      <w:bookmarkStart w:id="1080" w:name="bookmark1080"/>
      <w:bookmarkEnd w:id="1080"/>
      <w:r>
        <w:rPr>
          <w:color w:val="000000"/>
          <w:spacing w:val="0"/>
          <w:w w:val="100"/>
          <w:position w:val="0"/>
        </w:rPr>
        <w:t>技术服务业务：技术服务业务系公司为客户提供专业的技术服务，包括规划咨询、系统运行维护服务等。技术服务一 般约定服务期限，本公司按照服务合同约定的服务期限分期确认收入。</w:t>
      </w:r>
    </w:p>
    <w:p>
      <w:pPr>
        <w:pStyle w:val="Style35"/>
        <w:keepNext w:val="0"/>
        <w:keepLines w:val="0"/>
        <w:widowControl w:val="0"/>
        <w:numPr>
          <w:ilvl w:val="0"/>
          <w:numId w:val="137"/>
        </w:numPr>
        <w:shd w:val="clear" w:color="auto" w:fill="auto"/>
        <w:tabs>
          <w:tab w:pos="680" w:val="left"/>
        </w:tabs>
        <w:bidi w:val="0"/>
        <w:spacing w:before="0" w:after="380" w:line="317" w:lineRule="exact"/>
        <w:ind w:left="0" w:right="0"/>
        <w:jc w:val="both"/>
      </w:pPr>
      <w:bookmarkStart w:id="1081" w:name="bookmark1081"/>
      <w:bookmarkEnd w:id="1081"/>
      <w:r>
        <w:rPr>
          <w:color w:val="000000"/>
          <w:spacing w:val="0"/>
          <w:w w:val="100"/>
          <w:position w:val="0"/>
        </w:rPr>
        <w:t>系统集成业务：系统集成服务业务系针对客户的需求，为用户设计并提供符合其需求的软硬件集成产品。本公司通常 在考虑了相关产品及服务已经提供，取得产品或服务的现时收款权利、在产品的法定所有权转移及客户接受该产品的基础上， 已完成产品交付并取得验收报告时确认收入。</w:t>
      </w:r>
    </w:p>
    <w:p>
      <w:pPr>
        <w:pStyle w:val="Style39"/>
        <w:keepNext/>
        <w:keepLines/>
        <w:widowControl w:val="0"/>
        <w:shd w:val="clear" w:color="auto" w:fill="auto"/>
        <w:tabs>
          <w:tab w:pos="963" w:val="left"/>
        </w:tabs>
        <w:bidi w:val="0"/>
        <w:spacing w:before="0" w:after="260" w:line="240" w:lineRule="auto"/>
        <w:ind w:left="0" w:right="0" w:firstLine="48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3</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1082"/>
      <w:bookmarkEnd w:id="1083"/>
      <w:bookmarkEnd w:id="1085"/>
    </w:p>
    <w:p>
      <w:pPr>
        <w:pStyle w:val="Style35"/>
        <w:keepNext w:val="0"/>
        <w:keepLines w:val="0"/>
        <w:widowControl w:val="0"/>
        <w:shd w:val="clear" w:color="auto" w:fill="auto"/>
        <w:tabs>
          <w:tab w:pos="845" w:val="left"/>
        </w:tabs>
        <w:bidi w:val="0"/>
        <w:spacing w:before="0" w:after="0" w:line="322" w:lineRule="exact"/>
        <w:ind w:left="0" w:right="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与资产相关的政府补助判断依据及会计处理方法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与资产相关的政府补助，冲减相关资产的账面价值或确认为递延收益。与资产相关的政府补助确认为递延收益的，在相 关资产使用寿命内按照合理、系统的方法分期计入损益。按照名义金额计量的政府补助，直接计入当期损益。</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相关资产在使用寿命结束前被出售、转让、报废或发生毁损的，应当将尚未分配的相关递延收益余额转入资产处置当期 的损益。</w:t>
      </w:r>
    </w:p>
    <w:p>
      <w:pPr>
        <w:pStyle w:val="Style35"/>
        <w:keepNext w:val="0"/>
        <w:keepLines w:val="0"/>
        <w:widowControl w:val="0"/>
        <w:shd w:val="clear" w:color="auto" w:fill="auto"/>
        <w:tabs>
          <w:tab w:pos="845" w:val="left"/>
        </w:tabs>
        <w:bidi w:val="0"/>
        <w:spacing w:before="0" w:after="0" w:line="322" w:lineRule="exact"/>
        <w:ind w:left="0" w:right="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与收益相关的政府补助判断依据及会计处理方法</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用于补偿企业以后期间的相关成本费用或损失的，确认为递延收益，并在确认相关成本费用或损失的期间，计入当期损 益或冲减相关成本；用于补偿企业已发生的相关成本费用或损失的，直接计入当期损益或冲减相关成本。</w:t>
      </w:r>
    </w:p>
    <w:p>
      <w:pPr>
        <w:pStyle w:val="Style35"/>
        <w:keepNext w:val="0"/>
        <w:keepLines w:val="0"/>
        <w:widowControl w:val="0"/>
        <w:shd w:val="clear" w:color="auto" w:fill="auto"/>
        <w:tabs>
          <w:tab w:pos="845" w:val="left"/>
        </w:tabs>
        <w:bidi w:val="0"/>
        <w:spacing w:before="0" w:after="0" w:line="322" w:lineRule="exact"/>
        <w:ind w:left="0" w:right="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同时包含与资产相关部分和与收益相关部分的政府补助</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对于同时包含与资产相关部分和与收益相关部分的政府补助，区分不同部分分别进行会计处理；难以区分的，应当整体 归类为与收益相关的政府补助。</w:t>
      </w:r>
    </w:p>
    <w:p>
      <w:pPr>
        <w:pStyle w:val="Style35"/>
        <w:keepNext w:val="0"/>
        <w:keepLines w:val="0"/>
        <w:widowControl w:val="0"/>
        <w:shd w:val="clear" w:color="auto" w:fill="auto"/>
        <w:tabs>
          <w:tab w:pos="845" w:val="left"/>
        </w:tabs>
        <w:bidi w:val="0"/>
        <w:spacing w:before="0" w:after="0" w:line="322" w:lineRule="exact"/>
        <w:ind w:left="0" w:right="0"/>
        <w:jc w:val="both"/>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政府补助在利润表中的核算</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与企业日常活动相关的政府补助，应当按照经济业务实质，计入其他收益或冲减相关成本费用。与企业日常活动无关的 政府补助，应当计入营业外收支。</w:t>
      </w:r>
    </w:p>
    <w:p>
      <w:pPr>
        <w:pStyle w:val="Style35"/>
        <w:keepNext w:val="0"/>
        <w:keepLines w:val="0"/>
        <w:widowControl w:val="0"/>
        <w:shd w:val="clear" w:color="auto" w:fill="auto"/>
        <w:tabs>
          <w:tab w:pos="845" w:val="left"/>
        </w:tabs>
        <w:bidi w:val="0"/>
        <w:spacing w:before="0" w:after="0" w:line="322" w:lineRule="exact"/>
        <w:ind w:left="0" w:right="0"/>
        <w:jc w:val="both"/>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政府补助退回的处理</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已确认的政府补助需要退回的，在需要退回的当期分情况按照以下规定进行会计处理：</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初始确认时冲减相关资产账面价值的，调整资产账面价值；存在相关递延收益的，冲减相关递延收益账面余额，超出部 分计入当期损益；属于其他情况的，直接计入当期损益。</w:t>
      </w:r>
    </w:p>
    <w:p>
      <w:pPr>
        <w:pStyle w:val="Style35"/>
        <w:keepNext w:val="0"/>
        <w:keepLines w:val="0"/>
        <w:widowControl w:val="0"/>
        <w:shd w:val="clear" w:color="auto" w:fill="auto"/>
        <w:tabs>
          <w:tab w:pos="845" w:val="left"/>
        </w:tabs>
        <w:bidi w:val="0"/>
        <w:spacing w:before="0" w:after="0" w:line="322" w:lineRule="exact"/>
        <w:ind w:left="0" w:right="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政策性优惠贷款贴息的处理</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财政将贴息资金拨付给贷款银行，由贷款银行以政策性优惠利率向企业提供贷款的，按以下方法进行会计处理：</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以实际收到的借款金额作为借款的入账价值，按照借款本金和该政策性优惠利率计算相关借款费用。</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财政将贴息资金直接拨付给企业，企业应当将对应的贴息冲减相关借款费用。</w:t>
      </w:r>
    </w:p>
    <w:p>
      <w:pPr>
        <w:pStyle w:val="Style35"/>
        <w:keepNext w:val="0"/>
        <w:keepLines w:val="0"/>
        <w:widowControl w:val="0"/>
        <w:shd w:val="clear" w:color="auto" w:fill="auto"/>
        <w:bidi w:val="0"/>
        <w:spacing w:before="0" w:after="380" w:line="322" w:lineRule="exact"/>
        <w:ind w:left="0" w:right="0"/>
        <w:jc w:val="both"/>
      </w:pPr>
      <w:r>
        <w:rPr>
          <w:color w:val="000000"/>
          <w:spacing w:val="0"/>
          <w:w w:val="100"/>
          <w:position w:val="0"/>
        </w:rPr>
        <w:t>本公司取得的、用于购建或以其他方式形成长期资产的政府补助作为与资产相关的政府补助。本公司取得的与资产相关 之外的其他政府补助作为与收益相关的政府补助。</w:t>
      </w:r>
    </w:p>
    <w:p>
      <w:pPr>
        <w:pStyle w:val="Style39"/>
        <w:keepNext/>
        <w:keepLines/>
        <w:widowControl w:val="0"/>
        <w:shd w:val="clear" w:color="auto" w:fill="auto"/>
        <w:tabs>
          <w:tab w:pos="963" w:val="left"/>
        </w:tabs>
        <w:bidi w:val="0"/>
        <w:spacing w:before="0" w:after="260" w:line="240" w:lineRule="auto"/>
        <w:ind w:left="0" w:right="0" w:firstLine="48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2"/>
      <w:bookmarkEnd w:id="1093"/>
      <w:bookmarkEnd w:id="1095"/>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包括应纳税暂时性差异和可抵扣暂 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计算确认。对于按照税法规定能够于以后年度抵减应纳税所得额的可抵扣亏损，视同可抵扣暂时性差异。对于商 誉的初始确认产生的暂时性差异，不确认相应的递延所得税负债。对于既不影响会计利润也不影响应纳税所得额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 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Style35"/>
        <w:keepNext w:val="0"/>
        <w:keepLines w:val="0"/>
        <w:widowControl w:val="0"/>
        <w:shd w:val="clear" w:color="auto" w:fill="auto"/>
        <w:bidi w:val="0"/>
        <w:spacing w:before="0" w:after="380" w:line="310" w:lineRule="exact"/>
        <w:ind w:left="0" w:right="0"/>
        <w:jc w:val="left"/>
      </w:pPr>
      <w:r>
        <w:rPr>
          <w:color w:val="000000"/>
          <w:spacing w:val="0"/>
          <w:w w:val="100"/>
          <w:position w:val="0"/>
        </w:rPr>
        <w:t>递延所得税资产的确认以本公司很可能取得用来抵扣可抵扣暂时性差异、可抵扣亏损和税款抵减的应纳税所得额为限。 对子公司、联营企业及合营企业投资相关的暂时性差异产生的递延所得税资产和递延所得税负债，予以确认。但本公司能够 控制暂时性差异转回的时间且该暂时性差异在可预见的未来很可能不会转回的，不予确认。</w:t>
      </w:r>
    </w:p>
    <w:p>
      <w:pPr>
        <w:pStyle w:val="Style39"/>
        <w:keepNext/>
        <w:keepLines/>
        <w:widowControl w:val="0"/>
        <w:shd w:val="clear" w:color="auto" w:fill="auto"/>
        <w:tabs>
          <w:tab w:pos="963" w:val="left"/>
        </w:tabs>
        <w:bidi w:val="0"/>
        <w:spacing w:before="0" w:after="380" w:line="240" w:lineRule="auto"/>
        <w:ind w:left="0" w:right="0" w:firstLine="48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1096"/>
      <w:bookmarkEnd w:id="1097"/>
      <w:bookmarkEnd w:id="1099"/>
    </w:p>
    <w:p>
      <w:pPr>
        <w:pStyle w:val="Style45"/>
        <w:keepNext/>
        <w:keepLines/>
        <w:widowControl w:val="0"/>
        <w:numPr>
          <w:ilvl w:val="0"/>
          <w:numId w:val="139"/>
        </w:numPr>
        <w:shd w:val="clear" w:color="auto" w:fill="auto"/>
        <w:tabs>
          <w:tab w:pos="973" w:val="left"/>
        </w:tabs>
        <w:bidi w:val="0"/>
        <w:spacing w:before="0" w:after="280" w:line="240" w:lineRule="auto"/>
        <w:ind w:left="0" w:right="0" w:firstLine="480"/>
        <w:jc w:val="both"/>
      </w:pPr>
      <w:bookmarkStart w:id="1100" w:name="bookmark1100"/>
      <w:bookmarkStart w:id="1101" w:name="bookmark1101"/>
      <w:bookmarkStart w:id="1102" w:name="bookmark1102"/>
      <w:bookmarkStart w:id="1103" w:name="bookmark1103"/>
      <w:bookmarkEnd w:id="1102"/>
      <w:r>
        <w:rPr>
          <w:color w:val="000000"/>
          <w:spacing w:val="0"/>
          <w:w w:val="100"/>
          <w:position w:val="0"/>
        </w:rPr>
        <w:t>经营租赁的会计处理方法</w:t>
      </w:r>
      <w:bookmarkEnd w:id="1100"/>
      <w:bookmarkEnd w:id="1101"/>
      <w:bookmarkEnd w:id="1103"/>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实质上转移了与资产所有权有关的全部风险和报酬的租赁为融资租赁。其他的租赁为经营租赁。</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经营租赁的租金支出在租赁期内按照直线法计入相关资产成本或当期损益。</w:t>
      </w:r>
    </w:p>
    <w:p>
      <w:pPr>
        <w:pStyle w:val="Style45"/>
        <w:keepNext/>
        <w:keepLines/>
        <w:widowControl w:val="0"/>
        <w:numPr>
          <w:ilvl w:val="0"/>
          <w:numId w:val="139"/>
        </w:numPr>
        <w:shd w:val="clear" w:color="auto" w:fill="auto"/>
        <w:tabs>
          <w:tab w:pos="973" w:val="left"/>
        </w:tabs>
        <w:bidi w:val="0"/>
        <w:spacing w:before="0" w:after="280" w:line="240" w:lineRule="auto"/>
        <w:ind w:left="0" w:right="0" w:firstLine="480"/>
        <w:jc w:val="both"/>
      </w:pPr>
      <w:bookmarkStart w:id="1104" w:name="bookmark1104"/>
      <w:bookmarkStart w:id="1105" w:name="bookmark1105"/>
      <w:bookmarkStart w:id="1106" w:name="bookmark1106"/>
      <w:bookmarkStart w:id="1107" w:name="bookmark1107"/>
      <w:bookmarkEnd w:id="1106"/>
      <w:r>
        <w:rPr>
          <w:color w:val="000000"/>
          <w:spacing w:val="0"/>
          <w:w w:val="100"/>
          <w:position w:val="0"/>
        </w:rPr>
        <w:t>融资租赁的会计处理方法</w:t>
      </w:r>
      <w:bookmarkEnd w:id="1104"/>
      <w:bookmarkEnd w:id="1105"/>
      <w:bookmarkEnd w:id="1107"/>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按租赁资产的公允价值与最低租赁付款额的现值两者中较低者作为租入资产的入账价值，租入资产的入账价值与最低租 赁付款额之间的差额为未确认融资费用，在租赁期内按实际利率法摊销。最低租赁付款额扣除未确认融资费用后的余额以长 期应付款列示。</w:t>
      </w:r>
    </w:p>
    <w:p>
      <w:pPr>
        <w:pStyle w:val="Style39"/>
        <w:keepNext/>
        <w:keepLines/>
        <w:widowControl w:val="0"/>
        <w:shd w:val="clear" w:color="auto" w:fill="auto"/>
        <w:tabs>
          <w:tab w:pos="963" w:val="left"/>
        </w:tabs>
        <w:bidi w:val="0"/>
        <w:spacing w:before="0" w:after="380" w:line="240" w:lineRule="auto"/>
        <w:ind w:left="0" w:right="0" w:firstLine="48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1108"/>
      <w:bookmarkEnd w:id="1109"/>
      <w:bookmarkEnd w:id="1111"/>
    </w:p>
    <w:p>
      <w:pPr>
        <w:pStyle w:val="Style39"/>
        <w:keepNext/>
        <w:keepLines/>
        <w:widowControl w:val="0"/>
        <w:shd w:val="clear" w:color="auto" w:fill="auto"/>
        <w:tabs>
          <w:tab w:pos="963" w:val="left"/>
        </w:tabs>
        <w:bidi w:val="0"/>
        <w:spacing w:before="0" w:after="380" w:line="240" w:lineRule="auto"/>
        <w:ind w:left="0" w:right="0" w:firstLine="48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1112"/>
      <w:bookmarkEnd w:id="1113"/>
      <w:bookmarkEnd w:id="1115"/>
    </w:p>
    <w:p>
      <w:pPr>
        <w:pStyle w:val="Style45"/>
        <w:keepNext/>
        <w:keepLines/>
        <w:widowControl w:val="0"/>
        <w:numPr>
          <w:ilvl w:val="0"/>
          <w:numId w:val="141"/>
        </w:numPr>
        <w:shd w:val="clear" w:color="auto" w:fill="auto"/>
        <w:bidi w:val="0"/>
        <w:spacing w:before="0" w:after="380" w:line="240" w:lineRule="auto"/>
        <w:ind w:left="0" w:right="0" w:firstLine="480"/>
        <w:jc w:val="both"/>
      </w:pPr>
      <w:bookmarkStart w:id="1116" w:name="bookmark1116"/>
      <w:bookmarkStart w:id="1117" w:name="bookmark1117"/>
      <w:bookmarkStart w:id="1118" w:name="bookmark1118"/>
      <w:bookmarkStart w:id="1119" w:name="bookmark1119"/>
      <w:bookmarkEnd w:id="1118"/>
      <w:r>
        <w:rPr>
          <w:color w:val="000000"/>
          <w:spacing w:val="0"/>
          <w:w w:val="100"/>
          <w:position w:val="0"/>
        </w:rPr>
        <w:t>重要会计政策变更</w:t>
      </w:r>
      <w:bookmarkEnd w:id="1116"/>
      <w:bookmarkEnd w:id="1117"/>
      <w:bookmarkEnd w:id="1119"/>
    </w:p>
    <w:p>
      <w:pPr>
        <w:pStyle w:val="Style33"/>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86"/>
        <w:gridCol w:w="2842"/>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5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号——收入》。本公司自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日起施行前述准则，并根据前述准 则关于衔接的规定，于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日对财 务报表进行了相应的调整。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第五届董事会第三次会议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)首次执行新收入准则 调整首次执行当年年初财务报表相关项 目情况</w:t>
            </w:r>
          </w:p>
        </w:tc>
      </w:tr>
    </w:tbl>
    <w:p>
      <w:pPr>
        <w:pStyle w:val="Style35"/>
        <w:keepNext w:val="0"/>
        <w:keepLines w:val="0"/>
        <w:widowControl w:val="0"/>
        <w:shd w:val="clear" w:color="auto" w:fill="auto"/>
        <w:bidi w:val="0"/>
        <w:spacing w:before="0" w:after="0" w:line="326" w:lineRule="exact"/>
        <w:ind w:left="0" w:right="0"/>
        <w:jc w:val="both"/>
      </w:pPr>
      <w:r>
        <w:rPr>
          <w:color w:val="000000"/>
          <w:spacing w:val="0"/>
          <w:w w:val="100"/>
          <w:position w:val="0"/>
        </w:rPr>
        <w:t>新收入准则根据公司履行履约义务与客户付款之间的关系在资产负债表中列示合同资产或合同负债。</w:t>
      </w:r>
    </w:p>
    <w:p>
      <w:pPr>
        <w:pStyle w:val="Style35"/>
        <w:keepNext w:val="0"/>
        <w:keepLines w:val="0"/>
        <w:widowControl w:val="0"/>
        <w:shd w:val="clear" w:color="auto" w:fill="auto"/>
        <w:bidi w:val="0"/>
        <w:spacing w:before="0" w:after="140" w:line="326" w:lineRule="exact"/>
        <w:ind w:left="0" w:right="0"/>
        <w:jc w:val="both"/>
      </w:pPr>
      <w:r>
        <w:rPr>
          <w:color w:val="000000"/>
          <w:spacing w:val="0"/>
          <w:w w:val="100"/>
          <w:position w:val="0"/>
        </w:rPr>
        <w:t>本公司按照新收入准则相关规定，于准则施行日进行以下调整：</w:t>
      </w:r>
    </w:p>
    <w:p>
      <w:pPr>
        <w:pStyle w:val="Style35"/>
        <w:keepNext w:val="0"/>
        <w:keepLines w:val="0"/>
        <w:widowControl w:val="0"/>
        <w:numPr>
          <w:ilvl w:val="0"/>
          <w:numId w:val="143"/>
        </w:numPr>
        <w:shd w:val="clear" w:color="auto" w:fill="auto"/>
        <w:tabs>
          <w:tab w:pos="706" w:val="left"/>
        </w:tabs>
        <w:bidi w:val="0"/>
        <w:spacing w:before="0" w:after="0" w:line="379" w:lineRule="auto"/>
        <w:ind w:left="0" w:right="0"/>
        <w:jc w:val="both"/>
      </w:pPr>
      <w:bookmarkStart w:id="1120" w:name="bookmark1120"/>
      <w:bookmarkEnd w:id="1120"/>
      <w:r>
        <w:rPr>
          <w:color w:val="000000"/>
          <w:spacing w:val="0"/>
          <w:w w:val="100"/>
          <w:position w:val="0"/>
        </w:rPr>
        <w:t>本公司将期末符合条件的“应收账款”重分类为“合同资产”，对可比期间数据不做调整。</w:t>
      </w:r>
    </w:p>
    <w:p>
      <w:pPr>
        <w:pStyle w:val="Style35"/>
        <w:keepNext w:val="0"/>
        <w:keepLines w:val="0"/>
        <w:widowControl w:val="0"/>
        <w:numPr>
          <w:ilvl w:val="0"/>
          <w:numId w:val="143"/>
        </w:numPr>
        <w:shd w:val="clear" w:color="auto" w:fill="auto"/>
        <w:tabs>
          <w:tab w:pos="720" w:val="left"/>
        </w:tabs>
        <w:bidi w:val="0"/>
        <w:spacing w:before="0" w:after="0" w:line="379" w:lineRule="auto"/>
        <w:ind w:left="0" w:right="0"/>
        <w:jc w:val="both"/>
      </w:pPr>
      <w:bookmarkStart w:id="1121" w:name="bookmark1121"/>
      <w:bookmarkEnd w:id="1121"/>
      <w:r>
        <w:rPr>
          <w:color w:val="000000"/>
          <w:spacing w:val="0"/>
          <w:w w:val="100"/>
          <w:position w:val="0"/>
        </w:rPr>
        <w:t>本公司将期末符合条件的“预收款项”确认为“合同负债”及“其他流动负债”，对可比期间数据不做调整。</w:t>
      </w:r>
    </w:p>
    <w:p>
      <w:pPr>
        <w:pStyle w:val="Style35"/>
        <w:keepNext w:val="0"/>
        <w:keepLines w:val="0"/>
        <w:widowControl w:val="0"/>
        <w:numPr>
          <w:ilvl w:val="0"/>
          <w:numId w:val="143"/>
        </w:numPr>
        <w:shd w:val="clear" w:color="auto" w:fill="auto"/>
        <w:tabs>
          <w:tab w:pos="670" w:val="left"/>
        </w:tabs>
        <w:bidi w:val="0"/>
        <w:spacing w:before="0" w:after="0" w:line="326" w:lineRule="exact"/>
        <w:ind w:left="0" w:right="0"/>
        <w:jc w:val="both"/>
      </w:pPr>
      <w:bookmarkStart w:id="1122" w:name="bookmark1122"/>
      <w:bookmarkEnd w:id="1122"/>
      <w:r>
        <w:rPr>
          <w:color w:val="000000"/>
          <w:spacing w:val="0"/>
          <w:w w:val="100"/>
          <w:position w:val="0"/>
        </w:rPr>
        <w:t>本公司将期末不符合收入确认条件的存量业务合同，对相关项目前期已确认的收入和成本及相应的所得税，追溯调整 本报告期期初留存收益，对可比期间数据不做调整。</w:t>
      </w:r>
    </w:p>
    <w:p>
      <w:pPr>
        <w:pStyle w:val="Style35"/>
        <w:keepNext w:val="0"/>
        <w:keepLines w:val="0"/>
        <w:widowControl w:val="0"/>
        <w:shd w:val="clear" w:color="auto" w:fill="auto"/>
        <w:bidi w:val="0"/>
        <w:spacing w:before="0" w:after="380" w:line="326" w:lineRule="exact"/>
        <w:ind w:left="0" w:right="0"/>
        <w:jc w:val="both"/>
      </w:pPr>
      <w:r>
        <w:rPr>
          <w:color w:val="000000"/>
          <w:spacing w:val="0"/>
          <w:w w:val="100"/>
          <w:position w:val="0"/>
        </w:rPr>
        <w:t>本公司因执行新收入准则对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日合并及公司资产负债表各项目的影响请见</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)首次执行新收入准则调整首 次执行当年年初财务报表相关项目情况。</w:t>
      </w:r>
    </w:p>
    <w:p>
      <w:pPr>
        <w:pStyle w:val="Style45"/>
        <w:keepNext/>
        <w:keepLines/>
        <w:widowControl w:val="0"/>
        <w:numPr>
          <w:ilvl w:val="0"/>
          <w:numId w:val="141"/>
        </w:numPr>
        <w:shd w:val="clear" w:color="auto" w:fill="auto"/>
        <w:bidi w:val="0"/>
        <w:spacing w:before="0" w:after="380" w:line="240" w:lineRule="auto"/>
        <w:ind w:left="0" w:right="0" w:firstLine="480"/>
        <w:jc w:val="both"/>
      </w:pPr>
      <w:bookmarkStart w:id="1123" w:name="bookmark1123"/>
      <w:bookmarkStart w:id="1124" w:name="bookmark1124"/>
      <w:bookmarkStart w:id="1125" w:name="bookmark1125"/>
      <w:bookmarkStart w:id="1126" w:name="bookmark1126"/>
      <w:bookmarkEnd w:id="1125"/>
      <w:r>
        <w:rPr>
          <w:color w:val="000000"/>
          <w:spacing w:val="0"/>
          <w:w w:val="100"/>
          <w:position w:val="0"/>
        </w:rPr>
        <w:t>重要会计估计变更</w:t>
      </w:r>
      <w:bookmarkEnd w:id="1123"/>
      <w:bookmarkEnd w:id="1124"/>
      <w:bookmarkEnd w:id="1126"/>
    </w:p>
    <w:p>
      <w:pPr>
        <w:pStyle w:val="Style35"/>
        <w:keepNext w:val="0"/>
        <w:keepLines w:val="0"/>
        <w:widowControl w:val="0"/>
        <w:shd w:val="clear" w:color="auto" w:fill="auto"/>
        <w:bidi w:val="0"/>
        <w:spacing w:before="0" w:after="380" w:line="379"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5"/>
        <w:keepNext/>
        <w:keepLines/>
        <w:widowControl w:val="0"/>
        <w:numPr>
          <w:ilvl w:val="0"/>
          <w:numId w:val="141"/>
        </w:numPr>
        <w:shd w:val="clear" w:color="auto" w:fill="auto"/>
        <w:tabs>
          <w:tab w:pos="493" w:val="left"/>
        </w:tabs>
        <w:bidi w:val="0"/>
        <w:spacing w:before="0" w:after="400" w:line="240" w:lineRule="auto"/>
        <w:ind w:left="0" w:right="0" w:firstLine="0"/>
        <w:jc w:val="center"/>
      </w:pPr>
      <w:bookmarkStart w:id="1127" w:name="bookmark1127"/>
      <w:bookmarkStart w:id="1128" w:name="bookmark1128"/>
      <w:bookmarkStart w:id="1129" w:name="bookmark1129"/>
      <w:bookmarkStart w:id="1130" w:name="bookmark1130"/>
      <w:bookmarkEnd w:id="112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27"/>
      <w:bookmarkEnd w:id="1128"/>
      <w:bookmarkEnd w:id="1130"/>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是否需要调整年初资产负债表科目</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合并资产负债表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1982"/>
        <w:gridCol w:w="1992"/>
        <w:gridCol w:w="1939"/>
      </w:tblGrid>
      <w:tr>
        <w:trPr>
          <w:trHeight w:val="37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调整数</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587,932,848.34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587,932,848.34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258,979,798.63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258,979,798.63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42,064,902.50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42,064,902.50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612,082,200.55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584,526,647.23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-27,555,553.32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134,618,543.65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134,618,543.65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63,568,961.83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63,568,961.83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237,252,321.59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270,820,355.14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33,568,033.55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17,421,099.03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17,421,099.03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27,671,055.13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27,671,055.13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1,964,170,632.22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1,987,604,211.48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23,433,579.26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4,914,086.32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4,914,086.32</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114,629,578.67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114,629,578.67</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21,796,374.50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21,796,374.50</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398" w:right="939" w:bottom="1465" w:left="958" w:header="0" w:footer="3" w:gutter="0"/>
          <w:cols w:space="720"/>
          <w:noEndnote/>
          <w:titlePg/>
          <w:rtlGutter w:val="0"/>
          <w:docGrid w:linePitch="360"/>
        </w:sectPr>
      </w:pPr>
    </w:p>
    <w:tbl>
      <w:tblPr>
        <w:tblOverlap w:val="never"/>
        <w:jc w:val="center"/>
        <w:tblLayout w:type="fixed"/>
      </w:tblPr>
      <w:tblGrid>
        <w:gridCol w:w="3730"/>
        <w:gridCol w:w="1982"/>
        <w:gridCol w:w="1992"/>
        <w:gridCol w:w="1939"/>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32,349,777.57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32,349,777.57</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600,209,558.29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600,209,558.29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42,839,078.98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42,839,078.98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359,646,427.21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359,646,427.21</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65,108,114.83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65,108,114.83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971,725,622.38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971,725,622.38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64,981,679.92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64,981,679.92</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27,875,640.68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28,463,048.38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587,407.70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14,290,000.00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2,320,365,939.35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2,320,953,347.05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587,407.70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4,284,536,571.57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4,308,557,558.53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24,020,986.96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41,500,693.51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41,500,693.51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7,440,794.73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7,440,794.73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194,514,694.70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194,514,694.70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211,223,393.33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4,877,850.80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-206,345,542.53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228,794,855.79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228,794,855.79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23,413,874.13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23,413,874.13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12,236,248.52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12,236,248.52</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91,037,108.58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91,037,108.58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0"/>
        <w:gridCol w:w="1982"/>
        <w:gridCol w:w="1987"/>
        <w:gridCol w:w="2011"/>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13,859,246.96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13,859,246.96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6,858,342.97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6,858,342.97</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595,226,054.46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624,533,710.69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29,307,656.23</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82,347,590.17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82,347,590.17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36,737,270.57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36,737,270.57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7,919,787.07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7,919,787.07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139,316,165.70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139,316,165.70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734,542,220.16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763,849,876.39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29,307,656.23</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779,198,175.00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779,198,175.00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2,592,342,515.06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2,592,342,515.06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33,579,171.66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33,579,171.66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38,459,731.31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33,173,062.04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-5,286,669.27</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3,375,976,593.03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3,370,689,923.76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-5,286,669.27</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174,017,758.38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174,017,758.38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3,549,994,351.41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3,544,707,682.14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-5,286,669.27</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4,284,536,571.57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4,308,557,558.53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24,020,986.96</w:t>
            </w:r>
          </w:p>
        </w:tc>
      </w:tr>
      <w:tr>
        <w:trPr>
          <w:trHeight w:val="835" w:hRule="exact"/>
        </w:trPr>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母公司资产负债表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2147" w:val="left"/>
              </w:tabs>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调整数</w:t>
            </w:r>
          </w:p>
        </w:tc>
      </w:tr>
    </w:tbl>
    <w:p>
      <w:pPr>
        <w:spacing w:lineRule="exact" w:line="1"/>
        <w:rPr>
          <w:sz w:val="2"/>
          <w:szCs w:val="2"/>
        </w:rPr>
      </w:pPr>
      <w:r>
        <w:br w:type="page"/>
      </w:r>
    </w:p>
    <w:tbl>
      <w:tblPr>
        <w:tblOverlap w:val="never"/>
        <w:jc w:val="center"/>
        <w:tblLayout w:type="fixed"/>
      </w:tblPr>
      <w:tblGrid>
        <w:gridCol w:w="3730"/>
        <w:gridCol w:w="1843"/>
        <w:gridCol w:w="2131"/>
        <w:gridCol w:w="1939"/>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54,759,578.39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54,759,578.39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177,665,468.49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177,665,468.49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1,723,615.39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1,435,525.39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-288,090.00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2,113,137.38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2,113,137.38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288,090.00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1,143,241.79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1,143,241.79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238,103,341.44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238,103,341.44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2,873,207,899.42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2,873,207,899.42</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4,060,243.50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4,060,243.50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2,004,390.04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2,004,390.04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2,472,110.95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2,472,110.95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79,610.07</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2,881,824,253.98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2,881,824,253.98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0"/>
        <w:gridCol w:w="1843"/>
        <w:gridCol w:w="2131"/>
        <w:gridCol w:w="1939"/>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3,119,927,595.42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3,119,927,595.42</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123,808.45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9,569,132.66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-9,569,132.66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9,569,132.66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9,569,132.66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1,037,385.54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1,037,385.54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15,488.63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106,672,645.41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106,672,645.41</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122,418,460.69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122,418,460.69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166,367.12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12,477,885.01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12,477,885.01</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134,896,345.70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134,896,345.70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779,198,175.00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779,198,175.00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398" w:right="939" w:bottom="1465" w:left="958" w:header="0" w:footer="3" w:gutter="0"/>
          <w:cols w:space="720"/>
          <w:noEndnote/>
          <w:rtlGutter w:val="0"/>
          <w:docGrid w:linePitch="360"/>
        </w:sectPr>
      </w:pPr>
    </w:p>
    <w:tbl>
      <w:tblPr>
        <w:tblOverlap w:val="never"/>
        <w:jc w:val="center"/>
        <w:tblLayout w:type="fixed"/>
      </w:tblPr>
      <w:tblGrid>
        <w:gridCol w:w="3730"/>
        <w:gridCol w:w="1843"/>
        <w:gridCol w:w="2131"/>
        <w:gridCol w:w="1939"/>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2,607,782,666.83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2,607,782,666.83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33,579,171.66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33,579,171.66</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-422,528,763.77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-422,528,763.77</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2,985,031,249.72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2,985,031,249.72</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3,119,927,595.42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3,119,927,595.42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331" w:lineRule="exact"/>
        <w:ind w:left="0" w:right="0"/>
        <w:jc w:val="both"/>
      </w:pPr>
      <w:r>
        <w:rPr>
          <w:color w:val="000000"/>
          <w:spacing w:val="0"/>
          <w:w w:val="100"/>
          <w:position w:val="0"/>
        </w:rPr>
        <w:t>调整情况说明</w:t>
      </w:r>
    </w:p>
    <w:p>
      <w:pPr>
        <w:pStyle w:val="Style35"/>
        <w:keepNext w:val="0"/>
        <w:keepLines w:val="0"/>
        <w:widowControl w:val="0"/>
        <w:shd w:val="clear" w:color="auto" w:fill="auto"/>
        <w:bidi w:val="0"/>
        <w:spacing w:before="0" w:after="0" w:line="331" w:lineRule="exact"/>
        <w:ind w:left="0" w:right="0"/>
        <w:jc w:val="both"/>
      </w:pPr>
      <w:r>
        <w:rPr>
          <w:color w:val="000000"/>
          <w:spacing w:val="0"/>
          <w:w w:val="100"/>
          <w:position w:val="0"/>
        </w:rPr>
        <w:t>新收入准则根据公司履行履约义务与客户付款之间的关系在资产负债表中列示合同资产或合同负债。</w:t>
      </w:r>
    </w:p>
    <w:p>
      <w:pPr>
        <w:pStyle w:val="Style35"/>
        <w:keepNext w:val="0"/>
        <w:keepLines w:val="0"/>
        <w:widowControl w:val="0"/>
        <w:shd w:val="clear" w:color="auto" w:fill="auto"/>
        <w:bidi w:val="0"/>
        <w:spacing w:before="0" w:after="120" w:line="331" w:lineRule="exact"/>
        <w:ind w:left="0" w:right="0"/>
        <w:jc w:val="both"/>
      </w:pPr>
      <w:r>
        <w:rPr>
          <w:color w:val="000000"/>
          <w:spacing w:val="0"/>
          <w:w w:val="100"/>
          <w:position w:val="0"/>
        </w:rPr>
        <w:t>本公司按照新收入准则相关规定，于准则施行日进行以下调整：</w:t>
      </w:r>
    </w:p>
    <w:p>
      <w:pPr>
        <w:pStyle w:val="Style35"/>
        <w:keepNext w:val="0"/>
        <w:keepLines w:val="0"/>
        <w:widowControl w:val="0"/>
        <w:shd w:val="clear" w:color="auto" w:fill="auto"/>
        <w:tabs>
          <w:tab w:pos="734" w:val="left"/>
        </w:tabs>
        <w:bidi w:val="0"/>
        <w:spacing w:before="0" w:after="0" w:line="384" w:lineRule="auto"/>
        <w:ind w:left="0" w:right="0"/>
        <w:jc w:val="both"/>
      </w:pPr>
      <w:bookmarkStart w:id="1131" w:name="bookmark1131"/>
      <w:r>
        <w:rPr>
          <w:rFonts w:ascii="Times New Roman" w:eastAsia="Times New Roman" w:hAnsi="Times New Roman" w:cs="Times New Roman"/>
          <w:color w:val="000000"/>
          <w:spacing w:val="0"/>
          <w:w w:val="100"/>
          <w:position w:val="0"/>
          <w:sz w:val="18"/>
          <w:szCs w:val="18"/>
        </w:rPr>
        <w:t>1</w:t>
      </w:r>
      <w:bookmarkEnd w:id="1131"/>
      <w:r>
        <w:rPr>
          <w:color w:val="000000"/>
          <w:spacing w:val="0"/>
          <w:w w:val="100"/>
          <w:position w:val="0"/>
        </w:rPr>
        <w:t>、</w:t>
        <w:tab/>
        <w:t>本公司将期末符合条件的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重分类为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，对可比期间数据不做调整。</w:t>
      </w:r>
    </w:p>
    <w:p>
      <w:pPr>
        <w:pStyle w:val="Style35"/>
        <w:keepNext w:val="0"/>
        <w:keepLines w:val="0"/>
        <w:widowControl w:val="0"/>
        <w:shd w:val="clear" w:color="auto" w:fill="auto"/>
        <w:tabs>
          <w:tab w:pos="754" w:val="left"/>
        </w:tabs>
        <w:bidi w:val="0"/>
        <w:spacing w:before="0" w:after="0" w:line="384" w:lineRule="auto"/>
        <w:ind w:left="0" w:right="0"/>
        <w:jc w:val="both"/>
      </w:pPr>
      <w:bookmarkStart w:id="1132" w:name="bookmark1132"/>
      <w:r>
        <w:rPr>
          <w:rFonts w:ascii="Times New Roman" w:eastAsia="Times New Roman" w:hAnsi="Times New Roman" w:cs="Times New Roman"/>
          <w:color w:val="000000"/>
          <w:spacing w:val="0"/>
          <w:w w:val="100"/>
          <w:position w:val="0"/>
          <w:sz w:val="18"/>
          <w:szCs w:val="18"/>
        </w:rPr>
        <w:t>2</w:t>
      </w:r>
      <w:bookmarkEnd w:id="1132"/>
      <w:r>
        <w:rPr>
          <w:color w:val="000000"/>
          <w:spacing w:val="0"/>
          <w:w w:val="100"/>
          <w:position w:val="0"/>
        </w:rPr>
        <w:t>、</w:t>
        <w:tab/>
        <w:t>本公司将期末符合条件的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，对可比期间数据不做调整。</w:t>
      </w:r>
    </w:p>
    <w:p>
      <w:pPr>
        <w:pStyle w:val="Style35"/>
        <w:keepNext w:val="0"/>
        <w:keepLines w:val="0"/>
        <w:widowControl w:val="0"/>
        <w:shd w:val="clear" w:color="auto" w:fill="auto"/>
        <w:tabs>
          <w:tab w:pos="709" w:val="left"/>
        </w:tabs>
        <w:bidi w:val="0"/>
        <w:spacing w:before="0" w:after="360" w:line="331" w:lineRule="exact"/>
        <w:ind w:left="0" w:right="0"/>
        <w:jc w:val="both"/>
      </w:pPr>
      <w:bookmarkStart w:id="1133" w:name="bookmark1133"/>
      <w:r>
        <w:rPr>
          <w:rFonts w:ascii="Times New Roman" w:eastAsia="Times New Roman" w:hAnsi="Times New Roman" w:cs="Times New Roman"/>
          <w:color w:val="000000"/>
          <w:spacing w:val="0"/>
          <w:w w:val="100"/>
          <w:position w:val="0"/>
          <w:sz w:val="18"/>
          <w:szCs w:val="18"/>
        </w:rPr>
        <w:t>3</w:t>
      </w:r>
      <w:bookmarkEnd w:id="1133"/>
      <w:r>
        <w:rPr>
          <w:color w:val="000000"/>
          <w:spacing w:val="0"/>
          <w:w w:val="100"/>
          <w:position w:val="0"/>
        </w:rPr>
        <w:t>、</w:t>
        <w:tab/>
        <w:t>本公司将期末不符合收入确认条件的存量业务合同，对相关项目前期已确认的收入和成本及相应的所得税，追溯调 整本报告期期初留存收益，对可比期间数据不做调整。</w:t>
      </w:r>
    </w:p>
    <w:p>
      <w:pPr>
        <w:pStyle w:val="Style45"/>
        <w:keepNext/>
        <w:keepLines/>
        <w:widowControl w:val="0"/>
        <w:shd w:val="clear" w:color="auto" w:fill="auto"/>
        <w:bidi w:val="0"/>
        <w:spacing w:before="0" w:after="400" w:line="240" w:lineRule="auto"/>
        <w:ind w:left="0" w:right="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34"/>
      <w:bookmarkEnd w:id="1135"/>
      <w:bookmarkEnd w:id="1137"/>
    </w:p>
    <w:p>
      <w:pPr>
        <w:pStyle w:val="Style35"/>
        <w:keepNext w:val="0"/>
        <w:keepLines w:val="0"/>
        <w:widowControl w:val="0"/>
        <w:shd w:val="clear" w:color="auto" w:fill="auto"/>
        <w:bidi w:val="0"/>
        <w:spacing w:before="0" w:after="260" w:line="384"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60" w:line="240" w:lineRule="auto"/>
        <w:ind w:left="0" w:right="0" w:firstLine="460"/>
        <w:jc w:val="left"/>
      </w:pPr>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36</w:t>
      </w:r>
      <w:r>
        <w:rPr>
          <w:color w:val="000000"/>
          <w:spacing w:val="0"/>
          <w:w w:val="100"/>
          <w:position w:val="0"/>
        </w:rPr>
        <w:t>、其他</w:t>
      </w:r>
      <w:bookmarkEnd w:id="1138"/>
      <w:bookmarkEnd w:id="1139"/>
      <w:bookmarkEnd w:id="1140"/>
    </w:p>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商誉为股权投资成本超过应享有的被投资单位于投资取得日的公允价值份额的差额，或者为非同一控制下企业合并成本 超过企业合并中取得的被购买方可辨认净资产于购买日的公允价值份额的差额。</w:t>
      </w:r>
    </w:p>
    <w:p>
      <w:pPr>
        <w:pStyle w:val="Style35"/>
        <w:keepNext w:val="0"/>
        <w:keepLines w:val="0"/>
        <w:widowControl w:val="0"/>
        <w:shd w:val="clear" w:color="auto" w:fill="auto"/>
        <w:bidi w:val="0"/>
        <w:spacing w:before="0" w:after="360" w:line="322" w:lineRule="exact"/>
        <w:ind w:left="0" w:right="0"/>
        <w:jc w:val="left"/>
      </w:pPr>
      <w:r>
        <w:rPr>
          <w:color w:val="000000"/>
          <w:spacing w:val="0"/>
          <w:w w:val="100"/>
          <w:position w:val="0"/>
        </w:rPr>
        <w:t>企业合并形成的商誉在合并财务报表上单独列示。购买联营企业和合营企业股权投资成本超过投资时应享有被投资单位 的公允价值份额的差额，包含于长期股权投资。</w:t>
      </w:r>
    </w:p>
    <w:p>
      <w:pPr>
        <w:pStyle w:val="Style29"/>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sz w:val="24"/>
          <w:szCs w:val="24"/>
        </w:rPr>
        <w:t>六</w:t>
      </w:r>
      <w:bookmarkEnd w:id="1143"/>
      <w:r>
        <w:rPr>
          <w:color w:val="000000"/>
          <w:spacing w:val="0"/>
          <w:w w:val="100"/>
          <w:position w:val="0"/>
          <w:sz w:val="24"/>
          <w:szCs w:val="24"/>
        </w:rPr>
        <w:t>、税项</w:t>
      </w:r>
      <w:bookmarkEnd w:id="1141"/>
      <w:bookmarkEnd w:id="1142"/>
      <w:bookmarkEnd w:id="1144"/>
    </w:p>
    <w:p>
      <w:pPr>
        <w:pStyle w:val="Style39"/>
        <w:keepNext/>
        <w:keepLines/>
        <w:widowControl w:val="0"/>
        <w:shd w:val="clear" w:color="auto" w:fill="auto"/>
        <w:bidi w:val="0"/>
        <w:spacing w:before="0" w:after="300" w:line="240" w:lineRule="auto"/>
        <w:ind w:left="0" w:right="0" w:firstLine="460"/>
        <w:jc w:val="left"/>
      </w:pPr>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45"/>
      <w:bookmarkEnd w:id="1146"/>
      <w:bookmarkEnd w:id="1147"/>
    </w:p>
    <w:tbl>
      <w:tblPr>
        <w:tblOverlap w:val="never"/>
        <w:jc w:val="center"/>
        <w:tblLayout w:type="fixed"/>
      </w:tblPr>
      <w:tblGrid>
        <w:gridCol w:w="1742"/>
        <w:gridCol w:w="5112"/>
        <w:gridCol w:w="279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税种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应纳税额按应纳税销售额乘以适用税率扣除当期 允许抵扣的进项税后的余额计算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384"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24"/>
        <w:gridCol w:w="4819"/>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广州金财互联税务顾问有限公司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山东神创信息科技有限公司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广州方欣现代信息产业园有限公司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广东浪潮创新计算机科技服务有限公司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广州翼税数据服务有限公司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金财互联数据服务有限公司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方欣智慧财税服务有限公司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浙江金财立信财务管理有限公司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北京方欣恒利科技有限公司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上海金财企盈企业服务有限公司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东莞市金财互联信息科技有限公司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江门市金财互联数据服务有限公司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浙江金财立信之友科技有限公司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黄山怀信商务信息咨询有限公司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新疆金财立信财务管理有限公司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北京金财纵横信息咨询服务有限公司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青岛高新金财信息科技有限公司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广州金财互联区块链科技有限公司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广东龙达财税服务有限公司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深圳龙达财税有限公司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青岛百旺金赋信息科技有限公司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金财慧盈保险经纪有限公司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金财云商（平潭）数字科技有限公司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广东金财云商数字科技有限公司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山东金财互联数据服务有限公司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江门龙达财税服务有限公司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东莞市龙达金财企业管理咨询有限公司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东莞市龙达骏洋企业管理咨询有限公司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东莞市龙达临深财税服务有限公司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东莞市龙达灵狮产业孵化运营有限公司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tbl>
      <w:tblPr>
        <w:tblOverlap w:val="never"/>
        <w:jc w:val="center"/>
        <w:tblLayout w:type="fixed"/>
      </w:tblPr>
      <w:tblGrid>
        <w:gridCol w:w="4824"/>
        <w:gridCol w:w="4819"/>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东莞市龙达湾区财税服务有限公司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东莞市龙达中城财税服务有限公司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江西金财数据技术有限公司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四川方欣全方数据科技有限公司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山东欣税软件有限公司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青岛方欣儒商信息科技有限公司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浙江协企财务管理有限公司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杭州泓德财务管理有限公司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金财互联智链研究院（青岛）有限公司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惠州市金财互联技术有限公司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金财云商（青岛）数据科技有限公司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金财互联（江门）财税服务有限公司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金财云盟数字科技有限公司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金财（高安）云商信息科技有限公司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上海金财盛慧科技有限公司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福建麦税数字科技有限公司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江苏丰东热处理及表面改性工程技术研究有限公司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盐城丰东特种炉业有限公司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潍坊丰东热处理有限公司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盐城丰东祺耀工业炉有限公司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广州鑫润丰东热处理有限公司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常州鑫润丰东热处理工程有限公司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上海宝华威热处理设备有限公司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艾普零件制造（苏州）股份有限公司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青岛丰东热工技术有限公司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烟台丰东热技术有限公司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苏州丰东热处理技术有限公司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重庆丰东金属表面处理有限公司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武汉丰东热技术有限公司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9"/>
        <w:keepNext/>
        <w:keepLines/>
        <w:widowControl w:val="0"/>
        <w:shd w:val="clear" w:color="auto" w:fill="auto"/>
        <w:bidi w:val="0"/>
        <w:spacing w:before="0" w:after="260" w:line="240" w:lineRule="auto"/>
        <w:ind w:left="0" w:right="0" w:firstLine="480"/>
        <w:jc w:val="both"/>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48"/>
      <w:bookmarkEnd w:id="1149"/>
      <w:bookmarkEnd w:id="1150"/>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公司子公司方欣科技根据《关于软件和集成电路产业企业所得税优惠政策有关问题的通知》（财税〔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号）相关 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的所得税率。</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方欣科技下属公司广州金财互联税务顾问有限公司（以下简称“广州金财互联”）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日取编号为 </w:t>
      </w:r>
      <w:r>
        <w:rPr>
          <w:rFonts w:ascii="Times New Roman" w:eastAsia="Times New Roman" w:hAnsi="Times New Roman" w:cs="Times New Roman"/>
          <w:color w:val="000000"/>
          <w:spacing w:val="0"/>
          <w:w w:val="100"/>
          <w:position w:val="0"/>
          <w:sz w:val="18"/>
          <w:szCs w:val="18"/>
        </w:rPr>
        <w:t>GR201944008123</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方欣科技下属公司广州金财互联子公司广东浪潮创新计算机科技服务有限公司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日取编号为 </w:t>
      </w:r>
      <w:r>
        <w:rPr>
          <w:rFonts w:ascii="Times New Roman" w:eastAsia="Times New Roman" w:hAnsi="Times New Roman" w:cs="Times New Roman"/>
          <w:color w:val="000000"/>
          <w:spacing w:val="0"/>
          <w:w w:val="100"/>
          <w:position w:val="0"/>
          <w:sz w:val="18"/>
          <w:szCs w:val="18"/>
        </w:rPr>
        <w:t>GR201944008190</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方欣科技下属公司方欣智慧财税服务有限公司根据《财政部国家税务总局关于新疆喀什霍尔果斯两个特殊经济开发区 企业所得税优惠政策的通知》（财税</w:t>
      </w:r>
      <w:r>
        <w:rPr>
          <w:rFonts w:ascii="Times New Roman" w:eastAsia="Times New Roman" w:hAnsi="Times New Roman" w:cs="Times New Roman"/>
          <w:color w:val="000000"/>
          <w:spacing w:val="0"/>
          <w:w w:val="100"/>
          <w:position w:val="0"/>
          <w:sz w:val="18"/>
          <w:szCs w:val="18"/>
        </w:rPr>
        <w:t>[2011]112</w:t>
      </w:r>
      <w:r>
        <w:rPr>
          <w:color w:val="000000"/>
          <w:spacing w:val="0"/>
          <w:w w:val="100"/>
          <w:position w:val="0"/>
        </w:rPr>
        <w:t>号）及《财政部、国家税务总局、国家发展改革委、工业和信息化部关于公 布新疆困难地区重点鼓励发展产业企业所得税优惠目录（试行）的通知》（财税（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号）相关规定，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年度免征企 业所得税。</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方欣科技下属公司浙江金财立信之友科技有限公司根据《财政部国家税务总局关于进一步鼓励软件产业和集成电路产业 发展企业所得税政策的通知》（财税</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号）相关规定，享受企业所得税“两免三减半”的税收优惠政策。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年度及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方欣科技下属公司青岛高新金财信息科技有限公司根据《财政部国家税务总局关于进一步鼓励软件产业和集成电路产业 发展企业所得税政策的通知》（财税</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号）相关规定，享受企业所得税“两免三减半”的税收优惠政策。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 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方欣科技下属公司北京方欣恒利科技有限公司于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GR202011002049</w:t>
      </w:r>
      <w:r>
        <w:rPr>
          <w:color w:val="000000"/>
          <w:spacing w:val="0"/>
          <w:w w:val="100"/>
          <w:position w:val="0"/>
        </w:rPr>
        <w:t xml:space="preserve">的高新技术企业证书，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方欣科技下属公司金财互联数据服务有限公司根据《国务院进一步鼓励软件产业和集成电路产业发展的若干政策》（国 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号）和《关于软件和集成电路产业企业所得税优惠政策有关问题的通知》（财税</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号）相关规定，享受企业 所得税“两免三减半”的税收优惠政策。</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年度企业所得税税率为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p>
    <w:p>
      <w:pPr>
        <w:pStyle w:val="Style35"/>
        <w:keepNext w:val="0"/>
        <w:keepLines w:val="0"/>
        <w:widowControl w:val="0"/>
        <w:shd w:val="clear" w:color="auto" w:fill="auto"/>
        <w:bidi w:val="0"/>
        <w:spacing w:before="0" w:after="0" w:line="309" w:lineRule="exact"/>
        <w:ind w:left="0" w:right="0"/>
        <w:jc w:val="both"/>
      </w:pPr>
      <w:r>
        <w:rPr>
          <w:color w:val="000000"/>
          <w:spacing w:val="0"/>
          <w:w w:val="100"/>
          <w:position w:val="0"/>
        </w:rPr>
        <w:t>方欣科技下属公司新疆金财立信财务管理有限公司根据《财政部国家税务总局关于新疆喀什霍尔果斯两个特殊经济开 发区企业所得税优惠政策的通知》（财税</w:t>
      </w:r>
      <w:r>
        <w:rPr>
          <w:rFonts w:ascii="Times New Roman" w:eastAsia="Times New Roman" w:hAnsi="Times New Roman" w:cs="Times New Roman"/>
          <w:color w:val="000000"/>
          <w:spacing w:val="0"/>
          <w:w w:val="100"/>
          <w:position w:val="0"/>
          <w:sz w:val="18"/>
          <w:szCs w:val="18"/>
        </w:rPr>
        <w:t>[2011]112</w:t>
      </w:r>
      <w:r>
        <w:rPr>
          <w:color w:val="000000"/>
          <w:spacing w:val="0"/>
          <w:w w:val="100"/>
          <w:position w:val="0"/>
        </w:rPr>
        <w:t>号）及《财政部、国家税务总局、国家发展改革委、工业和信息化部关 于公布新疆困难地区重点鼓励发展产业企业所得税优惠目录（试行）的通知》（财税</w:t>
      </w:r>
      <w:r>
        <w:rPr>
          <w:rFonts w:ascii="Times New Roman" w:eastAsia="Times New Roman" w:hAnsi="Times New Roman" w:cs="Times New Roman"/>
          <w:color w:val="000000"/>
          <w:spacing w:val="0"/>
          <w:w w:val="100"/>
          <w:position w:val="0"/>
          <w:sz w:val="18"/>
          <w:szCs w:val="18"/>
        </w:rPr>
        <w:t>[2016]85</w:t>
      </w:r>
      <w:r>
        <w:rPr>
          <w:color w:val="000000"/>
          <w:spacing w:val="0"/>
          <w:w w:val="100"/>
          <w:position w:val="0"/>
        </w:rPr>
        <w:t>号）相关规定，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年度免征 企业所得税。</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公司子公司江苏丰东热技术有限公司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日取得由江苏省科学技术厅、江苏省财政厅、国家税务总局江苏省税 务局颁发的高新技术企业证书，证书编号为：</w:t>
      </w:r>
      <w:r>
        <w:rPr>
          <w:rFonts w:ascii="Times New Roman" w:eastAsia="Times New Roman" w:hAnsi="Times New Roman" w:cs="Times New Roman"/>
          <w:color w:val="000000"/>
          <w:spacing w:val="0"/>
          <w:w w:val="100"/>
          <w:position w:val="0"/>
          <w:sz w:val="18"/>
          <w:szCs w:val="18"/>
        </w:rPr>
        <w:t>GR201832007676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丰东热技术下属公司青岛丰东热处理有限公司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日通过高新技术企业复审，获得由青岛市科学技术局、青岛 市财政局、山东省青岛市国家税务局、青岛市地方税务局共同颁发的高新技术企业证书，证书编号为</w:t>
      </w:r>
      <w:r>
        <w:rPr>
          <w:rFonts w:ascii="Times New Roman" w:eastAsia="Times New Roman" w:hAnsi="Times New Roman" w:cs="Times New Roman"/>
          <w:color w:val="000000"/>
          <w:spacing w:val="0"/>
          <w:w w:val="100"/>
          <w:position w:val="0"/>
          <w:sz w:val="18"/>
          <w:szCs w:val="18"/>
        </w:rPr>
        <w:t>GR202037100855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丰东热技术下属公司盐城丰东特种炉业有限公司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日取得由江苏省科学技术厅、江苏省财政厅、江苏省国家 税务局、江苏省地方税务局颁发的高新技术企业证书，证书编号为</w:t>
      </w:r>
      <w:r>
        <w:rPr>
          <w:rFonts w:ascii="Times New Roman" w:eastAsia="Times New Roman" w:hAnsi="Times New Roman" w:cs="Times New Roman"/>
          <w:color w:val="000000"/>
          <w:spacing w:val="0"/>
          <w:w w:val="100"/>
          <w:position w:val="0"/>
          <w:sz w:val="18"/>
          <w:szCs w:val="18"/>
        </w:rPr>
        <w:t>GR201932007211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丰东热技术下属公司常州鑫润丰东热处理工程有限公司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日取得由江苏省科学技术厅、江苏省财政厅、江苏 省国家税务局、江苏省地方税务局颁发的高新技术企业证书，证书编号为</w:t>
      </w:r>
      <w:r>
        <w:rPr>
          <w:rFonts w:ascii="Times New Roman" w:eastAsia="Times New Roman" w:hAnsi="Times New Roman" w:cs="Times New Roman"/>
          <w:color w:val="000000"/>
          <w:spacing w:val="0"/>
          <w:w w:val="100"/>
          <w:position w:val="0"/>
          <w:sz w:val="18"/>
          <w:szCs w:val="18"/>
        </w:rPr>
        <w:t>GR201932010326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丰东热技术下属公司重庆丰东热处理工程有限公司（以下简称“重庆丰东”），系重庆市民政局发证的社会福利企业， 证号为福企证字第</w:t>
      </w:r>
      <w:r>
        <w:rPr>
          <w:rFonts w:ascii="Times New Roman" w:eastAsia="Times New Roman" w:hAnsi="Times New Roman" w:cs="Times New Roman"/>
          <w:color w:val="000000"/>
          <w:spacing w:val="0"/>
          <w:w w:val="100"/>
          <w:position w:val="0"/>
          <w:sz w:val="18"/>
          <w:szCs w:val="18"/>
        </w:rPr>
        <w:t>50005990636</w:t>
      </w:r>
      <w:r>
        <w:rPr>
          <w:color w:val="000000"/>
          <w:spacing w:val="0"/>
          <w:w w:val="100"/>
          <w:position w:val="0"/>
        </w:rPr>
        <w:t>号，按照《财政部、国家税务总局关于促进残疾人就业税收优惠政策的通知》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2007]92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，享受有关税收优惠政策。</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丰东热技术下属公司上海丰东热处理工程有限公司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年获得由上海市科学技术委员会、上海市财政局、上海市国家税 务局、上海市地方税务局共同颁发的高新技术企业证书，证书编号为</w:t>
      </w:r>
      <w:r>
        <w:rPr>
          <w:rFonts w:ascii="Times New Roman" w:eastAsia="Times New Roman" w:hAnsi="Times New Roman" w:cs="Times New Roman"/>
          <w:color w:val="000000"/>
          <w:spacing w:val="0"/>
          <w:w w:val="100"/>
          <w:position w:val="0"/>
          <w:sz w:val="18"/>
          <w:szCs w:val="18"/>
        </w:rPr>
        <w:t>GR202031002606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丰东热技术下属公司江苏丰东热处理及表面改性工程技术研究有限公司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日取得由江苏省科学技术厅、江苏 省财政厅、江苏省国家税务局、江苏省地方税务局颁发的高新技术企业证书，证书编号为：</w:t>
      </w:r>
      <w:r>
        <w:rPr>
          <w:rFonts w:ascii="Times New Roman" w:eastAsia="Times New Roman" w:hAnsi="Times New Roman" w:cs="Times New Roman"/>
          <w:color w:val="000000"/>
          <w:spacing w:val="0"/>
          <w:w w:val="100"/>
          <w:position w:val="0"/>
          <w:sz w:val="18"/>
          <w:szCs w:val="18"/>
        </w:rPr>
        <w:t>GR201732000882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年执行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丰东热技术下属公司南京丰东热处理工程有限公司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日取得由江苏省科学技术厅、江苏省财政厅、江苏省国 家税务局、江苏省地方税务局颁发的高新技术企业证书，证书编号为：</w:t>
      </w:r>
      <w:r>
        <w:rPr>
          <w:rFonts w:ascii="Times New Roman" w:eastAsia="Times New Roman" w:hAnsi="Times New Roman" w:cs="Times New Roman"/>
          <w:color w:val="000000"/>
          <w:spacing w:val="0"/>
          <w:w w:val="100"/>
          <w:position w:val="0"/>
          <w:sz w:val="18"/>
          <w:szCs w:val="18"/>
        </w:rPr>
        <w:t>GR201932002540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w:t>
      </w:r>
    </w:p>
    <w:p>
      <w:pPr>
        <w:pStyle w:val="Style35"/>
        <w:keepNext w:val="0"/>
        <w:keepLines w:val="0"/>
        <w:widowControl w:val="0"/>
        <w:shd w:val="clear" w:color="auto" w:fill="auto"/>
        <w:bidi w:val="0"/>
        <w:spacing w:before="0" w:after="0" w:line="318" w:lineRule="exact"/>
        <w:ind w:left="0" w:right="0"/>
        <w:jc w:val="both"/>
      </w:pPr>
      <w:r>
        <w:rPr>
          <w:color w:val="000000"/>
          <w:spacing w:val="0"/>
          <w:w w:val="100"/>
          <w:position w:val="0"/>
        </w:rPr>
        <w:t>丰东热技术下属公司上海宝华威热处理设备有限公司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日取得由上海市科学技术委员会、上海市财政局、上 海市国家税务局、上海市地方税务局共同颁发的高新技术企业证书，证书编号为：</w:t>
      </w:r>
      <w:r>
        <w:rPr>
          <w:rFonts w:ascii="Times New Roman" w:eastAsia="Times New Roman" w:hAnsi="Times New Roman" w:cs="Times New Roman"/>
          <w:color w:val="000000"/>
          <w:spacing w:val="0"/>
          <w:w w:val="100"/>
          <w:position w:val="0"/>
          <w:sz w:val="18"/>
          <w:szCs w:val="18"/>
        </w:rPr>
        <w:t>GR201931004522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 得税率。</w:t>
      </w:r>
    </w:p>
    <w:p>
      <w:pPr>
        <w:pStyle w:val="Style35"/>
        <w:keepNext w:val="0"/>
        <w:keepLines w:val="0"/>
        <w:widowControl w:val="0"/>
        <w:shd w:val="clear" w:color="auto" w:fill="auto"/>
        <w:bidi w:val="0"/>
        <w:spacing w:before="0" w:after="0" w:line="318" w:lineRule="exact"/>
        <w:ind w:left="0" w:right="0"/>
        <w:jc w:val="both"/>
      </w:pPr>
      <w:r>
        <w:rPr>
          <w:color w:val="000000"/>
          <w:spacing w:val="0"/>
          <w:w w:val="100"/>
          <w:position w:val="0"/>
        </w:rPr>
        <w:t>丰东热技术下属孙公司艾普零件制造（苏州）股份有限公司已于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日取得由江苏省科学技术厅、江苏省财政 厅、江苏省国家税务局、江苏省地方税务局颁发的高新技术企业证书，证书编号为：</w:t>
      </w:r>
      <w:r>
        <w:rPr>
          <w:rFonts w:ascii="Times New Roman" w:eastAsia="Times New Roman" w:hAnsi="Times New Roman" w:cs="Times New Roman"/>
          <w:color w:val="000000"/>
          <w:spacing w:val="0"/>
          <w:w w:val="100"/>
          <w:position w:val="0"/>
          <w:sz w:val="18"/>
          <w:szCs w:val="18"/>
        </w:rPr>
        <w:t>GR201932003585</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公司所得税税率为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5"/>
        <w:keepNext w:val="0"/>
        <w:keepLines w:val="0"/>
        <w:widowControl w:val="0"/>
        <w:shd w:val="clear" w:color="auto" w:fill="auto"/>
        <w:bidi w:val="0"/>
        <w:spacing w:before="0" w:after="380" w:line="360" w:lineRule="exact"/>
        <w:ind w:left="40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参见上述税收优惠中关于方欣科技及其下属公司关于优惠政策的描述部分。</w:t>
      </w:r>
    </w:p>
    <w:p>
      <w:pPr>
        <w:pStyle w:val="Style39"/>
        <w:keepNext/>
        <w:keepLines/>
        <w:widowControl w:val="0"/>
        <w:shd w:val="clear" w:color="auto" w:fill="auto"/>
        <w:bidi w:val="0"/>
        <w:spacing w:before="0" w:after="260" w:line="240" w:lineRule="auto"/>
        <w:ind w:left="0" w:right="0" w:firstLine="48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color w:val="000000"/>
          <w:spacing w:val="0"/>
          <w:w w:val="100"/>
          <w:position w:val="0"/>
        </w:rPr>
        <w:t>、其他</w:t>
      </w:r>
      <w:bookmarkEnd w:id="1151"/>
      <w:bookmarkEnd w:id="1152"/>
      <w:bookmarkEnd w:id="1154"/>
    </w:p>
    <w:p>
      <w:pPr>
        <w:pStyle w:val="Style35"/>
        <w:keepNext w:val="0"/>
        <w:keepLines w:val="0"/>
        <w:widowControl w:val="0"/>
        <w:shd w:val="clear" w:color="auto" w:fill="auto"/>
        <w:bidi w:val="0"/>
        <w:spacing w:before="0" w:after="380" w:line="318" w:lineRule="exact"/>
        <w:ind w:left="0" w:right="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sz w:val="24"/>
          <w:szCs w:val="24"/>
        </w:rPr>
        <w:t>七</w:t>
      </w:r>
      <w:bookmarkEnd w:id="1157"/>
      <w:r>
        <w:rPr>
          <w:color w:val="000000"/>
          <w:spacing w:val="0"/>
          <w:w w:val="100"/>
          <w:position w:val="0"/>
          <w:sz w:val="24"/>
          <w:szCs w:val="24"/>
        </w:rPr>
        <w:t>、合并财务报表项目注释</w:t>
      </w:r>
      <w:bookmarkEnd w:id="1155"/>
      <w:bookmarkEnd w:id="1156"/>
      <w:bookmarkEnd w:id="1158"/>
    </w:p>
    <w:p>
      <w:pPr>
        <w:pStyle w:val="Style39"/>
        <w:keepNext/>
        <w:keepLines/>
        <w:widowControl w:val="0"/>
        <w:shd w:val="clear" w:color="auto" w:fill="auto"/>
        <w:bidi w:val="0"/>
        <w:spacing w:before="0" w:after="380" w:line="240" w:lineRule="auto"/>
        <w:ind w:left="0" w:right="0" w:firstLine="480"/>
        <w:jc w:val="both"/>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9"/>
      <w:bookmarkEnd w:id="1160"/>
      <w:bookmarkEnd w:id="11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1,541,394.23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2,396,593.77</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666,848,692.18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576,984,571.55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6,245,036.28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8,551,683.02</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674,635,122.69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587,932,848.34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both"/>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62"/>
      <w:bookmarkEnd w:id="1163"/>
      <w:bookmarkEnd w:id="11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96"/>
        <w:gridCol w:w="2698"/>
        <w:gridCol w:w="265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109,344,569.71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258,979,798.63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109,344,569.71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258,979,798.63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109,344,569.71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258,979,798.63</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46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color w:val="000000"/>
          <w:spacing w:val="0"/>
          <w:w w:val="100"/>
          <w:position w:val="0"/>
        </w:rPr>
        <w:t>、应收票据</w:t>
      </w:r>
      <w:bookmarkEnd w:id="1165"/>
      <w:bookmarkEnd w:id="1166"/>
      <w:bookmarkEnd w:id="1168"/>
    </w:p>
    <w:p>
      <w:pPr>
        <w:pStyle w:val="Style45"/>
        <w:keepNext/>
        <w:keepLines/>
        <w:widowControl w:val="0"/>
        <w:numPr>
          <w:ilvl w:val="0"/>
          <w:numId w:val="145"/>
        </w:numPr>
        <w:shd w:val="clear" w:color="auto" w:fill="auto"/>
        <w:bidi w:val="0"/>
        <w:spacing w:before="0" w:after="380" w:line="240" w:lineRule="auto"/>
        <w:ind w:left="0" w:right="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应收票据分类列示</w:t>
      </w:r>
      <w:bookmarkEnd w:id="1169"/>
      <w:bookmarkEnd w:id="1170"/>
      <w:bookmarkEnd w:id="11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39,462,022.33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2,602,880.17</w:t>
            </w:r>
          </w:p>
        </w:tc>
      </w:tr>
      <w:tr>
        <w:trPr>
          <w:trHeight w:val="48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42,064,902.50</w:t>
            </w:r>
          </w:p>
        </w:tc>
      </w:tr>
    </w:tbl>
    <w:p>
      <w:pPr>
        <w:widowControl w:val="0"/>
        <w:spacing w:after="15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0"/>
        <w:gridCol w:w="917"/>
        <w:gridCol w:w="605"/>
        <w:gridCol w:w="811"/>
        <w:gridCol w:w="566"/>
        <w:gridCol w:w="936"/>
        <w:gridCol w:w="1056"/>
        <w:gridCol w:w="706"/>
        <w:gridCol w:w="749"/>
        <w:gridCol w:w="667"/>
        <w:gridCol w:w="950"/>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6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right"/>
            </w:pPr>
            <w:r>
              <w:rPr>
                <w:color w:val="000000"/>
                <w:spacing w:val="0"/>
                <w:w w:val="100"/>
                <w:position w:val="0"/>
              </w:rPr>
              <w:t>计提 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 比例</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7,514,500.00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42,064,902.50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42,064,902.50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39,462,022.33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39,462,022.33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7,514,500.00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2,602,880.17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2,602,880.17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7,910,000.00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395,500.00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7,514,500.00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42,064,902.50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42,064,902.50</w:t>
            </w:r>
          </w:p>
        </w:tc>
      </w:tr>
    </w:tbl>
    <w:p>
      <w:pPr>
        <w:pStyle w:val="Style35"/>
        <w:keepNext w:val="0"/>
        <w:keepLines w:val="0"/>
        <w:widowControl w:val="0"/>
        <w:shd w:val="clear" w:color="auto" w:fill="auto"/>
        <w:bidi w:val="0"/>
        <w:spacing w:before="0" w:after="380" w:line="355" w:lineRule="exact"/>
        <w:ind w:left="40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numPr>
          <w:ilvl w:val="0"/>
          <w:numId w:val="145"/>
        </w:numPr>
        <w:shd w:val="clear" w:color="auto" w:fill="auto"/>
        <w:bidi w:val="0"/>
        <w:spacing w:before="0" w:after="380" w:line="240" w:lineRule="auto"/>
        <w:ind w:left="0" w:right="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 xml:space="preserve"> 本期计提、收回或转回的坏账准备情况</w:t>
      </w:r>
      <w:bookmarkEnd w:id="1173"/>
      <w:bookmarkEnd w:id="1174"/>
      <w:bookmarkEnd w:id="1176"/>
    </w:p>
    <w:p>
      <w:pPr>
        <w:pStyle w:val="Style35"/>
        <w:keepNext w:val="0"/>
        <w:keepLines w:val="0"/>
        <w:widowControl w:val="0"/>
        <w:shd w:val="clear" w:color="auto" w:fill="auto"/>
        <w:bidi w:val="0"/>
        <w:spacing w:before="0" w:after="200" w:line="413"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numPr>
          <w:ilvl w:val="0"/>
          <w:numId w:val="145"/>
        </w:numPr>
        <w:shd w:val="clear" w:color="auto" w:fill="auto"/>
        <w:tabs>
          <w:tab w:pos="953" w:val="left"/>
        </w:tabs>
        <w:bidi w:val="0"/>
        <w:spacing w:before="0" w:after="380" w:line="240" w:lineRule="auto"/>
        <w:ind w:left="0" w:right="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期末公司已质押的应收票据</w:t>
      </w:r>
      <w:bookmarkEnd w:id="1177"/>
      <w:bookmarkEnd w:id="1178"/>
      <w:bookmarkEnd w:id="1180"/>
    </w:p>
    <w:p>
      <w:pPr>
        <w:pStyle w:val="Style35"/>
        <w:keepNext w:val="0"/>
        <w:keepLines w:val="0"/>
        <w:widowControl w:val="0"/>
        <w:shd w:val="clear" w:color="auto" w:fill="auto"/>
        <w:bidi w:val="0"/>
        <w:spacing w:before="0" w:after="200" w:line="413"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numPr>
          <w:ilvl w:val="0"/>
          <w:numId w:val="145"/>
        </w:numPr>
        <w:shd w:val="clear" w:color="auto" w:fill="auto"/>
        <w:tabs>
          <w:tab w:pos="953" w:val="left"/>
        </w:tabs>
        <w:bidi w:val="0"/>
        <w:spacing w:before="0" w:after="380" w:line="240" w:lineRule="auto"/>
        <w:ind w:left="0" w:right="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期末公司已背书或贴现且在资产负债表日尚未到期的应收票据</w:t>
      </w:r>
      <w:bookmarkEnd w:id="1181"/>
      <w:bookmarkEnd w:id="1182"/>
      <w:bookmarkEnd w:id="11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5"/>
        <w:keepNext/>
        <w:keepLines/>
        <w:widowControl w:val="0"/>
        <w:numPr>
          <w:ilvl w:val="0"/>
          <w:numId w:val="145"/>
        </w:numPr>
        <w:shd w:val="clear" w:color="auto" w:fill="auto"/>
        <w:tabs>
          <w:tab w:pos="953" w:val="left"/>
        </w:tabs>
        <w:bidi w:val="0"/>
        <w:spacing w:before="0" w:after="380" w:line="240" w:lineRule="auto"/>
        <w:ind w:left="0" w:right="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期末公司因出票人未履约而将其转应收账款的票据</w:t>
      </w:r>
      <w:bookmarkEnd w:id="1185"/>
      <w:bookmarkEnd w:id="1186"/>
      <w:bookmarkEnd w:id="1188"/>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145"/>
        </w:numPr>
        <w:shd w:val="clear" w:color="auto" w:fill="auto"/>
        <w:tabs>
          <w:tab w:pos="953" w:val="left"/>
        </w:tabs>
        <w:bidi w:val="0"/>
        <w:spacing w:before="0" w:after="380" w:line="240" w:lineRule="auto"/>
        <w:ind w:left="0" w:right="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本期实际核销的应收票据情况</w:t>
      </w:r>
      <w:bookmarkEnd w:id="1189"/>
      <w:bookmarkEnd w:id="1190"/>
      <w:bookmarkEnd w:id="1192"/>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46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4</w:t>
      </w:r>
      <w:bookmarkEnd w:id="1195"/>
      <w:r>
        <w:rPr>
          <w:color w:val="000000"/>
          <w:spacing w:val="0"/>
          <w:w w:val="100"/>
          <w:position w:val="0"/>
        </w:rPr>
        <w:t>、应收账款</w:t>
      </w:r>
      <w:bookmarkEnd w:id="1193"/>
      <w:bookmarkEnd w:id="1194"/>
      <w:bookmarkEnd w:id="1196"/>
    </w:p>
    <w:p>
      <w:pPr>
        <w:pStyle w:val="Style45"/>
        <w:keepNext/>
        <w:keepLines/>
        <w:widowControl w:val="0"/>
        <w:numPr>
          <w:ilvl w:val="0"/>
          <w:numId w:val="147"/>
        </w:numPr>
        <w:shd w:val="clear" w:color="auto" w:fill="auto"/>
        <w:bidi w:val="0"/>
        <w:spacing w:before="0" w:after="380" w:line="240" w:lineRule="auto"/>
        <w:ind w:left="0" w:right="0" w:firstLine="58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应收账款分类披露</w:t>
      </w:r>
      <w:bookmarkEnd w:id="1197"/>
      <w:bookmarkEnd w:id="1198"/>
      <w:bookmarkEnd w:id="12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0"/>
        <w:gridCol w:w="763"/>
        <w:gridCol w:w="758"/>
        <w:gridCol w:w="763"/>
        <w:gridCol w:w="763"/>
        <w:gridCol w:w="787"/>
        <w:gridCol w:w="782"/>
        <w:gridCol w:w="797"/>
        <w:gridCol w:w="797"/>
        <w:gridCol w:w="792"/>
        <w:gridCol w:w="960"/>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6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 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27,355,5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27,355,5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3,415,595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3,415,595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556,324,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658,588,3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74,061,70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584,526,64</w:t>
            </w:r>
          </w:p>
        </w:tc>
      </w:tr>
      <w:tr>
        <w:trPr>
          <w:trHeight w:val="274" w:hRule="exact"/>
        </w:trPr>
        <w:tc>
          <w:tcPr>
            <w:vMerge/>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185,759,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38,629,6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197,126,5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19,254,10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177,872,43</w:t>
            </w:r>
          </w:p>
        </w:tc>
      </w:tr>
      <w:tr>
        <w:trPr>
          <w:trHeight w:val="211" w:hRule="exact"/>
        </w:trPr>
        <w:tc>
          <w:tcPr>
            <w:vMerge/>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774.24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36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460,957,6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54,807,59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406,150,05</w:t>
            </w:r>
          </w:p>
        </w:tc>
      </w:tr>
      <w:tr>
        <w:trPr>
          <w:trHeight w:val="211" w:hRule="exact"/>
        </w:trPr>
        <w:tc>
          <w:tcPr>
            <w:vMerge/>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23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574,109.9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vMerge/>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504,159.79</w:t>
            </w:r>
          </w:p>
        </w:tc>
      </w:tr>
      <w:tr>
        <w:trPr>
          <w:trHeight w:val="35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583,680,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176,757,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662,003,9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77,477,30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584,526,64</w:t>
            </w:r>
          </w:p>
        </w:tc>
      </w:tr>
      <w:tr>
        <w:trPr>
          <w:trHeight w:val="226"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168.68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129.51</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按单项计提坏账准备：</w:t>
      </w:r>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915"/>
        <w:gridCol w:w="1910"/>
        <w:gridCol w:w="1920"/>
        <w:gridCol w:w="1944"/>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4,055,700.00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4,055,700.00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3,970,839.99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3,970,839.99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3,950,137.50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3,950,137.50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3,590,670.30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3,590,670.30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3,508,062.50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3,508,062.50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2,864,645.84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2,864,645.84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spacing w:lineRule="exact" w:line="1"/>
        <w:rPr>
          <w:sz w:val="2"/>
          <w:szCs w:val="2"/>
        </w:rPr>
      </w:pPr>
      <w:r>
        <w:br w:type="page"/>
      </w:r>
    </w:p>
    <w:tbl>
      <w:tblPr>
        <w:tblOverlap w:val="never"/>
        <w:jc w:val="center"/>
        <w:tblLayout w:type="fixed"/>
      </w:tblPr>
      <w:tblGrid>
        <w:gridCol w:w="1958"/>
        <w:gridCol w:w="1915"/>
        <w:gridCol w:w="1910"/>
        <w:gridCol w:w="1920"/>
        <w:gridCol w:w="194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1,205,103.45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1,205,103.45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1,047,790.45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1,047,790.45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1,583,905.28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1,583,905.28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27,355,555.31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27,355,555.31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按组合计提坏账准备：应收热处理业务类款项组合</w:t>
      </w:r>
    </w:p>
    <w:p>
      <w:pPr>
        <w:pStyle w:val="Style3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434"/>
        <w:gridCol w:w="2395"/>
        <w:gridCol w:w="2395"/>
        <w:gridCol w:w="2419"/>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122,751,241.78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6,137,562.11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17,140,564.03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3,428,112.80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18,366,756.51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5,510,026.96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9,868,093.05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5,920,855.82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2,226,976.00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2,226,976.00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15,406,142.87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15,406,142.87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185,759,774.24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38,629,676.56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按组合计提坏账准备：应收互联财税业务类款项组合</w:t>
      </w:r>
    </w:p>
    <w:p>
      <w:pPr>
        <w:pStyle w:val="Style3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434"/>
        <w:gridCol w:w="2395"/>
        <w:gridCol w:w="2390"/>
        <w:gridCol w:w="2424"/>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66,675,965.41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3,333,798.28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145,650,400.05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14,565,040.01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129,582,608.82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64,791,304.42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17,304,261.66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17,304,261.66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6,436,572.26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6,436,572.26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4,340,921.01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4,340,921.01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369,990,729.21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110,771,897.64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按组合计提坏账准备：应收关联方组合</w:t>
      </w:r>
    </w:p>
    <w:p>
      <w:pPr>
        <w:pStyle w:val="Style3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434"/>
        <w:gridCol w:w="2395"/>
        <w:gridCol w:w="2390"/>
        <w:gridCol w:w="2424"/>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关联方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296,414.86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关联方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199,845.06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434"/>
        <w:gridCol w:w="2395"/>
        <w:gridCol w:w="2395"/>
        <w:gridCol w:w="241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关联方</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574,109.92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如是按照预期信用损失一般模型计提应收账款坏账准备，请参照其他应收款的披露方式披露坏账准备的相关信息:</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按账龄披露</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481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189,921,961.58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166,236,880.57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168,992,764.42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58,528,562.11</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28,971,164.52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8,889,828.36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20,667,569.23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583,680,168.68</w:t>
            </w: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19" w:line="1" w:lineRule="exact"/>
      </w:pPr>
    </w:p>
    <w:p>
      <w:pPr>
        <w:pStyle w:val="Style45"/>
        <w:keepNext/>
        <w:keepLines/>
        <w:widowControl w:val="0"/>
        <w:shd w:val="clear" w:color="auto" w:fill="auto"/>
        <w:bidi w:val="0"/>
        <w:spacing w:before="0" w:after="380" w:line="240" w:lineRule="auto"/>
        <w:ind w:left="0" w:right="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1"/>
      <w:bookmarkEnd w:id="1202"/>
      <w:bookmarkEnd w:id="1204"/>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8"/>
        <w:gridCol w:w="1368"/>
        <w:gridCol w:w="1363"/>
        <w:gridCol w:w="1368"/>
        <w:gridCol w:w="1402"/>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77,477,300.20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99,665,103.31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385,274.00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176,757,129.51</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77,477,300.20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99,665,103.31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385,274.00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176,757,129.51</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5"/>
      <w:bookmarkEnd w:id="1206"/>
      <w:bookmarkEnd w:id="12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481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385,274.00</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9"/>
      <w:bookmarkEnd w:id="1210"/>
      <w:bookmarkEnd w:id="12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6"/>
        <w:gridCol w:w="2270"/>
        <w:gridCol w:w="2981"/>
        <w:gridCol w:w="236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坏账准备期末余额</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24,364,935.57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1,218,246.78</w:t>
            </w:r>
          </w:p>
        </w:tc>
      </w:tr>
    </w:tbl>
    <w:p>
      <w:pPr>
        <w:spacing w:lineRule="exact" w:line="1"/>
        <w:rPr>
          <w:sz w:val="2"/>
          <w:szCs w:val="2"/>
        </w:rPr>
      </w:pPr>
      <w:r>
        <w:br w:type="page"/>
      </w:r>
    </w:p>
    <w:tbl>
      <w:tblPr>
        <w:tblOverlap w:val="never"/>
        <w:jc w:val="center"/>
        <w:tblLayout w:type="fixed"/>
      </w:tblPr>
      <w:tblGrid>
        <w:gridCol w:w="2026"/>
        <w:gridCol w:w="2270"/>
        <w:gridCol w:w="2981"/>
        <w:gridCol w:w="236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15,867,924.53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1,586,792.45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15,411,760.90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1,079,814.54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13,524,630.00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1,273,729.84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9,738,341.36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486,917.07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78,907,592.36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5</w:t>
      </w:r>
      <w:bookmarkEnd w:id="1215"/>
      <w:r>
        <w:rPr>
          <w:color w:val="000000"/>
          <w:spacing w:val="0"/>
          <w:w w:val="100"/>
          <w:position w:val="0"/>
        </w:rPr>
        <w:t>、应收款项融资</w:t>
      </w:r>
      <w:bookmarkEnd w:id="1213"/>
      <w:bookmarkEnd w:id="1214"/>
      <w:bookmarkEnd w:id="1216"/>
    </w:p>
    <w:p>
      <w:pPr>
        <w:pStyle w:val="Style33"/>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69,064,757.77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69,064,757.77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384" w:right="0" w:firstLine="0"/>
        <w:jc w:val="left"/>
      </w:pPr>
      <w:r>
        <w:rPr>
          <w:color w:val="000000"/>
          <w:spacing w:val="0"/>
          <w:w w:val="100"/>
          <w:position w:val="0"/>
        </w:rPr>
        <w:t>应收款项融资本期增减变动及公允价值变动情况</w:t>
      </w:r>
    </w:p>
    <w:p>
      <w:pPr>
        <w:pStyle w:val="Style35"/>
        <w:keepNext w:val="0"/>
        <w:keepLines w:val="0"/>
        <w:widowControl w:val="0"/>
        <w:shd w:val="clear" w:color="auto" w:fill="auto"/>
        <w:bidi w:val="0"/>
        <w:spacing w:before="0" w:after="0" w:line="346" w:lineRule="exact"/>
        <w:ind w:left="4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80" w:line="346" w:lineRule="exact"/>
        <w:ind w:left="40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46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6</w:t>
      </w:r>
      <w:bookmarkEnd w:id="1219"/>
      <w:r>
        <w:rPr>
          <w:color w:val="000000"/>
          <w:spacing w:val="0"/>
          <w:w w:val="100"/>
          <w:position w:val="0"/>
        </w:rPr>
        <w:t>、预付款项</w:t>
      </w:r>
      <w:bookmarkEnd w:id="1217"/>
      <w:bookmarkEnd w:id="1218"/>
      <w:bookmarkEnd w:id="1220"/>
    </w:p>
    <w:p>
      <w:pPr>
        <w:pStyle w:val="Style45"/>
        <w:keepNext/>
        <w:keepLines/>
        <w:widowControl w:val="0"/>
        <w:shd w:val="clear" w:color="auto" w:fill="auto"/>
        <w:bidi w:val="0"/>
        <w:spacing w:before="0" w:after="380" w:line="240" w:lineRule="auto"/>
        <w:ind w:left="0" w:right="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1"/>
      <w:bookmarkEnd w:id="1222"/>
      <w:bookmarkEnd w:id="1224"/>
    </w:p>
    <w:p>
      <w:pPr>
        <w:pStyle w:val="Style33"/>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1954"/>
        <w:gridCol w:w="1915"/>
        <w:gridCol w:w="1915"/>
        <w:gridCol w:w="1920"/>
        <w:gridCol w:w="1944"/>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50,118,825.84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40,897,415.45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4,139,741.66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89,221,128.20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58,884,567.50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134,618,543.65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58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5"/>
      <w:bookmarkEnd w:id="1226"/>
      <w:bookmarkEnd w:id="1228"/>
    </w:p>
    <w:tbl>
      <w:tblPr>
        <w:tblOverlap w:val="never"/>
        <w:jc w:val="center"/>
        <w:tblLayout w:type="fixed"/>
      </w:tblPr>
      <w:tblGrid>
        <w:gridCol w:w="2030"/>
        <w:gridCol w:w="1982"/>
        <w:gridCol w:w="1992"/>
        <w:gridCol w:w="1978"/>
        <w:gridCol w:w="2021"/>
      </w:tblGrid>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占预付账款总额比例</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8,191,000.00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5,517,508.20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36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27,268,508.20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46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7</w:t>
      </w:r>
      <w:bookmarkEnd w:id="1231"/>
      <w:r>
        <w:rPr>
          <w:color w:val="000000"/>
          <w:spacing w:val="0"/>
          <w:w w:val="100"/>
          <w:position w:val="0"/>
        </w:rPr>
        <w:t>、其他应收款</w:t>
      </w:r>
      <w:bookmarkEnd w:id="1229"/>
      <w:bookmarkEnd w:id="1230"/>
      <w:bookmarkEnd w:id="12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100,803,971.84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63,568,961.83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100,803,971.84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63,568,961.83</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58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33"/>
      <w:bookmarkEnd w:id="1234"/>
      <w:bookmarkEnd w:id="1236"/>
    </w:p>
    <w:p>
      <w:pPr>
        <w:pStyle w:val="Style92"/>
        <w:keepNext/>
        <w:keepLines/>
        <w:widowControl w:val="0"/>
        <w:shd w:val="clear" w:color="auto" w:fill="auto"/>
        <w:bidi w:val="0"/>
        <w:spacing w:before="0" w:after="360" w:line="240" w:lineRule="auto"/>
        <w:ind w:left="0" w:right="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color w:val="000000"/>
          <w:spacing w:val="0"/>
          <w:w w:val="100"/>
          <w:position w:val="0"/>
        </w:rPr>
        <w:t>）其他应收款按款项性质分类情况</w:t>
      </w:r>
      <w:bookmarkEnd w:id="1237"/>
      <w:bookmarkEnd w:id="1238"/>
      <w:bookmarkEnd w:id="12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10,548,952.78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12,580,012.60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26,042,230.83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26,230,110.26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2,519,376.59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2,829,815.21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141,232,758.70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33,993,171.03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180,343,318.90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75,633,109.10</w:t>
            </w:r>
          </w:p>
        </w:tc>
      </w:tr>
    </w:tbl>
    <w:p>
      <w:pPr>
        <w:widowControl w:val="0"/>
        <w:spacing w:after="359" w:line="1" w:lineRule="exact"/>
      </w:pPr>
    </w:p>
    <w:p>
      <w:pPr>
        <w:pStyle w:val="Style92"/>
        <w:keepNext/>
        <w:keepLines/>
        <w:widowControl w:val="0"/>
        <w:shd w:val="clear" w:color="auto" w:fill="auto"/>
        <w:bidi w:val="0"/>
        <w:spacing w:before="0" w:after="360" w:line="240" w:lineRule="auto"/>
        <w:ind w:left="0" w:right="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color w:val="000000"/>
          <w:spacing w:val="0"/>
          <w:w w:val="100"/>
          <w:position w:val="0"/>
        </w:rPr>
        <w:t>）坏账准备计提情况</w:t>
      </w:r>
      <w:bookmarkEnd w:id="1241"/>
      <w:bookmarkEnd w:id="1242"/>
      <w:bookmarkEnd w:id="12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14"/>
        <w:gridCol w:w="1699"/>
        <w:gridCol w:w="2131"/>
        <w:gridCol w:w="2126"/>
        <w:gridCol w:w="1373"/>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6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9,388,446.82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2,675,700.45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12,064,147.27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-1,306,916.08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1,306,916.08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27,527,033.72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39,963,366.07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67,490,399.79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35,608,564.46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43,930,782.60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79,539,347.06</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按账龄披露</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4814"/>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34,884,505.11</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33,603,091.06</w:t>
            </w:r>
          </w:p>
        </w:tc>
      </w:tr>
    </w:tbl>
    <w:p>
      <w:pPr>
        <w:spacing w:lineRule="exact" w:line="1"/>
        <w:rPr>
          <w:sz w:val="2"/>
          <w:szCs w:val="2"/>
        </w:rPr>
      </w:pPr>
      <w:r>
        <w:br w:type="page"/>
      </w:r>
    </w:p>
    <w:tbl>
      <w:tblPr>
        <w:tblOverlap w:val="never"/>
        <w:jc w:val="center"/>
        <w:tblLayout w:type="fixed"/>
      </w:tblPr>
      <w:tblGrid>
        <w:gridCol w:w="4829"/>
        <w:gridCol w:w="481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97,855,722.43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14,000,000.30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5,609,580.17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1,333,752.20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7,056,667.93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180,343,318.90</w:t>
            </w:r>
          </w:p>
        </w:tc>
      </w:tr>
    </w:tbl>
    <w:p>
      <w:pPr>
        <w:widowControl w:val="0"/>
        <w:spacing w:after="319" w:line="1" w:lineRule="exact"/>
      </w:pPr>
    </w:p>
    <w:p>
      <w:pPr>
        <w:pStyle w:val="Style92"/>
        <w:keepNext/>
        <w:keepLines/>
        <w:widowControl w:val="0"/>
        <w:shd w:val="clear" w:color="auto" w:fill="auto"/>
        <w:bidi w:val="0"/>
        <w:spacing w:before="0" w:line="240" w:lineRule="auto"/>
        <w:ind w:left="0" w:right="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color w:val="000000"/>
          <w:spacing w:val="0"/>
          <w:w w:val="100"/>
          <w:position w:val="0"/>
        </w:rPr>
        <w:t>）本期计提、收回或转回的坏账准备情况</w:t>
      </w:r>
      <w:bookmarkEnd w:id="1245"/>
      <w:bookmarkEnd w:id="1246"/>
      <w:bookmarkEnd w:id="1248"/>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9"/>
        <w:gridCol w:w="1099"/>
        <w:gridCol w:w="1190"/>
        <w:gridCol w:w="1306"/>
        <w:gridCol w:w="1090"/>
        <w:gridCol w:w="1742"/>
        <w:gridCol w:w="1757"/>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12,064,147.27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67,490,399.79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79,539,347.06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12,064,147.27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67,490,399.79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79,539,347.06</w:t>
            </w:r>
          </w:p>
        </w:tc>
      </w:tr>
    </w:tbl>
    <w:p>
      <w:pPr>
        <w:widowControl w:val="0"/>
        <w:spacing w:after="319" w:line="1" w:lineRule="exact"/>
      </w:pPr>
    </w:p>
    <w:p>
      <w:pPr>
        <w:pStyle w:val="Style92"/>
        <w:keepNext/>
        <w:keepLines/>
        <w:widowControl w:val="0"/>
        <w:shd w:val="clear" w:color="auto" w:fill="auto"/>
        <w:bidi w:val="0"/>
        <w:spacing w:before="0" w:line="240" w:lineRule="auto"/>
        <w:ind w:left="0" w:right="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4</w:t>
      </w:r>
      <w:bookmarkEnd w:id="1251"/>
      <w:r>
        <w:rPr>
          <w:color w:val="000000"/>
          <w:spacing w:val="0"/>
          <w:w w:val="100"/>
          <w:position w:val="0"/>
        </w:rPr>
        <w:t>）本期实际核销的其他应收款情况</w:t>
      </w:r>
      <w:bookmarkEnd w:id="1249"/>
      <w:bookmarkEnd w:id="1250"/>
      <w:bookmarkEnd w:id="12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481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w:t>
            </w:r>
          </w:p>
        </w:tc>
      </w:tr>
    </w:tbl>
    <w:p>
      <w:pPr>
        <w:widowControl w:val="0"/>
        <w:spacing w:after="319" w:line="1" w:lineRule="exact"/>
      </w:pPr>
    </w:p>
    <w:p>
      <w:pPr>
        <w:pStyle w:val="Style92"/>
        <w:keepNext/>
        <w:keepLines/>
        <w:widowControl w:val="0"/>
        <w:shd w:val="clear" w:color="auto" w:fill="auto"/>
        <w:bidi w:val="0"/>
        <w:spacing w:before="0" w:line="240" w:lineRule="auto"/>
        <w:ind w:left="0" w:right="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5</w:t>
      </w:r>
      <w:bookmarkEnd w:id="1255"/>
      <w:r>
        <w:rPr>
          <w:color w:val="000000"/>
          <w:spacing w:val="0"/>
          <w:w w:val="100"/>
          <w:position w:val="0"/>
        </w:rPr>
        <w:t>）按欠款方归集的期末余额前五名的其他应收款情况</w:t>
      </w:r>
      <w:bookmarkEnd w:id="1253"/>
      <w:bookmarkEnd w:id="1254"/>
      <w:bookmarkEnd w:id="12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1594"/>
        <w:gridCol w:w="1594"/>
        <w:gridCol w:w="1594"/>
        <w:gridCol w:w="1598"/>
        <w:gridCol w:w="1627"/>
      </w:tblGrid>
      <w:tr>
        <w:trPr>
          <w:trHeight w:val="72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拟合作方</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项目预付款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17,626,134.81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17,626,134.81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项目预付款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15,585,655.95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8,718,355.95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拟合作方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项目预付款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11,354,662.07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11,354,662.07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86,566,452.83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53,899,152.83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8</w:t>
      </w:r>
      <w:bookmarkEnd w:id="1259"/>
      <w:r>
        <w:rPr>
          <w:color w:val="000000"/>
          <w:spacing w:val="0"/>
          <w:w w:val="100"/>
          <w:position w:val="0"/>
        </w:rPr>
        <w:t>、存货</w:t>
      </w:r>
      <w:bookmarkEnd w:id="1257"/>
      <w:bookmarkEnd w:id="1258"/>
      <w:bookmarkEnd w:id="1260"/>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公司是否需要遵守房地产行业的披露要求</w:t>
      </w:r>
    </w:p>
    <w:p>
      <w:pPr>
        <w:pStyle w:val="Style35"/>
        <w:keepNext w:val="0"/>
        <w:keepLines w:val="0"/>
        <w:widowControl w:val="0"/>
        <w:shd w:val="clear" w:color="auto" w:fill="auto"/>
        <w:bidi w:val="0"/>
        <w:spacing w:before="0" w:after="320" w:line="240" w:lineRule="auto"/>
        <w:ind w:left="0" w:right="0"/>
        <w:jc w:val="left"/>
        <w:sectPr>
          <w:headerReference w:type="default" r:id="rId193"/>
          <w:footerReference w:type="default" r:id="rId194"/>
          <w:headerReference w:type="even" r:id="rId195"/>
          <w:footerReference w:type="even" r:id="rId196"/>
          <w:footnotePr>
            <w:pos w:val="pageBottom"/>
            <w:numFmt w:val="decimal"/>
            <w:numRestart w:val="continuous"/>
          </w:footnotePr>
          <w:type w:val="continuous"/>
          <w:pgSz w:w="11900" w:h="16840"/>
          <w:pgMar w:top="1398" w:right="939" w:bottom="1465" w:left="958" w:header="0" w:footer="3" w:gutter="0"/>
          <w:cols w:space="720"/>
          <w:noEndnote/>
          <w:rtlGutter w:val="0"/>
          <w:docGrid w:linePitch="360"/>
        </w:sectPr>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580"/>
        <w:jc w:val="left"/>
        <w:rPr>
          <w:sz w:val="20"/>
          <w:szCs w:val="20"/>
        </w:rPr>
      </w:pPr>
      <w:r>
        <w:rPr>
          <w:b/>
          <w:bCs/>
          <w:color w:val="E67821"/>
          <w:spacing w:val="0"/>
          <w:w w:val="100"/>
          <w:position w:val="0"/>
          <w:sz w:val="20"/>
          <w:szCs w:val="20"/>
        </w:rPr>
        <w:t>釜财互联</w:t>
      </w:r>
    </w:p>
    <w:p>
      <w:pPr>
        <w:pStyle w:val="Style25"/>
        <w:keepNext w:val="0"/>
        <w:keepLines w:val="0"/>
        <w:widowControl w:val="0"/>
        <w:shd w:val="clear" w:color="auto" w:fill="auto"/>
        <w:bidi w:val="0"/>
        <w:spacing w:before="0" w:after="420" w:line="226" w:lineRule="auto"/>
        <w:ind w:left="0" w:right="0" w:firstLine="58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p>
      <w:pPr>
        <w:pStyle w:val="Style45"/>
        <w:keepNext/>
        <w:keepLines/>
        <w:widowControl w:val="0"/>
        <w:shd w:val="clear" w:color="auto" w:fill="auto"/>
        <w:bidi w:val="0"/>
        <w:spacing w:before="0" w:after="320" w:line="240" w:lineRule="auto"/>
        <w:ind w:left="0" w:right="0" w:firstLine="58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61"/>
      <w:bookmarkEnd w:id="1262"/>
      <w:bookmarkEnd w:id="126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8"/>
        <w:gridCol w:w="1368"/>
        <w:gridCol w:w="1368"/>
        <w:gridCol w:w="1368"/>
        <w:gridCol w:w="1397"/>
      </w:tblGrid>
      <w:tr>
        <w:trPr>
          <w:trHeight w:val="37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51,900,007.58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6,260,157.17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45,639,850.41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58,969,130.46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6,090,825.50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52,878,304.96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131,274,496.87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13,538,604.39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117,735,892.48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107,153,406.85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9,654,533.45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97,498,873.40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1,790,071.38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1,790,071.38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3,677,385.03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311,410.60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3,365,974.43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127,743,640.50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3,073,150.88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124,670,489.62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114,904,780.66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114,454,780.66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7,359,603.32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7,359,603.32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2,622,421.69</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320,067,819.65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22,871,912.44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297,195,907.21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287,327,124.69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16,506,769.55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270,820,355.14</w:t>
            </w:r>
          </w:p>
        </w:tc>
      </w:tr>
    </w:tbl>
    <w:p>
      <w:pPr>
        <w:widowControl w:val="0"/>
        <w:spacing w:after="319" w:line="1" w:lineRule="exact"/>
      </w:pPr>
    </w:p>
    <w:p>
      <w:pPr>
        <w:pStyle w:val="Style45"/>
        <w:keepNext/>
        <w:keepLines/>
        <w:widowControl w:val="0"/>
        <w:numPr>
          <w:ilvl w:val="0"/>
          <w:numId w:val="147"/>
        </w:numPr>
        <w:shd w:val="clear" w:color="auto" w:fill="auto"/>
        <w:bidi w:val="0"/>
        <w:spacing w:before="0" w:after="380" w:line="240" w:lineRule="auto"/>
        <w:ind w:left="0" w:right="0" w:firstLine="58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存货跌价准备和合同履约成本减值准备</w:t>
      </w:r>
      <w:bookmarkEnd w:id="1264"/>
      <w:bookmarkEnd w:id="1265"/>
      <w:bookmarkEnd w:id="126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8"/>
        <w:gridCol w:w="1368"/>
        <w:gridCol w:w="1368"/>
        <w:gridCol w:w="1368"/>
        <w:gridCol w:w="1397"/>
      </w:tblGrid>
      <w:tr>
        <w:trPr>
          <w:trHeight w:val="37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7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6,090,825.50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6,260,157.17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9,654,533.45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3,884,070.94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13,538,604.39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311,410.60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2,623,150.88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3,073,150.88</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16,506,769.55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6,584,372.05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219,229.16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22,871,912.44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9</w:t>
      </w:r>
      <w:bookmarkEnd w:id="1270"/>
      <w:r>
        <w:rPr>
          <w:color w:val="000000"/>
          <w:spacing w:val="0"/>
          <w:w w:val="100"/>
          <w:position w:val="0"/>
        </w:rPr>
        <w:t>、合同资产</w:t>
      </w:r>
      <w:bookmarkEnd w:id="1268"/>
      <w:bookmarkEnd w:id="1269"/>
      <w:bookmarkEnd w:id="12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195"/>
        <w:gridCol w:w="1330"/>
        <w:gridCol w:w="1200"/>
        <w:gridCol w:w="1195"/>
        <w:gridCol w:w="1200"/>
        <w:gridCol w:w="1349"/>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16,325,237.91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834,188.39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15,491,049.52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17,708,197.09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287,098.06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17,421,099.03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16,325,237.91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834,188.39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15,491,049.52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17,708,197.09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287,098.06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17,421,099.03</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jc w:val="left"/>
      </w:pPr>
      <w:r>
        <w:rPr>
          <w:color w:val="000000"/>
          <w:spacing w:val="0"/>
          <w:w w:val="100"/>
          <w:position w:val="0"/>
        </w:rPr>
        <w:t>如是按照预期信用损失一般模型计提合同资产坏账准备，请参照其他应收款的披露方式披露坏账准备的相关信息:</w:t>
      </w:r>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jc w:val="left"/>
      </w:pPr>
      <w:r>
        <w:rPr>
          <w:color w:val="000000"/>
          <w:spacing w:val="0"/>
          <w:w w:val="100"/>
          <w:position w:val="0"/>
        </w:rPr>
        <w:t>本期合同资产计提减值准备情况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915"/>
        <w:gridCol w:w="1910"/>
        <w:gridCol w:w="1915"/>
        <w:gridCol w:w="194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547,090.33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547,090.33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711" w:right="1102" w:bottom="1157" w:left="1088" w:header="0" w:footer="3" w:gutter="0"/>
          <w:cols w:space="720"/>
          <w:noEndnote/>
          <w:rtlGutter w:val="0"/>
          <w:docGrid w:linePitch="360"/>
        </w:sectPr>
      </w:pPr>
    </w:p>
    <w:p>
      <w:pPr>
        <w:pStyle w:val="Style39"/>
        <w:keepNext/>
        <w:keepLines/>
        <w:widowControl w:val="0"/>
        <w:shd w:val="clear" w:color="auto" w:fill="auto"/>
        <w:bidi w:val="0"/>
        <w:spacing w:before="100" w:line="240" w:lineRule="auto"/>
        <w:ind w:left="0" w:right="0" w:firstLine="46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72"/>
      <w:bookmarkEnd w:id="1273"/>
      <w:bookmarkEnd w:id="127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33,093,243.58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22,854,542.58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7,174,193.15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4,816,512.55</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40,267,436.73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27,671,055.13</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46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276"/>
      <w:bookmarkEnd w:id="1277"/>
      <w:bookmarkEnd w:id="1279"/>
    </w:p>
    <w:p>
      <w:pPr>
        <w:pStyle w:val="Style45"/>
        <w:keepNext/>
        <w:keepLines/>
        <w:widowControl w:val="0"/>
        <w:shd w:val="clear" w:color="auto" w:fill="auto"/>
        <w:bidi w:val="0"/>
        <w:spacing w:before="0" w:after="360" w:line="240" w:lineRule="auto"/>
        <w:ind w:left="0" w:right="0"/>
        <w:jc w:val="both"/>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80"/>
      <w:bookmarkEnd w:id="1281"/>
      <w:bookmarkEnd w:id="12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138"/>
        <w:gridCol w:w="1133"/>
        <w:gridCol w:w="1133"/>
        <w:gridCol w:w="1138"/>
        <w:gridCol w:w="1138"/>
        <w:gridCol w:w="1128"/>
        <w:gridCol w:w="1099"/>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vMerge/>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4,832,533.32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2,290,047.00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2,542,486.32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6,187,733.32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1,273,647.00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4,914,086.32</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4,832,533.32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2,290,047.00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2,542,486.32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6,187,733.32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1,273,647.00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4,914,086.32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坏账准备减值情况</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14"/>
        <w:gridCol w:w="1560"/>
        <w:gridCol w:w="2122"/>
        <w:gridCol w:w="2126"/>
        <w:gridCol w:w="1522"/>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6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1,273,647.00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1,273,647.00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52"/>
                <w:szCs w:val="52"/>
              </w:rPr>
            </w:pPr>
            <w:r>
              <w:rPr>
                <w:color w:val="000000"/>
                <w:spacing w:val="0"/>
                <w:w w:val="100"/>
                <w:position w:val="0"/>
                <w:sz w:val="52"/>
                <w:szCs w:val="52"/>
              </w:rPr>
              <w:t>二三二</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1,016,400.00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1,016,400.00</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2,290,047.00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2,290,047.00</w:t>
            </w:r>
          </w:p>
        </w:tc>
      </w:tr>
    </w:tbl>
    <w:p>
      <w:pPr>
        <w:widowControl w:val="0"/>
        <w:spacing w:after="9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46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83"/>
      <w:bookmarkEnd w:id="1284"/>
      <w:bookmarkEnd w:id="12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7"/>
        <w:gridCol w:w="994"/>
        <w:gridCol w:w="566"/>
        <w:gridCol w:w="422"/>
        <w:gridCol w:w="1008"/>
        <w:gridCol w:w="802"/>
        <w:gridCol w:w="600"/>
        <w:gridCol w:w="1138"/>
        <w:gridCol w:w="653"/>
        <w:gridCol w:w="619"/>
        <w:gridCol w:w="1138"/>
        <w:gridCol w:w="672"/>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8"/>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期末余额</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备期末</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81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center"/>
            </w:pPr>
            <w:r>
              <w:rPr>
                <w:color w:val="000000"/>
                <w:spacing w:val="0"/>
                <w:w w:val="100"/>
                <w:position w:val="0"/>
              </w:rPr>
              <w:t xml:space="preserve">权益法下确 认的投资损 </w:t>
            </w:r>
            <w:r>
              <w:rPr>
                <w:color w:val="000000"/>
                <w:spacing w:val="0"/>
                <w:w w:val="100"/>
                <w:position w:val="0"/>
                <w:u w:val="single"/>
              </w:rPr>
              <w:t>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其他权 益变动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计提减 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gridSpan w:val="1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81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pPr>
            <w:r>
              <w:rPr>
                <w:color w:val="000000"/>
                <w:spacing w:val="0"/>
                <w:w w:val="100"/>
                <w:position w:val="0"/>
              </w:rPr>
              <w:t>盐城高周波 热炼有限公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61,036,086.93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1,062,547.34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60,098,634.27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994"/>
        <w:gridCol w:w="566"/>
        <w:gridCol w:w="422"/>
        <w:gridCol w:w="1008"/>
        <w:gridCol w:w="802"/>
        <w:gridCol w:w="600"/>
        <w:gridCol w:w="1138"/>
        <w:gridCol w:w="653"/>
        <w:gridCol w:w="619"/>
        <w:gridCol w:w="1138"/>
        <w:gridCol w:w="672"/>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江苏石川岛 丰东真空技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22,234,016.72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1,915,652.24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24,149,668.96</w:t>
            </w:r>
          </w:p>
        </w:tc>
        <w:tc>
          <w:tcPr>
            <w:tcBorders>
              <w:top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广州丰东热 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31,359,475.02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7,958,102.28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-9,286,600.00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30,030,977.30</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114,629,578.67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10,936,301.86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-11,286,600.00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114,279,280.53</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38" w:right="0" w:firstLine="0"/>
        <w:jc w:val="left"/>
      </w:pPr>
      <w:r>
        <w:rPr>
          <w:color w:val="000000"/>
          <w:spacing w:val="0"/>
          <w:w w:val="100"/>
          <w:position w:val="0"/>
        </w:rPr>
        <w:t>二、联营企业</w:t>
      </w:r>
    </w:p>
    <w:p>
      <w:pPr>
        <w:pStyle w:val="Style33"/>
        <w:keepNext w:val="0"/>
        <w:keepLines w:val="0"/>
        <w:widowControl w:val="0"/>
        <w:shd w:val="clear" w:color="auto" w:fill="auto"/>
        <w:tabs>
          <w:tab w:pos="1003" w:val="left"/>
          <w:tab w:pos="3072" w:val="left"/>
          <w:tab w:pos="5549" w:val="left"/>
          <w:tab w:pos="7954" w:val="left"/>
        </w:tabs>
        <w:bidi w:val="0"/>
        <w:spacing w:before="0" w:after="0" w:line="240" w:lineRule="auto"/>
        <w:ind w:left="0" w:right="0" w:firstLine="0"/>
        <w:jc w:val="distribute"/>
        <w:rPr>
          <w:sz w:val="15"/>
          <w:szCs w:val="15"/>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5"/>
          <w:szCs w:val="15"/>
        </w:rPr>
        <w:t>114,629,578.67</w:t>
        <w:tab/>
        <w:t>10,936,301.86</w:t>
        <w:tab/>
        <w:t>-11,286,600.00</w:t>
        <w:tab/>
        <w:t>114,279,280.53</w:t>
      </w:r>
    </w:p>
    <w:p>
      <w:pPr>
        <w:widowControl w:val="0"/>
        <w:spacing w:after="99" w:line="1" w:lineRule="exact"/>
      </w:pPr>
    </w:p>
    <w:p>
      <w:pPr>
        <w:pStyle w:val="Style35"/>
        <w:keepNext w:val="0"/>
        <w:keepLines w:val="0"/>
        <w:widowControl w:val="0"/>
        <w:shd w:val="clear" w:color="auto" w:fill="auto"/>
        <w:bidi w:val="0"/>
        <w:spacing w:before="0" w:after="60" w:line="312" w:lineRule="exact"/>
        <w:ind w:left="0" w:right="0"/>
        <w:jc w:val="left"/>
      </w:pPr>
      <w:r>
        <w:rPr>
          <w:color w:val="000000"/>
          <w:spacing w:val="0"/>
          <w:w w:val="100"/>
          <w:position w:val="0"/>
        </w:rPr>
        <w:t>其他说明</w:t>
      </w:r>
    </w:p>
    <w:p>
      <w:pPr>
        <w:pStyle w:val="Style35"/>
        <w:keepNext w:val="0"/>
        <w:keepLines w:val="0"/>
        <w:widowControl w:val="0"/>
        <w:shd w:val="clear" w:color="auto" w:fill="auto"/>
        <w:bidi w:val="0"/>
        <w:spacing w:before="0" w:after="60" w:line="31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四川方欣科技有限公司系子公司方欣科技的子公司，公司无实际业务经营，营业执照处于被吊销状态，故未纳入合并 报表范围。</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除上述事项外，其余长期股权投资单位无向投资企业转移资金的能力受到限制的情况。</w:t>
      </w:r>
    </w:p>
    <w:p>
      <w:pPr>
        <w:pStyle w:val="Style39"/>
        <w:keepNext/>
        <w:keepLines/>
        <w:widowControl w:val="0"/>
        <w:shd w:val="clear" w:color="auto" w:fill="auto"/>
        <w:bidi w:val="0"/>
        <w:spacing w:before="0" w:after="400" w:line="240" w:lineRule="auto"/>
        <w:ind w:left="0" w:right="0" w:firstLine="46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287"/>
      <w:bookmarkEnd w:id="1288"/>
      <w:bookmarkEnd w:id="12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18,918,318.55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21,796,374.50</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18,918,318.55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21,796,374.50</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分项披露本期非交易性权益工具投资</w:t>
      </w:r>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880"/>
        <w:gridCol w:w="1133"/>
        <w:gridCol w:w="566"/>
        <w:gridCol w:w="1282"/>
        <w:gridCol w:w="994"/>
        <w:gridCol w:w="1699"/>
        <w:gridCol w:w="1094"/>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累计 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累计损失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其他综合收 益转入留存 收益的金额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pPr>
            <w:r>
              <w:rPr>
                <w:color w:val="000000"/>
                <w:spacing w:val="0"/>
                <w:w w:val="100"/>
                <w:position w:val="0"/>
              </w:rPr>
              <w:t>指定为以公允价值计 量且其变动计入其他 综合收益的原因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其他综合收 益转入留存 收益的原因</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四川方欣晟源科技有限公司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上海企盈信息技术有限公司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1,476,860.00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-34,020,000.00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广州湛蓝数据科技有限公司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广东中创万顺信息技术有限公司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深圳市金财互联企业管理有限公司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云税数字科技（福建）有限公司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江苏汇企众联数据服务有限公司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-1,110,799.79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众欣财税科技（东莞）有限公司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链甄数字科技（深圳）有限公司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-420,342.11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广州云渡链数据服务有限公司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-565,231.59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众企数字科技（广东）有限公司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-1,874,682.46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ISI 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江苏大丰农村商业银行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777,386.00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40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291"/>
      <w:bookmarkEnd w:id="1292"/>
      <w:bookmarkEnd w:id="1294"/>
    </w:p>
    <w:p>
      <w:pPr>
        <w:pStyle w:val="Style45"/>
        <w:keepNext/>
        <w:keepLines/>
        <w:widowControl w:val="0"/>
        <w:shd w:val="clear" w:color="auto" w:fill="auto"/>
        <w:bidi w:val="0"/>
        <w:spacing w:before="0" w:after="380" w:line="240" w:lineRule="auto"/>
        <w:ind w:left="0" w:right="0" w:firstLine="40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95"/>
      <w:bookmarkEnd w:id="1296"/>
      <w:bookmarkEnd w:id="1297"/>
    </w:p>
    <w:p>
      <w:pPr>
        <w:pStyle w:val="Style35"/>
        <w:keepNext w:val="0"/>
        <w:keepLines w:val="0"/>
        <w:widowControl w:val="0"/>
        <w:shd w:val="clear" w:color="auto" w:fill="auto"/>
        <w:bidi w:val="0"/>
        <w:spacing w:before="0" w:after="120" w:line="240" w:lineRule="auto"/>
        <w:ind w:left="0" w:right="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46"/>
        <w:gridCol w:w="1560"/>
        <w:gridCol w:w="1565"/>
        <w:gridCol w:w="1555"/>
        <w:gridCol w:w="1522"/>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34,142,245.17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34,142,245.17</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34,142,245.17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34,142,245.17</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1,792,467.60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1,792,467.60</w:t>
            </w:r>
          </w:p>
        </w:tc>
      </w:tr>
      <w:tr>
        <w:trPr>
          <w:trHeight w:val="3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768,200.00</w:t>
            </w: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768,200.00</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2,560,667.60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2,560,667.60</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31,581,577.57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31,581,577.57</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32,349,777.57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32,349,777.57</w:t>
            </w:r>
          </w:p>
        </w:tc>
      </w:tr>
    </w:tbl>
    <w:p>
      <w:pPr>
        <w:spacing w:lineRule="exact" w:line="1"/>
        <w:rPr>
          <w:sz w:val="2"/>
          <w:szCs w:val="2"/>
        </w:rPr>
      </w:pPr>
      <w:r>
        <w:br w:type="page"/>
      </w:r>
    </w:p>
    <w:p>
      <w:pPr>
        <w:pStyle w:val="Style45"/>
        <w:keepNext/>
        <w:keepLines/>
        <w:widowControl w:val="0"/>
        <w:shd w:val="clear" w:color="auto" w:fill="auto"/>
        <w:tabs>
          <w:tab w:pos="953" w:val="left"/>
        </w:tabs>
        <w:bidi w:val="0"/>
        <w:spacing w:before="0" w:after="380" w:line="240" w:lineRule="auto"/>
        <w:ind w:left="0" w:right="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8"/>
      <w:bookmarkEnd w:id="1299"/>
      <w:bookmarkEnd w:id="1301"/>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shd w:val="clear" w:color="auto" w:fill="auto"/>
        <w:tabs>
          <w:tab w:pos="953" w:val="left"/>
        </w:tabs>
        <w:bidi w:val="0"/>
        <w:spacing w:before="0" w:after="380" w:line="240" w:lineRule="auto"/>
        <w:ind w:left="0" w:right="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02"/>
      <w:bookmarkEnd w:id="1303"/>
      <w:bookmarkEnd w:id="1305"/>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46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306"/>
      <w:bookmarkEnd w:id="1307"/>
      <w:bookmarkEnd w:id="13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624,794,987.49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600,209,558.29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624,794,987.49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600,209,558.29</w:t>
            </w:r>
          </w:p>
        </w:tc>
      </w:tr>
    </w:tbl>
    <w:p>
      <w:pPr>
        <w:widowControl w:val="0"/>
        <w:spacing w:after="379" w:line="1" w:lineRule="exact"/>
      </w:pPr>
    </w:p>
    <w:p>
      <w:pPr>
        <w:pStyle w:val="Style45"/>
        <w:keepNext/>
        <w:keepLines/>
        <w:widowControl w:val="0"/>
        <w:shd w:val="clear" w:color="auto" w:fill="auto"/>
        <w:bidi w:val="0"/>
        <w:spacing w:before="0" w:after="380" w:line="240" w:lineRule="auto"/>
        <w:ind w:left="0" w:right="0" w:firstLine="58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0"/>
      <w:bookmarkEnd w:id="1311"/>
      <w:bookmarkEnd w:id="13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555"/>
        <w:gridCol w:w="1560"/>
        <w:gridCol w:w="1565"/>
        <w:gridCol w:w="1416"/>
        <w:gridCol w:w="1517"/>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办公及其他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合计</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422,871,644.42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280,547,473.57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32,054,476.61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121,714,319.12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857,187,913.72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40,656,961.84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36,413,355.95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6,496,416.93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5,109,423.39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88,676,158.11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2,604,408.82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14,914,545.87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6,496,416.93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5,109,423.39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29,124,795.01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38,052,553.02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21,498,810.08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59,551,363.10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231,627.79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1,630,063.94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522,518.06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8,626,196.43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11,010,406.22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231,627.79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1,630,063.94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522,518.06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8,626,196.43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11,010,406.22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463,296,978.47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315,330,765.58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38,028,375.48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118,197,546.08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934,853,665.61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76,556,423.30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116,469,120.84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20,941,901.30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41,855,909.99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255,823,355.43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15,614,657.74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23,258,498.35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4,085,976.84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19,614,982.52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62,574,115.45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15,614,657.74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23,258,498.35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4,085,976.84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19,614,982.52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62,574,115.45</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1,110,912.82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489,039.56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7,803,026.13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9,493,792.76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1,110,912.82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489,039.56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7,803,026.13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9,493,792.76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92,080,266.79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138,616,706.37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24,538,838.58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53,667,866.38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308,903,678.12</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1,155,000.00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30"/>
        <w:gridCol w:w="1555"/>
        <w:gridCol w:w="1560"/>
        <w:gridCol w:w="1565"/>
        <w:gridCol w:w="1416"/>
        <w:gridCol w:w="1517"/>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1,155,000.00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370,916,711.68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175,859,059.21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13,489,536.90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64,529,679.70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624,794,987.49</w:t>
            </w:r>
          </w:p>
        </w:tc>
      </w:tr>
      <w:tr>
        <w:trPr>
          <w:trHeight w:val="38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346,015,221.12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163,223,352.73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11,112,575.31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79,858,409.13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600,209,558.29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313"/>
      <w:bookmarkEnd w:id="1314"/>
      <w:bookmarkEnd w:id="131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107,008,452.64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42,839,078.98</w:t>
            </w:r>
          </w:p>
        </w:tc>
      </w:tr>
      <w:tr>
        <w:trPr>
          <w:trHeight w:val="40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107,008,452.64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42,839,078.98</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17"/>
      <w:bookmarkEnd w:id="1318"/>
      <w:bookmarkEnd w:id="13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8"/>
        <w:gridCol w:w="1368"/>
        <w:gridCol w:w="1368"/>
        <w:gridCol w:w="1368"/>
        <w:gridCol w:w="1397"/>
      </w:tblGrid>
      <w:tr>
        <w:trPr>
          <w:trHeight w:val="39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无人化智能工厂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242,174.76</w:t>
            </w: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生产厂房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87,249,265.39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87,249,265.39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19,759,187.25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19,759,187.25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42,446,996.59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42,446,996.59</w:t>
            </w:r>
          </w:p>
        </w:tc>
      </w:tr>
      <w:tr>
        <w:trPr>
          <w:trHeight w:val="3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固定资产大修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149,907.63</w:t>
            </w:r>
          </w:p>
        </w:tc>
      </w:tr>
      <w:tr>
        <w:trPr>
          <w:trHeight w:val="39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107,008,452.64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107,008,452.64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42,839,078.98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42,839,078.98</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20"/>
      <w:bookmarkEnd w:id="1321"/>
      <w:bookmarkEnd w:id="13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7"/>
        <w:gridCol w:w="475"/>
        <w:gridCol w:w="734"/>
        <w:gridCol w:w="739"/>
        <w:gridCol w:w="888"/>
        <w:gridCol w:w="706"/>
        <w:gridCol w:w="850"/>
        <w:gridCol w:w="854"/>
        <w:gridCol w:w="571"/>
        <w:gridCol w:w="706"/>
        <w:gridCol w:w="854"/>
        <w:gridCol w:w="706"/>
        <w:gridCol w:w="523"/>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预算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本期转入 固定资产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工程累计 投入占预 算比例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工程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left"/>
            </w:pPr>
            <w:r>
              <w:rPr>
                <w:color w:val="000000"/>
                <w:spacing w:val="0"/>
                <w:w w:val="100"/>
                <w:position w:val="0"/>
              </w:rPr>
              <w:t>其中：本 期利息资 本化金额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本期利 息资本 化率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资金</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无人化智能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工厂项目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242,174.7</w:t>
            </w:r>
          </w:p>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300,000.0</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542,174.</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87,249,26</w:t>
            </w:r>
          </w:p>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87,249,265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269"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设备安装工 程</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42,446,99</w:t>
            </w:r>
          </w:p>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6.59</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37.620.85 59.401.455.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907,208.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19,759,187.</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302" w:hRule="exact"/>
        </w:trPr>
        <w:tc>
          <w:tcPr>
            <w:vMerge/>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4.90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固定资产大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149,907.6</w:t>
            </w:r>
          </w:p>
          <w:p>
            <w:pPr>
              <w:pStyle w:val="Style25"/>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149,907.63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42,839,07</w:t>
            </w:r>
          </w:p>
          <w:p>
            <w:pPr>
              <w:pStyle w:val="Style25"/>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8.98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125,170,1</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59,551,363.</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1,449,38</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107,008,45</w:t>
            </w:r>
          </w:p>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keepLines/>
        <w:widowControl w:val="0"/>
        <w:shd w:val="clear" w:color="auto" w:fill="auto"/>
        <w:tabs>
          <w:tab w:pos="934" w:val="left"/>
        </w:tabs>
        <w:bidi w:val="0"/>
        <w:spacing w:before="0" w:after="380" w:line="240" w:lineRule="auto"/>
        <w:ind w:left="0" w:right="0" w:firstLine="46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w:t>
        <w:tab/>
        <w:t>生产性生物资产</w:t>
      </w:r>
      <w:bookmarkEnd w:id="1323"/>
      <w:bookmarkEnd w:id="1324"/>
      <w:bookmarkEnd w:id="1326"/>
    </w:p>
    <w:p>
      <w:pPr>
        <w:pStyle w:val="Style45"/>
        <w:keepNext/>
        <w:keepLines/>
        <w:widowControl w:val="0"/>
        <w:shd w:val="clear" w:color="auto" w:fill="auto"/>
        <w:tabs>
          <w:tab w:pos="953" w:val="left"/>
        </w:tabs>
        <w:bidi w:val="0"/>
        <w:spacing w:before="0" w:after="380" w:line="240" w:lineRule="auto"/>
        <w:ind w:left="0" w:right="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27"/>
      <w:bookmarkEnd w:id="1328"/>
      <w:bookmarkEnd w:id="1330"/>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953" w:val="left"/>
        </w:tabs>
        <w:bidi w:val="0"/>
        <w:spacing w:before="0" w:after="380" w:line="240" w:lineRule="auto"/>
        <w:ind w:left="0" w:right="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31"/>
      <w:bookmarkEnd w:id="1332"/>
      <w:bookmarkEnd w:id="1334"/>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934" w:val="left"/>
        </w:tabs>
        <w:bidi w:val="0"/>
        <w:spacing w:before="0" w:after="380" w:line="240" w:lineRule="auto"/>
        <w:ind w:left="0" w:right="0" w:firstLine="46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335"/>
      <w:bookmarkEnd w:id="1336"/>
      <w:bookmarkEnd w:id="1338"/>
    </w:p>
    <w:p>
      <w:pPr>
        <w:pStyle w:val="Style35"/>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934" w:val="left"/>
        </w:tabs>
        <w:bidi w:val="0"/>
        <w:spacing w:before="0" w:after="380" w:line="240" w:lineRule="auto"/>
        <w:ind w:left="0" w:right="0" w:firstLine="46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1339"/>
      <w:bookmarkEnd w:id="1340"/>
      <w:bookmarkEnd w:id="1342"/>
    </w:p>
    <w:p>
      <w:pPr>
        <w:pStyle w:val="Style45"/>
        <w:keepNext/>
        <w:keepLines/>
        <w:widowControl w:val="0"/>
        <w:shd w:val="clear" w:color="auto" w:fill="auto"/>
        <w:bidi w:val="0"/>
        <w:spacing w:before="0" w:after="380" w:line="240" w:lineRule="auto"/>
        <w:ind w:left="0" w:right="0"/>
        <w:jc w:val="left"/>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3"/>
      <w:bookmarkEnd w:id="1344"/>
      <w:bookmarkEnd w:id="13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0"/>
        <w:gridCol w:w="1277"/>
        <w:gridCol w:w="706"/>
        <w:gridCol w:w="710"/>
        <w:gridCol w:w="1282"/>
        <w:gridCol w:w="1080"/>
        <w:gridCol w:w="1195"/>
        <w:gridCol w:w="1224"/>
      </w:tblGrid>
      <w:tr>
        <w:trPr>
          <w:trHeight w:val="61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非专利</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商标及软件 著作权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技术使用费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74,263,353.41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353,567,257.27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3,084,575.65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19,363,614.25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450,278,800.58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26,928,942.80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192,329,680.28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13,284,143.48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232,542,766.56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26,928,942.80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25,310,864.66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13,284,143.48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65,523,950.94</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167,018,815.62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167,018,815.62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3,335,369.60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3,335,369.60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3,335,369.60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3,335,369.60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101,192,296.21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542,561,567.95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3,084,575.65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32,647,757.73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679,486,197.54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9,251,603.10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74,029,297.08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2,218,676.83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5,132,796.36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90,632,373.37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1,952,758.65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70,154,136.46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248,074.20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9,005,982.99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81,360,952.30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1,952,758.65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70,154,136.46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248,074.20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9,005,982.99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81,360,952.30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3,334,793.21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3,334,793.21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3,334,793.21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3,334,793.21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11,204,361.75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140,848,640.33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2,466,751.03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14,138,779.35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168,658,532.46</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0"/>
        <w:gridCol w:w="1277"/>
        <w:gridCol w:w="706"/>
        <w:gridCol w:w="710"/>
        <w:gridCol w:w="1282"/>
        <w:gridCol w:w="1080"/>
        <w:gridCol w:w="1195"/>
        <w:gridCol w:w="122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137,361,317.17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4,905,108.08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142,266,425.25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137,361,317.17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4,905,108.08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142,266,425.25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137,361,317.17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4,905,108.08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142,266,425.25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89,987,934.46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264,351,610.45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617,824.62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13,603,870.30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368,561,239.83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65,011,750.31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279,537,960.19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865,898.82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14,230,817.89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359,646,427.21</w:t>
            </w:r>
          </w:p>
        </w:tc>
      </w:tr>
    </w:tbl>
    <w:p>
      <w:pPr>
        <w:pStyle w:val="Style33"/>
        <w:keepNext w:val="0"/>
        <w:keepLines w:val="0"/>
        <w:widowControl w:val="0"/>
        <w:shd w:val="clear" w:color="auto" w:fill="auto"/>
        <w:bidi w:val="0"/>
        <w:spacing w:before="0" w:after="0" w:line="240" w:lineRule="auto"/>
        <w:ind w:left="384"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61.39%</w:t>
      </w:r>
      <w:r>
        <w:rPr>
          <w:color w:val="000000"/>
          <w:spacing w:val="0"/>
          <w:w w:val="100"/>
          <w:position w:val="0"/>
        </w:rPr>
        <w:t>。</w:t>
      </w:r>
    </w:p>
    <w:p>
      <w:pPr>
        <w:widowControl w:val="0"/>
        <w:spacing w:after="359" w:line="1" w:lineRule="exact"/>
      </w:pPr>
    </w:p>
    <w:p>
      <w:pPr>
        <w:pStyle w:val="Style45"/>
        <w:keepNext/>
        <w:keepLines/>
        <w:widowControl w:val="0"/>
        <w:shd w:val="clear" w:color="auto" w:fill="auto"/>
        <w:bidi w:val="0"/>
        <w:spacing w:before="0" w:after="360" w:line="240" w:lineRule="auto"/>
        <w:ind w:left="0" w:right="0" w:firstLine="58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46"/>
      <w:bookmarkEnd w:id="1347"/>
      <w:bookmarkEnd w:id="13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0"/>
        <w:gridCol w:w="2270"/>
        <w:gridCol w:w="5208"/>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汽车零部件厂区建设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2,273,600.00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both"/>
            </w:pPr>
            <w:r>
              <w:rPr>
                <w:color w:val="000000"/>
                <w:spacing w:val="0"/>
                <w:w w:val="100"/>
                <w:position w:val="0"/>
              </w:rPr>
              <w:t>工业用地约</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亩，尚未支付土地出让款尾款，剩余尾款在收到区 国土部门缴费通知书时一次缴清</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46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0</w:t>
      </w:r>
      <w:r>
        <w:rPr>
          <w:color w:val="000000"/>
          <w:spacing w:val="0"/>
          <w:w w:val="100"/>
          <w:position w:val="0"/>
        </w:rPr>
        <w:t>、开发支出</w:t>
      </w:r>
      <w:bookmarkEnd w:id="1349"/>
      <w:bookmarkEnd w:id="1350"/>
      <w:bookmarkEnd w:id="13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0"/>
        <w:gridCol w:w="1277"/>
        <w:gridCol w:w="1416"/>
        <w:gridCol w:w="850"/>
        <w:gridCol w:w="1426"/>
        <w:gridCol w:w="1272"/>
        <w:gridCol w:w="1234"/>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vMerge/>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智慧财税服务互联平台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61,998,164.06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113,087,898.67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160,033,135.80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2,696,592.15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12,356,334.78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企业大数据创新服务平台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3,109,950.77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3,875,729.05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6,985,679.82</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tabs>
                <w:tab w:leader="dot" w:pos="1181"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ab/>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65,108,114.83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116,963,627.72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167,018,815.62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2,696,592.15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12,356,334.78</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46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21</w:t>
      </w:r>
      <w:r>
        <w:rPr>
          <w:color w:val="000000"/>
          <w:spacing w:val="0"/>
          <w:w w:val="100"/>
          <w:position w:val="0"/>
        </w:rPr>
        <w:t>、商誉</w:t>
      </w:r>
      <w:bookmarkEnd w:id="1353"/>
      <w:bookmarkEnd w:id="1354"/>
      <w:bookmarkEnd w:id="1355"/>
    </w:p>
    <w:p>
      <w:pPr>
        <w:pStyle w:val="Style45"/>
        <w:keepNext/>
        <w:keepLines/>
        <w:widowControl w:val="0"/>
        <w:shd w:val="clear" w:color="auto" w:fill="auto"/>
        <w:bidi w:val="0"/>
        <w:spacing w:before="0" w:after="360" w:line="240" w:lineRule="auto"/>
        <w:ind w:left="0" w:right="0" w:firstLine="58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56"/>
      <w:bookmarkEnd w:id="1357"/>
      <w:bookmarkEnd w:id="13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25"/>
        <w:gridCol w:w="1930"/>
        <w:gridCol w:w="1934"/>
        <w:gridCol w:w="1954"/>
      </w:tblGrid>
      <w:tr>
        <w:trPr>
          <w:trHeight w:val="374"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1,651,126,155.76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1,651,126,155.76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71,998,929.76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71,998,929.76</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广东龙达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91,368,002.99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91,368,002.99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上海宝华威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3,676,692.55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3,676,692.55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4,833,418.62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4,833,418.62</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天津丰东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15,475.33</w:t>
            </w:r>
          </w:p>
        </w:tc>
      </w:tr>
    </w:tbl>
    <w:tbl>
      <w:tblPr>
        <w:tblOverlap w:val="never"/>
        <w:jc w:val="center"/>
        <w:tblLayout w:type="fixed"/>
      </w:tblPr>
      <w:tblGrid>
        <w:gridCol w:w="1973"/>
        <w:gridCol w:w="1925"/>
        <w:gridCol w:w="1930"/>
        <w:gridCol w:w="1934"/>
        <w:gridCol w:w="1954"/>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特种炉业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216,477.98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853,922.04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1,056,547.35</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1,825,145,622.38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1,825,145,622.38</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59"/>
      <w:bookmarkEnd w:id="1360"/>
      <w:bookmarkEnd w:id="13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277"/>
        <w:gridCol w:w="1416"/>
        <w:gridCol w:w="1214"/>
        <w:gridCol w:w="1368"/>
        <w:gridCol w:w="1373"/>
        <w:gridCol w:w="1397"/>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常州鑫润丰东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798,126,155.76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1,651,126,155.76</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853,420,000.00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836,126,155.76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1,689,546,155.76</w:t>
            </w:r>
          </w:p>
        </w:tc>
      </w:tr>
    </w:tbl>
    <w:p>
      <w:pPr>
        <w:pStyle w:val="Style35"/>
        <w:keepNext w:val="0"/>
        <w:keepLines w:val="0"/>
        <w:widowControl w:val="0"/>
        <w:shd w:val="clear" w:color="auto" w:fill="auto"/>
        <w:bidi w:val="0"/>
        <w:spacing w:before="0" w:after="0" w:line="312" w:lineRule="exact"/>
        <w:ind w:left="0" w:right="0"/>
        <w:jc w:val="left"/>
      </w:pPr>
      <w:r>
        <w:rPr>
          <w:color w:val="000000"/>
          <w:spacing w:val="0"/>
          <w:w w:val="100"/>
          <w:position w:val="0"/>
        </w:rPr>
        <w:t>商誉所在资产组或资产组组合的相关信息</w:t>
      </w:r>
    </w:p>
    <w:p>
      <w:pPr>
        <w:pStyle w:val="Style35"/>
        <w:keepNext w:val="0"/>
        <w:keepLines w:val="0"/>
        <w:widowControl w:val="0"/>
        <w:shd w:val="clear" w:color="auto" w:fill="auto"/>
        <w:bidi w:val="0"/>
        <w:spacing w:before="0" w:after="0" w:line="319" w:lineRule="exact"/>
        <w:ind w:left="0" w:right="0"/>
        <w:jc w:val="both"/>
      </w:pPr>
      <w:r>
        <w:rPr>
          <w:color w:val="000000"/>
          <w:spacing w:val="0"/>
          <w:w w:val="100"/>
          <w:position w:val="0"/>
        </w:rPr>
        <w:t>收购日将商誉分摊至各资产组，资产组为收购时对应的各公司。除北京方欣恒利及青岛金财外，其他商誉所在资产组与 收购日形成商誉时所确定的资产组一致。由于北京方欣恒利及青岛金财已将主要局端业务转移至方欣科技，本公司将方欣恒 利及青岛金财的商誉分摊至方欣科技，本年度资产组组合的构成未发生变化。</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商誉减值测试过程及减值损失的确认方法</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本公司在对方欣科技商誉进行减值测试时，利用了上海东洲资产评估有限公司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日东洲评报字（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0704 </w:t>
      </w:r>
      <w:r>
        <w:rPr>
          <w:color w:val="000000"/>
          <w:spacing w:val="0"/>
          <w:w w:val="100"/>
          <w:position w:val="0"/>
        </w:rPr>
        <w:t>号《金财互联控股股份有限公司拟对合并方欣科技有限公司形成的商誉进行减值测试所涉及的方欣科技有限公司及下属子公 司资产组可回收价值资产评估报告》的评估结果。截至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日，包含未确认归属于少数股东权益的商誉价值为 </w:t>
      </w:r>
      <w:r>
        <w:rPr>
          <w:rFonts w:ascii="Times New Roman" w:eastAsia="Times New Roman" w:hAnsi="Times New Roman" w:cs="Times New Roman"/>
          <w:color w:val="000000"/>
          <w:spacing w:val="0"/>
          <w:w w:val="100"/>
          <w:position w:val="0"/>
          <w:sz w:val="18"/>
          <w:szCs w:val="18"/>
        </w:rPr>
        <w:t>165,112.62</w:t>
      </w:r>
      <w:r>
        <w:rPr>
          <w:color w:val="000000"/>
          <w:spacing w:val="0"/>
          <w:w w:val="100"/>
          <w:position w:val="0"/>
        </w:rPr>
        <w:t>万元，与商誉相关的资产组的账面价值为</w:t>
      </w:r>
      <w:r>
        <w:rPr>
          <w:rFonts w:ascii="Times New Roman" w:eastAsia="Times New Roman" w:hAnsi="Times New Roman" w:cs="Times New Roman"/>
          <w:color w:val="000000"/>
          <w:spacing w:val="0"/>
          <w:w w:val="100"/>
          <w:position w:val="0"/>
          <w:sz w:val="18"/>
          <w:szCs w:val="18"/>
        </w:rPr>
        <w:t>52,222.98</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217,335.60</w:t>
      </w:r>
      <w:r>
        <w:rPr>
          <w:color w:val="000000"/>
          <w:spacing w:val="0"/>
          <w:w w:val="100"/>
          <w:position w:val="0"/>
        </w:rPr>
        <w:t>万元，商誉资产组可收回金额为</w:t>
      </w:r>
      <w:r>
        <w:rPr>
          <w:rFonts w:ascii="Times New Roman" w:eastAsia="Times New Roman" w:hAnsi="Times New Roman" w:cs="Times New Roman"/>
          <w:color w:val="000000"/>
          <w:spacing w:val="0"/>
          <w:w w:val="100"/>
          <w:position w:val="0"/>
          <w:sz w:val="18"/>
          <w:szCs w:val="18"/>
        </w:rPr>
        <w:t xml:space="preserve">38,000.00 </w:t>
      </w:r>
      <w:r>
        <w:rPr>
          <w:color w:val="000000"/>
          <w:spacing w:val="0"/>
          <w:w w:val="100"/>
          <w:position w:val="0"/>
        </w:rPr>
        <w:t>万元。经测试，需计提商誉减值损失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,651,126,155.76</w:t>
      </w:r>
      <w:r>
        <w:rPr>
          <w:color w:val="000000"/>
          <w:spacing w:val="0"/>
          <w:w w:val="100"/>
          <w:position w:val="0"/>
        </w:rPr>
        <w:t>元，以前年度已对方欣科技资产组计提商誉减值损失</w:t>
      </w:r>
      <w:r>
        <w:rPr>
          <w:rFonts w:ascii="Times New Roman" w:eastAsia="Times New Roman" w:hAnsi="Times New Roman" w:cs="Times New Roman"/>
          <w:color w:val="000000"/>
          <w:spacing w:val="0"/>
          <w:w w:val="100"/>
          <w:position w:val="0"/>
          <w:sz w:val="18"/>
          <w:szCs w:val="18"/>
        </w:rPr>
        <w:t>853,000,000.00</w:t>
      </w:r>
      <w:r>
        <w:rPr>
          <w:color w:val="000000"/>
          <w:spacing w:val="0"/>
          <w:w w:val="100"/>
          <w:position w:val="0"/>
        </w:rPr>
        <w:t>元， 本期需计提商誉减值损失</w:t>
      </w:r>
      <w:r>
        <w:rPr>
          <w:rFonts w:ascii="Times New Roman" w:eastAsia="Times New Roman" w:hAnsi="Times New Roman" w:cs="Times New Roman"/>
          <w:color w:val="000000"/>
          <w:spacing w:val="0"/>
          <w:w w:val="100"/>
          <w:position w:val="0"/>
          <w:sz w:val="18"/>
          <w:szCs w:val="18"/>
        </w:rPr>
        <w:t>798,126,155.76</w:t>
      </w:r>
      <w:r>
        <w:rPr>
          <w:color w:val="000000"/>
          <w:spacing w:val="0"/>
          <w:w w:val="100"/>
          <w:position w:val="0"/>
        </w:rPr>
        <w:t>元，其中归属于本公司的商誉减值损失金额为</w:t>
      </w:r>
      <w:r>
        <w:rPr>
          <w:rFonts w:ascii="Times New Roman" w:eastAsia="Times New Roman" w:hAnsi="Times New Roman" w:cs="Times New Roman"/>
          <w:color w:val="000000"/>
          <w:spacing w:val="0"/>
          <w:w w:val="100"/>
          <w:position w:val="0"/>
          <w:sz w:val="18"/>
          <w:szCs w:val="18"/>
        </w:rPr>
        <w:t>798,126,155.76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本公司在对浙江金财商誉进行减值测试时，利用了上海东洲资产评估有限公司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日东洲评报字（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0704</w:t>
      </w:r>
      <w:r>
        <w:rPr>
          <w:color w:val="000000"/>
          <w:spacing w:val="0"/>
          <w:w w:val="100"/>
          <w:position w:val="0"/>
        </w:rPr>
        <w:t>号《金财互联控股股份有限公司拟对合并方欣科技有限公司形成的商誉进行减值测试所涉及的方欣科技有限公司及下属 子公司资产组可回收价值资产评估报告》的评估结果。截至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日，包含未确认归属于少数股东权益的商誉价值为 </w:t>
      </w:r>
      <w:r>
        <w:rPr>
          <w:rFonts w:ascii="Times New Roman" w:eastAsia="Times New Roman" w:hAnsi="Times New Roman" w:cs="Times New Roman"/>
          <w:color w:val="000000"/>
          <w:spacing w:val="0"/>
          <w:w w:val="100"/>
          <w:position w:val="0"/>
          <w:sz w:val="18"/>
          <w:szCs w:val="18"/>
        </w:rPr>
        <w:t>14,117.43</w:t>
      </w:r>
      <w:r>
        <w:rPr>
          <w:color w:val="000000"/>
          <w:spacing w:val="0"/>
          <w:w w:val="100"/>
          <w:position w:val="0"/>
        </w:rPr>
        <w:t>万元，与商誉相关的资产组的账面价值为</w:t>
      </w:r>
      <w:r>
        <w:rPr>
          <w:rFonts w:ascii="Times New Roman" w:eastAsia="Times New Roman" w:hAnsi="Times New Roman" w:cs="Times New Roman"/>
          <w:color w:val="000000"/>
          <w:spacing w:val="0"/>
          <w:w w:val="100"/>
          <w:position w:val="0"/>
          <w:sz w:val="18"/>
          <w:szCs w:val="18"/>
        </w:rPr>
        <w:t>128.85</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14,246.28</w:t>
      </w:r>
      <w:r>
        <w:rPr>
          <w:color w:val="000000"/>
          <w:spacing w:val="0"/>
          <w:w w:val="100"/>
          <w:position w:val="0"/>
        </w:rPr>
        <w:t>万元，商誉资产组可收回金额为</w:t>
      </w:r>
      <w:r>
        <w:rPr>
          <w:rFonts w:ascii="Times New Roman" w:eastAsia="Times New Roman" w:hAnsi="Times New Roman" w:cs="Times New Roman"/>
          <w:color w:val="000000"/>
          <w:spacing w:val="0"/>
          <w:w w:val="100"/>
          <w:position w:val="0"/>
          <w:sz w:val="18"/>
          <w:szCs w:val="18"/>
        </w:rPr>
        <w:t>6,800.00</w:t>
      </w:r>
      <w:r>
        <w:rPr>
          <w:color w:val="000000"/>
          <w:spacing w:val="0"/>
          <w:w w:val="100"/>
          <w:position w:val="0"/>
        </w:rPr>
        <w:t>万元。 经测试，需计提商誉减值损失</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万元，其中归属于本公司的商誉减值损失金额为</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其他商誉资产组本期测试未发生新的商誉减值情况，无需计提减值准备。</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测试方法及关键参数</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方欣科技资产组的可收回金额：按照资产组的预计未来现金流量的现值确定。根据本公司管理层批准的前述资产组五年 期的财务预算为基础预计未来现金流量，未来五年营业收入的增长率为</w:t>
      </w:r>
      <w:r>
        <w:rPr>
          <w:rFonts w:ascii="Times New Roman" w:eastAsia="Times New Roman" w:hAnsi="Times New Roman" w:cs="Times New Roman"/>
          <w:color w:val="000000"/>
          <w:spacing w:val="0"/>
          <w:w w:val="100"/>
          <w:position w:val="0"/>
          <w:sz w:val="18"/>
          <w:szCs w:val="18"/>
        </w:rPr>
        <w:t>9.43%-61.39%</w:t>
      </w:r>
      <w:r>
        <w:rPr>
          <w:color w:val="000000"/>
          <w:spacing w:val="0"/>
          <w:w w:val="100"/>
          <w:position w:val="0"/>
        </w:rPr>
        <w:t>不等。五年后的永续现金流量按照详细 预测期最后一年的水平，并结合行业发展趋势等因素后确定。计算现值的折现率为</w:t>
      </w:r>
      <w:r>
        <w:rPr>
          <w:rFonts w:ascii="Times New Roman" w:eastAsia="Times New Roman" w:hAnsi="Times New Roman" w:cs="Times New Roman"/>
          <w:color w:val="000000"/>
          <w:spacing w:val="0"/>
          <w:w w:val="100"/>
          <w:position w:val="0"/>
          <w:sz w:val="18"/>
          <w:szCs w:val="18"/>
        </w:rPr>
        <w:t>14.09%</w:t>
      </w:r>
      <w:r>
        <w:rPr>
          <w:color w:val="000000"/>
          <w:spacing w:val="0"/>
          <w:w w:val="100"/>
          <w:position w:val="0"/>
        </w:rPr>
        <w:t>,为反映相关资产组特定风险的 税前折现率。</w:t>
      </w:r>
    </w:p>
    <w:p>
      <w:pPr>
        <w:pStyle w:val="Style35"/>
        <w:keepNext w:val="0"/>
        <w:keepLines w:val="0"/>
        <w:widowControl w:val="0"/>
        <w:shd w:val="clear" w:color="auto" w:fill="auto"/>
        <w:bidi w:val="0"/>
        <w:spacing w:before="0" w:after="0" w:line="307" w:lineRule="exact"/>
        <w:ind w:left="0" w:right="0"/>
        <w:jc w:val="both"/>
        <w:sectPr>
          <w:footnotePr>
            <w:pos w:val="pageBottom"/>
            <w:numFmt w:val="decimal"/>
            <w:numRestart w:val="continuous"/>
          </w:footnotePr>
          <w:pgSz w:w="11900" w:h="16840"/>
          <w:pgMar w:top="1378" w:right="929" w:bottom="1440" w:left="939" w:header="0" w:footer="3" w:gutter="0"/>
          <w:cols w:space="720"/>
          <w:noEndnote/>
          <w:rtlGutter w:val="0"/>
          <w:docGrid w:linePitch="360"/>
        </w:sectPr>
      </w:pPr>
      <w:r>
        <w:rPr>
          <w:color w:val="000000"/>
          <w:spacing w:val="0"/>
          <w:w w:val="100"/>
          <w:position w:val="0"/>
        </w:rPr>
        <w:t>浙江金财资产组的可收回金额：按照资产组的预计未来现金流量的现值确定。根据本公司管理层批准的前述资产组五年 期的财务预算为基础预计未来现金流量，未来五年营业收入的增长率为</w:t>
      </w:r>
      <w:r>
        <w:rPr>
          <w:rFonts w:ascii="Times New Roman" w:eastAsia="Times New Roman" w:hAnsi="Times New Roman" w:cs="Times New Roman"/>
          <w:color w:val="000000"/>
          <w:spacing w:val="0"/>
          <w:w w:val="100"/>
          <w:position w:val="0"/>
          <w:sz w:val="18"/>
          <w:szCs w:val="18"/>
        </w:rPr>
        <w:t>0.19%-4.68%</w:t>
      </w:r>
      <w:r>
        <w:rPr>
          <w:color w:val="000000"/>
          <w:spacing w:val="0"/>
          <w:w w:val="100"/>
          <w:position w:val="0"/>
        </w:rPr>
        <w:t xml:space="preserve">不等。五年后的永续现金流量按照详细 </w:t>
      </w:r>
    </w:p>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预测期最后一年的水平，并结合行业发展趋势等因素后确定。计算现值的折现率为</w:t>
      </w:r>
      <w:r>
        <w:rPr>
          <w:rFonts w:ascii="Times New Roman" w:eastAsia="Times New Roman" w:hAnsi="Times New Roman" w:cs="Times New Roman"/>
          <w:color w:val="000000"/>
          <w:spacing w:val="0"/>
          <w:w w:val="100"/>
          <w:position w:val="0"/>
          <w:sz w:val="18"/>
          <w:szCs w:val="18"/>
        </w:rPr>
        <w:t>13.21%-16.10%</w:t>
      </w:r>
      <w:r>
        <w:rPr>
          <w:color w:val="000000"/>
          <w:spacing w:val="0"/>
          <w:w w:val="100"/>
          <w:position w:val="0"/>
        </w:rPr>
        <w:t>,为反映相关资产组特定 风险的税前折现率。</w:t>
      </w:r>
    </w:p>
    <w:p>
      <w:pPr>
        <w:pStyle w:val="Style3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商誉减值测试的影响</w:t>
      </w:r>
    </w:p>
    <w:p>
      <w:pPr>
        <w:pStyle w:val="Style3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其他说明</w:t>
      </w:r>
    </w:p>
    <w:p>
      <w:pPr>
        <w:pStyle w:val="Style3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商誉的形成：</w:t>
      </w:r>
    </w:p>
    <w:p>
      <w:pPr>
        <w:pStyle w:val="Style35"/>
        <w:keepNext w:val="0"/>
        <w:keepLines w:val="0"/>
        <w:widowControl w:val="0"/>
        <w:numPr>
          <w:ilvl w:val="0"/>
          <w:numId w:val="149"/>
        </w:numPr>
        <w:shd w:val="clear" w:color="auto" w:fill="auto"/>
        <w:tabs>
          <w:tab w:pos="601" w:val="left"/>
        </w:tabs>
        <w:bidi w:val="0"/>
        <w:spacing w:before="0" w:after="0" w:line="313" w:lineRule="exact"/>
        <w:ind w:left="0" w:right="0" w:firstLine="380"/>
        <w:jc w:val="both"/>
      </w:pPr>
      <w:bookmarkStart w:id="1362" w:name="bookmark1362"/>
      <w:bookmarkEnd w:id="1362"/>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月，公司以</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万元定向增发收购方欣科技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的股权，根据上海东洲资产评估有限公司出具的《企业 价值评估报告书》（沪东洲资评报字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0067053</w:t>
      </w:r>
      <w:r>
        <w:rPr>
          <w:color w:val="000000"/>
          <w:spacing w:val="0"/>
          <w:w w:val="100"/>
          <w:position w:val="0"/>
        </w:rPr>
        <w:t>号），截至评估基准日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日，方欣科技股东全部权益价值 为</w:t>
      </w:r>
      <w:r>
        <w:rPr>
          <w:rFonts w:ascii="Times New Roman" w:eastAsia="Times New Roman" w:hAnsi="Times New Roman" w:cs="Times New Roman"/>
          <w:color w:val="000000"/>
          <w:spacing w:val="0"/>
          <w:w w:val="100"/>
          <w:position w:val="0"/>
          <w:sz w:val="18"/>
          <w:szCs w:val="18"/>
        </w:rPr>
        <w:t>180,100</w:t>
      </w:r>
      <w:r>
        <w:rPr>
          <w:color w:val="000000"/>
          <w:spacing w:val="0"/>
          <w:w w:val="100"/>
          <w:position w:val="0"/>
        </w:rPr>
        <w:t>万元，方欣科技合并报表归属于母公司的所有者权益账面值</w:t>
      </w:r>
      <w:r>
        <w:rPr>
          <w:rFonts w:ascii="Times New Roman" w:eastAsia="Times New Roman" w:hAnsi="Times New Roman" w:cs="Times New Roman"/>
          <w:color w:val="000000"/>
          <w:spacing w:val="0"/>
          <w:w w:val="100"/>
          <w:position w:val="0"/>
          <w:sz w:val="18"/>
          <w:szCs w:val="18"/>
        </w:rPr>
        <w:t>14,530.65</w:t>
      </w:r>
      <w:r>
        <w:rPr>
          <w:color w:val="000000"/>
          <w:spacing w:val="0"/>
          <w:w w:val="100"/>
          <w:position w:val="0"/>
        </w:rPr>
        <w:t>万元，其中无形资产</w:t>
      </w:r>
      <w:r>
        <w:rPr>
          <w:color w:val="000000"/>
          <w:spacing w:val="0"/>
          <w:w w:val="100"/>
          <w:position w:val="0"/>
          <w:sz w:val="18"/>
          <w:szCs w:val="18"/>
        </w:rPr>
        <w:t>一</w:t>
      </w:r>
      <w:r>
        <w:rPr>
          <w:color w:val="000000"/>
          <w:spacing w:val="0"/>
          <w:w w:val="100"/>
          <w:position w:val="0"/>
        </w:rPr>
        <w:t>软件著作权增值</w:t>
      </w:r>
      <w:r>
        <w:rPr>
          <w:rFonts w:ascii="Times New Roman" w:eastAsia="Times New Roman" w:hAnsi="Times New Roman" w:cs="Times New Roman"/>
          <w:color w:val="000000"/>
          <w:spacing w:val="0"/>
          <w:w w:val="100"/>
          <w:position w:val="0"/>
          <w:sz w:val="18"/>
          <w:szCs w:val="18"/>
        </w:rPr>
        <w:t xml:space="preserve">7,900 </w:t>
      </w:r>
      <w:r>
        <w:rPr>
          <w:color w:val="000000"/>
          <w:spacing w:val="0"/>
          <w:w w:val="100"/>
          <w:position w:val="0"/>
        </w:rPr>
        <w:t>万元。本公司以收购完成日方欣科技净资产并考虑无形资产评估增值后的金额</w:t>
      </w:r>
      <w:r>
        <w:rPr>
          <w:rFonts w:ascii="Times New Roman" w:eastAsia="Times New Roman" w:hAnsi="Times New Roman" w:cs="Times New Roman"/>
          <w:color w:val="000000"/>
          <w:spacing w:val="0"/>
          <w:w w:val="100"/>
          <w:position w:val="0"/>
          <w:sz w:val="18"/>
          <w:szCs w:val="18"/>
        </w:rPr>
        <w:t>281,576,230.67</w:t>
      </w:r>
      <w:r>
        <w:rPr>
          <w:color w:val="000000"/>
          <w:spacing w:val="0"/>
          <w:w w:val="100"/>
          <w:position w:val="0"/>
        </w:rPr>
        <w:t>元为按持股比例享有的可辨认 净资产公允价值，由此形成溢价差额</w:t>
      </w:r>
      <w:r>
        <w:rPr>
          <w:rFonts w:ascii="Times New Roman" w:eastAsia="Times New Roman" w:hAnsi="Times New Roman" w:cs="Times New Roman"/>
          <w:color w:val="000000"/>
          <w:spacing w:val="0"/>
          <w:w w:val="100"/>
          <w:position w:val="0"/>
          <w:sz w:val="18"/>
          <w:szCs w:val="18"/>
        </w:rPr>
        <w:t>1,518,423,769.33</w:t>
      </w:r>
      <w:r>
        <w:rPr>
          <w:color w:val="000000"/>
          <w:spacing w:val="0"/>
          <w:w w:val="100"/>
          <w:position w:val="0"/>
        </w:rPr>
        <w:t>元。</w:t>
      </w:r>
    </w:p>
    <w:p>
      <w:pPr>
        <w:pStyle w:val="Style3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月，公司子公司方欣科技出资</w:t>
      </w:r>
      <w:r>
        <w:rPr>
          <w:rFonts w:ascii="Times New Roman" w:eastAsia="Times New Roman" w:hAnsi="Times New Roman" w:cs="Times New Roman"/>
          <w:color w:val="000000"/>
          <w:spacing w:val="0"/>
          <w:w w:val="100"/>
          <w:position w:val="0"/>
          <w:sz w:val="18"/>
          <w:szCs w:val="18"/>
        </w:rPr>
        <w:t>57,300,000.00</w:t>
      </w:r>
      <w:r>
        <w:rPr>
          <w:color w:val="000000"/>
          <w:spacing w:val="0"/>
          <w:w w:val="100"/>
          <w:position w:val="0"/>
        </w:rPr>
        <w:t>元收购青岛高新金财信息科技有限公司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的股权。按持股比例享 有的可辨认净资产公允价值为</w:t>
      </w:r>
      <w:r>
        <w:rPr>
          <w:rFonts w:ascii="Times New Roman" w:eastAsia="Times New Roman" w:hAnsi="Times New Roman" w:cs="Times New Roman"/>
          <w:color w:val="000000"/>
          <w:spacing w:val="0"/>
          <w:w w:val="100"/>
          <w:position w:val="0"/>
          <w:sz w:val="18"/>
          <w:szCs w:val="18"/>
        </w:rPr>
        <w:t>11,028,102.88</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46,271,897.12</w:t>
      </w:r>
      <w:r>
        <w:rPr>
          <w:color w:val="000000"/>
          <w:spacing w:val="0"/>
          <w:w w:val="100"/>
          <w:position w:val="0"/>
        </w:rPr>
        <w:t>元。由于青岛金财已将主要局端业务转移至 方欣科技，本公司将青岛金财的商誉分摊至方欣科技。</w:t>
      </w:r>
    </w:p>
    <w:p>
      <w:pPr>
        <w:pStyle w:val="Style3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月，公司子公司方欣科技出资</w:t>
      </w:r>
      <w:r>
        <w:rPr>
          <w:rFonts w:ascii="Times New Roman" w:eastAsia="Times New Roman" w:hAnsi="Times New Roman" w:cs="Times New Roman"/>
          <w:color w:val="000000"/>
          <w:spacing w:val="0"/>
          <w:w w:val="100"/>
          <w:position w:val="0"/>
          <w:sz w:val="18"/>
          <w:szCs w:val="18"/>
        </w:rPr>
        <w:t>91,000,000.00</w:t>
      </w:r>
      <w:r>
        <w:rPr>
          <w:color w:val="000000"/>
          <w:spacing w:val="0"/>
          <w:w w:val="100"/>
          <w:position w:val="0"/>
        </w:rPr>
        <w:t>元收购北京方欣恒利科技有限公司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的股权。根据北京中企华资 产评估有限公司出具的《方欣科技有限公司拟购买股权涉及的北京中联恒利科技有限公司股东全部权益价值项目估值报告》</w:t>
      </w:r>
    </w:p>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（中企华估字（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4556</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日，方欣恒利股东全部价值为</w:t>
      </w:r>
      <w:r>
        <w:rPr>
          <w:rFonts w:ascii="Times New Roman" w:eastAsia="Times New Roman" w:hAnsi="Times New Roman" w:cs="Times New Roman"/>
          <w:color w:val="000000"/>
          <w:spacing w:val="0"/>
          <w:w w:val="100"/>
          <w:position w:val="0"/>
          <w:sz w:val="18"/>
          <w:szCs w:val="18"/>
        </w:rPr>
        <w:t>13,097.43</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rPr>
        <w:t>0</w:t>
      </w:r>
      <w:r>
        <w:rPr>
          <w:color w:val="000000"/>
          <w:spacing w:val="0"/>
          <w:w w:val="100"/>
          <w:position w:val="0"/>
          <w:sz w:val="20"/>
          <w:szCs w:val="20"/>
        </w:rPr>
        <w:t>，</w:t>
      </w:r>
      <w:r>
        <w:rPr>
          <w:rFonts w:ascii="Arial" w:eastAsia="Arial" w:hAnsi="Arial" w:cs="Arial"/>
          <w:color w:val="000000"/>
          <w:spacing w:val="0"/>
          <w:w w:val="100"/>
          <w:position w:val="0"/>
        </w:rPr>
        <w:t xml:space="preserve"> </w:t>
      </w:r>
      <w:r>
        <w:rPr>
          <w:color w:val="000000"/>
          <w:spacing w:val="0"/>
          <w:w w:val="100"/>
          <w:position w:val="0"/>
        </w:rPr>
        <w:t>收购完成日按持股比例享有的方欣恒利可辨认净资产公允价值为</w:t>
      </w:r>
      <w:r>
        <w:rPr>
          <w:rFonts w:ascii="Times New Roman" w:eastAsia="Times New Roman" w:hAnsi="Times New Roman" w:cs="Times New Roman"/>
          <w:color w:val="000000"/>
          <w:spacing w:val="0"/>
          <w:w w:val="100"/>
          <w:position w:val="0"/>
          <w:sz w:val="18"/>
          <w:szCs w:val="18"/>
        </w:rPr>
        <w:t>4,569,510.69</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86,430,489.3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元。由于方 欣恒利已将主要局端业务转移至方欣科技，本公司将方欣恒利的商誉分摊至方欣科技。</w:t>
      </w:r>
    </w:p>
    <w:p>
      <w:pPr>
        <w:pStyle w:val="Style35"/>
        <w:keepNext w:val="0"/>
        <w:keepLines w:val="0"/>
        <w:widowControl w:val="0"/>
        <w:numPr>
          <w:ilvl w:val="0"/>
          <w:numId w:val="149"/>
        </w:numPr>
        <w:shd w:val="clear" w:color="auto" w:fill="auto"/>
        <w:tabs>
          <w:tab w:pos="615" w:val="left"/>
        </w:tabs>
        <w:bidi w:val="0"/>
        <w:spacing w:before="0" w:after="0" w:line="317" w:lineRule="exact"/>
        <w:ind w:left="0" w:right="0" w:firstLine="380"/>
        <w:jc w:val="both"/>
      </w:pPr>
      <w:bookmarkStart w:id="1363" w:name="bookmark1363"/>
      <w:bookmarkEnd w:id="1363"/>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月，公司子公司方欣科技出资</w:t>
      </w:r>
      <w:r>
        <w:rPr>
          <w:rFonts w:ascii="Times New Roman" w:eastAsia="Times New Roman" w:hAnsi="Times New Roman" w:cs="Times New Roman"/>
          <w:color w:val="000000"/>
          <w:spacing w:val="0"/>
          <w:w w:val="100"/>
          <w:position w:val="0"/>
          <w:sz w:val="18"/>
          <w:szCs w:val="18"/>
        </w:rPr>
        <w:t>76,500,000.00</w:t>
      </w:r>
      <w:r>
        <w:rPr>
          <w:color w:val="000000"/>
          <w:spacing w:val="0"/>
          <w:w w:val="100"/>
          <w:position w:val="0"/>
        </w:rPr>
        <w:t>元收购浙江金财立信财务管理有限公司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的股权。根据北京中 企华资产评估有限责任公司出具的《方欣科技有限公司拟购买股权涉及的浙江金财立信财务管理有限公司股东全部权益价值 项目估值报告》（中企华估字（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4533</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日，浙江金财股东全部价值为</w:t>
      </w:r>
      <w:r>
        <w:rPr>
          <w:rFonts w:ascii="Times New Roman" w:eastAsia="Times New Roman" w:hAnsi="Times New Roman" w:cs="Times New Roman"/>
          <w:color w:val="000000"/>
          <w:spacing w:val="0"/>
          <w:w w:val="100"/>
          <w:position w:val="0"/>
          <w:sz w:val="18"/>
          <w:szCs w:val="18"/>
        </w:rPr>
        <w:t>15,208.52</w:t>
      </w:r>
      <w:r>
        <w:rPr>
          <w:color w:val="000000"/>
          <w:spacing w:val="0"/>
          <w:w w:val="100"/>
          <w:position w:val="0"/>
        </w:rPr>
        <w:t>万元。截止收 购完成日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按持股比例享有的可辨认净资产公允价值为</w:t>
      </w:r>
      <w:r>
        <w:rPr>
          <w:rFonts w:ascii="Times New Roman" w:eastAsia="Times New Roman" w:hAnsi="Times New Roman" w:cs="Times New Roman"/>
          <w:color w:val="000000"/>
          <w:spacing w:val="0"/>
          <w:w w:val="100"/>
          <w:position w:val="0"/>
          <w:sz w:val="18"/>
          <w:szCs w:val="18"/>
        </w:rPr>
        <w:t>4,501,070.24</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71,998,929.76</w:t>
      </w:r>
      <w:r>
        <w:rPr>
          <w:color w:val="000000"/>
          <w:spacing w:val="0"/>
          <w:w w:val="100"/>
          <w:position w:val="0"/>
        </w:rPr>
        <w:t>元。</w:t>
      </w:r>
    </w:p>
    <w:p>
      <w:pPr>
        <w:pStyle w:val="Style35"/>
        <w:keepNext w:val="0"/>
        <w:keepLines w:val="0"/>
        <w:widowControl w:val="0"/>
        <w:numPr>
          <w:ilvl w:val="0"/>
          <w:numId w:val="149"/>
        </w:numPr>
        <w:shd w:val="clear" w:color="auto" w:fill="auto"/>
        <w:tabs>
          <w:tab w:pos="601" w:val="left"/>
        </w:tabs>
        <w:bidi w:val="0"/>
        <w:spacing w:before="0" w:after="0" w:line="312" w:lineRule="exact"/>
        <w:ind w:left="0" w:right="0" w:firstLine="380"/>
        <w:jc w:val="both"/>
      </w:pPr>
      <w:bookmarkStart w:id="1364" w:name="bookmark1364"/>
      <w:bookmarkEnd w:id="1364"/>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月，公司子公司方欣科技出资</w:t>
      </w:r>
      <w:r>
        <w:rPr>
          <w:rFonts w:ascii="Times New Roman" w:eastAsia="Times New Roman" w:hAnsi="Times New Roman" w:cs="Times New Roman"/>
          <w:color w:val="000000"/>
          <w:spacing w:val="0"/>
          <w:w w:val="100"/>
          <w:position w:val="0"/>
          <w:sz w:val="18"/>
          <w:szCs w:val="18"/>
        </w:rPr>
        <w:t>101,250,000.00</w:t>
      </w:r>
      <w:r>
        <w:rPr>
          <w:color w:val="000000"/>
          <w:spacing w:val="0"/>
          <w:w w:val="100"/>
          <w:position w:val="0"/>
        </w:rPr>
        <w:t>元收购广东龙达财税服务有限公司</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的股权。按持股比例享有 的可辨认净资产公允价值为</w:t>
      </w:r>
      <w:r>
        <w:rPr>
          <w:rFonts w:ascii="Times New Roman" w:eastAsia="Times New Roman" w:hAnsi="Times New Roman" w:cs="Times New Roman"/>
          <w:color w:val="000000"/>
          <w:spacing w:val="0"/>
          <w:w w:val="100"/>
          <w:position w:val="0"/>
          <w:sz w:val="18"/>
          <w:szCs w:val="18"/>
        </w:rPr>
        <w:t>9,881,997.01</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91,368,002.99</w:t>
      </w:r>
      <w:r>
        <w:rPr>
          <w:color w:val="000000"/>
          <w:spacing w:val="0"/>
          <w:w w:val="100"/>
          <w:position w:val="0"/>
        </w:rPr>
        <w:t>元。</w:t>
      </w:r>
    </w:p>
    <w:p>
      <w:pPr>
        <w:pStyle w:val="Style35"/>
        <w:keepNext w:val="0"/>
        <w:keepLines w:val="0"/>
        <w:widowControl w:val="0"/>
        <w:numPr>
          <w:ilvl w:val="0"/>
          <w:numId w:val="149"/>
        </w:numPr>
        <w:shd w:val="clear" w:color="auto" w:fill="auto"/>
        <w:tabs>
          <w:tab w:pos="615" w:val="left"/>
        </w:tabs>
        <w:bidi w:val="0"/>
        <w:spacing w:before="0" w:after="0" w:line="317" w:lineRule="exact"/>
        <w:ind w:left="0" w:right="0" w:firstLine="380"/>
        <w:jc w:val="both"/>
      </w:pPr>
      <w:bookmarkStart w:id="1365" w:name="bookmark1365"/>
      <w:bookmarkEnd w:id="1365"/>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27,940,000.00</w:t>
      </w:r>
      <w:r>
        <w:rPr>
          <w:color w:val="000000"/>
          <w:spacing w:val="0"/>
          <w:w w:val="100"/>
          <w:position w:val="0"/>
        </w:rPr>
        <w:t>元收购上海宝华威热处理设备有限公司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的股权。按持股比例享有的可辨认净资 产公允价值为</w:t>
      </w:r>
      <w:r>
        <w:rPr>
          <w:rFonts w:ascii="Times New Roman" w:eastAsia="Times New Roman" w:hAnsi="Times New Roman" w:cs="Times New Roman"/>
          <w:color w:val="000000"/>
          <w:spacing w:val="0"/>
          <w:w w:val="100"/>
          <w:position w:val="0"/>
          <w:sz w:val="18"/>
          <w:szCs w:val="18"/>
        </w:rPr>
        <w:t>24,263,307.45</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3,676,692.55</w:t>
      </w:r>
      <w:r>
        <w:rPr>
          <w:color w:val="000000"/>
          <w:spacing w:val="0"/>
          <w:w w:val="100"/>
          <w:position w:val="0"/>
        </w:rPr>
        <w:t>元。</w:t>
      </w:r>
    </w:p>
    <w:p>
      <w:pPr>
        <w:pStyle w:val="Style35"/>
        <w:keepNext w:val="0"/>
        <w:keepLines w:val="0"/>
        <w:widowControl w:val="0"/>
        <w:numPr>
          <w:ilvl w:val="0"/>
          <w:numId w:val="149"/>
        </w:numPr>
        <w:shd w:val="clear" w:color="auto" w:fill="auto"/>
        <w:tabs>
          <w:tab w:pos="615" w:val="left"/>
        </w:tabs>
        <w:bidi w:val="0"/>
        <w:spacing w:before="0" w:after="0" w:line="317" w:lineRule="exact"/>
        <w:ind w:left="0" w:right="0" w:firstLine="380"/>
        <w:jc w:val="both"/>
      </w:pPr>
      <w:bookmarkStart w:id="1366" w:name="bookmark1366"/>
      <w:bookmarkEnd w:id="1366"/>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10,800,000.00</w:t>
      </w:r>
      <w:r>
        <w:rPr>
          <w:color w:val="000000"/>
          <w:spacing w:val="0"/>
          <w:w w:val="100"/>
          <w:position w:val="0"/>
        </w:rPr>
        <w:t>元收购南京顺捷热处理加工有限公司（后更名为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南京丰东热处理工程有限公司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的股权，按持股比例享有的可辨认净资产公允价值为</w:t>
      </w:r>
      <w:r>
        <w:rPr>
          <w:rFonts w:ascii="Times New Roman" w:eastAsia="Times New Roman" w:hAnsi="Times New Roman" w:cs="Times New Roman"/>
          <w:color w:val="000000"/>
          <w:spacing w:val="0"/>
          <w:w w:val="100"/>
          <w:position w:val="0"/>
          <w:sz w:val="18"/>
          <w:szCs w:val="18"/>
        </w:rPr>
        <w:t>5,966,581.38</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4,833,418.6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5"/>
        <w:keepNext w:val="0"/>
        <w:keepLines w:val="0"/>
        <w:widowControl w:val="0"/>
        <w:numPr>
          <w:ilvl w:val="0"/>
          <w:numId w:val="149"/>
        </w:numPr>
        <w:shd w:val="clear" w:color="auto" w:fill="auto"/>
        <w:tabs>
          <w:tab w:pos="615" w:val="left"/>
        </w:tabs>
        <w:bidi w:val="0"/>
        <w:spacing w:before="0" w:after="0" w:line="314" w:lineRule="exact"/>
        <w:ind w:left="0" w:right="0" w:firstLine="380"/>
        <w:jc w:val="both"/>
      </w:pPr>
      <w:bookmarkStart w:id="1367" w:name="bookmark1367"/>
      <w:bookmarkEnd w:id="1367"/>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月，公司分期出资</w:t>
      </w:r>
      <w:r>
        <w:rPr>
          <w:rFonts w:ascii="Times New Roman" w:eastAsia="Times New Roman" w:hAnsi="Times New Roman" w:cs="Times New Roman"/>
          <w:color w:val="000000"/>
          <w:spacing w:val="0"/>
          <w:w w:val="100"/>
          <w:position w:val="0"/>
          <w:sz w:val="18"/>
          <w:szCs w:val="18"/>
        </w:rPr>
        <w:t>4,856,800.00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7,200,000.00</w:t>
      </w:r>
      <w:r>
        <w:rPr>
          <w:color w:val="000000"/>
          <w:spacing w:val="0"/>
          <w:w w:val="100"/>
          <w:position w:val="0"/>
        </w:rPr>
        <w:t>元与</w:t>
      </w:r>
      <w:r>
        <w:rPr>
          <w:rFonts w:ascii="Times New Roman" w:eastAsia="Times New Roman" w:hAnsi="Times New Roman" w:cs="Times New Roman"/>
          <w:color w:val="000000"/>
          <w:spacing w:val="0"/>
          <w:w w:val="100"/>
          <w:position w:val="0"/>
          <w:sz w:val="18"/>
          <w:szCs w:val="18"/>
        </w:rPr>
        <w:t>6,216,000.00</w:t>
      </w:r>
      <w:r>
        <w:rPr>
          <w:color w:val="000000"/>
          <w:spacing w:val="0"/>
          <w:w w:val="100"/>
          <w:position w:val="0"/>
        </w:rPr>
        <w:t>元，设立天津丰东 晨旭金属科技有限公司（后更名为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天津丰东热处理有限公司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，按持股比例享有的可辨认净资产公允价值 为</w:t>
      </w:r>
      <w:r>
        <w:rPr>
          <w:rFonts w:ascii="Times New Roman" w:eastAsia="Times New Roman" w:hAnsi="Times New Roman" w:cs="Times New Roman"/>
          <w:color w:val="000000"/>
          <w:spacing w:val="0"/>
          <w:w w:val="100"/>
          <w:position w:val="0"/>
          <w:sz w:val="18"/>
          <w:szCs w:val="18"/>
        </w:rPr>
        <w:t>18,257,324.67</w:t>
      </w:r>
      <w:r>
        <w:rPr>
          <w:color w:val="000000"/>
          <w:spacing w:val="0"/>
          <w:w w:val="100"/>
          <w:position w:val="0"/>
        </w:rPr>
        <w:t>元，因汇率因素形成溢价差额</w:t>
      </w:r>
      <w:r>
        <w:rPr>
          <w:rFonts w:ascii="Times New Roman" w:eastAsia="Times New Roman" w:hAnsi="Times New Roman" w:cs="Times New Roman"/>
          <w:color w:val="000000"/>
          <w:spacing w:val="0"/>
          <w:w w:val="100"/>
          <w:position w:val="0"/>
          <w:sz w:val="18"/>
          <w:szCs w:val="18"/>
        </w:rPr>
        <w:t>15,475.33</w:t>
      </w:r>
      <w:r>
        <w:rPr>
          <w:color w:val="000000"/>
          <w:spacing w:val="0"/>
          <w:w w:val="100"/>
          <w:position w:val="0"/>
        </w:rPr>
        <w:t>元。</w:t>
      </w:r>
    </w:p>
    <w:p>
      <w:pPr>
        <w:pStyle w:val="Style35"/>
        <w:keepNext w:val="0"/>
        <w:keepLines w:val="0"/>
        <w:widowControl w:val="0"/>
        <w:numPr>
          <w:ilvl w:val="0"/>
          <w:numId w:val="149"/>
        </w:numPr>
        <w:shd w:val="clear" w:color="auto" w:fill="auto"/>
        <w:tabs>
          <w:tab w:pos="601" w:val="left"/>
        </w:tabs>
        <w:bidi w:val="0"/>
        <w:spacing w:before="0" w:after="0" w:line="312" w:lineRule="exact"/>
        <w:ind w:left="0" w:right="0" w:firstLine="380"/>
        <w:jc w:val="both"/>
      </w:pPr>
      <w:bookmarkStart w:id="1368" w:name="bookmark1368"/>
      <w:bookmarkEnd w:id="1368"/>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990,000.00</w:t>
      </w:r>
      <w:r>
        <w:rPr>
          <w:color w:val="000000"/>
          <w:spacing w:val="0"/>
          <w:w w:val="100"/>
          <w:position w:val="0"/>
        </w:rPr>
        <w:t>元，增持盐城丰东特种炉业有限公司</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的股份，按持股比例享有的可辨认净资产公 允价值为</w:t>
      </w:r>
      <w:r>
        <w:rPr>
          <w:rFonts w:ascii="Times New Roman" w:eastAsia="Times New Roman" w:hAnsi="Times New Roman" w:cs="Times New Roman"/>
          <w:color w:val="000000"/>
          <w:spacing w:val="0"/>
          <w:w w:val="100"/>
          <w:position w:val="0"/>
          <w:sz w:val="18"/>
          <w:szCs w:val="18"/>
        </w:rPr>
        <w:t>773,522.02</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216,477.98</w:t>
      </w:r>
      <w:r>
        <w:rPr>
          <w:color w:val="000000"/>
          <w:spacing w:val="0"/>
          <w:w w:val="100"/>
          <w:position w:val="0"/>
        </w:rPr>
        <w:t>元。</w:t>
      </w:r>
    </w:p>
    <w:p>
      <w:pPr>
        <w:pStyle w:val="Style35"/>
        <w:keepNext w:val="0"/>
        <w:keepLines w:val="0"/>
        <w:widowControl w:val="0"/>
        <w:numPr>
          <w:ilvl w:val="0"/>
          <w:numId w:val="149"/>
        </w:numPr>
        <w:shd w:val="clear" w:color="auto" w:fill="auto"/>
        <w:tabs>
          <w:tab w:pos="615" w:val="left"/>
        </w:tabs>
        <w:bidi w:val="0"/>
        <w:spacing w:before="0" w:after="0" w:line="313" w:lineRule="exact"/>
        <w:ind w:left="0" w:right="0" w:firstLine="380"/>
        <w:jc w:val="both"/>
      </w:pPr>
      <w:bookmarkStart w:id="1369" w:name="bookmark1369"/>
      <w:bookmarkEnd w:id="1369"/>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7,272,000.00</w:t>
      </w:r>
      <w:r>
        <w:rPr>
          <w:color w:val="000000"/>
          <w:spacing w:val="0"/>
          <w:w w:val="100"/>
          <w:position w:val="0"/>
        </w:rPr>
        <w:t>元收购上海昂先实业有限公司（后更名为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上海丰东热处理工程有限公司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 股权，根据上海银信汇业资产评估有限公司沪银信汇业评报字</w:t>
      </w:r>
      <w:r>
        <w:rPr>
          <w:rFonts w:ascii="Times New Roman" w:eastAsia="Times New Roman" w:hAnsi="Times New Roman" w:cs="Times New Roman"/>
          <w:color w:val="000000"/>
          <w:spacing w:val="0"/>
          <w:w w:val="100"/>
          <w:position w:val="0"/>
          <w:sz w:val="18"/>
          <w:szCs w:val="18"/>
        </w:rPr>
        <w:t>［2008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1124</w:t>
      </w:r>
      <w:r>
        <w:rPr>
          <w:color w:val="000000"/>
          <w:spacing w:val="0"/>
          <w:w w:val="100"/>
          <w:position w:val="0"/>
        </w:rPr>
        <w:t>号评估报告，上海丰东</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日为评估基 准日的净资产为</w:t>
      </w:r>
      <w:r>
        <w:rPr>
          <w:rFonts w:ascii="Times New Roman" w:eastAsia="Times New Roman" w:hAnsi="Times New Roman" w:cs="Times New Roman"/>
          <w:color w:val="000000"/>
          <w:spacing w:val="0"/>
          <w:w w:val="100"/>
          <w:position w:val="0"/>
          <w:sz w:val="18"/>
          <w:szCs w:val="18"/>
        </w:rPr>
        <w:t>8,027,741.77</w:t>
      </w:r>
      <w:r>
        <w:rPr>
          <w:color w:val="000000"/>
          <w:spacing w:val="0"/>
          <w:w w:val="100"/>
          <w:position w:val="0"/>
        </w:rPr>
        <w:t>元，其中无形资产</w:t>
      </w:r>
      <w:r>
        <w:rPr>
          <w:color w:val="000000"/>
          <w:spacing w:val="0"/>
          <w:w w:val="100"/>
          <w:position w:val="0"/>
          <w:sz w:val="18"/>
          <w:szCs w:val="18"/>
        </w:rPr>
        <w:t>一</w:t>
      </w:r>
      <w:r>
        <w:rPr>
          <w:color w:val="000000"/>
          <w:spacing w:val="0"/>
          <w:w w:val="100"/>
          <w:position w:val="0"/>
        </w:rPr>
        <w:t>土地使用权增值</w:t>
      </w:r>
      <w:r>
        <w:rPr>
          <w:rFonts w:ascii="Times New Roman" w:eastAsia="Times New Roman" w:hAnsi="Times New Roman" w:cs="Times New Roman"/>
          <w:color w:val="000000"/>
          <w:spacing w:val="0"/>
          <w:w w:val="100"/>
          <w:position w:val="0"/>
          <w:sz w:val="18"/>
          <w:szCs w:val="18"/>
        </w:rPr>
        <w:t>3,586,176.15</w:t>
      </w:r>
      <w:r>
        <w:rPr>
          <w:color w:val="000000"/>
          <w:spacing w:val="0"/>
          <w:w w:val="100"/>
          <w:position w:val="0"/>
        </w:rPr>
        <w:t>元。本公司以该评估净资产扣除按无形资产增 值额计提的递延所得税负债</w:t>
      </w:r>
      <w:r>
        <w:rPr>
          <w:rFonts w:ascii="Times New Roman" w:eastAsia="Times New Roman" w:hAnsi="Times New Roman" w:cs="Times New Roman"/>
          <w:color w:val="000000"/>
          <w:spacing w:val="0"/>
          <w:w w:val="100"/>
          <w:position w:val="0"/>
          <w:sz w:val="18"/>
          <w:szCs w:val="18"/>
        </w:rPr>
        <w:t>896,544.04</w:t>
      </w:r>
      <w:r>
        <w:rPr>
          <w:color w:val="000000"/>
          <w:spacing w:val="0"/>
          <w:w w:val="100"/>
          <w:position w:val="0"/>
        </w:rPr>
        <w:t>元后的金额</w:t>
      </w:r>
      <w:r>
        <w:rPr>
          <w:rFonts w:ascii="Times New Roman" w:eastAsia="Times New Roman" w:hAnsi="Times New Roman" w:cs="Times New Roman"/>
          <w:color w:val="000000"/>
          <w:spacing w:val="0"/>
          <w:w w:val="100"/>
          <w:position w:val="0"/>
          <w:sz w:val="18"/>
          <w:szCs w:val="18"/>
        </w:rPr>
        <w:t>7,131,197.73</w:t>
      </w:r>
      <w:r>
        <w:rPr>
          <w:color w:val="000000"/>
          <w:spacing w:val="0"/>
          <w:w w:val="100"/>
          <w:position w:val="0"/>
        </w:rPr>
        <w:t xml:space="preserve">为公允价值收购，按持股比例享有的可辨认净资产公允价值为 </w:t>
      </w:r>
      <w:r>
        <w:rPr>
          <w:rFonts w:ascii="Times New Roman" w:eastAsia="Times New Roman" w:hAnsi="Times New Roman" w:cs="Times New Roman"/>
          <w:color w:val="000000"/>
          <w:spacing w:val="0"/>
          <w:w w:val="100"/>
          <w:position w:val="0"/>
          <w:sz w:val="18"/>
          <w:szCs w:val="18"/>
        </w:rPr>
        <w:t>6,418,077.96</w:t>
      </w:r>
      <w:r>
        <w:rPr>
          <w:color w:val="000000"/>
          <w:spacing w:val="0"/>
          <w:w w:val="100"/>
          <w:position w:val="0"/>
        </w:rPr>
        <w:t>元，由此形成溢价差额</w:t>
      </w:r>
      <w:r>
        <w:rPr>
          <w:rFonts w:ascii="Times New Roman" w:eastAsia="Times New Roman" w:hAnsi="Times New Roman" w:cs="Times New Roman"/>
          <w:color w:val="000000"/>
          <w:spacing w:val="0"/>
          <w:w w:val="100"/>
          <w:position w:val="0"/>
          <w:sz w:val="18"/>
          <w:szCs w:val="18"/>
        </w:rPr>
        <w:t>853,922.04</w:t>
      </w:r>
      <w:r>
        <w:rPr>
          <w:color w:val="000000"/>
          <w:spacing w:val="0"/>
          <w:w w:val="100"/>
          <w:position w:val="0"/>
        </w:rPr>
        <w:t>元。</w:t>
      </w:r>
    </w:p>
    <w:p>
      <w:pPr>
        <w:pStyle w:val="Style35"/>
        <w:keepNext w:val="0"/>
        <w:keepLines w:val="0"/>
        <w:widowControl w:val="0"/>
        <w:numPr>
          <w:ilvl w:val="0"/>
          <w:numId w:val="149"/>
        </w:numPr>
        <w:shd w:val="clear" w:color="auto" w:fill="auto"/>
        <w:tabs>
          <w:tab w:pos="615" w:val="left"/>
        </w:tabs>
        <w:bidi w:val="0"/>
        <w:spacing w:before="0" w:after="0" w:line="314" w:lineRule="exact"/>
        <w:ind w:left="0" w:right="0" w:firstLine="380"/>
        <w:jc w:val="both"/>
      </w:pPr>
      <w:bookmarkStart w:id="1370" w:name="bookmark1370"/>
      <w:bookmarkEnd w:id="1370"/>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5,700,000.00</w:t>
      </w:r>
      <w:r>
        <w:rPr>
          <w:color w:val="000000"/>
          <w:spacing w:val="0"/>
          <w:w w:val="100"/>
          <w:position w:val="0"/>
        </w:rPr>
        <w:t>元收购常州市鑫润热处理有限公司（后更名为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常州鑫润丰东热处理工程有限公司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的股权，由于常州鑫润丰东未完成承诺业绩，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月，公司与其原股东签订协议，以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元的价格受让常州鑫润丰东</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的股权，受让完成后公司拥有常州鑫润丰东</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的股权，按持股比例享有的可辨认净资产公允价值为</w:t>
      </w:r>
      <w:r>
        <w:rPr>
          <w:rFonts w:ascii="Times New Roman" w:eastAsia="Times New Roman" w:hAnsi="Times New Roman" w:cs="Times New Roman"/>
          <w:color w:val="000000"/>
          <w:spacing w:val="0"/>
          <w:w w:val="100"/>
          <w:position w:val="0"/>
          <w:sz w:val="18"/>
          <w:szCs w:val="18"/>
        </w:rPr>
        <w:t>5,089,253.65</w:t>
      </w:r>
      <w:r>
        <w:rPr>
          <w:color w:val="000000"/>
          <w:spacing w:val="0"/>
          <w:w w:val="100"/>
          <w:position w:val="0"/>
        </w:rPr>
        <w:t>元，由此 形成溢价差额</w:t>
      </w:r>
      <w:r>
        <w:rPr>
          <w:rFonts w:ascii="Times New Roman" w:eastAsia="Times New Roman" w:hAnsi="Times New Roman" w:cs="Times New Roman"/>
          <w:color w:val="000000"/>
          <w:spacing w:val="0"/>
          <w:w w:val="100"/>
          <w:position w:val="0"/>
          <w:sz w:val="18"/>
          <w:szCs w:val="18"/>
        </w:rPr>
        <w:t>1,056,547.35</w:t>
      </w:r>
      <w:r>
        <w:rPr>
          <w:color w:val="000000"/>
          <w:spacing w:val="0"/>
          <w:w w:val="100"/>
          <w:position w:val="0"/>
        </w:rPr>
        <w:t>元。</w:t>
      </w:r>
      <w:r>
        <w:br w:type="page"/>
      </w:r>
    </w:p>
    <w:p>
      <w:pPr>
        <w:pStyle w:val="Style39"/>
        <w:keepNext/>
        <w:keepLines/>
        <w:widowControl w:val="0"/>
        <w:shd w:val="clear" w:color="auto" w:fill="auto"/>
        <w:bidi w:val="0"/>
        <w:spacing w:before="0" w:after="380" w:line="240" w:lineRule="auto"/>
        <w:ind w:left="0" w:right="0" w:firstLine="46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371"/>
      <w:bookmarkEnd w:id="1372"/>
      <w:bookmarkEnd w:id="13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416"/>
        <w:gridCol w:w="1560"/>
        <w:gridCol w:w="1560"/>
        <w:gridCol w:w="1450"/>
        <w:gridCol w:w="1627"/>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本期摊销金额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117,647.02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86,274.46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60,032,324.26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2,767,012.68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10,196,700.71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52,602,636.23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4,831,708.64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408,995.75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2,693,551.77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556,516.70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1,990,635.92</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64,981,679.92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3,176,008.43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12,921,625.04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556,516.70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54,679,546.61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5"/>
      <w:bookmarkEnd w:id="1376"/>
      <w:bookmarkEnd w:id="1378"/>
    </w:p>
    <w:p>
      <w:pPr>
        <w:pStyle w:val="Style45"/>
        <w:keepNext/>
        <w:keepLines/>
        <w:widowControl w:val="0"/>
        <w:shd w:val="clear" w:color="auto" w:fill="auto"/>
        <w:bidi w:val="0"/>
        <w:spacing w:before="0" w:after="380" w:line="240" w:lineRule="auto"/>
        <w:ind w:left="0" w:right="0" w:firstLine="580"/>
        <w:jc w:val="left"/>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79"/>
      <w:bookmarkEnd w:id="1380"/>
      <w:bookmarkEnd w:id="13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6"/>
        <w:gridCol w:w="1843"/>
        <w:gridCol w:w="1704"/>
        <w:gridCol w:w="1704"/>
        <w:gridCol w:w="1661"/>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递延所得税资产</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23,671,472.31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3,593,243.18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16,506,769.55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2,545,045.56</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30,695,158.69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4,604,273.80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28,878,059.10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4,331,708.87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277,778,004.15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29,342,556.85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257,147,074.25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30,193,958.17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89,507,144.39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10,798,372.51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66,298,055.95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6,730,506.99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68,170,000.00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6,817,000.00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23,002,973.66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3,905,346.94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28,297,501.91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3,970,921.44</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678,592,739.01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78,369,885.93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231,359,474.95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28,463,048.38</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82"/>
      <w:bookmarkEnd w:id="1383"/>
      <w:bookmarkEnd w:id="13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63"/>
        <w:gridCol w:w="1699"/>
        <w:gridCol w:w="1560"/>
        <w:gridCol w:w="1560"/>
        <w:gridCol w:w="1666"/>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2,657,839.55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387,230.69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56,717,474.65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5,808,454.52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2,452,991.56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2,452,991.56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245,299.16</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16,069,803.60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3,279,015.65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10,621,063.47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1,866,033.39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21,180,634.71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3,911,545.50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69,791,529.68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7,919,787.07</w:t>
            </w:r>
          </w:p>
        </w:tc>
      </w:tr>
    </w:tbl>
    <w:p>
      <w:pPr>
        <w:sectPr>
          <w:headerReference w:type="default" r:id="rId197"/>
          <w:footerReference w:type="default" r:id="rId198"/>
          <w:headerReference w:type="even" r:id="rId199"/>
          <w:footerReference w:type="even" r:id="rId200"/>
          <w:footnotePr>
            <w:pos w:val="pageBottom"/>
            <w:numFmt w:val="decimal"/>
            <w:numRestart w:val="continuous"/>
          </w:footnotePr>
          <w:type w:val="continuous"/>
          <w:pgSz w:w="11900" w:h="16840"/>
          <w:pgMar w:top="1378" w:right="929" w:bottom="1440" w:left="939" w:header="0" w:footer="3" w:gutter="0"/>
          <w:cols w:space="720"/>
          <w:noEndnote/>
          <w:rtlGutter w:val="0"/>
          <w:docGrid w:linePitch="360"/>
        </w:sectPr>
      </w:pPr>
    </w:p>
    <w:p>
      <w:pPr>
        <w:pStyle w:val="Style45"/>
        <w:keepNext/>
        <w:keepLines/>
        <w:widowControl w:val="0"/>
        <w:numPr>
          <w:ilvl w:val="0"/>
          <w:numId w:val="151"/>
        </w:numPr>
        <w:shd w:val="clear" w:color="auto" w:fill="auto"/>
        <w:bidi w:val="0"/>
        <w:spacing w:before="0" w:after="380" w:line="240" w:lineRule="auto"/>
        <w:ind w:left="0" w:right="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以抵销后净额列示的递延所得税资产或负债</w:t>
      </w:r>
      <w:bookmarkEnd w:id="1385"/>
      <w:bookmarkEnd w:id="1386"/>
      <w:bookmarkEnd w:id="13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920"/>
        <w:gridCol w:w="1910"/>
        <w:gridCol w:w="1920"/>
        <w:gridCol w:w="1944"/>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递延所得税资产和负债 期初互抵金额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78,369,885.93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28,463,048.38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3,911,545.50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7,919,787.07</w:t>
            </w:r>
          </w:p>
        </w:tc>
      </w:tr>
    </w:tbl>
    <w:p>
      <w:pPr>
        <w:widowControl w:val="0"/>
        <w:spacing w:after="319" w:line="1" w:lineRule="exact"/>
      </w:pPr>
    </w:p>
    <w:p>
      <w:pPr>
        <w:pStyle w:val="Style45"/>
        <w:keepNext/>
        <w:keepLines/>
        <w:widowControl w:val="0"/>
        <w:numPr>
          <w:ilvl w:val="0"/>
          <w:numId w:val="151"/>
        </w:numPr>
        <w:shd w:val="clear" w:color="auto" w:fill="auto"/>
        <w:bidi w:val="0"/>
        <w:spacing w:before="0" w:after="380" w:line="240" w:lineRule="auto"/>
        <w:ind w:left="0" w:right="0" w:firstLine="58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未确认递延所得税资产明细</w:t>
      </w:r>
      <w:bookmarkEnd w:id="1389"/>
      <w:bookmarkEnd w:id="1390"/>
      <w:bookmarkEnd w:id="13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67,825,163.97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36,080,710.62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1,838,826.79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1,594,697.10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1,777,139,063.65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853,420,000.00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467,685.00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65,545.20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1,861,696,284.61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905,475,407.72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393"/>
      <w:bookmarkEnd w:id="1394"/>
      <w:bookmarkEnd w:id="1396"/>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358"/>
        <w:gridCol w:w="1363"/>
        <w:gridCol w:w="1358"/>
        <w:gridCol w:w="1363"/>
        <w:gridCol w:w="1358"/>
        <w:gridCol w:w="1397"/>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14,290,000.00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14,290,000.00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397"/>
      <w:bookmarkEnd w:id="1398"/>
      <w:bookmarkEnd w:id="1400"/>
    </w:p>
    <w:p>
      <w:pPr>
        <w:pStyle w:val="Style45"/>
        <w:keepNext/>
        <w:keepLines/>
        <w:widowControl w:val="0"/>
        <w:shd w:val="clear" w:color="auto" w:fill="auto"/>
        <w:bidi w:val="0"/>
        <w:spacing w:before="0" w:after="380" w:line="240" w:lineRule="auto"/>
        <w:ind w:left="0" w:right="0"/>
        <w:jc w:val="left"/>
      </w:pPr>
      <w:bookmarkStart w:id="1401" w:name="bookmark1401"/>
      <w:bookmarkStart w:id="1402" w:name="bookmark1402"/>
      <w:bookmarkStart w:id="1403" w:name="bookmark14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01"/>
      <w:bookmarkEnd w:id="1402"/>
      <w:bookmarkEnd w:id="14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5,006,652.78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46,507,491.66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139,321,383.94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693.51</w:t>
            </w:r>
          </w:p>
        </w:tc>
      </w:tr>
    </w:tbl>
    <w:p>
      <w:pPr>
        <w:spacing w:lineRule="exact" w:line="1"/>
        <w:rPr>
          <w:sz w:val="2"/>
          <w:szCs w:val="2"/>
        </w:rPr>
      </w:pPr>
      <w:r>
        <w:br w:type="page"/>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203,835,528.38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41,500,693.51</w:t>
            </w: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短期借款分类的说明:</w:t>
      </w:r>
    </w:p>
    <w:p>
      <w:pPr>
        <w:pStyle w:val="Style35"/>
        <w:keepNext w:val="0"/>
        <w:keepLines w:val="0"/>
        <w:widowControl w:val="0"/>
        <w:shd w:val="clear" w:color="auto" w:fill="auto"/>
        <w:bidi w:val="0"/>
        <w:spacing w:before="0" w:after="380" w:line="312" w:lineRule="exact"/>
        <w:ind w:left="0" w:right="0"/>
        <w:jc w:val="both"/>
      </w:pPr>
      <w:r>
        <w:rPr>
          <w:color w:val="000000"/>
          <w:spacing w:val="0"/>
          <w:w w:val="100"/>
          <w:position w:val="0"/>
        </w:rPr>
        <w:t>上述期末保证借款中，</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万元本金系金财互联借款，由江苏德航工程机械装备有限公司、朱文明提供担保；</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 本金系特种炉业借款，由江苏德航工程机械装备有限公司、韩志春提供担保。期末质押保证借款系南京丰东借款，以南京丰 东的的知识产权（专利权号为</w:t>
      </w:r>
      <w:r>
        <w:rPr>
          <w:rFonts w:ascii="Times New Roman" w:eastAsia="Times New Roman" w:hAnsi="Times New Roman" w:cs="Times New Roman"/>
          <w:color w:val="000000"/>
          <w:spacing w:val="0"/>
          <w:w w:val="100"/>
          <w:position w:val="0"/>
          <w:sz w:val="18"/>
          <w:szCs w:val="18"/>
        </w:rPr>
        <w:t>ZL201810969041.X</w:t>
      </w:r>
      <w:r>
        <w:rPr>
          <w:color w:val="000000"/>
          <w:spacing w:val="0"/>
          <w:w w:val="100"/>
          <w:position w:val="0"/>
        </w:rPr>
        <w:t>）</w:t>
      </w:r>
      <w:r>
        <w:rPr>
          <w:color w:val="000000"/>
          <w:spacing w:val="0"/>
          <w:w w:val="100"/>
          <w:position w:val="0"/>
        </w:rPr>
        <w:t>为质押，并由苏晓东、于波提供保证。期末抵押保证借款中，</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万元系 青岛热工借款，以青岛热工净值为</w:t>
      </w:r>
      <w:r>
        <w:rPr>
          <w:rFonts w:ascii="Times New Roman" w:eastAsia="Times New Roman" w:hAnsi="Times New Roman" w:cs="Times New Roman"/>
          <w:color w:val="000000"/>
          <w:spacing w:val="0"/>
          <w:w w:val="100"/>
          <w:position w:val="0"/>
          <w:sz w:val="18"/>
          <w:szCs w:val="18"/>
        </w:rPr>
        <w:t>13,120,778.26</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13,763,054.05</w:t>
      </w:r>
      <w:r>
        <w:rPr>
          <w:color w:val="000000"/>
          <w:spacing w:val="0"/>
          <w:w w:val="100"/>
          <w:position w:val="0"/>
        </w:rPr>
        <w:t>元）的土地使用权为抵押，并由吴俊平、张丽萍提供 保证；</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万元系特种炉业借款，以特种炉业净值为</w:t>
      </w:r>
      <w:r>
        <w:rPr>
          <w:rFonts w:ascii="Times New Roman" w:eastAsia="Times New Roman" w:hAnsi="Times New Roman" w:cs="Times New Roman"/>
          <w:color w:val="000000"/>
          <w:spacing w:val="0"/>
          <w:w w:val="100"/>
          <w:position w:val="0"/>
          <w:sz w:val="18"/>
          <w:szCs w:val="18"/>
        </w:rPr>
        <w:t xml:space="preserve">1,893,856.69 </w:t>
      </w:r>
      <w:r>
        <w:rPr>
          <w:color w:val="000000"/>
          <w:spacing w:val="0"/>
          <w:w w:val="100"/>
          <w:position w:val="0"/>
        </w:rPr>
        <w:t>（原值</w:t>
      </w:r>
      <w:r>
        <w:rPr>
          <w:rFonts w:ascii="Times New Roman" w:eastAsia="Times New Roman" w:hAnsi="Times New Roman" w:cs="Times New Roman"/>
          <w:color w:val="000000"/>
          <w:spacing w:val="0"/>
          <w:w w:val="100"/>
          <w:position w:val="0"/>
          <w:sz w:val="18"/>
          <w:szCs w:val="18"/>
        </w:rPr>
        <w:t>5,396,754.91</w:t>
      </w:r>
      <w:r>
        <w:rPr>
          <w:color w:val="000000"/>
          <w:spacing w:val="0"/>
          <w:w w:val="100"/>
          <w:position w:val="0"/>
        </w:rPr>
        <w:t>元）的房屋建筑物及净值为</w:t>
      </w:r>
      <w:r>
        <w:rPr>
          <w:rFonts w:ascii="Times New Roman" w:eastAsia="Times New Roman" w:hAnsi="Times New Roman" w:cs="Times New Roman"/>
          <w:color w:val="000000"/>
          <w:spacing w:val="0"/>
          <w:w w:val="100"/>
          <w:position w:val="0"/>
          <w:sz w:val="18"/>
          <w:szCs w:val="18"/>
        </w:rPr>
        <w:t xml:space="preserve">1,113,898.04 </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1,693,463.90</w:t>
      </w:r>
      <w:r>
        <w:rPr>
          <w:color w:val="000000"/>
          <w:spacing w:val="0"/>
          <w:w w:val="100"/>
          <w:position w:val="0"/>
        </w:rPr>
        <w:t>元）的土地使用权为抵押，并由韩志春提供保证。期末抵押借款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万元本金系天津丰东借款，以天津 丰东净值为</w:t>
      </w:r>
      <w:r>
        <w:rPr>
          <w:rFonts w:ascii="Times New Roman" w:eastAsia="Times New Roman" w:hAnsi="Times New Roman" w:cs="Times New Roman"/>
          <w:color w:val="000000"/>
          <w:spacing w:val="0"/>
          <w:w w:val="100"/>
          <w:position w:val="0"/>
          <w:sz w:val="18"/>
          <w:szCs w:val="18"/>
        </w:rPr>
        <w:t>39,456,920.27</w:t>
      </w:r>
      <w:r>
        <w:rPr>
          <w:color w:val="000000"/>
          <w:spacing w:val="0"/>
          <w:w w:val="100"/>
          <w:position w:val="0"/>
        </w:rPr>
        <w:t>元的房屋建筑物及净值为</w:t>
      </w:r>
      <w:r>
        <w:rPr>
          <w:rFonts w:ascii="Times New Roman" w:eastAsia="Times New Roman" w:hAnsi="Times New Roman" w:cs="Times New Roman"/>
          <w:color w:val="000000"/>
          <w:spacing w:val="0"/>
          <w:w w:val="100"/>
          <w:position w:val="0"/>
          <w:sz w:val="18"/>
          <w:szCs w:val="18"/>
        </w:rPr>
        <w:t>11,781,795.10</w:t>
      </w:r>
      <w:r>
        <w:rPr>
          <w:color w:val="000000"/>
          <w:spacing w:val="0"/>
          <w:w w:val="100"/>
          <w:position w:val="0"/>
        </w:rPr>
        <w:t>元的土地使用权为抵押。</w:t>
      </w:r>
    </w:p>
    <w:p>
      <w:pPr>
        <w:pStyle w:val="Style39"/>
        <w:keepNext/>
        <w:keepLines/>
        <w:widowControl w:val="0"/>
        <w:shd w:val="clear" w:color="auto" w:fill="auto"/>
        <w:bidi w:val="0"/>
        <w:spacing w:before="0" w:after="380" w:line="240" w:lineRule="auto"/>
        <w:ind w:left="0" w:right="0" w:firstLine="46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404"/>
      <w:bookmarkEnd w:id="1405"/>
      <w:bookmarkEnd w:id="14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5,666,799.26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7,440,794.73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5,666,799.26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7,440,794.73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408"/>
      <w:bookmarkEnd w:id="1409"/>
      <w:bookmarkEnd w:id="1411"/>
    </w:p>
    <w:p>
      <w:pPr>
        <w:pStyle w:val="Style45"/>
        <w:keepNext/>
        <w:keepLines/>
        <w:widowControl w:val="0"/>
        <w:shd w:val="clear" w:color="auto" w:fill="auto"/>
        <w:bidi w:val="0"/>
        <w:spacing w:before="0" w:after="380" w:line="240" w:lineRule="auto"/>
        <w:ind w:left="0" w:right="0"/>
        <w:jc w:val="left"/>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2"/>
      <w:bookmarkEnd w:id="1413"/>
      <w:bookmarkEnd w:id="14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212,253,421.78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154,604,403.25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17,725,539.41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14,794,494.14</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8,104,541.11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13,975,522.32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20,958,401.73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11,140,274.99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259,041,904.03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194,514,694.70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415"/>
      <w:bookmarkEnd w:id="1416"/>
      <w:bookmarkEnd w:id="1418"/>
    </w:p>
    <w:p>
      <w:pPr>
        <w:pStyle w:val="Style45"/>
        <w:keepNext/>
        <w:keepLines/>
        <w:widowControl w:val="0"/>
        <w:shd w:val="clear" w:color="auto" w:fill="auto"/>
        <w:bidi w:val="0"/>
        <w:spacing w:before="0" w:after="380" w:line="240" w:lineRule="auto"/>
        <w:ind w:left="0" w:right="0"/>
        <w:jc w:val="left"/>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19"/>
      <w:bookmarkEnd w:id="1420"/>
      <w:bookmarkEnd w:id="14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484,684.52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1,061,449.40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685,743.20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51,965.00</w:t>
            </w:r>
          </w:p>
        </w:tc>
      </w:tr>
    </w:tbl>
    <w:p>
      <w:pPr>
        <w:spacing w:lineRule="exact" w:line="1"/>
        <w:rPr>
          <w:sz w:val="2"/>
          <w:szCs w:val="2"/>
        </w:rPr>
      </w:pPr>
      <w:r>
        <w:br w:type="page"/>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18,816.40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3,745,620.00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1,200,427.72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4,877,850.80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4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bookmarkEnd w:id="1424"/>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422"/>
      <w:bookmarkEnd w:id="1423"/>
      <w:bookmarkEnd w:id="14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190,928,359.15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170,905,419.34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53,765,514.85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39,220,431.43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22,300,915.65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13,314,452.54</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15,055,754.60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5,354,552.48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282,050,544.25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228,794,855.79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4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426"/>
      <w:bookmarkEnd w:id="1427"/>
      <w:bookmarkEnd w:id="1429"/>
    </w:p>
    <w:p>
      <w:pPr>
        <w:pStyle w:val="Style45"/>
        <w:keepNext/>
        <w:keepLines/>
        <w:widowControl w:val="0"/>
        <w:shd w:val="clear" w:color="auto" w:fill="auto"/>
        <w:bidi w:val="0"/>
        <w:spacing w:before="0" w:after="380" w:line="240" w:lineRule="auto"/>
        <w:ind w:left="0" w:right="0" w:firstLine="66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30"/>
      <w:bookmarkEnd w:id="1431"/>
      <w:bookmarkEnd w:id="14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1757"/>
        <w:gridCol w:w="1757"/>
        <w:gridCol w:w="1757"/>
        <w:gridCol w:w="1795"/>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23,142,306.70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471,126,536.93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470,259,139.43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24,009,704.20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271,567.43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7,435,982.86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7,707,550.29</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2,168,267.59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942,629.92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1,225,637.67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23,413,874.13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480,730,787.38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478,909,319.64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25,235,341.87</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66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33"/>
      <w:bookmarkEnd w:id="1434"/>
      <w:bookmarkEnd w:id="14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1814"/>
        <w:gridCol w:w="1814"/>
        <w:gridCol w:w="1814"/>
        <w:gridCol w:w="1848"/>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22,531,075.83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420,850,299.65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420,137,552.88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23,243,822.60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14,219,863.99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14,219,863.99</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177,907.43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15,722,937.67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15,663,534.86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237,310.24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13,464,274.21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13,569,822.43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46,966.04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143,194.78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2,331.79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1,235,746.90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1,259,794.16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878,735.90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690,723.49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188,012.41</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18,914,965.81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18,914,723.81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w:t>
            </w:r>
          </w:p>
        </w:tc>
      </w:tr>
    </w:tbl>
    <w:p>
      <w:pPr>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378" w:right="929" w:bottom="1440" w:left="939" w:header="0" w:footer="3" w:gutter="0"/>
          <w:cols w:space="720"/>
          <w:noEndnote/>
          <w:rtlGutter w:val="0"/>
          <w:docGrid w:linePitch="360"/>
        </w:sectPr>
      </w:pPr>
    </w:p>
    <w:tbl>
      <w:tblPr>
        <w:tblOverlap w:val="never"/>
        <w:jc w:val="center"/>
        <w:tblLayout w:type="fixed"/>
      </w:tblPr>
      <w:tblGrid>
        <w:gridCol w:w="2597"/>
        <w:gridCol w:w="1814"/>
        <w:gridCol w:w="1819"/>
        <w:gridCol w:w="1814"/>
        <w:gridCol w:w="184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433,323.44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1,418,469.81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1,323,463.89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528,329.36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23,142,306.70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471,126,536.93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470,259,139.43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24,009,704.20</w:t>
            </w:r>
          </w:p>
        </w:tc>
      </w:tr>
    </w:tbl>
    <w:p>
      <w:pPr>
        <w:widowControl w:val="0"/>
        <w:spacing w:after="319" w:line="1" w:lineRule="exact"/>
      </w:pPr>
    </w:p>
    <w:p>
      <w:pPr>
        <w:pStyle w:val="Style45"/>
        <w:keepNext/>
        <w:keepLines/>
        <w:widowControl w:val="0"/>
        <w:numPr>
          <w:ilvl w:val="0"/>
          <w:numId w:val="153"/>
        </w:numPr>
        <w:shd w:val="clear" w:color="auto" w:fill="auto"/>
        <w:bidi w:val="0"/>
        <w:spacing w:before="0" w:after="380" w:line="240" w:lineRule="auto"/>
        <w:ind w:left="0" w:right="0" w:firstLine="66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设定提存计划列示</w:t>
      </w:r>
      <w:bookmarkEnd w:id="1436"/>
      <w:bookmarkEnd w:id="1437"/>
      <w:bookmarkEnd w:id="14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920"/>
        <w:gridCol w:w="1910"/>
        <w:gridCol w:w="1915"/>
        <w:gridCol w:w="194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260,543.32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7,300,640.47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7,561,183.79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135,342.39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146,366.50</w:t>
            </w:r>
          </w:p>
        </w:tc>
        <w:tc>
          <w:tcPr>
            <w:tcBorders>
              <w:top w:val="single" w:sz="4"/>
            </w:tcBorders>
            <w:shd w:val="clear" w:color="auto" w:fill="FFFFFF"/>
            <w:vAlign w:val="top"/>
          </w:tcPr>
          <w:p>
            <w:pPr>
              <w:pStyle w:val="Style25"/>
              <w:keepNext w:val="0"/>
              <w:keepLines w:val="0"/>
              <w:widowControl w:val="0"/>
              <w:shd w:val="clear" w:color="auto" w:fill="auto"/>
              <w:tabs>
                <w:tab w:leader="dot" w:pos="1896" w:val="left"/>
              </w:tabs>
              <w:bidi w:val="0"/>
              <w:spacing w:before="0" w:after="0" w:line="240" w:lineRule="auto"/>
              <w:ind w:left="0" w:right="0" w:firstLine="0"/>
              <w:jc w:val="left"/>
            </w:pPr>
            <w:r>
              <w:rPr>
                <w:color w:val="000000"/>
                <w:spacing w:val="0"/>
                <w:w w:val="100"/>
                <w:position w:val="0"/>
              </w:rPr>
              <w:tab/>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271,567.43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7,435,982.86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7,707,550.29</w:t>
            </w:r>
          </w:p>
        </w:tc>
        <w:tc>
          <w:tcPr>
            <w:tcBorders>
              <w:top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4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440"/>
      <w:bookmarkEnd w:id="1441"/>
      <w:bookmarkEnd w:id="14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4,898,247.78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5,528,737.35</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5,183,077.49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4,427,790.13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974,956.96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948,783.41</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302,159.92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280,064.08</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244,101.02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260,610.90</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319,501.77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204,387.92</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480,063.57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416,105.93</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208,030.42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169,768.80</w:t>
            </w:r>
          </w:p>
        </w:tc>
      </w:tr>
      <w:tr>
        <w:trPr>
          <w:trHeight w:val="37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12,610,138.93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12,236,248.52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4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44"/>
      <w:bookmarkEnd w:id="1445"/>
      <w:bookmarkEnd w:id="14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980,439.48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77,672,103.43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90,056,669.10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78,652,542.91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91,037,108.58</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66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448"/>
      <w:bookmarkEnd w:id="1449"/>
      <w:bookmarkEnd w:id="14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980,439.48</w:t>
            </w:r>
          </w:p>
        </w:tc>
      </w:tr>
    </w:tbl>
    <w:p>
      <w:pPr>
        <w:spacing w:lineRule="exact" w:line="1"/>
        <w:rPr>
          <w:sz w:val="2"/>
          <w:szCs w:val="2"/>
        </w:rPr>
      </w:pPr>
      <w:r>
        <w:br w:type="page"/>
      </w:r>
    </w:p>
    <w:p>
      <w:pPr>
        <w:pStyle w:val="Style45"/>
        <w:keepNext/>
        <w:keepLines/>
        <w:widowControl w:val="0"/>
        <w:shd w:val="clear" w:color="auto" w:fill="auto"/>
        <w:bidi w:val="0"/>
        <w:spacing w:before="0" w:after="380" w:line="240" w:lineRule="auto"/>
        <w:ind w:left="0" w:right="0"/>
        <w:jc w:val="left"/>
      </w:pPr>
      <w:bookmarkStart w:id="1451" w:name="bookmark1451"/>
      <w:bookmarkStart w:id="1452" w:name="bookmark1452"/>
      <w:bookmarkStart w:id="1453" w:name="bookmark14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51"/>
      <w:bookmarkEnd w:id="1452"/>
      <w:bookmarkEnd w:id="1453"/>
    </w:p>
    <w:p>
      <w:pPr>
        <w:pStyle w:val="Style92"/>
        <w:keepNext/>
        <w:keepLines/>
        <w:widowControl w:val="0"/>
        <w:numPr>
          <w:ilvl w:val="0"/>
          <w:numId w:val="155"/>
        </w:numPr>
        <w:shd w:val="clear" w:color="auto" w:fill="auto"/>
        <w:bidi w:val="0"/>
        <w:spacing w:before="0" w:line="240" w:lineRule="auto"/>
        <w:ind w:left="0" w:right="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按款项性质列示其他应付款</w:t>
      </w:r>
      <w:bookmarkEnd w:id="1454"/>
      <w:bookmarkEnd w:id="1455"/>
      <w:bookmarkEnd w:id="14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79,945,000.00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940,011.69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720,465.61</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19,546,512.35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2,504,917.87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10,949,934.79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4,674,724.46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3,610,644.60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2,211,561.16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77,672,103.43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90,056,669.10</w:t>
            </w:r>
          </w:p>
        </w:tc>
      </w:tr>
    </w:tbl>
    <w:p>
      <w:pPr>
        <w:widowControl w:val="0"/>
        <w:spacing w:after="319" w:line="1" w:lineRule="exact"/>
      </w:pPr>
    </w:p>
    <w:p>
      <w:pPr>
        <w:pStyle w:val="Style92"/>
        <w:keepNext/>
        <w:keepLines/>
        <w:widowControl w:val="0"/>
        <w:numPr>
          <w:ilvl w:val="0"/>
          <w:numId w:val="155"/>
        </w:numPr>
        <w:shd w:val="clear" w:color="auto" w:fill="auto"/>
        <w:bidi w:val="0"/>
        <w:spacing w:before="0" w:line="240" w:lineRule="auto"/>
        <w:ind w:left="0" w:right="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8"/>
      <w:bookmarkEnd w:id="1459"/>
      <w:bookmarkEnd w:id="14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下属公司原股东</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下属公司原股东</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下属公司原股东</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下属公司原股东</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42,625,000.00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5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62"/>
      <w:bookmarkEnd w:id="1463"/>
      <w:bookmarkEnd w:id="14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13,153,320.10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11,612,619.88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2,246,627.08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15,153,320.10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13,859,246.96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66"/>
      <w:bookmarkEnd w:id="1467"/>
      <w:bookmarkEnd w:id="14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待结转销项税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9,714,704.75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6,858,342.97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9,714,704.75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6,858,342.97</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46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70"/>
      <w:bookmarkEnd w:id="1471"/>
      <w:bookmarkEnd w:id="1473"/>
    </w:p>
    <w:p>
      <w:pPr>
        <w:pStyle w:val="Style45"/>
        <w:keepNext/>
        <w:keepLines/>
        <w:widowControl w:val="0"/>
        <w:shd w:val="clear" w:color="auto" w:fill="auto"/>
        <w:bidi w:val="0"/>
        <w:spacing w:before="0" w:after="380" w:line="240" w:lineRule="auto"/>
        <w:ind w:left="0" w:right="0"/>
        <w:jc w:val="both"/>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4"/>
      <w:bookmarkEnd w:id="1475"/>
      <w:bookmarkEnd w:id="14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7,222,044.96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237,402.88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68,956,867.19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82,110,187.29</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76,178,912.15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82,347,590.17</w:t>
            </w: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长期借款分类的说明:</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上述期末抵押担保借款中，</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万元系青岛热工借款，以青岛热工净值为</w:t>
      </w:r>
      <w:r>
        <w:rPr>
          <w:rFonts w:ascii="Times New Roman" w:eastAsia="Times New Roman" w:hAnsi="Times New Roman" w:cs="Times New Roman"/>
          <w:color w:val="000000"/>
          <w:spacing w:val="0"/>
          <w:w w:val="100"/>
          <w:position w:val="0"/>
          <w:sz w:val="18"/>
          <w:szCs w:val="18"/>
        </w:rPr>
        <w:t>13,120,778.26</w:t>
      </w:r>
      <w:r>
        <w:rPr>
          <w:color w:val="000000"/>
          <w:spacing w:val="0"/>
          <w:w w:val="100"/>
          <w:position w:val="0"/>
        </w:rPr>
        <w:t>元（原值</w:t>
      </w:r>
      <w:r>
        <w:rPr>
          <w:rFonts w:ascii="Times New Roman" w:eastAsia="Times New Roman" w:hAnsi="Times New Roman" w:cs="Times New Roman"/>
          <w:color w:val="000000"/>
          <w:spacing w:val="0"/>
          <w:w w:val="100"/>
          <w:position w:val="0"/>
          <w:sz w:val="18"/>
          <w:szCs w:val="18"/>
        </w:rPr>
        <w:t>13,763,054.05</w:t>
      </w:r>
      <w:r>
        <w:rPr>
          <w:color w:val="000000"/>
          <w:spacing w:val="0"/>
          <w:w w:val="100"/>
          <w:position w:val="0"/>
        </w:rPr>
        <w:t>元）的土地 使用权为抵押，并由吴俊平、张丽萍提供保证；</w:t>
      </w:r>
      <w:r>
        <w:rPr>
          <w:rFonts w:ascii="Times New Roman" w:eastAsia="Times New Roman" w:hAnsi="Times New Roman" w:cs="Times New Roman"/>
          <w:color w:val="000000"/>
          <w:spacing w:val="0"/>
          <w:w w:val="100"/>
          <w:position w:val="0"/>
          <w:sz w:val="18"/>
          <w:szCs w:val="18"/>
        </w:rPr>
        <w:t>66,956,867.19</w:t>
      </w:r>
      <w:r>
        <w:rPr>
          <w:color w:val="000000"/>
          <w:spacing w:val="0"/>
          <w:w w:val="100"/>
          <w:position w:val="0"/>
        </w:rPr>
        <w:t>元系方欣科技下属公司广东益东金财资产管理中心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广东益东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），以广东益东位于广州市萝岗区科学大道</w:t>
      </w:r>
      <w:r>
        <w:rPr>
          <w:rFonts w:ascii="Times New Roman" w:eastAsia="Times New Roman" w:hAnsi="Times New Roman" w:cs="Times New Roman"/>
          <w:color w:val="000000"/>
          <w:spacing w:val="0"/>
          <w:w w:val="100"/>
          <w:position w:val="0"/>
          <w:sz w:val="18"/>
          <w:szCs w:val="18"/>
        </w:rPr>
        <w:t>82-88</w:t>
      </w:r>
      <w:r>
        <w:rPr>
          <w:color w:val="000000"/>
          <w:spacing w:val="0"/>
          <w:w w:val="100"/>
          <w:position w:val="0"/>
        </w:rPr>
        <w:t>号（双号）</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栋的净值为</w:t>
      </w:r>
      <w:r>
        <w:rPr>
          <w:rFonts w:ascii="Times New Roman" w:eastAsia="Times New Roman" w:hAnsi="Times New Roman" w:cs="Times New Roman"/>
          <w:color w:val="000000"/>
          <w:spacing w:val="0"/>
          <w:w w:val="100"/>
          <w:position w:val="0"/>
          <w:sz w:val="18"/>
          <w:szCs w:val="18"/>
        </w:rPr>
        <w:t>198,233,289.16</w:t>
      </w:r>
      <w:r>
        <w:rPr>
          <w:color w:val="000000"/>
          <w:spacing w:val="0"/>
          <w:w w:val="100"/>
          <w:position w:val="0"/>
        </w:rPr>
        <w:t xml:space="preserve">元（原值 </w:t>
      </w:r>
      <w:r>
        <w:rPr>
          <w:rFonts w:ascii="Times New Roman" w:eastAsia="Times New Roman" w:hAnsi="Times New Roman" w:cs="Times New Roman"/>
          <w:color w:val="000000"/>
          <w:spacing w:val="0"/>
          <w:w w:val="100"/>
          <w:position w:val="0"/>
          <w:sz w:val="18"/>
          <w:szCs w:val="18"/>
        </w:rPr>
        <w:t>214,306,258.38</w:t>
      </w:r>
      <w:r>
        <w:rPr>
          <w:color w:val="000000"/>
          <w:spacing w:val="0"/>
          <w:w w:val="100"/>
          <w:position w:val="0"/>
        </w:rPr>
        <w:t>元）的房产为抵押，并由徐正军、朱文明提供担保。</w:t>
      </w:r>
    </w:p>
    <w:p>
      <w:pPr>
        <w:pStyle w:val="Style39"/>
        <w:keepNext/>
        <w:keepLines/>
        <w:widowControl w:val="0"/>
        <w:shd w:val="clear" w:color="auto" w:fill="auto"/>
        <w:bidi w:val="0"/>
        <w:spacing w:before="0" w:after="380" w:line="240" w:lineRule="auto"/>
        <w:ind w:left="0" w:right="0" w:firstLine="46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477"/>
      <w:bookmarkEnd w:id="1478"/>
      <w:bookmarkEnd w:id="14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395"/>
        <w:gridCol w:w="2395"/>
        <w:gridCol w:w="241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2,464,935.00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2,464,935.00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481"/>
      <w:bookmarkEnd w:id="1482"/>
      <w:bookmarkEnd w:id="14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1598"/>
        <w:gridCol w:w="1594"/>
        <w:gridCol w:w="1594"/>
        <w:gridCol w:w="1594"/>
        <w:gridCol w:w="1627"/>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36,737,270.57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29,113,264.00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12,080,467.72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53,770,066.85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36,737,270.57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29,113,264.00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12,080,467.72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53,770,066.85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both"/>
      </w:pPr>
      <w:r>
        <w:rPr>
          <w:color w:val="000000"/>
          <w:spacing w:val="0"/>
          <w:w w:val="100"/>
          <w:position w:val="0"/>
        </w:rPr>
        <w:t>涉及政府补助的项目：</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70"/>
        <w:gridCol w:w="1133"/>
        <w:gridCol w:w="1138"/>
        <w:gridCol w:w="989"/>
        <w:gridCol w:w="998"/>
        <w:gridCol w:w="710"/>
        <w:gridCol w:w="422"/>
        <w:gridCol w:w="1046"/>
        <w:gridCol w:w="1042"/>
      </w:tblGrid>
      <w:tr>
        <w:trPr>
          <w:trHeight w:val="105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智能化真空热处理设备的开 发及产业化项目省级拨款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4,259,886.97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460,524.00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3,799,362.97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智能制造专项项目补助资金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1,733,333.28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1,533,333.28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无人化智能热处理工厂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齿轮热处理应用研究补贴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柘林镇财政所土地减量搬迁款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2,500,756.28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1,734,064.00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2,188,161.72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2,046,658.56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bl>
    <w:p>
      <w:pPr>
        <w:sectPr>
          <w:headerReference w:type="default" r:id="rId205"/>
          <w:footerReference w:type="default" r:id="rId206"/>
          <w:headerReference w:type="even" r:id="rId207"/>
          <w:footerReference w:type="even" r:id="rId208"/>
          <w:headerReference w:type="first" r:id="rId209"/>
          <w:footerReference w:type="first" r:id="rId210"/>
          <w:footnotePr>
            <w:pos w:val="pageBottom"/>
            <w:numFmt w:val="decimal"/>
            <w:numRestart w:val="continuous"/>
          </w:footnotePr>
          <w:pgSz w:w="11900" w:h="16840"/>
          <w:pgMar w:top="1378" w:right="929" w:bottom="1440" w:left="939" w:header="0" w:footer="3" w:gutter="0"/>
          <w:cols w:space="720"/>
          <w:noEndnote/>
          <w:titlePg/>
          <w:rtlGutter w:val="0"/>
          <w:docGrid w:linePitch="360"/>
        </w:sectPr>
      </w:pPr>
    </w:p>
    <w:tbl>
      <w:tblPr>
        <w:tblOverlap w:val="never"/>
        <w:jc w:val="center"/>
        <w:tblLayout w:type="fixed"/>
      </w:tblPr>
      <w:tblGrid>
        <w:gridCol w:w="2170"/>
        <w:gridCol w:w="1133"/>
        <w:gridCol w:w="1138"/>
        <w:gridCol w:w="989"/>
        <w:gridCol w:w="998"/>
        <w:gridCol w:w="710"/>
        <w:gridCol w:w="422"/>
        <w:gridCol w:w="1046"/>
        <w:gridCol w:w="1042"/>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无人化智能热处理工厂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2,836,363.68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327,272.68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2,509,091.00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可控气氛精密控制及减量化 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809,900.00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436,100.00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1,246,000.00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挡土墙补助款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685,717.50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61,831.68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1,143,885.82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基础设施建设扶持资金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3,474,255.00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86,856.90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3,387,398.10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璧山区厂房建造专项资金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南京无人化智能热处理工厂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859,399.00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133,351.73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726,047.27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精密模具及汽车零件高档热 处理专业化配套加工扩建项 目专项资金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青岛丰东科技型中小企业技 术创新基金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新能源汽车零部件热处理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768,000.00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80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轮胎模具绿色制造关键工艺 技术和装备突破及集成应用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33,333.30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366,666.70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年度市工业和信息化转</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型升级专项资金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423,100.00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380,790.00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设备购买专项资金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与资产相关</w:t>
            </w:r>
          </w:p>
        </w:tc>
      </w:tr>
      <w:tr>
        <w:trPr>
          <w:trHeight w:val="81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金财互联山东省新经济发展 创新协同园区和云商总部基 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3,637,371.18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6,362,628.82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金财互联人工智能与区块链 研究院项目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2,807,544.33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13,192,455.67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金财财税共享智慧云服务平 台补助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1,283,018.86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452,830.20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830,188.66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8</w:t>
      </w:r>
      <w:r>
        <w:rPr>
          <w:color w:val="000000"/>
          <w:spacing w:val="0"/>
          <w:w w:val="100"/>
          <w:position w:val="0"/>
        </w:rPr>
        <w:t>、其他非流动负债</w:t>
      </w:r>
      <w:bookmarkEnd w:id="1485"/>
      <w:bookmarkEnd w:id="1486"/>
      <w:bookmarkEnd w:id="14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12,311,517.89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12,311,517.89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12,311,517.89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9</w:t>
      </w:r>
      <w:r>
        <w:rPr>
          <w:color w:val="000000"/>
          <w:spacing w:val="0"/>
          <w:w w:val="100"/>
          <w:position w:val="0"/>
        </w:rPr>
        <w:t>、股本</w:t>
      </w:r>
      <w:bookmarkEnd w:id="1489"/>
      <w:bookmarkEnd w:id="1490"/>
      <w:bookmarkEnd w:id="14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195"/>
        <w:gridCol w:w="1200"/>
        <w:gridCol w:w="1195"/>
        <w:gridCol w:w="1195"/>
        <w:gridCol w:w="1195"/>
        <w:gridCol w:w="1195"/>
        <w:gridCol w:w="1229"/>
      </w:tblGrid>
      <w:tr>
        <w:trPr>
          <w:trHeight w:val="408"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779,198,175.00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779,198,175.00</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52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493"/>
      <w:bookmarkEnd w:id="1494"/>
      <w:bookmarkEnd w:id="14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920"/>
        <w:gridCol w:w="1910"/>
        <w:gridCol w:w="1915"/>
        <w:gridCol w:w="194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2,592,342,515.06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6,080,005.75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2,586,262,509.31</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2,592,342,515.06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6,080,005.75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2,586,262,509.31</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其他说明，包括本期增减变动情况、变动原因说明：</w:t>
      </w:r>
    </w:p>
    <w:p>
      <w:pPr>
        <w:pStyle w:val="Style35"/>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资本公积本期减少</w:t>
      </w:r>
      <w:r>
        <w:rPr>
          <w:rFonts w:ascii="Times New Roman" w:eastAsia="Times New Roman" w:hAnsi="Times New Roman" w:cs="Times New Roman"/>
          <w:color w:val="000000"/>
          <w:spacing w:val="0"/>
          <w:w w:val="100"/>
          <w:position w:val="0"/>
          <w:sz w:val="18"/>
          <w:szCs w:val="18"/>
        </w:rPr>
        <w:t>6,080,005.72</w:t>
      </w:r>
      <w:r>
        <w:rPr>
          <w:color w:val="000000"/>
          <w:spacing w:val="0"/>
          <w:w w:val="100"/>
          <w:position w:val="0"/>
        </w:rPr>
        <w:t>元，系收购少数股东持有的艾普零件制造（苏州）股份有限公司</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 xml:space="preserve">的股权，支付对 </w:t>
      </w:r>
      <w:r>
        <w:rPr>
          <w:color w:val="000000"/>
          <w:spacing w:val="0"/>
          <w:w w:val="100"/>
          <w:position w:val="0"/>
        </w:rPr>
        <w:t>价与按净资产比例计算价值之间的差额。</w:t>
      </w:r>
    </w:p>
    <w:p>
      <w:pPr>
        <w:pStyle w:val="Style39"/>
        <w:keepNext/>
        <w:keepLines/>
        <w:widowControl w:val="0"/>
        <w:shd w:val="clear" w:color="auto" w:fill="auto"/>
        <w:bidi w:val="0"/>
        <w:spacing w:before="0" w:after="380" w:line="240" w:lineRule="auto"/>
        <w:ind w:left="0" w:right="0" w:firstLine="52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497"/>
      <w:bookmarkEnd w:id="1498"/>
      <w:bookmarkEnd w:id="15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133"/>
        <w:gridCol w:w="1138"/>
        <w:gridCol w:w="989"/>
        <w:gridCol w:w="994"/>
        <w:gridCol w:w="998"/>
        <w:gridCol w:w="1133"/>
        <w:gridCol w:w="706"/>
        <w:gridCol w:w="1166"/>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本期所得税</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减:前期计入</w:t>
            </w:r>
          </w:p>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 益当期转入 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属于少</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数股东</w:t>
            </w:r>
          </w:p>
        </w:tc>
        <w:tc>
          <w:tcPr>
            <w:vMerge/>
            <w:tcBorders>
              <w:left w:val="single" w:sz="4"/>
            </w:tcBorders>
            <w:shd w:val="clear" w:color="auto" w:fill="FFFFFF"/>
            <w:vAlign w:val="center"/>
          </w:tcPr>
          <w:p>
            <w:pPr/>
          </w:p>
        </w:tc>
      </w:tr>
      <w:tr>
        <w:trPr>
          <w:trHeight w:val="67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-67,603,000.00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-6,628,055.95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-663,506.99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-5,964,548.96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-73,567,548.96</w:t>
            </w:r>
          </w:p>
        </w:tc>
      </w:tr>
      <w:tr>
        <w:trPr>
          <w:trHeight w:val="67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其他权益工具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-67,603,000.00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-6,628,055.95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-663,506.99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-5,964,548.96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-73,567,548.96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-67,603,000.00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-6,628,055.95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-663,506.99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-5,964,548.96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-73,567,548.96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2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501"/>
      <w:bookmarkEnd w:id="1502"/>
      <w:bookmarkEnd w:id="15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920"/>
        <w:gridCol w:w="1910"/>
        <w:gridCol w:w="1920"/>
        <w:gridCol w:w="1944"/>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33,579,171.66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33,579,171.66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33,579,171.66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33,579,171.66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52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505"/>
      <w:bookmarkEnd w:id="1506"/>
      <w:bookmarkEnd w:id="15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68"/>
        <w:gridCol w:w="2928"/>
        <w:gridCol w:w="2947"/>
      </w:tblGrid>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38,459,731.31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717,528,679.41</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-5,286,669.27</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33,173,062.04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717,528,679.41</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-1,243,619,838.77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-679,068,948.10</w:t>
            </w:r>
          </w:p>
        </w:tc>
      </w:tr>
      <w:tr>
        <w:trPr>
          <w:trHeight w:val="37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-1,210,446,776.73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38,459,731.31</w:t>
            </w:r>
          </w:p>
        </w:tc>
      </w:tr>
    </w:tbl>
    <w:p>
      <w:pPr>
        <w:spacing w:lineRule="exact" w:line="1"/>
        <w:rPr>
          <w:sz w:val="2"/>
          <w:szCs w:val="2"/>
        </w:rPr>
      </w:pPr>
      <w:r>
        <w:br w:type="page"/>
      </w:r>
    </w:p>
    <w:p>
      <w:pPr>
        <w:pStyle w:val="Style35"/>
        <w:keepNext w:val="0"/>
        <w:keepLines w:val="0"/>
        <w:widowControl w:val="0"/>
        <w:shd w:val="clear" w:color="auto" w:fill="auto"/>
        <w:bidi w:val="0"/>
        <w:spacing w:before="0" w:after="120" w:line="240" w:lineRule="auto"/>
        <w:ind w:left="0" w:right="0"/>
        <w:jc w:val="left"/>
      </w:pPr>
      <w:r>
        <w:rPr>
          <w:color w:val="000000"/>
          <w:spacing w:val="0"/>
          <w:w w:val="100"/>
          <w:position w:val="0"/>
        </w:rPr>
        <w:t>调整期初未分配利润明细：</w:t>
      </w:r>
    </w:p>
    <w:p>
      <w:pPr>
        <w:pStyle w:val="Style35"/>
        <w:keepNext w:val="0"/>
        <w:keepLines w:val="0"/>
        <w:widowControl w:val="0"/>
        <w:shd w:val="clear" w:color="auto" w:fill="auto"/>
        <w:tabs>
          <w:tab w:pos="730" w:val="left"/>
        </w:tabs>
        <w:bidi w:val="0"/>
        <w:spacing w:before="0" w:after="120" w:line="240" w:lineRule="auto"/>
        <w:ind w:left="0" w:right="0"/>
        <w:jc w:val="left"/>
      </w:pPr>
      <w:bookmarkStart w:id="1509" w:name="bookmark1509"/>
      <w:r>
        <w:rPr>
          <w:rFonts w:ascii="Times New Roman" w:eastAsia="Times New Roman" w:hAnsi="Times New Roman" w:cs="Times New Roman"/>
          <w:color w:val="000000"/>
          <w:spacing w:val="0"/>
          <w:w w:val="100"/>
          <w:position w:val="0"/>
          <w:sz w:val="18"/>
          <w:szCs w:val="18"/>
        </w:rPr>
        <w:t>1</w:t>
      </w:r>
      <w:bookmarkEnd w:id="15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tabs>
          <w:tab w:pos="749" w:val="left"/>
        </w:tabs>
        <w:bidi w:val="0"/>
        <w:spacing w:before="0" w:after="120" w:line="240" w:lineRule="auto"/>
        <w:ind w:left="0" w:right="0"/>
        <w:jc w:val="left"/>
      </w:pPr>
      <w:bookmarkStart w:id="1510" w:name="bookmark1510"/>
      <w:r>
        <w:rPr>
          <w:rFonts w:ascii="Times New Roman" w:eastAsia="Times New Roman" w:hAnsi="Times New Roman" w:cs="Times New Roman"/>
          <w:color w:val="000000"/>
          <w:spacing w:val="0"/>
          <w:w w:val="100"/>
          <w:position w:val="0"/>
          <w:sz w:val="18"/>
          <w:szCs w:val="18"/>
        </w:rPr>
        <w:t>2</w:t>
      </w:r>
      <w:bookmarkEnd w:id="15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-5,286,669.27</w:t>
      </w:r>
      <w:r>
        <w:rPr>
          <w:color w:val="000000"/>
          <w:spacing w:val="0"/>
          <w:w w:val="100"/>
          <w:position w:val="0"/>
        </w:rPr>
        <w:t>元。</w:t>
      </w:r>
    </w:p>
    <w:p>
      <w:pPr>
        <w:pStyle w:val="Style35"/>
        <w:keepNext w:val="0"/>
        <w:keepLines w:val="0"/>
        <w:widowControl w:val="0"/>
        <w:shd w:val="clear" w:color="auto" w:fill="auto"/>
        <w:tabs>
          <w:tab w:pos="749" w:val="left"/>
        </w:tabs>
        <w:bidi w:val="0"/>
        <w:spacing w:before="0" w:after="120" w:line="240" w:lineRule="auto"/>
        <w:ind w:left="0" w:right="0"/>
        <w:jc w:val="left"/>
      </w:pPr>
      <w:bookmarkStart w:id="1511" w:name="bookmark1511"/>
      <w:r>
        <w:rPr>
          <w:rFonts w:ascii="Times New Roman" w:eastAsia="Times New Roman" w:hAnsi="Times New Roman" w:cs="Times New Roman"/>
          <w:color w:val="000000"/>
          <w:spacing w:val="0"/>
          <w:w w:val="100"/>
          <w:position w:val="0"/>
          <w:sz w:val="18"/>
          <w:szCs w:val="18"/>
        </w:rPr>
        <w:t>3</w:t>
      </w:r>
      <w:bookmarkEnd w:id="15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tabs>
          <w:tab w:pos="749" w:val="left"/>
        </w:tabs>
        <w:bidi w:val="0"/>
        <w:spacing w:before="0" w:after="120" w:line="240" w:lineRule="auto"/>
        <w:ind w:left="0" w:right="0"/>
        <w:jc w:val="left"/>
      </w:pPr>
      <w:bookmarkStart w:id="1512" w:name="bookmark1512"/>
      <w:r>
        <w:rPr>
          <w:rFonts w:ascii="Times New Roman" w:eastAsia="Times New Roman" w:hAnsi="Times New Roman" w:cs="Times New Roman"/>
          <w:color w:val="000000"/>
          <w:spacing w:val="0"/>
          <w:w w:val="100"/>
          <w:position w:val="0"/>
          <w:sz w:val="18"/>
          <w:szCs w:val="18"/>
        </w:rPr>
        <w:t>4</w:t>
      </w:r>
      <w:bookmarkEnd w:id="15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val="0"/>
        <w:keepLines w:val="0"/>
        <w:widowControl w:val="0"/>
        <w:shd w:val="clear" w:color="auto" w:fill="auto"/>
        <w:tabs>
          <w:tab w:pos="749" w:val="left"/>
        </w:tabs>
        <w:bidi w:val="0"/>
        <w:spacing w:before="0" w:after="360" w:line="240" w:lineRule="auto"/>
        <w:ind w:left="0" w:right="0"/>
        <w:jc w:val="left"/>
      </w:pPr>
      <w:bookmarkStart w:id="1513" w:name="bookmark1513"/>
      <w:r>
        <w:rPr>
          <w:rFonts w:ascii="Times New Roman" w:eastAsia="Times New Roman" w:hAnsi="Times New Roman" w:cs="Times New Roman"/>
          <w:color w:val="000000"/>
          <w:spacing w:val="0"/>
          <w:w w:val="100"/>
          <w:position w:val="0"/>
          <w:sz w:val="18"/>
          <w:szCs w:val="18"/>
        </w:rPr>
        <w:t>5</w:t>
      </w:r>
      <w:bookmarkEnd w:id="15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keepLines/>
        <w:widowControl w:val="0"/>
        <w:shd w:val="clear" w:color="auto" w:fill="auto"/>
        <w:bidi w:val="0"/>
        <w:spacing w:before="0" w:line="240" w:lineRule="auto"/>
        <w:ind w:left="0" w:right="0" w:firstLine="46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514"/>
      <w:bookmarkEnd w:id="1515"/>
      <w:bookmarkEnd w:id="15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920"/>
        <w:gridCol w:w="1910"/>
        <w:gridCol w:w="1920"/>
        <w:gridCol w:w="1944"/>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949,350,411.66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761,362,373.32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1,197,479,004.16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780,068,772.83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62,129,258.12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35,668,101.67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64,972,039.94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36,988,283.78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797,030,474.99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1,262,451,044.10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817,057,056.61</w:t>
            </w:r>
          </w:p>
        </w:tc>
      </w:tr>
    </w:tbl>
    <w:p>
      <w:pPr>
        <w:widowControl w:val="0"/>
        <w:spacing w:after="179" w:line="1" w:lineRule="exact"/>
      </w:pPr>
    </w:p>
    <w:p>
      <w:pPr>
        <w:pStyle w:val="Style35"/>
        <w:keepNext w:val="0"/>
        <w:keepLines w:val="0"/>
        <w:widowControl w:val="0"/>
        <w:shd w:val="clear" w:color="auto" w:fill="auto"/>
        <w:bidi w:val="0"/>
        <w:spacing w:before="0" w:after="120" w:line="240" w:lineRule="auto"/>
        <w:ind w:left="0" w:right="0"/>
        <w:jc w:val="left"/>
      </w:pPr>
      <w:r>
        <w:rPr>
          <w:color w:val="000000"/>
          <w:spacing w:val="0"/>
          <w:w w:val="100"/>
          <w:position w:val="0"/>
        </w:rPr>
        <w:t>经审计扣除非经常损益前后净利润孰低是否为负值</w:t>
      </w:r>
    </w:p>
    <w:p>
      <w:pPr>
        <w:pStyle w:val="Style35"/>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446"/>
        <w:gridCol w:w="2126"/>
        <w:gridCol w:w="2126"/>
        <w:gridCol w:w="194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1,262,451,044.10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25"/>
              <w:keepNext w:val="0"/>
              <w:keepLines w:val="0"/>
              <w:widowControl w:val="0"/>
              <w:shd w:val="clear" w:color="auto" w:fill="auto"/>
              <w:tabs>
                <w:tab w:leader="dot" w:pos="1896" w:val="left"/>
              </w:tabs>
              <w:bidi w:val="0"/>
              <w:spacing w:before="0" w:after="0" w:line="240" w:lineRule="auto"/>
              <w:ind w:left="0" w:right="0" w:firstLine="0"/>
              <w:jc w:val="left"/>
              <w:rPr>
                <w:sz w:val="32"/>
                <w:szCs w:val="32"/>
              </w:rPr>
            </w:pPr>
            <w:r>
              <w:rPr>
                <w:color w:val="000000"/>
                <w:spacing w:val="0"/>
                <w:w w:val="100"/>
                <w:position w:val="0"/>
                <w:sz w:val="32"/>
                <w:szCs w:val="32"/>
              </w:rPr>
              <w:t>无</w:t>
            </w:r>
            <w:r>
              <w:rPr>
                <w:color w:val="000000"/>
                <w:spacing w:val="0"/>
                <w:w w:val="100"/>
                <w:position w:val="0"/>
                <w:sz w:val="32"/>
                <w:szCs w:val="32"/>
              </w:rPr>
              <w:tab/>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tabs>
                <w:tab w:leader="underscore" w:pos="1896" w:val="left"/>
              </w:tabs>
              <w:bidi w:val="0"/>
              <w:spacing w:before="0" w:after="0" w:line="240" w:lineRule="auto"/>
              <w:ind w:left="0" w:right="0" w:firstLine="0"/>
              <w:jc w:val="left"/>
            </w:pPr>
            <w:r>
              <w:rPr>
                <w:color w:val="000000"/>
                <w:spacing w:val="0"/>
                <w:w w:val="100"/>
                <w:position w:val="0"/>
              </w:rPr>
              <w:tab/>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无</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无</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1,011,479,669.78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1,262,451,044.10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79" w:line="1" w:lineRule="exact"/>
      </w:pPr>
    </w:p>
    <w:p>
      <w:pPr>
        <w:pStyle w:val="Style35"/>
        <w:keepNext w:val="0"/>
        <w:keepLines w:val="0"/>
        <w:widowControl w:val="0"/>
        <w:shd w:val="clear" w:color="auto" w:fill="auto"/>
        <w:bidi w:val="0"/>
        <w:spacing w:before="0" w:after="120" w:line="240" w:lineRule="auto"/>
        <w:ind w:left="0" w:right="0"/>
        <w:jc w:val="both"/>
      </w:pPr>
      <w:r>
        <w:rPr>
          <w:color w:val="000000"/>
          <w:spacing w:val="0"/>
          <w:w w:val="100"/>
          <w:position w:val="0"/>
        </w:rPr>
        <w:t>收入相关信息：</w:t>
      </w: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2438"/>
        <w:gridCol w:w="2443"/>
        <w:gridCol w:w="2467"/>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合同分类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互联网财税板块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热处理板块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472,299,780.82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539,179,888.96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1,011,479,669.78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175,225,126.48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175,225,126.48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303,372,442.34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303,372,442.34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203,679,247.11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203,679,247.11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129,776,977.30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129,776,977.30</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产品及开发服务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80,334,642.47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80,334,642.47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56,961,975.96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56,961,975.96</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1,546,937.98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60,582,320.14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62,129,258.12</w:t>
            </w:r>
          </w:p>
        </w:tc>
      </w:tr>
    </w:tbl>
    <w:tbl>
      <w:tblPr>
        <w:tblOverlap w:val="never"/>
        <w:jc w:val="center"/>
        <w:tblLayout w:type="fixed"/>
      </w:tblPr>
      <w:tblGrid>
        <w:gridCol w:w="2482"/>
        <w:gridCol w:w="2438"/>
        <w:gridCol w:w="2443"/>
        <w:gridCol w:w="2467"/>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472,299,780.82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539,179,888.96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1,011,479,669.78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4,914,497.09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11,879,736.70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16,794,233.79</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56,548,205.23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50,044,428.75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106,592,633.98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116,958,371.95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405,279,018.11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522,237,390.06</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233,679,457.33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22,741,870.88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256,421,328.21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18,260,920.60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367,433.61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18,628,354.21</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39,718,954.75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32,910,105.29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72,629,060.04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华中地区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中南</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2,219,373.87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4,368,299.28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6,587,673.15</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11,588,996.34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11,588,996.34</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472,299,780.82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539,179,888.96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1,011,479,669.78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按照时点确认收入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196,658,218.62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539,179,888.96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747,789,224.08</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按照时段确认收入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275,641,562.20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263,690,445.70</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472,299,780.82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539,179,888.96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1,011,479,669.78</w:t>
            </w: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与履约义务相关的信息:</w:t>
      </w:r>
    </w:p>
    <w:p>
      <w:pPr>
        <w:pStyle w:val="Style35"/>
        <w:keepNext w:val="0"/>
        <w:keepLines w:val="0"/>
        <w:widowControl w:val="0"/>
        <w:numPr>
          <w:ilvl w:val="0"/>
          <w:numId w:val="157"/>
        </w:numPr>
        <w:shd w:val="clear" w:color="auto" w:fill="auto"/>
        <w:tabs>
          <w:tab w:pos="601" w:val="left"/>
        </w:tabs>
        <w:bidi w:val="0"/>
        <w:spacing w:before="0" w:after="0" w:line="319" w:lineRule="exact"/>
        <w:ind w:left="0" w:right="0"/>
        <w:jc w:val="both"/>
      </w:pPr>
      <w:bookmarkStart w:id="1518" w:name="bookmark1518"/>
      <w:bookmarkEnd w:id="1518"/>
      <w:r>
        <w:rPr>
          <w:color w:val="000000"/>
          <w:spacing w:val="0"/>
          <w:w w:val="100"/>
          <w:position w:val="0"/>
        </w:rPr>
        <w:t>热处理设备销售：内销热处理设备收入确认需满足以下条件：本公司已根据合同约定将产品调试后交付给客户且客户 已验收该商品，已经收回货款或取得了收款凭证且相关的经济利益很可能流入，商品所有权上的主要风险和报酬已转移，商 品的法定所有权已转移。外销产品收入确认需满足以下条件：本公司已根据合同约定将产品报关，取得提单，已经收回货款 或取得了收款凭证且相关的经济利益很可能流入，商品所有权上的主要风险和报酬已转移，商品的法定所有权已转移。</w:t>
      </w:r>
    </w:p>
    <w:p>
      <w:pPr>
        <w:pStyle w:val="Style35"/>
        <w:keepNext w:val="0"/>
        <w:keepLines w:val="0"/>
        <w:widowControl w:val="0"/>
        <w:numPr>
          <w:ilvl w:val="0"/>
          <w:numId w:val="157"/>
        </w:numPr>
        <w:shd w:val="clear" w:color="auto" w:fill="auto"/>
        <w:tabs>
          <w:tab w:pos="610" w:val="left"/>
        </w:tabs>
        <w:bidi w:val="0"/>
        <w:spacing w:before="0" w:after="0" w:line="319" w:lineRule="exact"/>
        <w:ind w:left="0" w:right="0"/>
        <w:jc w:val="both"/>
      </w:pPr>
      <w:bookmarkStart w:id="1519" w:name="bookmark1519"/>
      <w:bookmarkEnd w:id="1519"/>
      <w:r>
        <w:rPr>
          <w:color w:val="000000"/>
          <w:spacing w:val="0"/>
          <w:w w:val="100"/>
          <w:position w:val="0"/>
        </w:rPr>
        <w:t>热处理加工：热处理加工业务通常仅包含转让商品的履约义务。本公司通常在综合考虑了下列因素的基础上，以到货 验收完成时点确认收入：取得商品的现时收款权利、商品所有权上的主要风险和报酬的转移、商品的法定所有权的转移、商 品实物资产的转移、客户接受该商品。</w:t>
      </w:r>
    </w:p>
    <w:p>
      <w:pPr>
        <w:pStyle w:val="Style35"/>
        <w:keepNext w:val="0"/>
        <w:keepLines w:val="0"/>
        <w:widowControl w:val="0"/>
        <w:numPr>
          <w:ilvl w:val="0"/>
          <w:numId w:val="157"/>
        </w:numPr>
        <w:shd w:val="clear" w:color="auto" w:fill="auto"/>
        <w:tabs>
          <w:tab w:pos="615" w:val="left"/>
        </w:tabs>
        <w:bidi w:val="0"/>
        <w:spacing w:before="0" w:after="0" w:line="319" w:lineRule="exact"/>
        <w:ind w:left="0" w:right="0"/>
        <w:jc w:val="both"/>
      </w:pPr>
      <w:bookmarkStart w:id="1520" w:name="bookmark1520"/>
      <w:bookmarkEnd w:id="1520"/>
      <w:r>
        <w:rPr>
          <w:color w:val="000000"/>
          <w:spacing w:val="0"/>
          <w:w w:val="100"/>
          <w:position w:val="0"/>
        </w:rPr>
        <w:t>财税云服务收入：财税云服务业务系公司以自主研发的企业云服务产品为纳税用户提供专业互联网财税服务，包括自 营模式、合作销售模式和定制化产品。自营模式下，用户通过网络一次性支付相应服务周期的价款后，开始使用该产品，公 司与用户根据合同按月或年进行价款结算，本公司按为客户提供的互联网财税服务的所属期分期确认收入;合作销售模式下， 公司根据合作机构确定的服务用户数量、服务期限、按照合作协议约定的分成比例进行价款结算，本公司按为客户提供的互 联网财税服务的所属期分期确认收入；定制化产品，公司向客户提供定制化的财税云服务软件产品，依据合同约定方式进行 价款结算，本公司通常在考虑了取得产品的现时收款权利、已完成产品交付并取得验收报告时确认收入。</w:t>
      </w:r>
    </w:p>
    <w:p>
      <w:pPr>
        <w:pStyle w:val="Style35"/>
        <w:keepNext w:val="0"/>
        <w:keepLines w:val="0"/>
        <w:widowControl w:val="0"/>
        <w:numPr>
          <w:ilvl w:val="0"/>
          <w:numId w:val="157"/>
        </w:numPr>
        <w:shd w:val="clear" w:color="auto" w:fill="auto"/>
        <w:tabs>
          <w:tab w:pos="615" w:val="left"/>
        </w:tabs>
        <w:bidi w:val="0"/>
        <w:spacing w:before="0" w:after="0" w:line="319" w:lineRule="exact"/>
        <w:ind w:left="0" w:right="0"/>
        <w:jc w:val="both"/>
      </w:pPr>
      <w:bookmarkStart w:id="1521" w:name="bookmark1521"/>
      <w:bookmarkEnd w:id="1521"/>
      <w:r>
        <w:rPr>
          <w:color w:val="000000"/>
          <w:spacing w:val="0"/>
          <w:w w:val="100"/>
          <w:position w:val="0"/>
        </w:rPr>
        <w:t>产品及开发服务：产品及开发服务系根据客户个性化需求提供的软件定制开发产品。本公司通常在考虑了取得软件开 发及销售的现时收款权利、在软件法定所有权转移及客户接受该软件的基础上，已完成软件交付并取得验收报告时确认收入。</w:t>
      </w:r>
    </w:p>
    <w:p>
      <w:pPr>
        <w:pStyle w:val="Style35"/>
        <w:keepNext w:val="0"/>
        <w:keepLines w:val="0"/>
        <w:widowControl w:val="0"/>
        <w:numPr>
          <w:ilvl w:val="0"/>
          <w:numId w:val="157"/>
        </w:numPr>
        <w:shd w:val="clear" w:color="auto" w:fill="auto"/>
        <w:tabs>
          <w:tab w:pos="615" w:val="left"/>
        </w:tabs>
        <w:bidi w:val="0"/>
        <w:spacing w:before="0" w:after="0" w:line="319" w:lineRule="exact"/>
        <w:ind w:left="0" w:right="0"/>
        <w:jc w:val="both"/>
      </w:pPr>
      <w:bookmarkStart w:id="1522" w:name="bookmark1522"/>
      <w:bookmarkEnd w:id="1522"/>
      <w:r>
        <w:rPr>
          <w:color w:val="000000"/>
          <w:spacing w:val="0"/>
          <w:w w:val="100"/>
          <w:position w:val="0"/>
        </w:rPr>
        <w:t>技术服务业务：技术服务业务系公司为客户提供专业的技术服务，包括规划咨询、系统运行维护服务等。技术服务一 般约定服务期限，本公司按照服务合同约定的服务期限分期确认收入。</w:t>
      </w:r>
    </w:p>
    <w:p>
      <w:pPr>
        <w:pStyle w:val="Style35"/>
        <w:keepNext w:val="0"/>
        <w:keepLines w:val="0"/>
        <w:widowControl w:val="0"/>
        <w:numPr>
          <w:ilvl w:val="0"/>
          <w:numId w:val="157"/>
        </w:numPr>
        <w:shd w:val="clear" w:color="auto" w:fill="auto"/>
        <w:tabs>
          <w:tab w:pos="620" w:val="left"/>
        </w:tabs>
        <w:bidi w:val="0"/>
        <w:spacing w:before="0" w:after="0" w:line="314" w:lineRule="exact"/>
        <w:ind w:left="0" w:right="0"/>
        <w:jc w:val="both"/>
      </w:pPr>
      <w:bookmarkStart w:id="1523" w:name="bookmark1523"/>
      <w:bookmarkEnd w:id="1523"/>
      <w:r>
        <w:rPr>
          <w:color w:val="000000"/>
          <w:spacing w:val="0"/>
          <w:w w:val="100"/>
          <w:position w:val="0"/>
        </w:rPr>
        <w:t>系统集成业务：系统集成服务业务系针对客户的需求，为用户设计并提供符合其需求的软硬件集成产品。本公司通常 在考虑了相关产品及服务已经提供，取得产品或服务的现时收款权利、在产品的法定所有权转移及客户接受该产品的基础上， 已完成产品交付并取得验收报告时确认收入。</w:t>
      </w:r>
    </w:p>
    <w:p>
      <w:pPr>
        <w:pStyle w:val="Style35"/>
        <w:keepNext w:val="0"/>
        <w:keepLines w:val="0"/>
        <w:widowControl w:val="0"/>
        <w:shd w:val="clear" w:color="auto" w:fill="auto"/>
        <w:bidi w:val="0"/>
        <w:spacing w:before="0" w:after="0" w:line="319" w:lineRule="exact"/>
        <w:ind w:left="0" w:right="0"/>
        <w:jc w:val="both"/>
      </w:pPr>
      <w:r>
        <w:rPr>
          <w:color w:val="000000"/>
          <w:spacing w:val="0"/>
          <w:w w:val="100"/>
          <w:position w:val="0"/>
        </w:rPr>
        <w:t>与分摊至剩余履约义务的交易价格相关的信息：</w:t>
      </w:r>
    </w:p>
    <w:p>
      <w:pPr>
        <w:pStyle w:val="Style35"/>
        <w:keepNext w:val="0"/>
        <w:keepLines w:val="0"/>
        <w:widowControl w:val="0"/>
        <w:shd w:val="clear" w:color="auto" w:fill="auto"/>
        <w:bidi w:val="0"/>
        <w:spacing w:before="0" w:after="0" w:line="319"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763,282,911.50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655,421,606.93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105,813,861.36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2,047,443.21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年度确认收入。</w:t>
      </w:r>
      <w:r>
        <w:br w:type="page"/>
      </w:r>
    </w:p>
    <w:p>
      <w:pPr>
        <w:pStyle w:val="Style39"/>
        <w:keepNext/>
        <w:keepLines/>
        <w:widowControl w:val="0"/>
        <w:shd w:val="clear" w:color="auto" w:fill="auto"/>
        <w:bidi w:val="0"/>
        <w:spacing w:before="0" w:after="380" w:line="240" w:lineRule="auto"/>
        <w:ind w:left="0" w:right="0" w:firstLine="46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524"/>
      <w:bookmarkEnd w:id="1525"/>
      <w:bookmarkEnd w:id="15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2,319,578.95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3,152,654.85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1,755,338.59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2,360,575.29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2,665,618.30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2,597,822.90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1,814,254.74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785,418.03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569,132.38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621,892.89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9,123,922.96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9,518,363.96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528"/>
      <w:bookmarkEnd w:id="1529"/>
      <w:bookmarkEnd w:id="15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2,113,851.44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3,784,554.41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包装运输费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6,869,462.04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6,230,059.28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8,494,537.24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1,519,272.08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23,783,442.19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28,621,823.76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2,119,391.34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1,703,179.85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产品维修及服务费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7,112,909.81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7,271,235.15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4,738,109.73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3,686,207.30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512,395.85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2,580,293.00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线下网点合作费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14,794,159.50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服务维修费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2,673,389.03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1,642,754.87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1,376,583.67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9,440,379.34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12,862,075.38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1,480,708.18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2,388,689.12</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98,637,565.94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59,161,897.62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532"/>
      <w:bookmarkEnd w:id="1533"/>
      <w:bookmarkEnd w:id="15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员工工资和福利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68,641,635.89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63,679,391.56</w:t>
            </w:r>
          </w:p>
        </w:tc>
      </w:tr>
    </w:tbl>
    <w:p>
      <w:pPr>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0" w:h="16840"/>
          <w:pgMar w:top="1378" w:right="929" w:bottom="1440" w:left="939" w:header="0" w:footer="3" w:gutter="0"/>
          <w:cols w:space="720"/>
          <w:noEndnote/>
          <w:titlePg/>
          <w:rtlGutter w:val="0"/>
          <w:docGrid w:linePitch="360"/>
        </w:sectPr>
      </w:pP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10,934,777.46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11,343,986.94</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10,160,419.06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9,566,476.75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6,980,748.89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8,260,413.82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资产摊销、折旧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35,950,478.27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33,331,990.97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17,944,563.10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17,032,376.28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976,026.60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6,519,874.01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11,512,512.30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3,810,495.64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3,779,879.87</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160,966,776.55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159,483,055.09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536"/>
      <w:bookmarkEnd w:id="1537"/>
      <w:bookmarkEnd w:id="15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员工工资和福利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75,627,858.05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46,516,209.71</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6,009,071.28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5,691,904.16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19,401,381.14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614,013.54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资产摊销、折旧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7,925,640.75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5,498,463.59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3,210,368.06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2,441,920.25</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112,174,319.28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60,762,511.25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40"/>
      <w:bookmarkEnd w:id="1541"/>
      <w:bookmarkEnd w:id="15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11,400,376.67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9,989,430.25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5,196,065.60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7,038,965.04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6,204,311.07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2,950,465.21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加：汇兑净损失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495,277.89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660,854.89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594,313.45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469,686.25</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7,293,902.41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4,081,006.35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544"/>
      <w:bookmarkEnd w:id="1545"/>
      <w:bookmarkEnd w:id="15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产生其他收益的来源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2,156,136.40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5,264,534.40</w:t>
            </w:r>
          </w:p>
        </w:tc>
      </w:tr>
    </w:tbl>
    <w:p>
      <w:pPr>
        <w:spacing w:lineRule="exact" w:line="1"/>
        <w:rPr>
          <w:sz w:val="2"/>
          <w:szCs w:val="2"/>
        </w:rPr>
      </w:pPr>
      <w:r>
        <w:br w:type="page"/>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2,994,560.29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2,993,618.25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6,897,745.71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研发经费补助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1,774,400.00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进项税加计扣除及增值税减免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2,192,669.27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1,716,109.93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2,153,081.88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2,978,760.57</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48"/>
      <w:bookmarkEnd w:id="1549"/>
      <w:bookmarkEnd w:id="155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74"/>
        <w:gridCol w:w="2837"/>
        <w:gridCol w:w="293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9,252,367.24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13,507,603.98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-2,071.95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6,644,287.84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10,127,990.93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2,254,246.00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2,177,386.00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-95,664.09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58,612,948.10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18,148,829.13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84,330,264.92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552"/>
      <w:bookmarkEnd w:id="1553"/>
      <w:bookmarkEnd w:id="15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2,079,798.63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644,569.71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2,079,798.63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556"/>
      <w:bookmarkEnd w:id="1557"/>
      <w:bookmarkEnd w:id="155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-67,490,399.79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-6,063,571.71</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-765,447.00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-100,060,603.31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-32,812,263.41</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-168,567,403.10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-39,641,282.12</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46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560"/>
      <w:bookmarkEnd w:id="1561"/>
      <w:bookmarkEnd w:id="156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52"/>
        <w:gridCol w:w="2837"/>
        <w:gridCol w:w="265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-6,584,372.05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-5,430,538.84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-142,266,425.25</w:t>
            </w:r>
          </w:p>
        </w:tc>
        <w:tc>
          <w:tcPr>
            <w:tcBorders>
              <w:top w:val="single" w:sz="4"/>
            </w:tcBorders>
            <w:shd w:val="clear" w:color="auto" w:fill="FFFFFF"/>
            <w:vAlign w:val="top"/>
          </w:tcPr>
          <w:p>
            <w:pPr>
              <w:pStyle w:val="Style25"/>
              <w:keepNext w:val="0"/>
              <w:keepLines w:val="0"/>
              <w:widowControl w:val="0"/>
              <w:shd w:val="clear" w:color="auto" w:fill="auto"/>
              <w:tabs>
                <w:tab w:leader="dot" w:pos="2606"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-836,126,155.76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-845,000,000.00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-547,090.33</w:t>
            </w:r>
          </w:p>
        </w:tc>
        <w:tc>
          <w:tcPr>
            <w:tcBorders>
              <w:top w:val="single" w:sz="4"/>
            </w:tcBorders>
            <w:shd w:val="clear" w:color="auto" w:fill="FFFFFF"/>
            <w:vAlign w:val="top"/>
          </w:tcPr>
          <w:p>
            <w:pPr>
              <w:pStyle w:val="Style25"/>
              <w:keepNext w:val="0"/>
              <w:keepLines w:val="0"/>
              <w:widowControl w:val="0"/>
              <w:shd w:val="clear" w:color="auto" w:fill="auto"/>
              <w:tabs>
                <w:tab w:leader="dot" w:pos="2606"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-985,524,043.39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-850,430,538.84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564"/>
      <w:bookmarkEnd w:id="1565"/>
      <w:bookmarkEnd w:id="156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-154,632.37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145,109.24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68"/>
      <w:bookmarkEnd w:id="1569"/>
      <w:bookmarkEnd w:id="15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395"/>
        <w:gridCol w:w="2395"/>
        <w:gridCol w:w="2419"/>
      </w:tblGrid>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11,488,432.82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8,766,558.52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11,488,432.82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187,160.21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23,088,960.27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634,650.00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23,088,960.27</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860,949.48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243,810.30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860,949.48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35,438,342.57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9,832,179.03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35,438,342.57</w:t>
            </w:r>
          </w:p>
        </w:tc>
      </w:tr>
    </w:tbl>
    <w:p>
      <w:pPr>
        <w:pStyle w:val="Style33"/>
        <w:keepNext w:val="0"/>
        <w:keepLines w:val="0"/>
        <w:widowControl w:val="0"/>
        <w:shd w:val="clear" w:color="auto" w:fill="auto"/>
        <w:bidi w:val="0"/>
        <w:spacing w:before="0" w:after="0" w:line="240" w:lineRule="auto"/>
        <w:ind w:left="384" w:right="0" w:firstLine="0"/>
        <w:jc w:val="left"/>
      </w:pPr>
      <w:r>
        <w:rPr>
          <w:color w:val="000000"/>
          <w:spacing w:val="0"/>
          <w:w w:val="100"/>
          <w:position w:val="0"/>
        </w:rPr>
        <w:t>计入当期损益的政府补助:</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2693"/>
        <w:gridCol w:w="427"/>
        <w:gridCol w:w="422"/>
        <w:gridCol w:w="710"/>
        <w:gridCol w:w="566"/>
        <w:gridCol w:w="994"/>
        <w:gridCol w:w="989"/>
        <w:gridCol w:w="1003"/>
      </w:tblGrid>
      <w:tr>
        <w:trPr>
          <w:trHeight w:val="81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补助项目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发放主体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rPr>
                <w:sz w:val="14"/>
                <w:szCs w:val="14"/>
              </w:rPr>
            </w:pPr>
            <w:r>
              <w:rPr>
                <w:color w:val="000000"/>
                <w:spacing w:val="0"/>
                <w:w w:val="100"/>
                <w:position w:val="0"/>
                <w:sz w:val="14"/>
                <w:szCs w:val="14"/>
              </w:rPr>
              <w:t>发放</w:t>
            </w:r>
          </w:p>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rPr>
                <w:sz w:val="14"/>
                <w:szCs w:val="14"/>
              </w:rPr>
            </w:pPr>
            <w:r>
              <w:rPr>
                <w:color w:val="000000"/>
                <w:spacing w:val="0"/>
                <w:w w:val="100"/>
                <w:position w:val="0"/>
                <w:sz w:val="14"/>
                <w:szCs w:val="14"/>
              </w:rPr>
              <w:t>性质</w:t>
            </w:r>
          </w:p>
          <w:p>
            <w:pPr>
              <w:pStyle w:val="Style25"/>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both"/>
              <w:rPr>
                <w:sz w:val="14"/>
                <w:szCs w:val="14"/>
              </w:rPr>
            </w:pPr>
            <w:r>
              <w:rPr>
                <w:color w:val="000000"/>
                <w:spacing w:val="0"/>
                <w:w w:val="100"/>
                <w:position w:val="0"/>
                <w:sz w:val="14"/>
                <w:szCs w:val="14"/>
              </w:rPr>
              <w:t>补贴是否 影响当年 盈亏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是否特</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殊补贴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200"/>
              <w:jc w:val="left"/>
              <w:rPr>
                <w:sz w:val="14"/>
                <w:szCs w:val="14"/>
              </w:rPr>
            </w:pPr>
            <w:r>
              <w:rPr>
                <w:color w:val="000000"/>
                <w:spacing w:val="0"/>
                <w:w w:val="100"/>
                <w:position w:val="0"/>
                <w:sz w:val="14"/>
                <w:szCs w:val="14"/>
              </w:rPr>
              <w:t>本期发生</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14"/>
                <w:szCs w:val="14"/>
              </w:rPr>
            </w:pPr>
            <w:r>
              <w:rPr>
                <w:color w:val="000000"/>
                <w:spacing w:val="0"/>
                <w:w w:val="100"/>
                <w:position w:val="0"/>
                <w:sz w:val="14"/>
                <w:szCs w:val="14"/>
              </w:rPr>
              <w:t>上期发生</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4"/>
                <w:szCs w:val="14"/>
              </w:rPr>
              <w:t>与资产相关</w:t>
            </w:r>
            <w:r>
              <w:rPr>
                <w:rFonts w:ascii="Times New Roman" w:eastAsia="Times New Roman" w:hAnsi="Times New Roman" w:cs="Times New Roman"/>
                <w:color w:val="000000"/>
                <w:spacing w:val="0"/>
                <w:w w:val="100"/>
                <w:position w:val="0"/>
                <w:sz w:val="15"/>
                <w:szCs w:val="15"/>
              </w:rPr>
              <w:t>/</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盐城市大丰区经建科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省级现代服务业专项发展资金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盐城市大丰区工贸科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国家制造业单项冠军示范企业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高新技术企业奖励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江苏常州天宁经济开发区财政局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先进制造业资金补贴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南京市溧水区财政局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6"/>
                <w:szCs w:val="16"/>
              </w:rPr>
              <w:t>年度高新技术企业 认定奖励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盐城市大丰区行财科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年战略性新兴产业 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盐城市大丰区经建科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bl>
    <w:p>
      <w:pPr>
        <w:spacing w:lineRule="exact" w:line="1"/>
        <w:rPr>
          <w:sz w:val="2"/>
          <w:szCs w:val="2"/>
        </w:rPr>
      </w:pPr>
      <w:r>
        <w:br w:type="page"/>
      </w:r>
    </w:p>
    <w:tbl>
      <w:tblPr>
        <w:tblOverlap w:val="never"/>
        <w:jc w:val="center"/>
        <w:tblLayout w:type="fixed"/>
      </w:tblPr>
      <w:tblGrid>
        <w:gridCol w:w="1886"/>
        <w:gridCol w:w="2693"/>
        <w:gridCol w:w="427"/>
        <w:gridCol w:w="422"/>
        <w:gridCol w:w="715"/>
        <w:gridCol w:w="566"/>
        <w:gridCol w:w="994"/>
        <w:gridCol w:w="989"/>
        <w:gridCol w:w="998"/>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江苏大丰经济开发区管 理委员会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区政府工业转型升级补助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年度高新企业认定 通过奖励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广州市财政局国库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柘林镇财政所土地减量 搬迁款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上海市奉贤区柘林镇人民政府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2,188,161.72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2,188,161.72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双创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盐城市大丰区机关事务管理局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瞪羚专项扶持资金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广州开发区财政国库集中支付中心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726,328.00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高新技术企业认定奖励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广州市番禺区财政局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区工信局软件著作权项</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目补贴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青岛市黄岛区国库集中支付中心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区工信局信息技术标准 化认定项目补贴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青岛市黄岛区国库集中支付中心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28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企业扶持资金（财源办）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青岛市黄岛区红石崖街道办财政所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31,000.00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盐城市大丰区市场监督 管理局企业品牌补助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大丰区市场监督管理局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6"/>
                <w:szCs w:val="16"/>
              </w:rPr>
              <w:t>年度省高企培育资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盐城市大丰区科技局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119,400.00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年科技开发计划资 金补助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盐城市大丰区科学技术局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年度市级商务发展 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创新标杆企业补助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广州市财政局国库支付分局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1,349,800.00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年经营贡献奖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广州开发区财政局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高新技术企业认定奖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广州市财政局国库支付分局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高企申报奖励、培育奖励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苏州工业园区科技和信息化局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科技发展资金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高新技术企业首次评审 市奖励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青岛市市南区国库支付中心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3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市南科技创新发展扶持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青岛市市南区国库支付中心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w:t>
            </w:r>
            <w:r>
              <w:rPr>
                <w:color w:val="000000"/>
                <w:spacing w:val="0"/>
                <w:w w:val="100"/>
                <w:position w:val="0"/>
                <w:sz w:val="16"/>
                <w:szCs w:val="16"/>
              </w:rPr>
              <w:t>与资产相关</w:t>
            </w:r>
          </w:p>
        </w:tc>
      </w:tr>
      <w:tr>
        <w:trPr>
          <w:trHeight w:val="52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市南区发改局小企业奖 励资金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青岛市市南区国库支付中心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高新入库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盐城市大丰区科技局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43,000.00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高新入库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南京市溧水区科技局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高企入库区内培育奖励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苏州工业园区财政局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高企入库市内奖励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年度认定高新技术 企业补助第一批款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青岛市城阳区科学技术局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工业企业市级企业技术 中心奖励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钢基表面防腐耐磨梯度 涂层的优化设计及制备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盐城市大丰区科学技术局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6"/>
                <w:szCs w:val="16"/>
              </w:rPr>
              <w:t>创新能力建设专项 资金（第三批）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盐城市大丰区财政局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bl>
    <w:p>
      <w:pPr>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1378" w:right="929" w:bottom="1440" w:left="939" w:header="0" w:footer="3" w:gutter="0"/>
          <w:cols w:space="720"/>
          <w:noEndnote/>
          <w:rtlGutter w:val="0"/>
          <w:docGrid w:linePitch="360"/>
        </w:sectPr>
      </w:pPr>
    </w:p>
    <w:tbl>
      <w:tblPr>
        <w:tblOverlap w:val="never"/>
        <w:jc w:val="center"/>
        <w:tblLayout w:type="fixed"/>
      </w:tblPr>
      <w:tblGrid>
        <w:gridCol w:w="1886"/>
        <w:gridCol w:w="2693"/>
        <w:gridCol w:w="427"/>
        <w:gridCol w:w="422"/>
        <w:gridCol w:w="715"/>
        <w:gridCol w:w="566"/>
        <w:gridCol w:w="994"/>
        <w:gridCol w:w="989"/>
        <w:gridCol w:w="998"/>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市级技改国家制造业单</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项冠军示范企业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聚力创新政策奖励资金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盐城市大丰区科学技术局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179,800.00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811,300.00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专利</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发明授权补助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盐城市大丰区市场监督管理局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43,165.00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青岛市中小企业创新转</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型项目奖励资金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青岛市城阳区工业和信息化局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380,600.00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青岛市城阳区科学技术</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局研发费奖励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青岛市城阳区科学技术局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93,000.00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6"/>
                <w:szCs w:val="16"/>
              </w:rPr>
              <w:t>年度标准化资助奖</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励资金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青岛市城阳区市场监督管理局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44,000.00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6"/>
                <w:szCs w:val="16"/>
              </w:rPr>
              <w:t>年度城阳区技术改 造扶持资金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青岛市城阳区工信局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302,700.00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科技创新发展补助资金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溧水区科技局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33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年度技术创新补贴资金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上海市南桥镇经济管理事务中心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工业企业市级企业技术 中心奖励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盐城市大丰区财政局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企业实施知识产权管理 规范体系建设资助奖励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上海市奉贤区财政局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其他与收益相关的政府 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510,143.10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150,231.80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与收益相关</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72"/>
      <w:bookmarkEnd w:id="1573"/>
      <w:bookmarkEnd w:id="157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290"/>
        <w:gridCol w:w="2266"/>
        <w:gridCol w:w="265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982,221.20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169,429.54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982,221.20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334,600.00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508,200.00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违约金、赔款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842,401.90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351,622.62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842,401.90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罚款、滞纳金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566,046.94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364,875.52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566,046.94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184,969.78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482,666.35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184,969.78</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2,910,239.82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1,876,794.03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2,910,239.82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5</w:t>
      </w:r>
      <w:bookmarkEnd w:id="1578"/>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76"/>
      <w:bookmarkEnd w:id="1577"/>
      <w:bookmarkEnd w:id="1579"/>
    </w:p>
    <w:p>
      <w:pPr>
        <w:pStyle w:val="Style45"/>
        <w:keepNext/>
        <w:keepLines/>
        <w:widowControl w:val="0"/>
        <w:shd w:val="clear" w:color="auto" w:fill="auto"/>
        <w:bidi w:val="0"/>
        <w:spacing w:before="0" w:after="380" w:line="240" w:lineRule="auto"/>
        <w:ind w:left="0" w:right="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80"/>
      <w:bookmarkEnd w:id="1581"/>
      <w:bookmarkEnd w:id="15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16,377,463.21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32,459,012.51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-53,251,572.13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-5,322,431.10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-36,874,108.92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27,136,581.41</w:t>
            </w:r>
          </w:p>
        </w:tc>
      </w:tr>
    </w:tbl>
    <w:p>
      <w:pPr>
        <w:spacing w:lineRule="exact" w:line="1"/>
        <w:rPr>
          <w:sz w:val="2"/>
          <w:szCs w:val="2"/>
        </w:rPr>
      </w:pPr>
      <w:r>
        <w:br w:type="page"/>
      </w:r>
    </w:p>
    <w:p>
      <w:pPr>
        <w:pStyle w:val="Style45"/>
        <w:keepNext/>
        <w:keepLines/>
        <w:widowControl w:val="0"/>
        <w:shd w:val="clear" w:color="auto" w:fill="auto"/>
        <w:bidi w:val="0"/>
        <w:spacing w:before="0" w:after="380" w:line="240" w:lineRule="auto"/>
        <w:ind w:left="0" w:right="0" w:firstLine="58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会计利润与所得税费用调整过程</w:t>
      </w:r>
      <w:bookmarkEnd w:id="1583"/>
      <w:bookmarkEnd w:id="1584"/>
      <w:bookmarkEnd w:id="158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000"/>
        <w:gridCol w:w="364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-1,260,277,676.07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-315,069,419.01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94,228,317.69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769,121.51</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-1,774,937.65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164,821,720.15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-2,123,886.46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34,087,241.60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246,035.20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-12,058,301.95</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-36,874,108.92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586"/>
      <w:bookmarkEnd w:id="1587"/>
      <w:bookmarkEnd w:id="1589"/>
    </w:p>
    <w:p>
      <w:pPr>
        <w:pStyle w:val="Style45"/>
        <w:keepNext/>
        <w:keepLines/>
        <w:widowControl w:val="0"/>
        <w:shd w:val="clear" w:color="auto" w:fill="auto"/>
        <w:bidi w:val="0"/>
        <w:spacing w:before="0" w:after="380" w:line="240" w:lineRule="auto"/>
        <w:ind w:left="0" w:right="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0"/>
      <w:bookmarkEnd w:id="1591"/>
      <w:bookmarkEnd w:id="15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5,196,065.60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7,038,965.04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43,546,668.77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30,544,006.54</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48,742,734.37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37,582,971.58</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3"/>
      <w:bookmarkEnd w:id="1594"/>
      <w:bookmarkEnd w:id="15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管理费用付现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74,341,727.90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67,601,142.26</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销售费用付现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56,374,662.39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24,426,221.57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研发费用付现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25,410,452.42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3,055,933.79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4,131,693.15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7,737,301.53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160,258,535.86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102,820,599.15</w:t>
            </w:r>
          </w:p>
        </w:tc>
      </w:tr>
    </w:tbl>
    <w:p>
      <w:pPr>
        <w:spacing w:lineRule="exact" w:line="1"/>
        <w:rPr>
          <w:sz w:val="2"/>
          <w:szCs w:val="2"/>
        </w:rPr>
      </w:pPr>
      <w:r>
        <w:br w:type="page"/>
      </w:r>
    </w:p>
    <w:p>
      <w:pPr>
        <w:pStyle w:val="Style45"/>
        <w:keepNext/>
        <w:keepLines/>
        <w:widowControl w:val="0"/>
        <w:shd w:val="clear" w:color="auto" w:fill="auto"/>
        <w:bidi w:val="0"/>
        <w:spacing w:before="0" w:after="380" w:line="240" w:lineRule="auto"/>
        <w:ind w:left="0" w:right="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96"/>
      <w:bookmarkEnd w:id="1597"/>
      <w:bookmarkEnd w:id="15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187,160.21</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187,160.21</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w:t>
      </w:r>
      <w:bookmarkEnd w:id="1602"/>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600"/>
      <w:bookmarkEnd w:id="1601"/>
      <w:bookmarkEnd w:id="16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子公司注销分配少数股东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856,204.62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95,664.09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856,204.62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95,664.09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604"/>
      <w:bookmarkEnd w:id="1605"/>
      <w:bookmarkEnd w:id="1607"/>
    </w:p>
    <w:p>
      <w:pPr>
        <w:pStyle w:val="Style45"/>
        <w:keepNext/>
        <w:keepLines/>
        <w:widowControl w:val="0"/>
        <w:shd w:val="clear" w:color="auto" w:fill="auto"/>
        <w:bidi w:val="0"/>
        <w:spacing w:before="0" w:after="380" w:line="240" w:lineRule="auto"/>
        <w:ind w:left="0" w:right="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8"/>
      <w:bookmarkEnd w:id="1609"/>
      <w:bookmarkEnd w:id="16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29"/>
        <w:gridCol w:w="2131"/>
        <w:gridCol w:w="208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-1,223,403,567.15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-655,583,268.21</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1,154,091,446.49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890,071,820.96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62,624,634.70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48,767,697.75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79,660,454.37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45,574,636.82</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12,921,625.04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13,991,020.84</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780"/>
              <w:jc w:val="left"/>
            </w:pPr>
            <w:r>
              <w:rPr>
                <w:color w:val="000000"/>
                <w:spacing w:val="0"/>
                <w:w w:val="100"/>
                <w:position w:val="0"/>
              </w:rPr>
              <w:t xml:space="preserve">处置固定资产、无形资产和其他长期资产的损失（收益以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-145,109.24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982,221.20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169,429.54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-2,079,798.63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11,879,935.97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10,650,285.14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-18,148,829.13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-84,330,264.92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-49,243,330.56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-11,265,524.57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-4,008,241.57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-123,906.53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-31,316,437.19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41,447,833.66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-102,826,770.64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-130,147,373.33</w:t>
            </w:r>
          </w:p>
        </w:tc>
      </w:tr>
    </w:tbl>
    <w:p>
      <w:pPr>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378" w:right="929" w:bottom="1440" w:left="939" w:header="0" w:footer="3" w:gutter="0"/>
          <w:cols w:space="720"/>
          <w:noEndnote/>
          <w:rtlGutter w:val="0"/>
          <w:docGrid w:linePitch="360"/>
        </w:sectPr>
      </w:pPr>
    </w:p>
    <w:tbl>
      <w:tblPr>
        <w:tblOverlap w:val="never"/>
        <w:jc w:val="center"/>
        <w:tblLayout w:type="fixed"/>
      </w:tblPr>
      <w:tblGrid>
        <w:gridCol w:w="5429"/>
        <w:gridCol w:w="2131"/>
        <w:gridCol w:w="208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101,125,334.47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-225,763,486.57</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-187,160.21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-6,151,461.34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-58,953,167.50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668,933,769.97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579,863,605.83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579,863,605.83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792,219,178.54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89,070,164.14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-212,355,572.71</w:t>
            </w:r>
          </w:p>
        </w:tc>
      </w:tr>
    </w:tbl>
    <w:p>
      <w:pPr>
        <w:widowControl w:val="0"/>
        <w:spacing w:after="299" w:line="1" w:lineRule="exact"/>
      </w:pPr>
    </w:p>
    <w:p>
      <w:pPr>
        <w:pStyle w:val="Style45"/>
        <w:keepNext/>
        <w:keepLines/>
        <w:widowControl w:val="0"/>
        <w:shd w:val="clear" w:color="auto" w:fill="auto"/>
        <w:bidi w:val="0"/>
        <w:spacing w:before="0" w:after="380" w:line="240" w:lineRule="auto"/>
        <w:ind w:left="0" w:right="0" w:firstLine="58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11"/>
      <w:bookmarkEnd w:id="1612"/>
      <w:bookmarkEnd w:id="16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062"/>
        <w:gridCol w:w="3211"/>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668,933,769.97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579,863,605.83</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1,541,394.23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2,396,593.77</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666,848,692.18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576,984,571.55</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543,683.56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482,440.51</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668,933,769.97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579,863,605.83</w:t>
            </w:r>
          </w:p>
        </w:tc>
      </w:tr>
    </w:tbl>
    <w:p>
      <w:pPr>
        <w:widowControl w:val="0"/>
        <w:spacing w:after="299" w:line="1" w:lineRule="exact"/>
      </w:pPr>
    </w:p>
    <w:p>
      <w:pPr>
        <w:pStyle w:val="Style39"/>
        <w:keepNext/>
        <w:keepLines/>
        <w:widowControl w:val="0"/>
        <w:shd w:val="clear" w:color="auto" w:fill="auto"/>
        <w:tabs>
          <w:tab w:pos="943" w:val="left"/>
        </w:tabs>
        <w:bidi w:val="0"/>
        <w:spacing w:before="0" w:after="380" w:line="240" w:lineRule="auto"/>
        <w:ind w:left="0" w:right="0" w:firstLine="46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1</w:t>
      </w:r>
      <w:r>
        <w:rPr>
          <w:color w:val="000000"/>
          <w:spacing w:val="0"/>
          <w:w w:val="100"/>
          <w:position w:val="0"/>
        </w:rPr>
        <w:t>、</w:t>
        <w:tab/>
        <w:t>所有者权益变动表项目注释</w:t>
      </w:r>
      <w:bookmarkEnd w:id="1614"/>
      <w:bookmarkEnd w:id="1615"/>
      <w:bookmarkEnd w:id="1617"/>
    </w:p>
    <w:p>
      <w:pPr>
        <w:pStyle w:val="Style35"/>
        <w:keepNext w:val="0"/>
        <w:keepLines w:val="0"/>
        <w:widowControl w:val="0"/>
        <w:shd w:val="clear" w:color="auto" w:fill="auto"/>
        <w:bidi w:val="0"/>
        <w:spacing w:before="0" w:after="380" w:line="240" w:lineRule="auto"/>
        <w:ind w:left="0" w:right="0"/>
        <w:jc w:val="left"/>
      </w:pPr>
      <w:r>
        <w:rPr>
          <w:color w:val="000000"/>
          <w:spacing w:val="0"/>
          <w:w w:val="100"/>
          <w:position w:val="0"/>
        </w:rPr>
        <w:t>不适用</w:t>
      </w:r>
    </w:p>
    <w:p>
      <w:pPr>
        <w:pStyle w:val="Style39"/>
        <w:keepNext/>
        <w:keepLines/>
        <w:widowControl w:val="0"/>
        <w:shd w:val="clear" w:color="auto" w:fill="auto"/>
        <w:tabs>
          <w:tab w:pos="943" w:val="left"/>
        </w:tabs>
        <w:bidi w:val="0"/>
        <w:spacing w:before="0" w:after="380" w:line="240" w:lineRule="auto"/>
        <w:ind w:left="0" w:right="0" w:firstLine="46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w:t>
        <w:tab/>
        <w:t>所有权或使用权受到限制的资产</w:t>
      </w:r>
      <w:bookmarkEnd w:id="1618"/>
      <w:bookmarkEnd w:id="1619"/>
      <w:bookmarkEnd w:id="16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062"/>
        <w:gridCol w:w="3211"/>
      </w:tblGrid>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5,701,352.72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履约保函及票据保证金</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208,002,488.55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26,016,471.40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31,581,577.57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3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273,801,890.24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40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622"/>
      <w:bookmarkEnd w:id="1623"/>
      <w:bookmarkEnd w:id="1625"/>
    </w:p>
    <w:p>
      <w:pPr>
        <w:pStyle w:val="Style45"/>
        <w:keepNext/>
        <w:keepLines/>
        <w:widowControl w:val="0"/>
        <w:shd w:val="clear" w:color="auto" w:fill="auto"/>
        <w:bidi w:val="0"/>
        <w:spacing w:before="0" w:after="380" w:line="240" w:lineRule="auto"/>
        <w:ind w:left="0" w:right="0" w:firstLine="40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6"/>
      <w:bookmarkEnd w:id="1627"/>
      <w:bookmarkEnd w:id="16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9"/>
        <w:gridCol w:w="2294"/>
        <w:gridCol w:w="2390"/>
        <w:gridCol w:w="241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1,226,735.18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8,004,326.61</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0.6324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5,691.24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102,342.50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667,774.58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34,030.40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222,044.96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399,323.88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1,969.65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12,851.77</w:t>
            </w:r>
          </w:p>
        </w:tc>
      </w:tr>
    </w:tbl>
    <w:p>
      <w:pPr>
        <w:widowControl w:val="0"/>
        <w:spacing w:after="239" w:line="1" w:lineRule="exact"/>
      </w:pPr>
    </w:p>
    <w:p>
      <w:pPr>
        <w:pStyle w:val="Style45"/>
        <w:keepNext/>
        <w:keepLines/>
        <w:widowControl w:val="0"/>
        <w:shd w:val="clear" w:color="auto" w:fill="auto"/>
        <w:bidi w:val="0"/>
        <w:spacing w:before="0" w:after="380" w:line="322" w:lineRule="exact"/>
        <w:ind w:left="0" w:right="0" w:firstLine="44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 选择依据，记账本位币发生变化的还应披露原因。</w:t>
      </w:r>
      <w:bookmarkEnd w:id="1629"/>
      <w:bookmarkEnd w:id="1630"/>
      <w:bookmarkEnd w:id="1631"/>
    </w:p>
    <w:p>
      <w:pPr>
        <w:pStyle w:val="Style35"/>
        <w:keepNext w:val="0"/>
        <w:keepLines w:val="0"/>
        <w:widowControl w:val="0"/>
        <w:shd w:val="clear" w:color="auto" w:fill="auto"/>
        <w:bidi w:val="0"/>
        <w:spacing w:before="0" w:after="30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00" w:line="322" w:lineRule="exact"/>
        <w:ind w:left="0" w:right="0" w:firstLine="40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632"/>
      <w:bookmarkEnd w:id="1633"/>
      <w:bookmarkEnd w:id="1635"/>
    </w:p>
    <w:p>
      <w:pPr>
        <w:pStyle w:val="Style45"/>
        <w:keepNext/>
        <w:keepLines/>
        <w:widowControl w:val="0"/>
        <w:shd w:val="clear" w:color="auto" w:fill="auto"/>
        <w:bidi w:val="0"/>
        <w:spacing w:before="0" w:after="380" w:line="322" w:lineRule="exact"/>
        <w:ind w:left="0" w:right="0" w:firstLine="40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36"/>
      <w:bookmarkEnd w:id="1637"/>
      <w:bookmarkEnd w:id="16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6"/>
        <w:gridCol w:w="1565"/>
        <w:gridCol w:w="1272"/>
        <w:gridCol w:w="1800"/>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金财财税共享智慧云服务平台补助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452,830.20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452,830.20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金财互联人工智能与区块链研究院项目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2,807,544.33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2,807,544.33</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金财互联山东省新经济发展创新协同园区和云商总部基地项目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3,637,371.18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3,637,371.18</w:t>
            </w:r>
          </w:p>
        </w:tc>
      </w:tr>
    </w:tbl>
    <w:p>
      <w:pPr>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378" w:right="929" w:bottom="1440" w:left="939" w:header="0" w:footer="3" w:gutter="0"/>
          <w:cols w:space="720"/>
          <w:noEndnote/>
          <w:rtlGutter w:val="0"/>
          <w:docGrid w:linePitch="360"/>
        </w:sectPr>
      </w:pPr>
    </w:p>
    <w:tbl>
      <w:tblPr>
        <w:tblOverlap w:val="never"/>
        <w:jc w:val="center"/>
        <w:tblLayout w:type="fixed"/>
      </w:tblPr>
      <w:tblGrid>
        <w:gridCol w:w="5006"/>
        <w:gridCol w:w="1565"/>
        <w:gridCol w:w="1272"/>
        <w:gridCol w:w="1800"/>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烟台市福山区财政局高新技术产业园分局一期挡土墙补助款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61,831.68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61,831.68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轮胎模具绿色制造关键工艺技术和装备突破及集成应用项目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33,333.30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33,333.30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年度技术创新补贴资金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企业实施知识产权管理规范体系建设资助奖励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128,000.00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无人化智能热处理工厂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133,351.73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133,351.73</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纳米材料真空可控气氛炉及辅助设备的研制补贴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基础设施建设扶持资金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86,856.90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86,856.90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年度市工业和信息化转型升级专项资金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11,080.00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11,080.00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年度市工业和信息化转型升级专项资金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42,310.00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42,310.00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智能化真空热处理设备的开发及产业化项目省级拨款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460,524.00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460,524.00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智能制造专项项目补助资金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无人化智能热处理工厂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无人化智能热处理工厂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327,272.68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327,272.68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齿轮热处理应用研究补贴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年度市级商务发展专项资金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352,200.00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352,200.00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6,653.60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方欣中小企业凭证管理软件</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方欣短信收发软件</w:t>
            </w:r>
            <w:r>
              <w:rPr>
                <w:rFonts w:ascii="Times New Roman" w:eastAsia="Times New Roman" w:hAnsi="Times New Roman" w:cs="Times New Roman"/>
                <w:color w:val="000000"/>
                <w:spacing w:val="0"/>
                <w:w w:val="100"/>
                <w:position w:val="0"/>
                <w:sz w:val="18"/>
                <w:szCs w:val="18"/>
              </w:rPr>
              <w:t xml:space="preserve">V1.0 </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11,400.00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创新标杆企业补助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1,349,800.00</w:t>
            </w: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一种分布式自动化测试方法和装置，应用的嵌套运行显示方法、 装置及系统两件专利补贴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17,250.00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年经营贡献奖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年度高新技术企业认定奖补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瞪羚扶持专项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726,328.00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726,328.00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方欣销售管理软件</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年度高新技术企业认定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企业税务风险监测软件</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广州市番禺区科技工业商务和信息化局本级</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专款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线上税友培训补贴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技能提升行动资金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14,639.50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14,639.50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年度高企认定奖励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发改局市场培育区级配套资金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bl>
    <w:p>
      <w:pPr>
        <w:spacing w:lineRule="exact" w:line="1"/>
        <w:rPr>
          <w:sz w:val="2"/>
          <w:szCs w:val="2"/>
        </w:rPr>
      </w:pPr>
      <w:r>
        <w:br w:type="page"/>
      </w:r>
    </w:p>
    <w:tbl>
      <w:tblPr>
        <w:tblOverlap w:val="never"/>
        <w:jc w:val="center"/>
        <w:tblLayout w:type="fixed"/>
      </w:tblPr>
      <w:tblGrid>
        <w:gridCol w:w="5006"/>
        <w:gridCol w:w="1565"/>
        <w:gridCol w:w="1272"/>
        <w:gridCol w:w="1800"/>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月创业带动就业补贴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高企申报奖励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省市高企培育奖励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国内授权发明专利资助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柘林镇拆迁补偿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2,188,161.72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2,188,161.72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高新技术企业入库奖励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先进制造业资金补贴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年度高新技术企业认定奖励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聚力创新十条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年度国家制造业单项冠军示范企业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年战略性新兴产业补助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区政府工业转型升级补助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聚力创新十条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年度高新技术企业认定奖励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双创人才专项资金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年第二批省级现代服务业专项发展资金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年科技开发计划资金补助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39"/>
      <w:bookmarkEnd w:id="1640"/>
      <w:bookmarkEnd w:id="1641"/>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46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65</w:t>
      </w:r>
      <w:r>
        <w:rPr>
          <w:color w:val="000000"/>
          <w:spacing w:val="0"/>
          <w:w w:val="100"/>
          <w:position w:val="0"/>
        </w:rPr>
        <w:t>、其他</w:t>
      </w:r>
      <w:bookmarkEnd w:id="1642"/>
      <w:bookmarkEnd w:id="1643"/>
      <w:bookmarkEnd w:id="1644"/>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sz w:val="24"/>
          <w:szCs w:val="24"/>
        </w:rPr>
        <w:t>八</w:t>
      </w:r>
      <w:bookmarkEnd w:id="1647"/>
      <w:r>
        <w:rPr>
          <w:color w:val="000000"/>
          <w:spacing w:val="0"/>
          <w:w w:val="100"/>
          <w:position w:val="0"/>
          <w:sz w:val="24"/>
          <w:szCs w:val="24"/>
        </w:rPr>
        <w:t>、合并范围的变更</w:t>
      </w:r>
      <w:bookmarkEnd w:id="1645"/>
      <w:bookmarkEnd w:id="1646"/>
      <w:bookmarkEnd w:id="1648"/>
    </w:p>
    <w:p>
      <w:pPr>
        <w:pStyle w:val="Style39"/>
        <w:keepNext/>
        <w:keepLines/>
        <w:widowControl w:val="0"/>
        <w:shd w:val="clear" w:color="auto" w:fill="auto"/>
        <w:bidi w:val="0"/>
        <w:spacing w:before="0" w:line="240" w:lineRule="auto"/>
        <w:ind w:left="0" w:right="0" w:firstLine="46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49"/>
      <w:bookmarkEnd w:id="1650"/>
      <w:bookmarkEnd w:id="1651"/>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本期新纳入合并范围内的子公司均为公司新设，详见公司基本情况中本年度合并财务报表范围。</w:t>
      </w:r>
      <w:r>
        <w:br w:type="page"/>
      </w:r>
    </w:p>
    <w:p>
      <w:pPr>
        <w:pStyle w:val="Style39"/>
        <w:keepNext/>
        <w:keepLines/>
        <w:widowControl w:val="0"/>
        <w:shd w:val="clear" w:color="auto" w:fill="auto"/>
        <w:bidi w:val="0"/>
        <w:spacing w:before="0" w:after="380" w:line="240" w:lineRule="auto"/>
        <w:ind w:left="0" w:right="0" w:firstLine="40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652"/>
      <w:bookmarkEnd w:id="1653"/>
      <w:bookmarkEnd w:id="1654"/>
    </w:p>
    <w:p>
      <w:pPr>
        <w:pStyle w:val="Style35"/>
        <w:keepNext w:val="0"/>
        <w:keepLines w:val="0"/>
        <w:widowControl w:val="0"/>
        <w:shd w:val="clear" w:color="auto" w:fill="auto"/>
        <w:bidi w:val="0"/>
        <w:spacing w:before="0" w:after="340" w:line="240" w:lineRule="auto"/>
        <w:ind w:left="0" w:right="0"/>
        <w:jc w:val="left"/>
      </w:pPr>
      <w:r>
        <w:rPr>
          <w:color w:val="000000"/>
          <w:spacing w:val="0"/>
          <w:w w:val="100"/>
          <w:position w:val="0"/>
        </w:rPr>
        <w:t>无</w:t>
      </w:r>
    </w:p>
    <w:p>
      <w:pPr>
        <w:pStyle w:val="Style29"/>
        <w:keepNext/>
        <w:keepLines/>
        <w:widowControl w:val="0"/>
        <w:shd w:val="clear" w:color="auto" w:fill="auto"/>
        <w:bidi w:val="0"/>
        <w:spacing w:before="0" w:after="34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sz w:val="24"/>
          <w:szCs w:val="24"/>
        </w:rPr>
        <w:t>九</w:t>
      </w:r>
      <w:bookmarkEnd w:id="1657"/>
      <w:r>
        <w:rPr>
          <w:color w:val="000000"/>
          <w:spacing w:val="0"/>
          <w:w w:val="100"/>
          <w:position w:val="0"/>
          <w:sz w:val="24"/>
          <w:szCs w:val="24"/>
        </w:rPr>
        <w:t>、在其他主体中的权益</w:t>
      </w:r>
      <w:bookmarkEnd w:id="1655"/>
      <w:bookmarkEnd w:id="1656"/>
      <w:bookmarkEnd w:id="1658"/>
    </w:p>
    <w:p>
      <w:pPr>
        <w:pStyle w:val="Style39"/>
        <w:keepNext/>
        <w:keepLines/>
        <w:widowControl w:val="0"/>
        <w:shd w:val="clear" w:color="auto" w:fill="auto"/>
        <w:bidi w:val="0"/>
        <w:spacing w:before="0" w:after="380" w:line="240" w:lineRule="auto"/>
        <w:ind w:left="0" w:right="0" w:firstLine="40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9"/>
      <w:bookmarkEnd w:id="1660"/>
      <w:bookmarkEnd w:id="1661"/>
    </w:p>
    <w:p>
      <w:pPr>
        <w:pStyle w:val="Style45"/>
        <w:keepNext/>
        <w:keepLines/>
        <w:widowControl w:val="0"/>
        <w:shd w:val="clear" w:color="auto" w:fill="auto"/>
        <w:bidi w:val="0"/>
        <w:spacing w:before="0" w:after="340" w:line="240" w:lineRule="auto"/>
        <w:ind w:left="0" w:right="0" w:firstLine="40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62"/>
      <w:bookmarkEnd w:id="1663"/>
      <w:bookmarkEnd w:id="1664"/>
    </w:p>
    <w:tbl>
      <w:tblPr>
        <w:tblOverlap w:val="never"/>
        <w:jc w:val="center"/>
        <w:tblLayout w:type="fixed"/>
      </w:tblPr>
      <w:tblGrid>
        <w:gridCol w:w="2170"/>
        <w:gridCol w:w="1133"/>
        <w:gridCol w:w="1277"/>
        <w:gridCol w:w="1133"/>
        <w:gridCol w:w="998"/>
        <w:gridCol w:w="994"/>
        <w:gridCol w:w="1944"/>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取得方式</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400"/>
        <w:jc w:val="left"/>
      </w:pPr>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65"/>
      <w:bookmarkEnd w:id="1666"/>
      <w:bookmarkEnd w:id="1667"/>
    </w:p>
    <w:p>
      <w:pPr>
        <w:pStyle w:val="Style45"/>
        <w:keepNext/>
        <w:keepLines/>
        <w:widowControl w:val="0"/>
        <w:shd w:val="clear" w:color="auto" w:fill="auto"/>
        <w:bidi w:val="0"/>
        <w:spacing w:before="0" w:after="340" w:line="240" w:lineRule="auto"/>
        <w:ind w:left="0" w:right="0" w:firstLine="40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8"/>
      <w:bookmarkEnd w:id="1669"/>
      <w:bookmarkEnd w:id="1670"/>
    </w:p>
    <w:tbl>
      <w:tblPr>
        <w:tblOverlap w:val="never"/>
        <w:jc w:val="center"/>
        <w:tblLayout w:type="fixed"/>
      </w:tblPr>
      <w:tblGrid>
        <w:gridCol w:w="3019"/>
        <w:gridCol w:w="1277"/>
        <w:gridCol w:w="994"/>
        <w:gridCol w:w="854"/>
        <w:gridCol w:w="744"/>
        <w:gridCol w:w="816"/>
        <w:gridCol w:w="1944"/>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对合营企业或联营企业</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投资的会计处理方法</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39" w:line="1" w:lineRule="exact"/>
      </w:pPr>
    </w:p>
    <w:p>
      <w:pPr>
        <w:pStyle w:val="Style45"/>
        <w:keepNext/>
        <w:keepLines/>
        <w:widowControl w:val="0"/>
        <w:shd w:val="clear" w:color="auto" w:fill="auto"/>
        <w:bidi w:val="0"/>
        <w:spacing w:before="0" w:after="380" w:line="240" w:lineRule="auto"/>
        <w:ind w:left="0" w:right="0" w:firstLine="60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71"/>
      <w:bookmarkEnd w:id="1672"/>
      <w:bookmarkEnd w:id="16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3"/>
        <w:gridCol w:w="1368"/>
        <w:gridCol w:w="1373"/>
        <w:gridCol w:w="1368"/>
        <w:gridCol w:w="1397"/>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盐城高周波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石川岛丰东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广州丰东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盐城高周波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石川岛丰东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广州丰东</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104,740,910.97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58,543,995.19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44,281,742.95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77,788,187.40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57,137,829.95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42,238,585.67</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其中：现金和现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金等价物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13,920,613.23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10,937,662.48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36,526,779.36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17,761,017.68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11,569,701.69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36,441,351.77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56,447,518.21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11,986,887.55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34,647,069.34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69,049,484.66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12,881,849.79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36,447,926.65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161,188,429.18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70,530,882.74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78,928,812.29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146,837,672.06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70,019,679.74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78,686,512.32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40,991,160.66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20,034,747.21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15,196,726.88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24,765,498.21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23,133,669.37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8,423,789.64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3,473,410.88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40,991,160.66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20,034,747.21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15,198,585.20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24,765,498.21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23,133,669.37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11,897,200.52</w:t>
            </w:r>
          </w:p>
        </w:tc>
      </w:tr>
      <w:tr>
        <w:trPr>
          <w:trHeight w:val="576"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归属于母公司股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120,197,268.52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50,496,135.53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63,730,227.09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122,072,173.85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46,886,010.37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66,789,311.80</w:t>
            </w:r>
          </w:p>
        </w:tc>
      </w:tr>
    </w:tbl>
    <w:tbl>
      <w:tblPr>
        <w:tblOverlap w:val="never"/>
        <w:jc w:val="center"/>
        <w:tblLayout w:type="fixed"/>
      </w:tblPr>
      <w:tblGrid>
        <w:gridCol w:w="1411"/>
        <w:gridCol w:w="1368"/>
        <w:gridCol w:w="1363"/>
        <w:gridCol w:w="1368"/>
        <w:gridCol w:w="1373"/>
        <w:gridCol w:w="1368"/>
        <w:gridCol w:w="1397"/>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60,098,634.26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25,248,067.77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31,865,113.55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61,036,086.93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23,443,005.19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33,394,655.90</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-1,098,398.81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-1,834,136.25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-1,208,988.47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-2,035,180.88</w:t>
            </w: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对合营企业权益 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60,098,634.26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24,149,668.96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30,030,977.30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61,036,086.93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22,234,016.72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31,359,475.02</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60,046,907.03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42,262,053.12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80,016,201.24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64,487,680.66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62,182,080.82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76,480,560.73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-291,724.60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-152,534.54</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298,751.80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2,320,655.68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675,546.82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1,250,540.22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3,252,920.38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2,125,094.67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3,610,125.16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15,514,115.29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2,782,817.16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8,125,482.29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19,779,881.66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2,125,094.67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3,610,125.16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15,514,115.29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2,782,817.16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8,125,482.29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19,779,881.66</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本年度收到的来自 合营企业的股利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5,777,400.00</w:t>
            </w:r>
          </w:p>
        </w:tc>
      </w:tr>
    </w:tbl>
    <w:p>
      <w:pPr>
        <w:widowControl w:val="0"/>
        <w:spacing w:after="339" w:line="1" w:lineRule="exact"/>
      </w:pPr>
    </w:p>
    <w:p>
      <w:pPr>
        <w:pStyle w:val="Style39"/>
        <w:keepNext/>
        <w:keepLines/>
        <w:widowControl w:val="0"/>
        <w:shd w:val="clear" w:color="auto" w:fill="auto"/>
        <w:bidi w:val="0"/>
        <w:spacing w:before="0" w:after="260" w:line="240" w:lineRule="auto"/>
        <w:ind w:left="0" w:right="0" w:firstLine="46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3</w:t>
      </w:r>
      <w:bookmarkEnd w:id="1676"/>
      <w:r>
        <w:rPr>
          <w:color w:val="000000"/>
          <w:spacing w:val="0"/>
          <w:w w:val="100"/>
          <w:position w:val="0"/>
        </w:rPr>
        <w:t>、其他</w:t>
      </w:r>
      <w:bookmarkEnd w:id="1674"/>
      <w:bookmarkEnd w:id="1675"/>
      <w:bookmarkEnd w:id="1677"/>
    </w:p>
    <w:p>
      <w:pPr>
        <w:pStyle w:val="Style35"/>
        <w:keepNext w:val="0"/>
        <w:keepLines w:val="0"/>
        <w:widowControl w:val="0"/>
        <w:shd w:val="clear" w:color="auto" w:fill="auto"/>
        <w:bidi w:val="0"/>
        <w:spacing w:before="0" w:after="340" w:line="317" w:lineRule="exact"/>
        <w:ind w:left="0" w:right="0"/>
        <w:jc w:val="both"/>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1678" w:name="bookmark1678"/>
      <w:bookmarkStart w:id="1679" w:name="bookmark1679"/>
      <w:bookmarkStart w:id="1680" w:name="bookmark1680"/>
      <w:r>
        <w:rPr>
          <w:color w:val="000000"/>
          <w:spacing w:val="0"/>
          <w:w w:val="100"/>
          <w:position w:val="0"/>
          <w:sz w:val="24"/>
          <w:szCs w:val="24"/>
        </w:rPr>
        <w:t>十、与金融工具相关的风险</w:t>
      </w:r>
      <w:bookmarkEnd w:id="1678"/>
      <w:bookmarkEnd w:id="1679"/>
      <w:bookmarkEnd w:id="1680"/>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本公司风险管理的目标是在风险与收益间取得平衡，采取有效措施将风险对公司经营业绩的影响降至最低水平，使股东 及其他利益相关者的利益最大化。基于这样的目的，本公司的风险管理策略是通过对各种不确定因素进行分析与确认，建立 健全全面风险管理体系，培育良好的风险管理文化，及对各种风险进行跟踪监督，将风险控制在限定的范围内。</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本公司金融工具产生的风险主要包括信用风险、流动风险及市场风险。本公司董事会已审议并批准《风险管理办法》， 确保及时有效地进行风险管理。</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本公司的金融工具包括：交易性金融资产、应收款项、其他权益工具投资、应付款项等。</w:t>
      </w:r>
    </w:p>
    <w:p>
      <w:pPr>
        <w:pStyle w:val="Style35"/>
        <w:keepNext w:val="0"/>
        <w:keepLines w:val="0"/>
        <w:widowControl w:val="0"/>
        <w:shd w:val="clear" w:color="auto" w:fill="auto"/>
        <w:tabs>
          <w:tab w:pos="739" w:val="left"/>
        </w:tabs>
        <w:bidi w:val="0"/>
        <w:spacing w:before="0" w:after="0" w:line="317" w:lineRule="exact"/>
        <w:ind w:left="0" w:right="0"/>
        <w:jc w:val="both"/>
      </w:pPr>
      <w:bookmarkStart w:id="1681" w:name="bookmark1681"/>
      <w:r>
        <w:rPr>
          <w:rFonts w:ascii="Times New Roman" w:eastAsia="Times New Roman" w:hAnsi="Times New Roman" w:cs="Times New Roman"/>
          <w:b/>
          <w:bCs/>
          <w:color w:val="000000"/>
          <w:spacing w:val="0"/>
          <w:w w:val="100"/>
          <w:position w:val="0"/>
          <w:sz w:val="18"/>
          <w:szCs w:val="18"/>
        </w:rPr>
        <w:t>1</w:t>
      </w:r>
      <w:bookmarkEnd w:id="1681"/>
      <w:r>
        <w:rPr>
          <w:b/>
          <w:bCs/>
          <w:color w:val="000000"/>
          <w:spacing w:val="0"/>
          <w:w w:val="100"/>
          <w:position w:val="0"/>
        </w:rPr>
        <w:t>、</w:t>
        <w:tab/>
        <w:t>信用风险</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信用风险，是指金融工具的一方不履行义务，造成另一方发生财务损失的风险。</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本公司对信用风险的管理目标、政策和程序、计量风险的方法：</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本公司的信用风险主要来源于银行存款、应收账款。本公司的银行存款基本存放于信用评级较高的银行，不存在重大风 险。公司客户主要为信用等级较高的客户，故由于赊销引起的信用风险也较低。本公司营销与财务部门定期与不定期对应收 款余额进行监控，以确保本公司不面临重大坏账风险。</w:t>
      </w:r>
    </w:p>
    <w:p>
      <w:pPr>
        <w:pStyle w:val="Style35"/>
        <w:keepNext w:val="0"/>
        <w:keepLines w:val="0"/>
        <w:widowControl w:val="0"/>
        <w:shd w:val="clear" w:color="auto" w:fill="auto"/>
        <w:tabs>
          <w:tab w:pos="754" w:val="left"/>
        </w:tabs>
        <w:bidi w:val="0"/>
        <w:spacing w:before="0" w:after="0" w:line="317" w:lineRule="exact"/>
        <w:ind w:left="0" w:right="0"/>
        <w:jc w:val="both"/>
      </w:pPr>
      <w:bookmarkStart w:id="1682" w:name="bookmark1682"/>
      <w:r>
        <w:rPr>
          <w:rFonts w:ascii="Times New Roman" w:eastAsia="Times New Roman" w:hAnsi="Times New Roman" w:cs="Times New Roman"/>
          <w:b/>
          <w:bCs/>
          <w:color w:val="000000"/>
          <w:spacing w:val="0"/>
          <w:w w:val="100"/>
          <w:position w:val="0"/>
          <w:sz w:val="18"/>
          <w:szCs w:val="18"/>
        </w:rPr>
        <w:t>2</w:t>
      </w:r>
      <w:bookmarkEnd w:id="1682"/>
      <w:r>
        <w:rPr>
          <w:b/>
          <w:bCs/>
          <w:color w:val="000000"/>
          <w:spacing w:val="0"/>
          <w:w w:val="100"/>
          <w:position w:val="0"/>
        </w:rPr>
        <w:t>、</w:t>
        <w:tab/>
        <w:t>流动性风险</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流动性风险，是指在履行以交付现金或其他金融资产的方式结算的义务时发生资金短缺的风险。</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本公司对流动性风险的管理目标、政策和程序、计量风险的方法：</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为控制该项风险，本公司优化融资结构，采用长、短期借款，保持融资持续性与灵活性间的平衡。本公司总部财务部持 续监控各子公司的现金流，协调集团内各子公司的资金储备，同时本公司与多家银行取得授信客户以满足各期资金需求和资 本开支。</w:t>
      </w:r>
    </w:p>
    <w:p>
      <w:pPr>
        <w:pStyle w:val="Style35"/>
        <w:keepNext w:val="0"/>
        <w:keepLines w:val="0"/>
        <w:widowControl w:val="0"/>
        <w:shd w:val="clear" w:color="auto" w:fill="auto"/>
        <w:tabs>
          <w:tab w:pos="754" w:val="left"/>
        </w:tabs>
        <w:bidi w:val="0"/>
        <w:spacing w:before="0" w:after="0" w:line="317" w:lineRule="exact"/>
        <w:ind w:left="0" w:right="0"/>
        <w:jc w:val="both"/>
      </w:pPr>
      <w:bookmarkStart w:id="1683" w:name="bookmark1683"/>
      <w:r>
        <w:rPr>
          <w:rFonts w:ascii="Times New Roman" w:eastAsia="Times New Roman" w:hAnsi="Times New Roman" w:cs="Times New Roman"/>
          <w:b/>
          <w:bCs/>
          <w:color w:val="000000"/>
          <w:spacing w:val="0"/>
          <w:w w:val="100"/>
          <w:position w:val="0"/>
          <w:sz w:val="18"/>
          <w:szCs w:val="18"/>
        </w:rPr>
        <w:t>3</w:t>
      </w:r>
      <w:bookmarkEnd w:id="1683"/>
      <w:r>
        <w:rPr>
          <w:b/>
          <w:bCs/>
          <w:color w:val="000000"/>
          <w:spacing w:val="0"/>
          <w:w w:val="100"/>
          <w:position w:val="0"/>
        </w:rPr>
        <w:t>、</w:t>
        <w:tab/>
        <w:t>市场风险</w:t>
      </w:r>
    </w:p>
    <w:p>
      <w:pPr>
        <w:pStyle w:val="Style35"/>
        <w:keepNext w:val="0"/>
        <w:keepLines w:val="0"/>
        <w:widowControl w:val="0"/>
        <w:shd w:val="clear" w:color="auto" w:fill="auto"/>
        <w:bidi w:val="0"/>
        <w:spacing w:before="0" w:after="0" w:line="322" w:lineRule="exact"/>
        <w:ind w:left="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本公司对市场风险的管理目标、政策和程序、计量风险的方法：</w:t>
      </w:r>
    </w:p>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本公司对市场风险的管理目标为通过将市场风险控制在企业可以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或愿意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承受的合理范围内，实现经风险调整</w:t>
      </w:r>
      <w:r>
        <w:fldChar w:fldCharType="begin"/>
      </w:r>
      <w:r>
        <w:rPr/>
        <w:instrText> HYPERLINK "http://wiki.mbalib.com/wiki/%e6%94%b6%e7%9b%8a%e7%8e%87" </w:instrText>
      </w:r>
      <w:r>
        <w:fldChar w:fldCharType="separate"/>
      </w:r>
      <w:r>
        <w:rPr>
          <w:color w:val="000000"/>
          <w:spacing w:val="0"/>
          <w:w w:val="100"/>
          <w:position w:val="0"/>
        </w:rPr>
        <w:t>的</w:t>
      </w:r>
      <w:r>
        <w:rPr>
          <w:color w:val="6D6D6D"/>
          <w:spacing w:val="0"/>
          <w:w w:val="100"/>
          <w:position w:val="0"/>
          <w:u w:val="single"/>
        </w:rPr>
        <w:t>收益率</w:t>
      </w:r>
      <w:r>
        <w:fldChar w:fldCharType="end"/>
      </w:r>
      <w:r>
        <w:rPr>
          <w:color w:val="6D6D6D"/>
          <w:spacing w:val="0"/>
          <w:w w:val="100"/>
          <w:position w:val="0"/>
          <w:u w:val="single"/>
        </w:rPr>
        <w:t xml:space="preserve"> </w:t>
      </w:r>
      <w:r>
        <w:rPr>
          <w:color w:val="000000"/>
          <w:spacing w:val="0"/>
          <w:w w:val="100"/>
          <w:position w:val="0"/>
        </w:rPr>
        <w:t>的最大化。在确认对公司有显著影响的市场风险因素以后，对各种风险因素进行度量，并运用多种手段和工具对各种市场风 险加以定量管理。</w:t>
      </w:r>
    </w:p>
    <w:p>
      <w:pPr>
        <w:pStyle w:val="Style35"/>
        <w:keepNext w:val="0"/>
        <w:keepLines w:val="0"/>
        <w:widowControl w:val="0"/>
        <w:shd w:val="clear" w:color="auto" w:fill="auto"/>
        <w:tabs>
          <w:tab w:pos="850" w:val="left"/>
        </w:tabs>
        <w:bidi w:val="0"/>
        <w:spacing w:before="0" w:after="0" w:line="314" w:lineRule="exact"/>
        <w:ind w:left="0" w:right="0"/>
        <w:jc w:val="both"/>
      </w:pPr>
      <w:bookmarkStart w:id="1684" w:name="bookmark1684"/>
      <w:r>
        <w:rPr>
          <w:b/>
          <w:bCs/>
          <w:color w:val="000000"/>
          <w:spacing w:val="0"/>
          <w:w w:val="100"/>
          <w:position w:val="0"/>
        </w:rPr>
        <w:t>（</w:t>
      </w:r>
      <w:bookmarkEnd w:id="16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汇率风险</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假设在其他条件不变的情况下，美元对人民币汇率上升或下降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，则可能影响本公司本期的净利润</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万元。</w:t>
      </w:r>
    </w:p>
    <w:p>
      <w:pPr>
        <w:pStyle w:val="Style35"/>
        <w:keepNext w:val="0"/>
        <w:keepLines w:val="0"/>
        <w:widowControl w:val="0"/>
        <w:shd w:val="clear" w:color="auto" w:fill="auto"/>
        <w:tabs>
          <w:tab w:pos="850" w:val="left"/>
        </w:tabs>
        <w:bidi w:val="0"/>
        <w:spacing w:before="0" w:after="0" w:line="314" w:lineRule="exact"/>
        <w:ind w:left="0" w:right="0"/>
        <w:jc w:val="both"/>
      </w:pPr>
      <w:bookmarkStart w:id="1685" w:name="bookmark1685"/>
      <w:r>
        <w:rPr>
          <w:b/>
          <w:bCs/>
          <w:color w:val="000000"/>
          <w:spacing w:val="0"/>
          <w:w w:val="100"/>
          <w:position w:val="0"/>
        </w:rPr>
        <w:t>（</w:t>
      </w:r>
      <w:bookmarkEnd w:id="16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利率风险</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如某些贷款承诺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本公司的借款利率情况：年利率</w:t>
      </w:r>
      <w:r>
        <w:rPr>
          <w:rFonts w:ascii="Times New Roman" w:eastAsia="Times New Roman" w:hAnsi="Times New Roman" w:cs="Times New Roman"/>
          <w:color w:val="000000"/>
          <w:spacing w:val="0"/>
          <w:w w:val="100"/>
          <w:position w:val="0"/>
          <w:sz w:val="18"/>
          <w:szCs w:val="18"/>
        </w:rPr>
        <w:t>4.35%-5.51%</w:t>
      </w:r>
      <w:r>
        <w:rPr>
          <w:color w:val="000000"/>
          <w:spacing w:val="0"/>
          <w:w w:val="100"/>
          <w:position w:val="0"/>
        </w:rPr>
        <w:t>。</w:t>
      </w:r>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假设在其他条件不变的情况下，借款利率上升或下降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,则可能影响本公司本期的净利润</w:t>
      </w:r>
      <w:r>
        <w:rPr>
          <w:rFonts w:ascii="Times New Roman" w:eastAsia="Times New Roman" w:hAnsi="Times New Roman" w:cs="Times New Roman"/>
          <w:color w:val="000000"/>
          <w:spacing w:val="0"/>
          <w:w w:val="100"/>
          <w:position w:val="0"/>
          <w:sz w:val="18"/>
          <w:szCs w:val="18"/>
        </w:rPr>
        <w:t>114.00</w:t>
      </w:r>
      <w:r>
        <w:rPr>
          <w:color w:val="000000"/>
          <w:spacing w:val="0"/>
          <w:w w:val="100"/>
          <w:position w:val="0"/>
        </w:rPr>
        <w:t>万元。</w:t>
      </w:r>
    </w:p>
    <w:p>
      <w:pPr>
        <w:pStyle w:val="Style35"/>
        <w:keepNext w:val="0"/>
        <w:keepLines w:val="0"/>
        <w:widowControl w:val="0"/>
        <w:shd w:val="clear" w:color="auto" w:fill="auto"/>
        <w:tabs>
          <w:tab w:pos="850" w:val="left"/>
        </w:tabs>
        <w:bidi w:val="0"/>
        <w:spacing w:before="0" w:after="0" w:line="314" w:lineRule="exact"/>
        <w:ind w:left="0" w:right="0"/>
        <w:jc w:val="both"/>
      </w:pPr>
      <w:bookmarkStart w:id="1686" w:name="bookmark1686"/>
      <w:r>
        <w:rPr>
          <w:b/>
          <w:bCs/>
          <w:color w:val="000000"/>
          <w:spacing w:val="0"/>
          <w:w w:val="100"/>
          <w:position w:val="0"/>
        </w:rPr>
        <w:t>（</w:t>
      </w:r>
      <w:bookmarkEnd w:id="168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其他价格风险</w:t>
      </w:r>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其他价格风险，是指汇率风险和利率风险以外的市场价格变动而发生波动的风险，无论这些变动是由于与单项金融工具 或其发行方有关的因素而引起的，还是由于与市场内交易的所有类似金融工具有关的因素而引起的。其他价格风险可源于商 品价格或权益工具价格等的变化。</w:t>
      </w:r>
    </w:p>
    <w:p>
      <w:pPr>
        <w:pStyle w:val="Style29"/>
        <w:keepNext/>
        <w:keepLines/>
        <w:widowControl w:val="0"/>
        <w:shd w:val="clear" w:color="auto" w:fill="auto"/>
        <w:bidi w:val="0"/>
        <w:spacing w:before="0" w:after="380" w:line="240" w:lineRule="auto"/>
        <w:ind w:left="0" w:right="0" w:firstLine="0"/>
        <w:jc w:val="both"/>
      </w:pPr>
      <w:bookmarkStart w:id="1687" w:name="bookmark1687"/>
      <w:bookmarkStart w:id="1688" w:name="bookmark1688"/>
      <w:bookmarkStart w:id="1689" w:name="bookmark1689"/>
      <w:r>
        <w:rPr>
          <w:color w:val="000000"/>
          <w:spacing w:val="0"/>
          <w:w w:val="100"/>
          <w:position w:val="0"/>
          <w:sz w:val="24"/>
          <w:szCs w:val="24"/>
        </w:rPr>
        <w:t>十一、公允价值的披露</w:t>
      </w:r>
      <w:bookmarkEnd w:id="1687"/>
      <w:bookmarkEnd w:id="1688"/>
      <w:bookmarkEnd w:id="1689"/>
    </w:p>
    <w:p>
      <w:pPr>
        <w:pStyle w:val="Style39"/>
        <w:keepNext/>
        <w:keepLines/>
        <w:widowControl w:val="0"/>
        <w:shd w:val="clear" w:color="auto" w:fill="auto"/>
        <w:bidi w:val="0"/>
        <w:spacing w:before="0" w:after="380" w:line="240" w:lineRule="auto"/>
        <w:ind w:left="0" w:right="0" w:firstLine="480"/>
        <w:jc w:val="both"/>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90"/>
      <w:bookmarkEnd w:id="1691"/>
      <w:bookmarkEnd w:id="16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60"/>
        <w:gridCol w:w="1565"/>
        <w:gridCol w:w="1560"/>
        <w:gridCol w:w="1661"/>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第二层次公允价值</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 计量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109,344,569.71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109,344,569.71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109,344,569.71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109,344,569.71</w:t>
            </w:r>
          </w:p>
        </w:tc>
      </w:tr>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18,918,318.55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18,918,318.55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18,918,318.55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18,918,318.55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128,262,888.26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128,262,888.26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9"/>
        <w:keepNext/>
        <w:keepLines/>
        <w:widowControl w:val="0"/>
        <w:shd w:val="clear" w:color="auto" w:fill="auto"/>
        <w:bidi w:val="0"/>
        <w:spacing w:before="0" w:after="380" w:line="240" w:lineRule="auto"/>
        <w:ind w:left="0" w:right="0" w:firstLine="480"/>
        <w:jc w:val="both"/>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693"/>
      <w:bookmarkEnd w:id="1694"/>
      <w:bookmarkEnd w:id="1695"/>
    </w:p>
    <w:p>
      <w:pPr>
        <w:pStyle w:val="Style35"/>
        <w:keepNext w:val="0"/>
        <w:keepLines w:val="0"/>
        <w:widowControl w:val="0"/>
        <w:shd w:val="clear" w:color="auto" w:fill="auto"/>
        <w:bidi w:val="0"/>
        <w:spacing w:before="0" w:after="380" w:line="240" w:lineRule="auto"/>
        <w:ind w:left="0" w:right="0"/>
        <w:jc w:val="both"/>
      </w:pPr>
      <w:r>
        <w:rPr>
          <w:color w:val="000000"/>
          <w:spacing w:val="0"/>
          <w:w w:val="100"/>
          <w:position w:val="0"/>
        </w:rPr>
        <w:t>本公司无持续和非持续第一层次公允价值计量的项目。</w:t>
      </w:r>
    </w:p>
    <w:p>
      <w:pPr>
        <w:pStyle w:val="Style39"/>
        <w:keepNext/>
        <w:keepLines/>
        <w:widowControl w:val="0"/>
        <w:shd w:val="clear" w:color="auto" w:fill="auto"/>
        <w:bidi w:val="0"/>
        <w:spacing w:before="0" w:after="380" w:line="240" w:lineRule="auto"/>
        <w:ind w:left="0" w:right="0" w:firstLine="480"/>
        <w:jc w:val="both"/>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3</w:t>
      </w:r>
      <w:bookmarkEnd w:id="1698"/>
      <w:r>
        <w:rPr>
          <w:color w:val="000000"/>
          <w:spacing w:val="0"/>
          <w:w w:val="100"/>
          <w:position w:val="0"/>
        </w:rPr>
        <w:t>、持续和非持续第二层次公允价值计量项目，采用的估值技术和重要参数的定性及定量信息</w:t>
      </w:r>
      <w:bookmarkEnd w:id="1696"/>
      <w:bookmarkEnd w:id="1697"/>
      <w:bookmarkEnd w:id="1699"/>
    </w:p>
    <w:p>
      <w:pPr>
        <w:pStyle w:val="Style35"/>
        <w:keepNext w:val="0"/>
        <w:keepLines w:val="0"/>
        <w:widowControl w:val="0"/>
        <w:shd w:val="clear" w:color="auto" w:fill="auto"/>
        <w:bidi w:val="0"/>
        <w:spacing w:before="0" w:after="0" w:line="240" w:lineRule="auto"/>
        <w:ind w:left="0" w:right="0"/>
        <w:jc w:val="both"/>
      </w:pPr>
      <w:r>
        <w:rPr>
          <w:color w:val="000000"/>
          <w:spacing w:val="0"/>
          <w:w w:val="100"/>
          <w:position w:val="0"/>
        </w:rPr>
        <w:t>本公司无持续和非持续第二层次公允价值计量的项目。</w:t>
      </w:r>
    </w:p>
    <w:p>
      <w:pPr>
        <w:pStyle w:val="Style39"/>
        <w:keepNext/>
        <w:keepLines/>
        <w:widowControl w:val="0"/>
        <w:shd w:val="clear" w:color="auto" w:fill="auto"/>
        <w:bidi w:val="0"/>
        <w:spacing w:before="0" w:after="260" w:line="240" w:lineRule="auto"/>
        <w:ind w:left="0" w:right="0" w:firstLine="48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color w:val="000000"/>
          <w:spacing w:val="0"/>
          <w:w w:val="100"/>
          <w:position w:val="0"/>
        </w:rPr>
        <w:t>、持续和非持续第三层次公允价值计量项目，采用的估值技术和重要参数的定性及定量信息</w:t>
      </w:r>
      <w:bookmarkEnd w:id="1700"/>
      <w:bookmarkEnd w:id="1701"/>
      <w:bookmarkEnd w:id="1703"/>
    </w:p>
    <w:p>
      <w:pPr>
        <w:pStyle w:val="Style35"/>
        <w:keepNext w:val="0"/>
        <w:keepLines w:val="0"/>
        <w:widowControl w:val="0"/>
        <w:shd w:val="clear" w:color="auto" w:fill="auto"/>
        <w:bidi w:val="0"/>
        <w:spacing w:before="0" w:after="320" w:line="317" w:lineRule="exact"/>
        <w:ind w:left="0" w:right="0"/>
        <w:jc w:val="left"/>
      </w:pPr>
      <w:r>
        <w:rPr>
          <w:color w:val="000000"/>
          <w:spacing w:val="0"/>
          <w:w w:val="100"/>
          <w:position w:val="0"/>
        </w:rPr>
        <w:t>本公司第三层次公允价值计量项目</w:t>
      </w:r>
      <w:r>
        <w:rPr>
          <w:color w:val="000000"/>
          <w:spacing w:val="0"/>
          <w:w w:val="100"/>
          <w:position w:val="0"/>
          <w:sz w:val="18"/>
          <w:szCs w:val="18"/>
        </w:rPr>
        <w:t>一</w:t>
      </w:r>
      <w:r>
        <w:rPr>
          <w:color w:val="000000"/>
          <w:spacing w:val="0"/>
          <w:w w:val="100"/>
          <w:position w:val="0"/>
        </w:rPr>
        <w:t>以公允价值计量且其变动计入当期损益的金融资产（债务工具投资）系理财产品， 以预期收益率预测未来现金流量，重要不可观察估计量为预期收益率等；指定为以公允价值计量且其变动计入当期损益的金 融资产（其他权益工具投资）系投资非上市公司股权，估计技术为收益法，重要不可观察估计量为未来现金流量等。</w:t>
      </w:r>
    </w:p>
    <w:p>
      <w:pPr>
        <w:pStyle w:val="Style29"/>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r>
        <w:rPr>
          <w:color w:val="000000"/>
          <w:spacing w:val="0"/>
          <w:w w:val="100"/>
          <w:position w:val="0"/>
          <w:sz w:val="24"/>
          <w:szCs w:val="24"/>
        </w:rPr>
        <w:t>十二、关联方及关联交易</w:t>
      </w:r>
      <w:bookmarkEnd w:id="1704"/>
      <w:bookmarkEnd w:id="1705"/>
      <w:bookmarkEnd w:id="1706"/>
    </w:p>
    <w:p>
      <w:pPr>
        <w:pStyle w:val="Style39"/>
        <w:keepNext/>
        <w:keepLines/>
        <w:widowControl w:val="0"/>
        <w:shd w:val="clear" w:color="auto" w:fill="auto"/>
        <w:bidi w:val="0"/>
        <w:spacing w:before="0" w:after="320" w:line="240" w:lineRule="auto"/>
        <w:ind w:left="0" w:right="0" w:firstLine="480"/>
        <w:jc w:val="both"/>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07"/>
      <w:bookmarkEnd w:id="1708"/>
      <w:bookmarkEnd w:id="1709"/>
    </w:p>
    <w:tbl>
      <w:tblPr>
        <w:tblOverlap w:val="never"/>
        <w:jc w:val="center"/>
        <w:tblLayout w:type="fixed"/>
      </w:tblPr>
      <w:tblGrid>
        <w:gridCol w:w="3019"/>
        <w:gridCol w:w="1133"/>
        <w:gridCol w:w="1138"/>
        <w:gridCol w:w="1138"/>
        <w:gridCol w:w="1594"/>
        <w:gridCol w:w="1622"/>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母公司对本企业的 持股比例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江苏东润金财投资管理有限公司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江苏大丰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r>
    </w:tbl>
    <w:p>
      <w:pPr>
        <w:widowControl w:val="0"/>
        <w:spacing w:after="99" w:line="1" w:lineRule="exact"/>
      </w:pPr>
    </w:p>
    <w:p>
      <w:pPr>
        <w:pStyle w:val="Style35"/>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本企业的母公司情况的说明</w:t>
      </w:r>
    </w:p>
    <w:p>
      <w:pPr>
        <w:pStyle w:val="Style35"/>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本企业最终控制方是朱文明。</w:t>
      </w:r>
    </w:p>
    <w:p>
      <w:pPr>
        <w:pStyle w:val="Style39"/>
        <w:keepNext/>
        <w:keepLines/>
        <w:widowControl w:val="0"/>
        <w:shd w:val="clear" w:color="auto" w:fill="auto"/>
        <w:tabs>
          <w:tab w:pos="858" w:val="left"/>
        </w:tabs>
        <w:bidi w:val="0"/>
        <w:spacing w:before="0" w:after="380" w:line="240" w:lineRule="auto"/>
        <w:ind w:left="0" w:right="0" w:firstLine="48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bookmarkEnd w:id="1712"/>
      <w:r>
        <w:rPr>
          <w:color w:val="000000"/>
          <w:spacing w:val="0"/>
          <w:w w:val="100"/>
          <w:position w:val="0"/>
        </w:rPr>
        <w:t>、</w:t>
        <w:tab/>
        <w:t>本企业的子公司情况</w:t>
      </w:r>
      <w:bookmarkEnd w:id="1710"/>
      <w:bookmarkEnd w:id="1711"/>
      <w:bookmarkEnd w:id="1713"/>
    </w:p>
    <w:p>
      <w:pPr>
        <w:pStyle w:val="Style35"/>
        <w:keepNext w:val="0"/>
        <w:keepLines w:val="0"/>
        <w:widowControl w:val="0"/>
        <w:shd w:val="clear" w:color="auto" w:fill="auto"/>
        <w:bidi w:val="0"/>
        <w:spacing w:before="0" w:after="380" w:line="240" w:lineRule="auto"/>
        <w:ind w:left="0" w:right="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9"/>
        <w:keepNext/>
        <w:keepLines/>
        <w:widowControl w:val="0"/>
        <w:shd w:val="clear" w:color="auto" w:fill="auto"/>
        <w:tabs>
          <w:tab w:pos="858" w:val="left"/>
        </w:tabs>
        <w:bidi w:val="0"/>
        <w:spacing w:before="0" w:after="380" w:line="240" w:lineRule="auto"/>
        <w:ind w:left="0" w:right="0" w:firstLine="48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3</w:t>
      </w:r>
      <w:bookmarkEnd w:id="1716"/>
      <w:r>
        <w:rPr>
          <w:color w:val="000000"/>
          <w:spacing w:val="0"/>
          <w:w w:val="100"/>
          <w:position w:val="0"/>
        </w:rPr>
        <w:t>、</w:t>
        <w:tab/>
        <w:t>本企业合营和联营企业情况</w:t>
      </w:r>
      <w:bookmarkEnd w:id="1714"/>
      <w:bookmarkEnd w:id="1715"/>
      <w:bookmarkEnd w:id="1717"/>
    </w:p>
    <w:p>
      <w:pPr>
        <w:pStyle w:val="Style35"/>
        <w:keepNext w:val="0"/>
        <w:keepLines w:val="0"/>
        <w:widowControl w:val="0"/>
        <w:shd w:val="clear" w:color="auto" w:fill="auto"/>
        <w:bidi w:val="0"/>
        <w:spacing w:before="0" w:after="380" w:line="240" w:lineRule="auto"/>
        <w:ind w:left="0" w:right="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9"/>
        <w:keepNext/>
        <w:keepLines/>
        <w:widowControl w:val="0"/>
        <w:shd w:val="clear" w:color="auto" w:fill="auto"/>
        <w:tabs>
          <w:tab w:pos="858" w:val="left"/>
        </w:tabs>
        <w:bidi w:val="0"/>
        <w:spacing w:before="0" w:after="320" w:line="240" w:lineRule="auto"/>
        <w:ind w:left="0" w:right="0" w:firstLine="480"/>
        <w:jc w:val="both"/>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4</w:t>
      </w:r>
      <w:bookmarkEnd w:id="1720"/>
      <w:r>
        <w:rPr>
          <w:color w:val="000000"/>
          <w:spacing w:val="0"/>
          <w:w w:val="100"/>
          <w:position w:val="0"/>
        </w:rPr>
        <w:t>、</w:t>
        <w:tab/>
        <w:t>其他关联方情况</w:t>
      </w:r>
      <w:bookmarkEnd w:id="1718"/>
      <w:bookmarkEnd w:id="1719"/>
      <w:bookmarkEnd w:id="1721"/>
    </w:p>
    <w:tbl>
      <w:tblPr>
        <w:tblOverlap w:val="never"/>
        <w:jc w:val="center"/>
        <w:tblLayout w:type="fixed"/>
      </w:tblPr>
      <w:tblGrid>
        <w:gridCol w:w="4824"/>
        <w:gridCol w:w="4819"/>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持本公司</w:t>
            </w:r>
            <w:r>
              <w:rPr>
                <w:rFonts w:ascii="Times New Roman" w:eastAsia="Times New Roman" w:hAnsi="Times New Roman" w:cs="Times New Roman"/>
                <w:color w:val="000000"/>
                <w:spacing w:val="0"/>
                <w:w w:val="100"/>
                <w:position w:val="0"/>
                <w:sz w:val="18"/>
                <w:szCs w:val="18"/>
              </w:rPr>
              <w:t>9.60%</w:t>
            </w:r>
            <w:r>
              <w:rPr>
                <w:color w:val="000000"/>
                <w:spacing w:val="0"/>
                <w:w w:val="100"/>
                <w:position w:val="0"/>
              </w:rPr>
              <w:t>股份的股东</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上海君德实业有限公司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本公司董事长朱文明先生控股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的企业</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80"/>
        <w:jc w:val="both"/>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5</w:t>
      </w:r>
      <w:bookmarkEnd w:id="1724"/>
      <w:r>
        <w:rPr>
          <w:color w:val="000000"/>
          <w:spacing w:val="0"/>
          <w:w w:val="100"/>
          <w:position w:val="0"/>
        </w:rPr>
        <w:t>、关联交易情况</w:t>
      </w:r>
      <w:bookmarkEnd w:id="1722"/>
      <w:bookmarkEnd w:id="1723"/>
      <w:bookmarkEnd w:id="1725"/>
    </w:p>
    <w:p>
      <w:pPr>
        <w:pStyle w:val="Style45"/>
        <w:keepNext/>
        <w:keepLines/>
        <w:widowControl w:val="0"/>
        <w:shd w:val="clear" w:color="auto" w:fill="auto"/>
        <w:bidi w:val="0"/>
        <w:spacing w:before="0" w:after="380" w:line="240" w:lineRule="auto"/>
        <w:ind w:left="0" w:right="0" w:firstLine="480"/>
        <w:jc w:val="both"/>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6"/>
      <w:bookmarkEnd w:id="1727"/>
      <w:bookmarkEnd w:id="1728"/>
    </w:p>
    <w:p>
      <w:pPr>
        <w:pStyle w:val="Style35"/>
        <w:keepNext w:val="0"/>
        <w:keepLines w:val="0"/>
        <w:widowControl w:val="0"/>
        <w:shd w:val="clear" w:color="auto" w:fill="auto"/>
        <w:bidi w:val="0"/>
        <w:spacing w:before="0" w:after="100" w:line="240" w:lineRule="auto"/>
        <w:ind w:left="0" w:right="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9"/>
        <w:gridCol w:w="1421"/>
        <w:gridCol w:w="1421"/>
        <w:gridCol w:w="1416"/>
        <w:gridCol w:w="850"/>
        <w:gridCol w:w="1522"/>
      </w:tblGrid>
      <w:tr>
        <w:trPr>
          <w:trHeight w:val="57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是否超过 交易额度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7,843,375.68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9,074,864.44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技术受让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607,210.96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467,018.45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11,901,174.71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40,929,095.52</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w:t>
            </w:r>
          </w:p>
        </w:tc>
      </w:tr>
    </w:tbl>
    <w:p>
      <w:pPr>
        <w:spacing w:lineRule="exact" w:line="1"/>
        <w:rPr>
          <w:sz w:val="2"/>
          <w:szCs w:val="2"/>
        </w:rPr>
      </w:pPr>
      <w:r>
        <w:br w:type="page"/>
      </w:r>
    </w:p>
    <w:tbl>
      <w:tblPr>
        <w:tblOverlap w:val="never"/>
        <w:jc w:val="center"/>
        <w:tblLayout w:type="fixed"/>
      </w:tblPr>
      <w:tblGrid>
        <w:gridCol w:w="3019"/>
        <w:gridCol w:w="1421"/>
        <w:gridCol w:w="1421"/>
        <w:gridCol w:w="1416"/>
        <w:gridCol w:w="850"/>
        <w:gridCol w:w="1522"/>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房屋租赁（承租）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391,989.37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375,334.86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上海君德实业有限公司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房屋租赁（承租）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2,761,209.44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2,596,427.53</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63"/>
        <w:gridCol w:w="2266"/>
        <w:gridCol w:w="2131"/>
        <w:gridCol w:w="2083"/>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19,130.49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570,417.07</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734,324.81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1,653,399.70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960,176.99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3,965,517.24</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1,001,438.44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675,279.36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15,339.25</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2,259,917.28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3,933,349.73</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销售配件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41,674.30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37,213.30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房屋租赁（出租）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196,952.40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142,857.12</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29"/>
      <w:bookmarkEnd w:id="1730"/>
      <w:bookmarkEnd w:id="1731"/>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本公司作为出租方: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63"/>
        <w:gridCol w:w="1982"/>
        <w:gridCol w:w="2275"/>
        <w:gridCol w:w="2222"/>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本期确认的租赁收入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上期确认的租赁收入</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196,952.40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142,857.12</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jc w:val="left"/>
      </w:pPr>
      <w:r>
        <w:rPr>
          <w:color w:val="000000"/>
          <w:spacing w:val="0"/>
          <w:w w:val="100"/>
          <w:position w:val="0"/>
        </w:rPr>
        <w:t>本公司作为承租方：</w:t>
      </w:r>
    </w:p>
    <w:p>
      <w:pPr>
        <w:pStyle w:val="Style3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434"/>
        <w:gridCol w:w="2395"/>
        <w:gridCol w:w="2390"/>
        <w:gridCol w:w="242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391,989.37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375,334.86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上海君德实业有限公司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2,761,209.44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2,596,427.53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6</w:t>
      </w:r>
      <w:bookmarkEnd w:id="1734"/>
      <w:r>
        <w:rPr>
          <w:color w:val="000000"/>
          <w:spacing w:val="0"/>
          <w:w w:val="100"/>
          <w:position w:val="0"/>
        </w:rPr>
        <w:t>、关联方应收应付款项</w:t>
      </w:r>
      <w:bookmarkEnd w:id="1732"/>
      <w:bookmarkEnd w:id="1733"/>
      <w:bookmarkEnd w:id="1735"/>
    </w:p>
    <w:p>
      <w:pPr>
        <w:pStyle w:val="Style45"/>
        <w:keepNext/>
        <w:keepLines/>
        <w:widowControl w:val="0"/>
        <w:shd w:val="clear" w:color="auto" w:fill="auto"/>
        <w:bidi w:val="0"/>
        <w:spacing w:before="0" w:after="320" w:line="240" w:lineRule="auto"/>
        <w:ind w:left="0" w:right="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36"/>
      <w:bookmarkEnd w:id="1737"/>
      <w:bookmarkEnd w:id="17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2832"/>
        <w:gridCol w:w="1363"/>
        <w:gridCol w:w="1363"/>
        <w:gridCol w:w="1358"/>
        <w:gridCol w:w="1397"/>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347,530.41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108,401.38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199,845.06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48,228.00</w:t>
            </w: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320"/>
        <w:gridCol w:w="2832"/>
        <w:gridCol w:w="1363"/>
        <w:gridCol w:w="1368"/>
        <w:gridCol w:w="1358"/>
        <w:gridCol w:w="1392"/>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280,007.59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广州丰东热炼有限公司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5,517,508.20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580"/>
        <w:jc w:val="both"/>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39"/>
      <w:bookmarkEnd w:id="1740"/>
      <w:bookmarkEnd w:id="17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3086"/>
        <w:gridCol w:w="2395"/>
        <w:gridCol w:w="241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东方工程株式会社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2,643,931.37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3,312,781.09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盐城高周波热炼有限公司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456,320.60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江苏石川岛丰东真空技术有限公司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9,144,333.96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10,522,372.02</w:t>
            </w:r>
          </w:p>
        </w:tc>
      </w:tr>
    </w:tbl>
    <w:p>
      <w:pPr>
        <w:widowControl w:val="0"/>
        <w:spacing w:after="359" w:line="1" w:lineRule="exact"/>
      </w:pPr>
    </w:p>
    <w:p>
      <w:pPr>
        <w:pStyle w:val="Style39"/>
        <w:keepNext/>
        <w:keepLines/>
        <w:widowControl w:val="0"/>
        <w:shd w:val="clear" w:color="auto" w:fill="auto"/>
        <w:tabs>
          <w:tab w:pos="833" w:val="left"/>
        </w:tabs>
        <w:bidi w:val="0"/>
        <w:spacing w:before="0" w:line="240" w:lineRule="auto"/>
        <w:ind w:left="0" w:right="0" w:firstLine="46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color w:val="000000"/>
          <w:spacing w:val="0"/>
          <w:w w:val="100"/>
          <w:position w:val="0"/>
        </w:rPr>
        <w:t>、</w:t>
        <w:tab/>
        <w:t>关联方承诺</w:t>
      </w:r>
      <w:bookmarkEnd w:id="1742"/>
      <w:bookmarkEnd w:id="1743"/>
      <w:bookmarkEnd w:id="1745"/>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9"/>
        <w:keepNext/>
        <w:keepLines/>
        <w:widowControl w:val="0"/>
        <w:shd w:val="clear" w:color="auto" w:fill="auto"/>
        <w:tabs>
          <w:tab w:pos="838" w:val="left"/>
        </w:tabs>
        <w:bidi w:val="0"/>
        <w:spacing w:before="0" w:line="240" w:lineRule="auto"/>
        <w:ind w:left="0" w:right="0" w:firstLine="46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8</w:t>
      </w:r>
      <w:bookmarkEnd w:id="1748"/>
      <w:r>
        <w:rPr>
          <w:color w:val="000000"/>
          <w:spacing w:val="0"/>
          <w:w w:val="100"/>
          <w:position w:val="0"/>
        </w:rPr>
        <w:t>、</w:t>
        <w:tab/>
        <w:t>其他</w:t>
      </w:r>
      <w:bookmarkEnd w:id="1746"/>
      <w:bookmarkEnd w:id="1747"/>
      <w:bookmarkEnd w:id="1749"/>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sz w:val="24"/>
          <w:szCs w:val="24"/>
        </w:rPr>
        <w:t>十三、股份支付</w:t>
      </w:r>
      <w:bookmarkEnd w:id="1750"/>
      <w:bookmarkEnd w:id="1751"/>
      <w:bookmarkEnd w:id="1752"/>
    </w:p>
    <w:p>
      <w:pPr>
        <w:pStyle w:val="Style39"/>
        <w:keepNext/>
        <w:keepLines/>
        <w:widowControl w:val="0"/>
        <w:shd w:val="clear" w:color="auto" w:fill="auto"/>
        <w:tabs>
          <w:tab w:pos="828" w:val="left"/>
        </w:tabs>
        <w:bidi w:val="0"/>
        <w:spacing w:before="0" w:line="240" w:lineRule="auto"/>
        <w:ind w:left="0" w:right="0" w:firstLine="46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1</w:t>
      </w:r>
      <w:bookmarkEnd w:id="1755"/>
      <w:r>
        <w:rPr>
          <w:color w:val="000000"/>
          <w:spacing w:val="0"/>
          <w:w w:val="100"/>
          <w:position w:val="0"/>
        </w:rPr>
        <w:t>、</w:t>
        <w:tab/>
        <w:t>股份支付总体情况</w:t>
      </w:r>
      <w:bookmarkEnd w:id="1753"/>
      <w:bookmarkEnd w:id="1754"/>
      <w:bookmarkEnd w:id="1756"/>
    </w:p>
    <w:p>
      <w:pPr>
        <w:pStyle w:val="Style35"/>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838" w:val="left"/>
        </w:tabs>
        <w:bidi w:val="0"/>
        <w:spacing w:before="0" w:line="240" w:lineRule="auto"/>
        <w:ind w:left="0" w:right="0" w:firstLine="460"/>
        <w:jc w:val="both"/>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2</w:t>
      </w:r>
      <w:bookmarkEnd w:id="1759"/>
      <w:r>
        <w:rPr>
          <w:color w:val="000000"/>
          <w:spacing w:val="0"/>
          <w:w w:val="100"/>
          <w:position w:val="0"/>
        </w:rPr>
        <w:t>、</w:t>
        <w:tab/>
        <w:t>以权益结算的股份支付情况</w:t>
      </w:r>
      <w:bookmarkEnd w:id="1757"/>
      <w:bookmarkEnd w:id="1758"/>
      <w:bookmarkEnd w:id="1760"/>
    </w:p>
    <w:p>
      <w:pPr>
        <w:pStyle w:val="Style35"/>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838" w:val="left"/>
        </w:tabs>
        <w:bidi w:val="0"/>
        <w:spacing w:before="0" w:line="240" w:lineRule="auto"/>
        <w:ind w:left="0" w:right="0" w:firstLine="460"/>
        <w:jc w:val="both"/>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3</w:t>
      </w:r>
      <w:bookmarkEnd w:id="1763"/>
      <w:r>
        <w:rPr>
          <w:color w:val="000000"/>
          <w:spacing w:val="0"/>
          <w:w w:val="100"/>
          <w:position w:val="0"/>
        </w:rPr>
        <w:t>、</w:t>
        <w:tab/>
        <w:t>以现金结算的股份支付情况</w:t>
      </w:r>
      <w:bookmarkEnd w:id="1761"/>
      <w:bookmarkEnd w:id="1762"/>
      <w:bookmarkEnd w:id="1764"/>
    </w:p>
    <w:p>
      <w:pPr>
        <w:pStyle w:val="Style35"/>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838" w:val="left"/>
        </w:tabs>
        <w:bidi w:val="0"/>
        <w:spacing w:before="0" w:line="240" w:lineRule="auto"/>
        <w:ind w:left="0" w:right="0" w:firstLine="46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4</w:t>
      </w:r>
      <w:bookmarkEnd w:id="1767"/>
      <w:r>
        <w:rPr>
          <w:color w:val="000000"/>
          <w:spacing w:val="0"/>
          <w:w w:val="100"/>
          <w:position w:val="0"/>
        </w:rPr>
        <w:t>、</w:t>
        <w:tab/>
        <w:t>股份支付的修改、终止情况</w:t>
      </w:r>
      <w:bookmarkEnd w:id="1765"/>
      <w:bookmarkEnd w:id="1766"/>
      <w:bookmarkEnd w:id="1768"/>
    </w:p>
    <w:p>
      <w:pPr>
        <w:pStyle w:val="Style35"/>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48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color w:val="000000"/>
          <w:spacing w:val="0"/>
          <w:w w:val="100"/>
          <w:position w:val="0"/>
        </w:rPr>
        <w:t>、其他</w:t>
      </w:r>
      <w:bookmarkEnd w:id="1769"/>
      <w:bookmarkEnd w:id="1770"/>
      <w:bookmarkEnd w:id="1772"/>
    </w:p>
    <w:p>
      <w:pPr>
        <w:pStyle w:val="Style35"/>
        <w:keepNext w:val="0"/>
        <w:keepLines w:val="0"/>
        <w:widowControl w:val="0"/>
        <w:shd w:val="clear" w:color="auto" w:fill="auto"/>
        <w:bidi w:val="0"/>
        <w:spacing w:before="0" w:after="6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r>
        <w:rPr>
          <w:color w:val="000000"/>
          <w:spacing w:val="0"/>
          <w:w w:val="100"/>
          <w:position w:val="0"/>
          <w:sz w:val="24"/>
          <w:szCs w:val="24"/>
        </w:rPr>
        <w:t>十四、承诺及或有事项</w:t>
      </w:r>
      <w:bookmarkEnd w:id="1773"/>
      <w:bookmarkEnd w:id="1774"/>
      <w:bookmarkEnd w:id="1775"/>
    </w:p>
    <w:p>
      <w:pPr>
        <w:pStyle w:val="Style39"/>
        <w:keepNext/>
        <w:keepLines/>
        <w:widowControl w:val="0"/>
        <w:shd w:val="clear" w:color="auto" w:fill="auto"/>
        <w:bidi w:val="0"/>
        <w:spacing w:before="0" w:after="380" w:line="240" w:lineRule="auto"/>
        <w:ind w:left="0" w:right="0" w:firstLine="48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76"/>
      <w:bookmarkEnd w:id="1777"/>
      <w:bookmarkEnd w:id="1778"/>
    </w:p>
    <w:p>
      <w:pPr>
        <w:pStyle w:val="Style35"/>
        <w:keepNext w:val="0"/>
        <w:keepLines w:val="0"/>
        <w:widowControl w:val="0"/>
        <w:shd w:val="clear" w:color="auto" w:fill="auto"/>
        <w:bidi w:val="0"/>
        <w:spacing w:before="0" w:after="140" w:line="240" w:lineRule="auto"/>
        <w:ind w:left="0" w:right="0"/>
        <w:jc w:val="both"/>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140" w:line="240" w:lineRule="auto"/>
        <w:ind w:left="0" w:right="0"/>
        <w:jc w:val="both"/>
      </w:pPr>
      <w:r>
        <w:rPr>
          <w:color w:val="000000"/>
          <w:spacing w:val="0"/>
          <w:w w:val="100"/>
          <w:position w:val="0"/>
        </w:rPr>
        <w:t>经营性租赁承诺</w:t>
      </w:r>
    </w:p>
    <w:p>
      <w:pPr>
        <w:pStyle w:val="Style35"/>
        <w:keepNext w:val="0"/>
        <w:keepLines w:val="0"/>
        <w:widowControl w:val="0"/>
        <w:shd w:val="clear" w:color="auto" w:fill="auto"/>
        <w:bidi w:val="0"/>
        <w:spacing w:before="0" w:after="80" w:line="240" w:lineRule="auto"/>
        <w:ind w:left="0" w:right="0"/>
        <w:jc w:val="both"/>
      </w:pPr>
      <w:r>
        <w:rPr>
          <w:color w:val="000000"/>
          <w:spacing w:val="0"/>
          <w:w w:val="100"/>
          <w:position w:val="0"/>
        </w:rPr>
        <w:t>于各资产负债表日，本公司就下列期间的不可撤销之租赁协议需缴付的最低租金为:</w:t>
      </w:r>
    </w:p>
    <w:tbl>
      <w:tblPr>
        <w:tblOverlap w:val="never"/>
        <w:jc w:val="center"/>
        <w:tblLayout w:type="fixed"/>
      </w:tblPr>
      <w:tblGrid>
        <w:gridCol w:w="4862"/>
        <w:gridCol w:w="4853"/>
      </w:tblGrid>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60" w:right="0" w:firstLine="0"/>
              <w:jc w:val="left"/>
              <w:rPr>
                <w:sz w:val="18"/>
                <w:szCs w:val="18"/>
              </w:rPr>
            </w:pPr>
            <w:r>
              <w:rPr>
                <w:rFonts w:ascii="Times New Roman" w:eastAsia="Times New Roman" w:hAnsi="Times New Roman" w:cs="Times New Roman"/>
                <w:color w:val="000000"/>
                <w:spacing w:val="0"/>
                <w:w w:val="100"/>
                <w:position w:val="0"/>
                <w:sz w:val="18"/>
                <w:szCs w:val="18"/>
              </w:rPr>
              <w:t>18,619,637.22</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60" w:right="0" w:firstLine="0"/>
              <w:jc w:val="left"/>
              <w:rPr>
                <w:sz w:val="18"/>
                <w:szCs w:val="18"/>
              </w:rPr>
            </w:pPr>
            <w:r>
              <w:rPr>
                <w:rFonts w:ascii="Times New Roman" w:eastAsia="Times New Roman" w:hAnsi="Times New Roman" w:cs="Times New Roman"/>
                <w:color w:val="000000"/>
                <w:spacing w:val="0"/>
                <w:w w:val="100"/>
                <w:position w:val="0"/>
                <w:sz w:val="18"/>
                <w:szCs w:val="18"/>
              </w:rPr>
              <w:t>16,859,982.32</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60" w:right="0" w:firstLine="0"/>
              <w:jc w:val="left"/>
              <w:rPr>
                <w:sz w:val="18"/>
                <w:szCs w:val="18"/>
              </w:rPr>
            </w:pPr>
            <w:r>
              <w:rPr>
                <w:rFonts w:ascii="Times New Roman" w:eastAsia="Times New Roman" w:hAnsi="Times New Roman" w:cs="Times New Roman"/>
                <w:color w:val="000000"/>
                <w:spacing w:val="0"/>
                <w:w w:val="100"/>
                <w:position w:val="0"/>
                <w:sz w:val="18"/>
                <w:szCs w:val="18"/>
              </w:rPr>
              <w:t>11,861,029.44</w:t>
            </w:r>
          </w:p>
        </w:tc>
      </w:tr>
      <w:tr>
        <w:trPr>
          <w:trHeight w:val="4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60" w:right="0" w:firstLine="0"/>
              <w:jc w:val="left"/>
              <w:rPr>
                <w:sz w:val="18"/>
                <w:szCs w:val="18"/>
              </w:rPr>
            </w:pPr>
            <w:r>
              <w:rPr>
                <w:rFonts w:ascii="Times New Roman" w:eastAsia="Times New Roman" w:hAnsi="Times New Roman" w:cs="Times New Roman"/>
                <w:color w:val="000000"/>
                <w:spacing w:val="0"/>
                <w:w w:val="100"/>
                <w:position w:val="0"/>
                <w:sz w:val="18"/>
                <w:szCs w:val="18"/>
              </w:rPr>
              <w:t>25,253,554.00</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60" w:right="0" w:firstLine="0"/>
              <w:jc w:val="left"/>
              <w:rPr>
                <w:sz w:val="18"/>
                <w:szCs w:val="18"/>
              </w:rPr>
            </w:pPr>
            <w:r>
              <w:rPr>
                <w:rFonts w:ascii="Times New Roman" w:eastAsia="Times New Roman" w:hAnsi="Times New Roman" w:cs="Times New Roman"/>
                <w:color w:val="000000"/>
                <w:spacing w:val="0"/>
                <w:w w:val="100"/>
                <w:position w:val="0"/>
                <w:sz w:val="18"/>
                <w:szCs w:val="18"/>
              </w:rPr>
              <w:t>72,594,202.98</w:t>
            </w:r>
          </w:p>
        </w:tc>
      </w:tr>
    </w:tbl>
    <w:p>
      <w:pPr>
        <w:pStyle w:val="Style33"/>
        <w:keepNext w:val="0"/>
        <w:keepLines w:val="0"/>
        <w:widowControl w:val="0"/>
        <w:shd w:val="clear" w:color="auto" w:fill="auto"/>
        <w:bidi w:val="0"/>
        <w:spacing w:before="0" w:after="0" w:line="240" w:lineRule="auto"/>
        <w:ind w:left="379"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日止，除上述承诺事项外公司未发生其他影响本财务报表阅读和理解的重大承诺事项。</w:t>
      </w:r>
    </w:p>
    <w:p>
      <w:pPr>
        <w:widowControl w:val="0"/>
        <w:spacing w:after="379" w:line="1" w:lineRule="exact"/>
      </w:pPr>
    </w:p>
    <w:p>
      <w:pPr>
        <w:pStyle w:val="Style39"/>
        <w:keepNext/>
        <w:keepLines/>
        <w:widowControl w:val="0"/>
        <w:shd w:val="clear" w:color="auto" w:fill="auto"/>
        <w:tabs>
          <w:tab w:pos="858" w:val="left"/>
        </w:tabs>
        <w:bidi w:val="0"/>
        <w:spacing w:before="0" w:after="380" w:line="240" w:lineRule="auto"/>
        <w:ind w:left="0" w:right="0" w:firstLine="48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2</w:t>
      </w:r>
      <w:bookmarkEnd w:id="1781"/>
      <w:r>
        <w:rPr>
          <w:color w:val="000000"/>
          <w:spacing w:val="0"/>
          <w:w w:val="100"/>
          <w:position w:val="0"/>
        </w:rPr>
        <w:t>、</w:t>
        <w:tab/>
        <w:t>或有事项</w:t>
      </w:r>
      <w:bookmarkEnd w:id="1779"/>
      <w:bookmarkEnd w:id="1780"/>
      <w:bookmarkEnd w:id="1782"/>
    </w:p>
    <w:p>
      <w:pPr>
        <w:pStyle w:val="Style45"/>
        <w:keepNext/>
        <w:keepLines/>
        <w:widowControl w:val="0"/>
        <w:shd w:val="clear" w:color="auto" w:fill="auto"/>
        <w:tabs>
          <w:tab w:pos="973" w:val="left"/>
        </w:tabs>
        <w:bidi w:val="0"/>
        <w:spacing w:before="0" w:after="260" w:line="240" w:lineRule="auto"/>
        <w:ind w:left="0" w:right="0" w:firstLine="48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83"/>
      <w:bookmarkEnd w:id="1784"/>
      <w:bookmarkEnd w:id="1786"/>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日止，公司未发生影响本财务报表阅读和理解的或有事项。</w:t>
      </w:r>
    </w:p>
    <w:p>
      <w:pPr>
        <w:pStyle w:val="Style45"/>
        <w:keepNext/>
        <w:keepLines/>
        <w:widowControl w:val="0"/>
        <w:shd w:val="clear" w:color="auto" w:fill="auto"/>
        <w:tabs>
          <w:tab w:pos="973" w:val="left"/>
        </w:tabs>
        <w:bidi w:val="0"/>
        <w:spacing w:before="0" w:after="260" w:line="240" w:lineRule="auto"/>
        <w:ind w:left="0" w:right="0" w:firstLine="48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87"/>
      <w:bookmarkEnd w:id="1788"/>
      <w:bookmarkEnd w:id="1790"/>
    </w:p>
    <w:p>
      <w:pPr>
        <w:pStyle w:val="Style35"/>
        <w:keepNext w:val="0"/>
        <w:keepLines w:val="0"/>
        <w:widowControl w:val="0"/>
        <w:shd w:val="clear" w:color="auto" w:fill="auto"/>
        <w:bidi w:val="0"/>
        <w:spacing w:before="0" w:after="380" w:line="314" w:lineRule="exact"/>
        <w:ind w:left="0" w:right="0"/>
        <w:jc w:val="both"/>
      </w:pPr>
      <w:r>
        <w:rPr>
          <w:color w:val="000000"/>
          <w:spacing w:val="0"/>
          <w:w w:val="100"/>
          <w:position w:val="0"/>
        </w:rPr>
        <w:t>公司不存在需要披露的重要或有事项。</w:t>
      </w:r>
    </w:p>
    <w:p>
      <w:pPr>
        <w:pStyle w:val="Style39"/>
        <w:keepNext/>
        <w:keepLines/>
        <w:widowControl w:val="0"/>
        <w:shd w:val="clear" w:color="auto" w:fill="auto"/>
        <w:tabs>
          <w:tab w:pos="858" w:val="left"/>
        </w:tabs>
        <w:bidi w:val="0"/>
        <w:spacing w:before="0" w:after="260" w:line="240" w:lineRule="auto"/>
        <w:ind w:left="0" w:right="0" w:firstLine="48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w:t>
        <w:tab/>
        <w:t>其他</w:t>
      </w:r>
      <w:bookmarkEnd w:id="1791"/>
      <w:bookmarkEnd w:id="1792"/>
      <w:bookmarkEnd w:id="1794"/>
    </w:p>
    <w:p>
      <w:pPr>
        <w:pStyle w:val="Style35"/>
        <w:keepNext w:val="0"/>
        <w:keepLines w:val="0"/>
        <w:widowControl w:val="0"/>
        <w:shd w:val="clear" w:color="auto" w:fill="auto"/>
        <w:tabs>
          <w:tab w:pos="872" w:val="left"/>
        </w:tabs>
        <w:bidi w:val="0"/>
        <w:spacing w:before="0" w:after="0" w:line="314" w:lineRule="exact"/>
        <w:ind w:left="0" w:right="0"/>
        <w:jc w:val="both"/>
      </w:pPr>
      <w:bookmarkStart w:id="1795" w:name="bookmark1795"/>
      <w:r>
        <w:rPr>
          <w:color w:val="000000"/>
          <w:spacing w:val="0"/>
          <w:w w:val="100"/>
          <w:position w:val="0"/>
        </w:rPr>
        <w:t>（</w:t>
      </w:r>
      <w:bookmarkEnd w:id="17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日止，丰东热技术下属子公司盐城丰东特种炉业有限公司将位于大丰区经济开发区昌平路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号的 自有房产及土地使用权，抵押给江苏大丰农村商业银行，取得期末</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万元流动资金抵押担保借款，抵押期限为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35"/>
        <w:keepNext w:val="0"/>
        <w:keepLines w:val="0"/>
        <w:widowControl w:val="0"/>
        <w:shd w:val="clear" w:color="auto" w:fill="auto"/>
        <w:tabs>
          <w:tab w:pos="901" w:val="left"/>
        </w:tabs>
        <w:bidi w:val="0"/>
        <w:spacing w:before="0" w:after="0" w:line="314" w:lineRule="exact"/>
        <w:ind w:left="0" w:right="0"/>
        <w:jc w:val="both"/>
      </w:pPr>
      <w:bookmarkStart w:id="1796" w:name="bookmark1796"/>
      <w:r>
        <w:rPr>
          <w:color w:val="000000"/>
          <w:spacing w:val="0"/>
          <w:w w:val="100"/>
          <w:position w:val="0"/>
        </w:rPr>
        <w:t>（</w:t>
      </w:r>
      <w:bookmarkEnd w:id="17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日止，方欣科技下属子公司益东金财将位于广州市萝岗区科学大道</w:t>
      </w:r>
      <w:r>
        <w:rPr>
          <w:rFonts w:ascii="Times New Roman" w:eastAsia="Times New Roman" w:hAnsi="Times New Roman" w:cs="Times New Roman"/>
          <w:color w:val="000000"/>
          <w:spacing w:val="0"/>
          <w:w w:val="100"/>
          <w:position w:val="0"/>
          <w:sz w:val="18"/>
          <w:szCs w:val="18"/>
        </w:rPr>
        <w:t>82-88</w:t>
      </w:r>
      <w:r>
        <w:rPr>
          <w:color w:val="000000"/>
          <w:spacing w:val="0"/>
          <w:w w:val="100"/>
          <w:position w:val="0"/>
        </w:rPr>
        <w:t>号（双号）</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栋的房产， 抵押给民生银行，取得期末</w:t>
      </w:r>
      <w:r>
        <w:rPr>
          <w:rFonts w:ascii="Times New Roman" w:eastAsia="Times New Roman" w:hAnsi="Times New Roman" w:cs="Times New Roman"/>
          <w:color w:val="000000"/>
          <w:spacing w:val="0"/>
          <w:w w:val="100"/>
          <w:position w:val="0"/>
          <w:sz w:val="18"/>
          <w:szCs w:val="18"/>
        </w:rPr>
        <w:t>77,110,187.29</w:t>
      </w:r>
      <w:r>
        <w:rPr>
          <w:color w:val="000000"/>
          <w:spacing w:val="0"/>
          <w:w w:val="100"/>
          <w:position w:val="0"/>
        </w:rPr>
        <w:t>元的长期借款（含一年内到期的非流动负债</w:t>
      </w:r>
      <w:r>
        <w:rPr>
          <w:rFonts w:ascii="Times New Roman" w:eastAsia="Times New Roman" w:hAnsi="Times New Roman" w:cs="Times New Roman"/>
          <w:color w:val="000000"/>
          <w:spacing w:val="0"/>
          <w:w w:val="100"/>
          <w:position w:val="0"/>
          <w:sz w:val="18"/>
          <w:szCs w:val="18"/>
        </w:rPr>
        <w:t>10,153,320.10</w:t>
      </w:r>
      <w:r>
        <w:rPr>
          <w:color w:val="000000"/>
          <w:spacing w:val="0"/>
          <w:w w:val="100"/>
          <w:position w:val="0"/>
        </w:rPr>
        <w:t>元），抵押期限为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35"/>
        <w:keepNext w:val="0"/>
        <w:keepLines w:val="0"/>
        <w:widowControl w:val="0"/>
        <w:shd w:val="clear" w:color="auto" w:fill="auto"/>
        <w:tabs>
          <w:tab w:pos="901" w:val="left"/>
        </w:tabs>
        <w:bidi w:val="0"/>
        <w:spacing w:before="0" w:after="0" w:line="314" w:lineRule="exact"/>
        <w:ind w:left="0" w:right="0"/>
        <w:jc w:val="both"/>
      </w:pPr>
      <w:bookmarkStart w:id="1797" w:name="bookmark1797"/>
      <w:r>
        <w:rPr>
          <w:color w:val="000000"/>
          <w:spacing w:val="0"/>
          <w:w w:val="100"/>
          <w:position w:val="0"/>
        </w:rPr>
        <w:t>（</w:t>
      </w:r>
      <w:bookmarkEnd w:id="17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日止，丰东热技术下属子公司天津丰东热处理有限公司将位于天津市北辰区通跃路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号的自有 房产及土地使用权，抵押给中国工商银行股份有限公司天津河北支行，取得</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万元流动资金抵押担保借款，抵押期限为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35"/>
        <w:keepNext w:val="0"/>
        <w:keepLines w:val="0"/>
        <w:widowControl w:val="0"/>
        <w:shd w:val="clear" w:color="auto" w:fill="auto"/>
        <w:tabs>
          <w:tab w:pos="845" w:val="left"/>
        </w:tabs>
        <w:bidi w:val="0"/>
        <w:spacing w:before="0" w:after="320" w:line="314" w:lineRule="exact"/>
        <w:ind w:left="0" w:right="0"/>
        <w:jc w:val="both"/>
      </w:pPr>
      <w:bookmarkStart w:id="1798" w:name="bookmark1798"/>
      <w:r>
        <w:rPr>
          <w:color w:val="000000"/>
          <w:spacing w:val="0"/>
          <w:w w:val="100"/>
          <w:position w:val="0"/>
        </w:rPr>
        <w:t>（</w:t>
      </w:r>
      <w:bookmarkEnd w:id="17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日止，丰东热技术下属子公司青岛丰东热处理有限公司将青岛丰东热工技术有限公司位于莱西</w:t>
      </w:r>
      <w:r>
        <w:br w:type="page"/>
      </w:r>
    </w:p>
    <w:p>
      <w:pPr>
        <w:pStyle w:val="Style35"/>
        <w:keepNext w:val="0"/>
        <w:keepLines w:val="0"/>
        <w:widowControl w:val="0"/>
        <w:shd w:val="clear" w:color="auto" w:fill="auto"/>
        <w:bidi w:val="0"/>
        <w:spacing w:before="0" w:after="80" w:line="312" w:lineRule="exact"/>
        <w:ind w:left="0" w:right="0" w:firstLine="180"/>
        <w:jc w:val="left"/>
      </w:pPr>
      <w:r>
        <w:rPr>
          <w:color w:val="000000"/>
          <w:spacing w:val="0"/>
          <w:w w:val="100"/>
          <w:position w:val="0"/>
        </w:rPr>
        <w:t>市姜山镇维十三路南经八路西的土地使用权，抵押给中国银行青岛香港路支行，取得期末</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万元的长期借款（含一年内到 期的非流动负债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万元），抵押期限为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日，并由吴俊平、张丽萍提供保证。</w:t>
      </w:r>
    </w:p>
    <w:p>
      <w:pPr>
        <w:pStyle w:val="Style35"/>
        <w:keepNext w:val="0"/>
        <w:keepLines w:val="0"/>
        <w:widowControl w:val="0"/>
        <w:shd w:val="clear" w:color="auto" w:fill="auto"/>
        <w:bidi w:val="0"/>
        <w:spacing w:before="0" w:after="140" w:line="31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日止，公司为下属子公司丰东热技术期末借款</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万元提供担保，担保期限为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35"/>
        <w:keepNext w:val="0"/>
        <w:keepLines w:val="0"/>
        <w:widowControl w:val="0"/>
        <w:shd w:val="clear" w:color="auto" w:fill="auto"/>
        <w:bidi w:val="0"/>
        <w:spacing w:before="0" w:after="80" w:line="240" w:lineRule="auto"/>
        <w:ind w:left="0" w:right="0" w:firstLine="560"/>
        <w:jc w:val="left"/>
      </w:pPr>
      <w:bookmarkStart w:id="1799" w:name="bookmark1799"/>
      <w:r>
        <w:rPr>
          <w:color w:val="000000"/>
          <w:spacing w:val="0"/>
          <w:w w:val="100"/>
          <w:position w:val="0"/>
        </w:rPr>
        <w:t>（</w:t>
      </w:r>
      <w:bookmarkEnd w:id="1799"/>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以上股东所持股份质押情况如下:</w:t>
      </w:r>
    </w:p>
    <w:tbl>
      <w:tblPr>
        <w:tblOverlap w:val="never"/>
        <w:jc w:val="center"/>
        <w:tblLayout w:type="fixed"/>
      </w:tblPr>
      <w:tblGrid>
        <w:gridCol w:w="1037"/>
        <w:gridCol w:w="883"/>
        <w:gridCol w:w="989"/>
        <w:gridCol w:w="994"/>
        <w:gridCol w:w="1133"/>
        <w:gridCol w:w="3125"/>
        <w:gridCol w:w="994"/>
        <w:gridCol w:w="878"/>
      </w:tblGrid>
      <w:tr>
        <w:trPr>
          <w:trHeight w:val="83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4"/>
                <w:szCs w:val="14"/>
              </w:rPr>
            </w:pPr>
            <w:r>
              <w:rPr>
                <w:color w:val="000000"/>
                <w:spacing w:val="0"/>
                <w:w w:val="100"/>
                <w:position w:val="0"/>
                <w:sz w:val="14"/>
                <w:szCs w:val="14"/>
              </w:rPr>
              <w:t>是否为第一 大股东及一 致行动人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质押开始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质押到期日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rPr>
              <w:t>质押股份占其</w:t>
            </w:r>
          </w:p>
          <w:p>
            <w:pPr>
              <w:pStyle w:val="Style2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所持股份比例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用途</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92,863,933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融资</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10,954,645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融资</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10,098,078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融资</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徐正军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融资</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27,083,333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海通证券股份有限公司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融资</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朱文明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中国银行股份有限公司重庆璧山支行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担保</w:t>
            </w:r>
          </w:p>
        </w:tc>
      </w:tr>
      <w:tr>
        <w:trPr>
          <w:trHeight w:val="51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束昱辉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42,627,013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天津市公安局武清分局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5" w:lineRule="exact"/>
              <w:ind w:left="240" w:right="0" w:firstLine="0"/>
              <w:jc w:val="left"/>
            </w:pPr>
            <w:r>
              <w:rPr>
                <w:color w:val="000000"/>
                <w:spacing w:val="0"/>
                <w:w w:val="100"/>
                <w:position w:val="0"/>
              </w:rPr>
              <w:t>司法 冻结</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东润金财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15,999,999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申万宏源西部证券有限公司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融资</w:t>
            </w:r>
          </w:p>
        </w:tc>
      </w:tr>
      <w:tr>
        <w:trPr>
          <w:trHeight w:val="35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东润金财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2020/03/19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江苏银行股份有限公司盐城分行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0"/>
              <w:jc w:val="left"/>
            </w:pPr>
            <w:r>
              <w:rPr>
                <w:color w:val="000000"/>
                <w:spacing w:val="0"/>
                <w:w w:val="100"/>
                <w:position w:val="0"/>
              </w:rPr>
              <w:t>融资</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color w:val="000000"/>
          <w:spacing w:val="0"/>
          <w:w w:val="100"/>
          <w:position w:val="0"/>
          <w:sz w:val="24"/>
          <w:szCs w:val="24"/>
        </w:rPr>
        <w:t>十五、资产负债表日后事项</w:t>
      </w:r>
      <w:bookmarkEnd w:id="1800"/>
      <w:bookmarkEnd w:id="1801"/>
      <w:bookmarkEnd w:id="1802"/>
    </w:p>
    <w:p>
      <w:pPr>
        <w:pStyle w:val="Style39"/>
        <w:keepNext/>
        <w:keepLines/>
        <w:widowControl w:val="0"/>
        <w:shd w:val="clear" w:color="auto" w:fill="auto"/>
        <w:bidi w:val="0"/>
        <w:spacing w:before="0" w:line="240" w:lineRule="auto"/>
        <w:ind w:left="0" w:right="0" w:firstLine="62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803"/>
      <w:bookmarkEnd w:id="1804"/>
      <w:bookmarkEnd w:id="1805"/>
    </w:p>
    <w:tbl>
      <w:tblPr>
        <w:tblOverlap w:val="never"/>
        <w:jc w:val="center"/>
        <w:tblLayout w:type="fixed"/>
      </w:tblPr>
      <w:tblGrid>
        <w:gridCol w:w="5026"/>
        <w:gridCol w:w="4685"/>
      </w:tblGrid>
      <w:tr>
        <w:trPr>
          <w:trHeight w:val="302"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62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806"/>
      <w:bookmarkEnd w:id="1807"/>
      <w:bookmarkEnd w:id="1808"/>
    </w:p>
    <w:p>
      <w:pPr>
        <w:pStyle w:val="Style33"/>
        <w:keepNext w:val="0"/>
        <w:keepLines w:val="0"/>
        <w:widowControl w:val="0"/>
        <w:shd w:val="clear" w:color="auto" w:fill="auto"/>
        <w:bidi w:val="0"/>
        <w:spacing w:before="0" w:after="0" w:line="240" w:lineRule="auto"/>
        <w:ind w:left="398" w:right="0" w:firstLine="0"/>
        <w:jc w:val="left"/>
      </w:pPr>
      <w:r>
        <w:rPr>
          <w:color w:val="000000"/>
          <w:spacing w:val="0"/>
          <w:w w:val="100"/>
          <w:position w:val="0"/>
        </w:rPr>
        <w:t>截至本财务报表签发日，公司持股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以上股东所持股份解除质押情况如下:</w:t>
      </w:r>
    </w:p>
    <w:tbl>
      <w:tblPr>
        <w:tblOverlap w:val="never"/>
        <w:jc w:val="center"/>
        <w:tblLayout w:type="fixed"/>
      </w:tblPr>
      <w:tblGrid>
        <w:gridCol w:w="931"/>
        <w:gridCol w:w="994"/>
        <w:gridCol w:w="994"/>
        <w:gridCol w:w="1080"/>
        <w:gridCol w:w="1080"/>
        <w:gridCol w:w="2659"/>
        <w:gridCol w:w="1133"/>
        <w:gridCol w:w="883"/>
      </w:tblGrid>
      <w:tr>
        <w:trPr>
          <w:trHeight w:val="83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7" w:lineRule="exact"/>
              <w:ind w:left="0" w:right="0" w:firstLine="0"/>
              <w:jc w:val="center"/>
              <w:rPr>
                <w:sz w:val="14"/>
                <w:szCs w:val="14"/>
              </w:rPr>
            </w:pPr>
            <w:r>
              <w:rPr>
                <w:color w:val="000000"/>
                <w:spacing w:val="0"/>
                <w:w w:val="100"/>
                <w:position w:val="0"/>
                <w:sz w:val="14"/>
                <w:szCs w:val="14"/>
              </w:rPr>
              <w:t>是否为第一大 股东及一致行 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质押开始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解除质押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质押股份占其 所持股份比例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用途</w:t>
            </w:r>
          </w:p>
        </w:tc>
      </w:tr>
      <w:tr>
        <w:trPr>
          <w:trHeight w:val="4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东润金财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15,999,999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申万宏源西部证券有限公司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融资</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东润金财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2020/03/19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江苏银行股份有限公司盐城分行</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融资</w:t>
            </w:r>
          </w:p>
        </w:tc>
      </w:tr>
    </w:tbl>
    <w:p>
      <w:pPr>
        <w:widowControl w:val="0"/>
        <w:spacing w:after="79" w:line="1" w:lineRule="exact"/>
      </w:pPr>
    </w:p>
    <w:p>
      <w:pPr>
        <w:pStyle w:val="Style35"/>
        <w:keepNext w:val="0"/>
        <w:keepLines w:val="0"/>
        <w:widowControl w:val="0"/>
        <w:shd w:val="clear" w:color="auto" w:fill="auto"/>
        <w:bidi w:val="0"/>
        <w:spacing w:before="0" w:after="80" w:line="315" w:lineRule="exact"/>
        <w:ind w:left="0" w:right="0" w:firstLine="5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日，东润金财与上海湾区科技发展有限公司签订了《股份转让协议》，约定东润金财将其所持公司</w:t>
      </w:r>
      <w:r>
        <w:rPr>
          <w:rFonts w:ascii="Times New Roman" w:eastAsia="Times New Roman" w:hAnsi="Times New Roman" w:cs="Times New Roman"/>
          <w:color w:val="000000"/>
          <w:spacing w:val="0"/>
          <w:w w:val="100"/>
          <w:position w:val="0"/>
          <w:sz w:val="18"/>
          <w:szCs w:val="18"/>
        </w:rPr>
        <w:t xml:space="preserve">89,218,191 </w:t>
      </w:r>
      <w:r>
        <w:rPr>
          <w:color w:val="000000"/>
          <w:spacing w:val="0"/>
          <w:w w:val="100"/>
          <w:position w:val="0"/>
        </w:rPr>
        <w:t>股无限售流通股股票（占公司总股本的</w:t>
      </w:r>
      <w:r>
        <w:rPr>
          <w:rFonts w:ascii="Times New Roman" w:eastAsia="Times New Roman" w:hAnsi="Times New Roman" w:cs="Times New Roman"/>
          <w:color w:val="000000"/>
          <w:spacing w:val="0"/>
          <w:w w:val="100"/>
          <w:position w:val="0"/>
          <w:sz w:val="18"/>
          <w:szCs w:val="18"/>
        </w:rPr>
        <w:t>11.45%</w:t>
      </w:r>
      <w:r>
        <w:rPr>
          <w:color w:val="000000"/>
          <w:spacing w:val="0"/>
          <w:w w:val="100"/>
          <w:position w:val="0"/>
        </w:rPr>
        <w:t>）转让给湾区发展；《股份转让协议》签订同日，湾区发展与本公司股东徐 正军签订了《表决权委托协议》，约定徐正军将其所持公司</w:t>
      </w:r>
      <w:r>
        <w:rPr>
          <w:rFonts w:ascii="Times New Roman" w:eastAsia="Times New Roman" w:hAnsi="Times New Roman" w:cs="Times New Roman"/>
          <w:color w:val="000000"/>
          <w:spacing w:val="0"/>
          <w:w w:val="100"/>
          <w:position w:val="0"/>
          <w:sz w:val="18"/>
          <w:szCs w:val="18"/>
        </w:rPr>
        <w:t>116,026,656</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14.89%</w:t>
      </w:r>
      <w:r>
        <w:rPr>
          <w:color w:val="000000"/>
          <w:spacing w:val="0"/>
          <w:w w:val="100"/>
          <w:position w:val="0"/>
        </w:rPr>
        <w:t>）对应的表决权委 托给湾区发展行使。上述协议转让的过户登记手续已于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日全部完成，湾区发展在公司拥有表决权的股份数量合计 为</w:t>
      </w:r>
      <w:r>
        <w:rPr>
          <w:rFonts w:ascii="Times New Roman" w:eastAsia="Times New Roman" w:hAnsi="Times New Roman" w:cs="Times New Roman"/>
          <w:color w:val="000000"/>
          <w:spacing w:val="0"/>
          <w:w w:val="100"/>
          <w:position w:val="0"/>
          <w:sz w:val="18"/>
          <w:szCs w:val="18"/>
        </w:rPr>
        <w:t>205,244,847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26.34%</w:t>
      </w:r>
      <w:r>
        <w:rPr>
          <w:color w:val="000000"/>
          <w:spacing w:val="0"/>
          <w:w w:val="100"/>
          <w:position w:val="0"/>
        </w:rPr>
        <w:t>,湾区发展为公司控股股东，湾区发展的实际控制人谢力及一致行动人徐正军将 成为公司的共同实际控制人。</w:t>
      </w:r>
    </w:p>
    <w:p>
      <w:pPr>
        <w:pStyle w:val="Style35"/>
        <w:keepNext w:val="0"/>
        <w:keepLines w:val="0"/>
        <w:widowControl w:val="0"/>
        <w:shd w:val="clear" w:color="auto" w:fill="auto"/>
        <w:bidi w:val="0"/>
        <w:spacing w:before="0" w:after="220" w:line="315" w:lineRule="exact"/>
        <w:ind w:left="0" w:right="0" w:firstLine="56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，除上述事项外，本公司无其他需要披露的重大资产负债表日后事项。</w:t>
      </w:r>
    </w:p>
    <w:p>
      <w:pPr>
        <w:pStyle w:val="Style29"/>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color w:val="000000"/>
          <w:spacing w:val="0"/>
          <w:w w:val="100"/>
          <w:position w:val="0"/>
          <w:sz w:val="24"/>
          <w:szCs w:val="24"/>
        </w:rPr>
        <w:t>十六、其他重要事项</w:t>
      </w:r>
      <w:bookmarkEnd w:id="1809"/>
      <w:bookmarkEnd w:id="1810"/>
      <w:bookmarkEnd w:id="1811"/>
    </w:p>
    <w:p>
      <w:pPr>
        <w:pStyle w:val="Style39"/>
        <w:keepNext/>
        <w:keepLines/>
        <w:widowControl w:val="0"/>
        <w:shd w:val="clear" w:color="auto" w:fill="auto"/>
        <w:bidi w:val="0"/>
        <w:spacing w:before="0" w:line="240" w:lineRule="auto"/>
        <w:ind w:left="0" w:right="0" w:firstLine="48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12"/>
      <w:bookmarkEnd w:id="1813"/>
      <w:bookmarkEnd w:id="1814"/>
    </w:p>
    <w:p>
      <w:pPr>
        <w:pStyle w:val="Style45"/>
        <w:keepNext/>
        <w:keepLines/>
        <w:widowControl w:val="0"/>
        <w:numPr>
          <w:ilvl w:val="0"/>
          <w:numId w:val="159"/>
        </w:numPr>
        <w:shd w:val="clear" w:color="auto" w:fill="auto"/>
        <w:tabs>
          <w:tab w:pos="973" w:val="left"/>
        </w:tabs>
        <w:bidi w:val="0"/>
        <w:spacing w:before="0" w:after="260" w:line="240" w:lineRule="auto"/>
        <w:ind w:left="0" w:right="0" w:firstLine="48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报告分部的确定依据与会计政策</w:t>
      </w:r>
      <w:bookmarkEnd w:id="1815"/>
      <w:bookmarkEnd w:id="1816"/>
      <w:bookmarkEnd w:id="1818"/>
    </w:p>
    <w:p>
      <w:pPr>
        <w:pStyle w:val="Style35"/>
        <w:keepNext w:val="0"/>
        <w:keepLines w:val="0"/>
        <w:widowControl w:val="0"/>
        <w:shd w:val="clear" w:color="auto" w:fill="auto"/>
        <w:bidi w:val="0"/>
        <w:spacing w:before="0" w:after="0" w:line="322" w:lineRule="exact"/>
        <w:ind w:left="0" w:right="0"/>
        <w:jc w:val="left"/>
      </w:pPr>
      <w:r>
        <w:rPr>
          <w:color w:val="000000"/>
          <w:spacing w:val="0"/>
          <w:w w:val="100"/>
          <w:position w:val="0"/>
        </w:rPr>
        <w:t>本公司根据产品所属的细分行业，以内部组织结构、管理要求、内部报告制度为依据确定经营分部，以经营分部为基础 确定报告分部。经营分部，是指公司内同时满足下列条件的组成部分：</w:t>
      </w:r>
    </w:p>
    <w:p>
      <w:pPr>
        <w:pStyle w:val="Style35"/>
        <w:keepNext w:val="0"/>
        <w:keepLines w:val="0"/>
        <w:widowControl w:val="0"/>
        <w:numPr>
          <w:ilvl w:val="0"/>
          <w:numId w:val="161"/>
        </w:numPr>
        <w:shd w:val="clear" w:color="auto" w:fill="auto"/>
        <w:tabs>
          <w:tab w:pos="706" w:val="left"/>
        </w:tabs>
        <w:bidi w:val="0"/>
        <w:spacing w:before="0" w:after="0" w:line="322" w:lineRule="exact"/>
        <w:ind w:left="0" w:right="0"/>
        <w:jc w:val="left"/>
      </w:pPr>
      <w:bookmarkStart w:id="1819" w:name="bookmark1819"/>
      <w:bookmarkEnd w:id="1819"/>
      <w:r>
        <w:rPr>
          <w:color w:val="000000"/>
          <w:spacing w:val="0"/>
          <w:w w:val="100"/>
          <w:position w:val="0"/>
        </w:rPr>
        <w:t>该组成部分能够在日常活动中产生收入、发生费用；</w:t>
      </w:r>
    </w:p>
    <w:p>
      <w:pPr>
        <w:pStyle w:val="Style35"/>
        <w:keepNext w:val="0"/>
        <w:keepLines w:val="0"/>
        <w:widowControl w:val="0"/>
        <w:numPr>
          <w:ilvl w:val="0"/>
          <w:numId w:val="161"/>
        </w:numPr>
        <w:shd w:val="clear" w:color="auto" w:fill="auto"/>
        <w:tabs>
          <w:tab w:pos="720" w:val="left"/>
        </w:tabs>
        <w:bidi w:val="0"/>
        <w:spacing w:before="0" w:after="0" w:line="322" w:lineRule="exact"/>
        <w:ind w:left="0" w:right="0"/>
        <w:jc w:val="left"/>
      </w:pPr>
      <w:bookmarkStart w:id="1820" w:name="bookmark1820"/>
      <w:bookmarkEnd w:id="1820"/>
      <w:r>
        <w:rPr>
          <w:color w:val="000000"/>
          <w:spacing w:val="0"/>
          <w:w w:val="100"/>
          <w:position w:val="0"/>
        </w:rPr>
        <w:t>公司管理层能够定期评价该组成部分的经营成果，以决定向其配置资源、评价其业绩；</w:t>
      </w:r>
    </w:p>
    <w:p>
      <w:pPr>
        <w:pStyle w:val="Style35"/>
        <w:keepNext w:val="0"/>
        <w:keepLines w:val="0"/>
        <w:widowControl w:val="0"/>
        <w:numPr>
          <w:ilvl w:val="0"/>
          <w:numId w:val="161"/>
        </w:numPr>
        <w:shd w:val="clear" w:color="auto" w:fill="auto"/>
        <w:tabs>
          <w:tab w:pos="720" w:val="left"/>
        </w:tabs>
        <w:bidi w:val="0"/>
        <w:spacing w:before="0" w:after="0" w:line="322" w:lineRule="exact"/>
        <w:ind w:left="0" w:right="0"/>
        <w:jc w:val="left"/>
      </w:pPr>
      <w:bookmarkStart w:id="1821" w:name="bookmark1821"/>
      <w:bookmarkEnd w:id="1821"/>
      <w:r>
        <w:rPr>
          <w:color w:val="000000"/>
          <w:spacing w:val="0"/>
          <w:w w:val="100"/>
          <w:position w:val="0"/>
        </w:rPr>
        <w:t>公司能够取得该组成部分的财务状况、经营成果和现金流量等有关会计信息。</w:t>
      </w:r>
    </w:p>
    <w:p>
      <w:pPr>
        <w:pStyle w:val="Style35"/>
        <w:keepNext w:val="0"/>
        <w:keepLines w:val="0"/>
        <w:widowControl w:val="0"/>
        <w:shd w:val="clear" w:color="auto" w:fill="auto"/>
        <w:bidi w:val="0"/>
        <w:spacing w:before="0" w:after="0" w:line="322" w:lineRule="exact"/>
        <w:ind w:left="0" w:right="0"/>
        <w:jc w:val="left"/>
      </w:pPr>
      <w:r>
        <w:rPr>
          <w:color w:val="000000"/>
          <w:spacing w:val="0"/>
          <w:w w:val="100"/>
          <w:position w:val="0"/>
        </w:rPr>
        <w:t>如果两个或多个分部存在相似经济特征且同时在以下方面具有相同或相似性的，可以合并为一个分部：</w:t>
      </w:r>
    </w:p>
    <w:p>
      <w:pPr>
        <w:pStyle w:val="Style35"/>
        <w:keepNext w:val="0"/>
        <w:keepLines w:val="0"/>
        <w:widowControl w:val="0"/>
        <w:numPr>
          <w:ilvl w:val="0"/>
          <w:numId w:val="163"/>
        </w:numPr>
        <w:shd w:val="clear" w:color="auto" w:fill="auto"/>
        <w:tabs>
          <w:tab w:pos="706" w:val="left"/>
        </w:tabs>
        <w:bidi w:val="0"/>
        <w:spacing w:before="0" w:after="120" w:line="322" w:lineRule="exact"/>
        <w:ind w:left="0" w:right="0"/>
        <w:jc w:val="left"/>
      </w:pPr>
      <w:bookmarkStart w:id="1822" w:name="bookmark1822"/>
      <w:bookmarkEnd w:id="1822"/>
      <w:r>
        <w:rPr>
          <w:color w:val="000000"/>
          <w:spacing w:val="0"/>
          <w:w w:val="100"/>
          <w:position w:val="0"/>
        </w:rPr>
        <w:t>各单项产品或劳务的性质；</w:t>
      </w:r>
    </w:p>
    <w:p>
      <w:pPr>
        <w:pStyle w:val="Style35"/>
        <w:keepNext w:val="0"/>
        <w:keepLines w:val="0"/>
        <w:widowControl w:val="0"/>
        <w:numPr>
          <w:ilvl w:val="0"/>
          <w:numId w:val="163"/>
        </w:numPr>
        <w:shd w:val="clear" w:color="auto" w:fill="auto"/>
        <w:tabs>
          <w:tab w:pos="720" w:val="left"/>
        </w:tabs>
        <w:bidi w:val="0"/>
        <w:spacing w:before="0" w:after="0" w:line="374" w:lineRule="auto"/>
        <w:ind w:left="0" w:right="0"/>
        <w:jc w:val="left"/>
      </w:pPr>
      <w:bookmarkStart w:id="1823" w:name="bookmark1823"/>
      <w:bookmarkEnd w:id="1823"/>
      <w:r>
        <w:rPr>
          <w:color w:val="000000"/>
          <w:spacing w:val="0"/>
          <w:w w:val="100"/>
          <w:position w:val="0"/>
        </w:rPr>
        <w:t>生产过程的性质；</w:t>
      </w:r>
    </w:p>
    <w:p>
      <w:pPr>
        <w:pStyle w:val="Style35"/>
        <w:keepNext w:val="0"/>
        <w:keepLines w:val="0"/>
        <w:widowControl w:val="0"/>
        <w:numPr>
          <w:ilvl w:val="0"/>
          <w:numId w:val="163"/>
        </w:numPr>
        <w:shd w:val="clear" w:color="auto" w:fill="auto"/>
        <w:tabs>
          <w:tab w:pos="720" w:val="left"/>
        </w:tabs>
        <w:bidi w:val="0"/>
        <w:spacing w:before="0" w:after="0" w:line="322" w:lineRule="exact"/>
        <w:ind w:left="0" w:right="0"/>
        <w:jc w:val="left"/>
      </w:pPr>
      <w:bookmarkStart w:id="1824" w:name="bookmark1824"/>
      <w:bookmarkEnd w:id="1824"/>
      <w:r>
        <w:rPr>
          <w:color w:val="000000"/>
          <w:spacing w:val="0"/>
          <w:w w:val="100"/>
          <w:position w:val="0"/>
        </w:rPr>
        <w:t>产品或劳务的客户类型；</w:t>
      </w:r>
    </w:p>
    <w:p>
      <w:pPr>
        <w:pStyle w:val="Style35"/>
        <w:keepNext w:val="0"/>
        <w:keepLines w:val="0"/>
        <w:widowControl w:val="0"/>
        <w:numPr>
          <w:ilvl w:val="0"/>
          <w:numId w:val="163"/>
        </w:numPr>
        <w:shd w:val="clear" w:color="auto" w:fill="auto"/>
        <w:tabs>
          <w:tab w:pos="720" w:val="left"/>
        </w:tabs>
        <w:bidi w:val="0"/>
        <w:spacing w:before="0" w:after="0" w:line="322" w:lineRule="exact"/>
        <w:ind w:left="0" w:right="0"/>
        <w:jc w:val="left"/>
      </w:pPr>
      <w:bookmarkStart w:id="1825" w:name="bookmark1825"/>
      <w:bookmarkEnd w:id="1825"/>
      <w:r>
        <w:rPr>
          <w:color w:val="000000"/>
          <w:spacing w:val="0"/>
          <w:w w:val="100"/>
          <w:position w:val="0"/>
        </w:rPr>
        <w:t>销售产品或提供劳务的方式；</w:t>
      </w:r>
    </w:p>
    <w:p>
      <w:pPr>
        <w:pStyle w:val="Style35"/>
        <w:keepNext w:val="0"/>
        <w:keepLines w:val="0"/>
        <w:widowControl w:val="0"/>
        <w:numPr>
          <w:ilvl w:val="0"/>
          <w:numId w:val="163"/>
        </w:numPr>
        <w:shd w:val="clear" w:color="auto" w:fill="auto"/>
        <w:tabs>
          <w:tab w:pos="720" w:val="left"/>
        </w:tabs>
        <w:bidi w:val="0"/>
        <w:spacing w:before="0" w:after="360" w:line="322" w:lineRule="exact"/>
        <w:ind w:left="0" w:right="0"/>
        <w:jc w:val="left"/>
      </w:pPr>
      <w:bookmarkStart w:id="1826" w:name="bookmark1826"/>
      <w:bookmarkEnd w:id="1826"/>
      <w:r>
        <w:rPr>
          <w:color w:val="000000"/>
          <w:spacing w:val="0"/>
          <w:w w:val="100"/>
          <w:position w:val="0"/>
        </w:rPr>
        <w:t>生产产品及提供劳务受法律、行政法规的影响。</w:t>
      </w:r>
    </w:p>
    <w:p>
      <w:pPr>
        <w:pStyle w:val="Style45"/>
        <w:keepNext/>
        <w:keepLines/>
        <w:widowControl w:val="0"/>
        <w:numPr>
          <w:ilvl w:val="0"/>
          <w:numId w:val="159"/>
        </w:numPr>
        <w:shd w:val="clear" w:color="auto" w:fill="auto"/>
        <w:tabs>
          <w:tab w:pos="973" w:val="left"/>
        </w:tabs>
        <w:bidi w:val="0"/>
        <w:spacing w:before="0" w:after="360" w:line="240" w:lineRule="auto"/>
        <w:ind w:left="0" w:right="0" w:firstLine="48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报告分部的财务信息</w:t>
      </w:r>
      <w:bookmarkEnd w:id="1827"/>
      <w:bookmarkEnd w:id="1828"/>
      <w:bookmarkEnd w:id="183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0"/>
        <w:gridCol w:w="1704"/>
        <w:gridCol w:w="1474"/>
        <w:gridCol w:w="1478"/>
        <w:gridCol w:w="1469"/>
        <w:gridCol w:w="1507"/>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互联网财税业务分部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热处理业务分部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总部管理分部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472,299,780.82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539,179,888.96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-5,835,589.76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1,011,479,669.78</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463,377,021.26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333,653,453.73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-5,835,589.76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797,030,474.99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240,139,801.88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127,448,803.13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11,483,959.17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379,072,564.18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-638,685,382.84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52,030,601.28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-542,965,057.21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-114,000,000.00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-1,243,619,838.77</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1,597,640,154.68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1,457,446,232.51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2,502,687,840.35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-2,228,957,728.53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3,328,816,499.01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542,569,529.51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442,838,165.62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61,621,647.84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-5,231,113.38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1,041,798,229.59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1,027,263,571.41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870,422,381.51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2,441,066,192.51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-2,223,726,615.15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2,115,025,530.28</w:t>
            </w:r>
          </w:p>
        </w:tc>
      </w:tr>
    </w:tbl>
    <w:p>
      <w:pPr>
        <w:widowControl w:val="0"/>
        <w:spacing w:after="359" w:line="1" w:lineRule="exact"/>
      </w:pPr>
    </w:p>
    <w:p>
      <w:pPr>
        <w:pStyle w:val="Style45"/>
        <w:keepNext/>
        <w:keepLines/>
        <w:widowControl w:val="0"/>
        <w:numPr>
          <w:ilvl w:val="0"/>
          <w:numId w:val="159"/>
        </w:numPr>
        <w:shd w:val="clear" w:color="auto" w:fill="auto"/>
        <w:bidi w:val="0"/>
        <w:spacing w:before="0" w:after="360" w:line="240" w:lineRule="auto"/>
        <w:ind w:left="0" w:right="0" w:firstLine="60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其他说明</w:t>
      </w:r>
      <w:bookmarkEnd w:id="1831"/>
      <w:bookmarkEnd w:id="1832"/>
      <w:bookmarkEnd w:id="1834"/>
    </w:p>
    <w:p>
      <w:pPr>
        <w:pStyle w:val="Style35"/>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r>
        <w:rPr>
          <w:color w:val="000000"/>
          <w:spacing w:val="0"/>
          <w:w w:val="100"/>
          <w:position w:val="0"/>
          <w:sz w:val="24"/>
          <w:szCs w:val="24"/>
        </w:rPr>
        <w:t>十七、母公司财务报表主要项目注释</w:t>
      </w:r>
      <w:bookmarkEnd w:id="1835"/>
      <w:bookmarkEnd w:id="1836"/>
      <w:bookmarkEnd w:id="1837"/>
    </w:p>
    <w:p>
      <w:pPr>
        <w:pStyle w:val="Style39"/>
        <w:keepNext/>
        <w:keepLines/>
        <w:widowControl w:val="0"/>
        <w:shd w:val="clear" w:color="auto" w:fill="auto"/>
        <w:bidi w:val="0"/>
        <w:spacing w:before="0" w:line="240" w:lineRule="auto"/>
        <w:ind w:left="0" w:right="0" w:firstLine="48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38"/>
      <w:bookmarkEnd w:id="1839"/>
      <w:bookmarkEnd w:id="1840"/>
    </w:p>
    <w:p>
      <w:pPr>
        <w:pStyle w:val="Style45"/>
        <w:keepNext/>
        <w:keepLines/>
        <w:widowControl w:val="0"/>
        <w:shd w:val="clear" w:color="auto" w:fill="auto"/>
        <w:bidi w:val="0"/>
        <w:spacing w:before="0" w:after="320" w:line="240" w:lineRule="auto"/>
        <w:ind w:left="0" w:right="0" w:firstLine="48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41"/>
      <w:bookmarkEnd w:id="1842"/>
      <w:bookmarkEnd w:id="1843"/>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9"/>
        <w:gridCol w:w="854"/>
        <w:gridCol w:w="706"/>
        <w:gridCol w:w="854"/>
        <w:gridCol w:w="706"/>
        <w:gridCol w:w="994"/>
        <w:gridCol w:w="998"/>
        <w:gridCol w:w="706"/>
        <w:gridCol w:w="850"/>
        <w:gridCol w:w="557"/>
        <w:gridCol w:w="960"/>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6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160" w:right="0" w:firstLine="20"/>
              <w:jc w:val="left"/>
            </w:pPr>
            <w:r>
              <w:rPr>
                <w:color w:val="000000"/>
                <w:spacing w:val="0"/>
                <w:w w:val="100"/>
                <w:position w:val="0"/>
              </w:rPr>
              <w:t>计提 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计提 比例</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359,594.14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124,024.90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235,569.24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1,545,055.67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109,530.28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1,435,525.39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359,594.14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124,024.90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235,569.24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1,545,055.67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109,530.28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1,435,525.39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359,594.14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124,024.90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235,569.24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1,545,055.67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109,530.28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1,435,525.39</w:t>
            </w:r>
          </w:p>
        </w:tc>
      </w:tr>
    </w:tbl>
    <w:p>
      <w:pPr>
        <w:widowControl w:val="0"/>
        <w:spacing w:after="17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按组合计提坏账准备：账龄组合</w:t>
      </w:r>
    </w:p>
    <w:p>
      <w:pPr>
        <w:pStyle w:val="Style3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395"/>
        <w:gridCol w:w="2395"/>
        <w:gridCol w:w="2419"/>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294,461.55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359,594.14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124,024.90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如是按照预期信用损失一般模型计提应收账款坏账准备，请参照其他应收款的披露方式披露坏账准备的相关信息:</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按账龄披露</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4814"/>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294,461.55</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65,132.59</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65,132.59</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359,594.14</w:t>
            </w:r>
          </w:p>
        </w:tc>
      </w:tr>
    </w:tbl>
    <w:p>
      <w:pPr>
        <w:widowControl w:val="0"/>
        <w:spacing w:after="319" w:line="1" w:lineRule="exact"/>
      </w:pPr>
    </w:p>
    <w:p>
      <w:pPr>
        <w:pStyle w:val="Style45"/>
        <w:keepNext/>
        <w:keepLines/>
        <w:widowControl w:val="0"/>
        <w:shd w:val="clear" w:color="auto" w:fill="auto"/>
        <w:bidi w:val="0"/>
        <w:spacing w:before="0" w:after="400" w:line="240" w:lineRule="auto"/>
        <w:ind w:left="0" w:right="0"/>
        <w:jc w:val="left"/>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44"/>
      <w:bookmarkEnd w:id="1845"/>
      <w:bookmarkEnd w:id="1846"/>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8"/>
        <w:gridCol w:w="1368"/>
        <w:gridCol w:w="1368"/>
        <w:gridCol w:w="1368"/>
        <w:gridCol w:w="1397"/>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109,530.28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124,024.90</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109,530.28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5,584.62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124,024.90</w:t>
            </w:r>
          </w:p>
        </w:tc>
      </w:tr>
    </w:tbl>
    <w:p>
      <w:pPr>
        <w:spacing w:lineRule="exact" w:line="1"/>
        <w:rPr>
          <w:sz w:val="2"/>
          <w:szCs w:val="2"/>
        </w:rPr>
      </w:pPr>
      <w:r>
        <w:br w:type="page"/>
      </w:r>
    </w:p>
    <w:p>
      <w:pPr>
        <w:pStyle w:val="Style45"/>
        <w:keepNext/>
        <w:keepLines/>
        <w:widowControl w:val="0"/>
        <w:shd w:val="clear" w:color="auto" w:fill="auto"/>
        <w:bidi w:val="0"/>
        <w:spacing w:before="0" w:after="400" w:line="240" w:lineRule="auto"/>
        <w:ind w:left="0" w:right="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847"/>
      <w:bookmarkEnd w:id="1848"/>
      <w:bookmarkEnd w:id="18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2266"/>
        <w:gridCol w:w="2976"/>
        <w:gridCol w:w="237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坏账准备期末余额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294,461.55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58,892.31</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65,132.59</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359,594.14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46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51"/>
      <w:bookmarkEnd w:id="1852"/>
      <w:bookmarkEnd w:id="18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2"/>
        <w:gridCol w:w="3226"/>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54"/>
      <w:bookmarkEnd w:id="1855"/>
      <w:bookmarkEnd w:id="1856"/>
    </w:p>
    <w:p>
      <w:pPr>
        <w:pStyle w:val="Style92"/>
        <w:keepNext/>
        <w:keepLines/>
        <w:widowControl w:val="0"/>
        <w:shd w:val="clear" w:color="auto" w:fill="auto"/>
        <w:bidi w:val="0"/>
        <w:spacing w:before="0" w:after="340" w:line="240" w:lineRule="auto"/>
        <w:ind w:left="0" w:right="0"/>
        <w:jc w:val="left"/>
      </w:pPr>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57"/>
      <w:bookmarkEnd w:id="1858"/>
      <w:bookmarkEnd w:id="185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3197"/>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widowControl w:val="0"/>
        <w:spacing w:after="339" w:line="1" w:lineRule="exact"/>
      </w:pPr>
    </w:p>
    <w:p>
      <w:pPr>
        <w:pStyle w:val="Style92"/>
        <w:keepNext/>
        <w:keepLines/>
        <w:widowControl w:val="0"/>
        <w:shd w:val="clear" w:color="auto" w:fill="auto"/>
        <w:bidi w:val="0"/>
        <w:spacing w:before="0" w:after="400" w:line="240" w:lineRule="auto"/>
        <w:ind w:left="0" w:right="0"/>
        <w:jc w:val="left"/>
      </w:pPr>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60"/>
      <w:bookmarkEnd w:id="1861"/>
      <w:bookmarkEnd w:id="1862"/>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rPr>
        <w:t>按账龄披露</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481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spacing w:lineRule="exact" w:line="1"/>
        <w:rPr>
          <w:sz w:val="2"/>
          <w:szCs w:val="2"/>
        </w:rPr>
      </w:pPr>
      <w:r>
        <w:br w:type="page"/>
      </w:r>
    </w:p>
    <w:p>
      <w:pPr>
        <w:pStyle w:val="Style92"/>
        <w:keepNext/>
        <w:keepLines/>
        <w:widowControl w:val="0"/>
        <w:shd w:val="clear" w:color="auto" w:fill="auto"/>
        <w:bidi w:val="0"/>
        <w:spacing w:before="0" w:line="240" w:lineRule="auto"/>
        <w:ind w:left="0" w:right="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3</w:t>
      </w:r>
      <w:bookmarkEnd w:id="1865"/>
      <w:r>
        <w:rPr>
          <w:color w:val="000000"/>
          <w:spacing w:val="0"/>
          <w:w w:val="100"/>
          <w:position w:val="0"/>
        </w:rPr>
        <w:t>）按欠款方归集的期末余额前五名的其他应收款情况</w:t>
      </w:r>
      <w:bookmarkEnd w:id="1863"/>
      <w:bookmarkEnd w:id="1864"/>
      <w:bookmarkEnd w:id="18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1550"/>
        <w:gridCol w:w="1550"/>
        <w:gridCol w:w="1560"/>
        <w:gridCol w:w="1613"/>
        <w:gridCol w:w="1646"/>
      </w:tblGrid>
      <w:tr>
        <w:trPr>
          <w:trHeight w:val="57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占其他应收款期末 余额合计数的比例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3</w:t>
      </w:r>
      <w:bookmarkEnd w:id="1869"/>
      <w:r>
        <w:rPr>
          <w:color w:val="000000"/>
          <w:spacing w:val="0"/>
          <w:w w:val="100"/>
          <w:position w:val="0"/>
        </w:rPr>
        <w:t>、长期股权投资</w:t>
      </w:r>
      <w:bookmarkEnd w:id="1867"/>
      <w:bookmarkEnd w:id="1868"/>
      <w:bookmarkEnd w:id="18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1368"/>
        <w:gridCol w:w="1368"/>
        <w:gridCol w:w="1368"/>
        <w:gridCol w:w="1368"/>
        <w:gridCol w:w="1397"/>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3,507,207,899.42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1,299,423,769.33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2,207,784,130.09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3,507,207,899.42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2,873,207,899.42</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3,507,207,899.42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1,299,423,769.33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2,207,784,130.09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3,507,207,899.42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634,000,000.00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2,873,207,899.42</w:t>
            </w:r>
          </w:p>
        </w:tc>
      </w:tr>
    </w:tbl>
    <w:p>
      <w:pPr>
        <w:widowControl w:val="0"/>
        <w:spacing w:after="319" w:line="1" w:lineRule="exact"/>
      </w:pPr>
    </w:p>
    <w:p>
      <w:pPr>
        <w:pStyle w:val="Style45"/>
        <w:keepNext/>
        <w:keepLines/>
        <w:widowControl w:val="0"/>
        <w:shd w:val="clear" w:color="auto" w:fill="auto"/>
        <w:bidi w:val="0"/>
        <w:spacing w:before="0" w:after="380" w:line="240" w:lineRule="auto"/>
        <w:ind w:left="0" w:right="0" w:firstLine="58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71"/>
      <w:bookmarkEnd w:id="1872"/>
      <w:bookmarkEnd w:id="18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0"/>
        <w:gridCol w:w="1277"/>
        <w:gridCol w:w="850"/>
        <w:gridCol w:w="850"/>
        <w:gridCol w:w="1282"/>
        <w:gridCol w:w="562"/>
        <w:gridCol w:w="1282"/>
        <w:gridCol w:w="1378"/>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期初余额</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期末余额</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江苏丰东热技术有限公司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647,207,899.42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647,207,899.42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2,226,000,000.00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665,423,769.33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1,560,576,230.67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1,299,423,769.33</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2,873,207,899.42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665,423,769.33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2,207,784,130.09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1,299,423,769.33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4</w:t>
      </w:r>
      <w:bookmarkEnd w:id="1876"/>
      <w:r>
        <w:rPr>
          <w:color w:val="000000"/>
          <w:spacing w:val="0"/>
          <w:w w:val="100"/>
          <w:position w:val="0"/>
        </w:rPr>
        <w:t>、营业收入和营业成本</w:t>
      </w:r>
      <w:bookmarkEnd w:id="1874"/>
      <w:bookmarkEnd w:id="1875"/>
      <w:bookmarkEnd w:id="18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38"/>
        <w:gridCol w:w="1915"/>
        <w:gridCol w:w="1915"/>
        <w:gridCol w:w="1944"/>
      </w:tblGrid>
      <w:tr>
        <w:trPr>
          <w:trHeight w:val="408"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2,538,461.54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2,538,461.54</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2,538,461.54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2,538,461.54</w:t>
            </w:r>
          </w:p>
        </w:tc>
      </w:tr>
    </w:tbl>
    <w:p>
      <w:pPr>
        <w:widowControl w:val="0"/>
        <w:spacing w:after="179" w:line="1" w:lineRule="exact"/>
      </w:pPr>
    </w:p>
    <w:p>
      <w:pPr>
        <w:pStyle w:val="Style35"/>
        <w:keepNext w:val="0"/>
        <w:keepLines w:val="0"/>
        <w:widowControl w:val="0"/>
        <w:shd w:val="clear" w:color="auto" w:fill="auto"/>
        <w:bidi w:val="0"/>
        <w:spacing w:before="0" w:after="140" w:line="240" w:lineRule="auto"/>
        <w:ind w:left="0" w:right="0"/>
        <w:jc w:val="both"/>
      </w:pPr>
      <w:r>
        <w:rPr>
          <w:color w:val="000000"/>
          <w:spacing w:val="0"/>
          <w:w w:val="100"/>
          <w:position w:val="0"/>
        </w:rPr>
        <w:t>收入相关信息：</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74"/>
        <w:gridCol w:w="3240"/>
        <w:gridCol w:w="3259"/>
      </w:tblGrid>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5,835,589.76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74"/>
        <w:gridCol w:w="3240"/>
        <w:gridCol w:w="3259"/>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热处理设备销售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5,835,589.76</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5,835,589.76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5,835,589.76</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5,835,589.76</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按照时点确认收入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5,835,589.76</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5,835,589.76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5,835,589.76</w:t>
            </w:r>
          </w:p>
        </w:tc>
      </w:tr>
    </w:tbl>
    <w:p>
      <w:pPr>
        <w:widowControl w:val="0"/>
        <w:spacing w:after="39" w:line="1" w:lineRule="exact"/>
      </w:pPr>
    </w:p>
    <w:p>
      <w:pPr>
        <w:pStyle w:val="Style35"/>
        <w:keepNext w:val="0"/>
        <w:keepLines w:val="0"/>
        <w:widowControl w:val="0"/>
        <w:shd w:val="clear" w:color="auto" w:fill="auto"/>
        <w:bidi w:val="0"/>
        <w:spacing w:before="0" w:after="40" w:line="314" w:lineRule="exact"/>
        <w:ind w:left="0" w:right="0"/>
        <w:jc w:val="left"/>
      </w:pPr>
      <w:r>
        <w:rPr>
          <w:color w:val="000000"/>
          <w:spacing w:val="0"/>
          <w:w w:val="100"/>
          <w:position w:val="0"/>
        </w:rPr>
        <w:t>与履约义务相关的信息：</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热处理设备销售：内销热处理设备收入确认需满足以下条件：本公司已根据合同约定将产品调试后交付给客户且客户已 验收该商品，已经收回货款或取得了收款凭证且相关的经济利益很可能流入，商品所有权上的主要风险和报酬已转移，商品 的法定所有权已转移。外销产品收入确认需满足以下条件：本公司已根据合同约定将产品报关，取得提单，已经收回货款或 取得了收款凭证且相关的经济利益很可能流入，商品所有权上的主要风险和报酬已转移，商品的法定所有权已转移。</w:t>
      </w:r>
    </w:p>
    <w:p>
      <w:pPr>
        <w:pStyle w:val="Style35"/>
        <w:keepNext w:val="0"/>
        <w:keepLines w:val="0"/>
        <w:widowControl w:val="0"/>
        <w:shd w:val="clear" w:color="auto" w:fill="auto"/>
        <w:bidi w:val="0"/>
        <w:spacing w:before="0" w:after="40" w:line="314" w:lineRule="exact"/>
        <w:ind w:left="0" w:right="0"/>
        <w:jc w:val="both"/>
      </w:pPr>
      <w:r>
        <w:rPr>
          <w:color w:val="000000"/>
          <w:spacing w:val="0"/>
          <w:w w:val="100"/>
          <w:position w:val="0"/>
        </w:rPr>
        <w:t>与分摊至剩余履约义务的交易价格相关的信息：</w:t>
      </w:r>
    </w:p>
    <w:p>
      <w:pPr>
        <w:pStyle w:val="Style35"/>
        <w:keepNext w:val="0"/>
        <w:keepLines w:val="0"/>
        <w:widowControl w:val="0"/>
        <w:shd w:val="clear" w:color="auto" w:fill="auto"/>
        <w:bidi w:val="0"/>
        <w:spacing w:before="0" w:after="380" w:line="314"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keepLines/>
        <w:widowControl w:val="0"/>
        <w:shd w:val="clear" w:color="auto" w:fill="auto"/>
        <w:bidi w:val="0"/>
        <w:spacing w:before="0" w:after="380" w:line="240" w:lineRule="auto"/>
        <w:ind w:left="0" w:right="0" w:firstLine="46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5</w:t>
      </w:r>
      <w:bookmarkEnd w:id="1880"/>
      <w:r>
        <w:rPr>
          <w:color w:val="000000"/>
          <w:spacing w:val="0"/>
          <w:w w:val="100"/>
          <w:position w:val="0"/>
        </w:rPr>
        <w:t>、投资收益</w:t>
      </w:r>
      <w:bookmarkEnd w:id="1878"/>
      <w:bookmarkEnd w:id="1879"/>
      <w:bookmarkEnd w:id="18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058"/>
        <w:gridCol w:w="3221"/>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3,639,595.45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8,013,212.19</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股票回购利得</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58,612,948.10</w:t>
            </w: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117,639,595.45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66,626,160.29</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1882" w:name="bookmark1882"/>
      <w:bookmarkStart w:id="1883" w:name="bookmark1883"/>
      <w:bookmarkStart w:id="1884" w:name="bookmark1884"/>
      <w:r>
        <w:rPr>
          <w:color w:val="000000"/>
          <w:spacing w:val="0"/>
          <w:w w:val="100"/>
          <w:position w:val="0"/>
          <w:sz w:val="24"/>
          <w:szCs w:val="24"/>
        </w:rPr>
        <w:t>十八、补充资料</w:t>
      </w:r>
      <w:bookmarkEnd w:id="1882"/>
      <w:bookmarkEnd w:id="1883"/>
      <w:bookmarkEnd w:id="1884"/>
    </w:p>
    <w:p>
      <w:pPr>
        <w:pStyle w:val="Style39"/>
        <w:keepNext/>
        <w:keepLines/>
        <w:widowControl w:val="0"/>
        <w:shd w:val="clear" w:color="auto" w:fill="auto"/>
        <w:bidi w:val="0"/>
        <w:spacing w:before="0" w:after="380" w:line="240" w:lineRule="auto"/>
        <w:ind w:left="0" w:right="0" w:firstLine="460"/>
        <w:jc w:val="left"/>
      </w:pPr>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85"/>
      <w:bookmarkEnd w:id="1886"/>
      <w:bookmarkEnd w:id="1887"/>
    </w:p>
    <w:p>
      <w:pPr>
        <w:pStyle w:val="Style35"/>
        <w:keepNext w:val="0"/>
        <w:keepLines w:val="0"/>
        <w:widowControl w:val="0"/>
        <w:shd w:val="clear" w:color="auto" w:fill="auto"/>
        <w:bidi w:val="0"/>
        <w:spacing w:before="0" w:after="140" w:line="240" w:lineRule="auto"/>
        <w:ind w:left="0" w:right="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53"/>
        <w:gridCol w:w="1421"/>
        <w:gridCol w:w="5774"/>
      </w:tblGrid>
      <w:tr>
        <w:trPr>
          <w:trHeight w:val="40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-1,106,840.30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越权审批或无正式批准文件的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税收返还、减免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2,069,307.03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系重庆丰东收到福利企业增值税返还。</w:t>
            </w:r>
          </w:p>
        </w:tc>
      </w:tr>
      <w:tr>
        <w:trPr>
          <w:trHeight w:val="106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 企业业务密切相关，按照国家 统一标准定额或定量享受的政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22,534,308.01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40" w:line="240" w:lineRule="exact"/>
              <w:ind w:left="0" w:right="0" w:firstLine="380"/>
              <w:jc w:val="both"/>
            </w:pPr>
            <w:r>
              <w:rPr>
                <w:color w:val="000000"/>
                <w:spacing w:val="0"/>
                <w:w w:val="100"/>
                <w:position w:val="0"/>
              </w:rPr>
              <w:t>主要构成为：</w:t>
            </w:r>
          </w:p>
          <w:p>
            <w:pPr>
              <w:pStyle w:val="Style25"/>
              <w:keepNext w:val="0"/>
              <w:keepLines w:val="0"/>
              <w:widowControl w:val="0"/>
              <w:shd w:val="clear" w:color="auto" w:fill="auto"/>
              <w:bidi w:val="0"/>
              <w:spacing w:before="0" w:after="0" w:line="24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、互联网财税板块：</w:t>
            </w:r>
            <w:r>
              <w:rPr>
                <w:rFonts w:ascii="Times New Roman" w:eastAsia="Times New Roman" w:hAnsi="Times New Roman" w:cs="Times New Roman"/>
                <w:color w:val="000000"/>
                <w:spacing w:val="0"/>
                <w:w w:val="100"/>
                <w:position w:val="0"/>
                <w:sz w:val="18"/>
                <w:szCs w:val="18"/>
              </w:rPr>
              <w:t>3,637,371.18</w:t>
            </w:r>
            <w:r>
              <w:rPr>
                <w:color w:val="000000"/>
                <w:spacing w:val="0"/>
                <w:w w:val="100"/>
                <w:position w:val="0"/>
              </w:rPr>
              <w:t xml:space="preserve">元为青岛市黄岛区国库集中支付中 心拨付的基于山东省新经济发展创新协同园区和云商总部基地补助资金； </w:t>
            </w:r>
            <w:r>
              <w:rPr>
                <w:rFonts w:ascii="Times New Roman" w:eastAsia="Times New Roman" w:hAnsi="Times New Roman" w:cs="Times New Roman"/>
                <w:color w:val="000000"/>
                <w:spacing w:val="0"/>
                <w:w w:val="100"/>
                <w:position w:val="0"/>
                <w:sz w:val="18"/>
                <w:szCs w:val="18"/>
              </w:rPr>
              <w:t>2,807,544.33</w:t>
            </w:r>
            <w:r>
              <w:rPr>
                <w:color w:val="000000"/>
                <w:spacing w:val="0"/>
                <w:w w:val="100"/>
                <w:position w:val="0"/>
              </w:rPr>
              <w:t>元为青岛市黄岛区基于金财人工智能与区块链研究院的设立</w:t>
            </w:r>
          </w:p>
        </w:tc>
      </w:tr>
    </w:tbl>
    <w:p>
      <w:pPr>
        <w:spacing w:lineRule="exact" w:line="1"/>
        <w:rPr>
          <w:sz w:val="2"/>
          <w:szCs w:val="2"/>
        </w:rPr>
      </w:pPr>
      <w:r>
        <w:br w:type="page"/>
      </w:r>
    </w:p>
    <w:tbl>
      <w:tblPr>
        <w:tblOverlap w:val="never"/>
        <w:jc w:val="center"/>
        <w:tblLayout w:type="fixed"/>
      </w:tblPr>
      <w:tblGrid>
        <w:gridCol w:w="2453"/>
        <w:gridCol w:w="1421"/>
        <w:gridCol w:w="5774"/>
      </w:tblGrid>
      <w:tr>
        <w:trPr>
          <w:trHeight w:val="177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5" w:lineRule="exact"/>
              <w:ind w:left="0" w:right="0" w:firstLine="0"/>
              <w:jc w:val="left"/>
            </w:pPr>
            <w:r>
              <w:rPr>
                <w:color w:val="000000"/>
                <w:spacing w:val="0"/>
                <w:w w:val="100"/>
                <w:position w:val="0"/>
              </w:rPr>
              <w:t>补助资金；</w:t>
            </w:r>
            <w:r>
              <w:rPr>
                <w:rFonts w:ascii="Times New Roman" w:eastAsia="Times New Roman" w:hAnsi="Times New Roman" w:cs="Times New Roman"/>
                <w:color w:val="000000"/>
                <w:spacing w:val="0"/>
                <w:w w:val="100"/>
                <w:position w:val="0"/>
                <w:sz w:val="18"/>
                <w:szCs w:val="18"/>
              </w:rPr>
              <w:t>1,349,800.00</w:t>
            </w:r>
            <w:r>
              <w:rPr>
                <w:color w:val="000000"/>
                <w:spacing w:val="0"/>
                <w:w w:val="100"/>
                <w:position w:val="0"/>
              </w:rPr>
              <w:t>元为广州市财政局国库支付分局拨付的高成长创 新标杆企业资金等。</w:t>
            </w:r>
          </w:p>
          <w:p>
            <w:pPr>
              <w:pStyle w:val="Style25"/>
              <w:keepNext w:val="0"/>
              <w:keepLines w:val="0"/>
              <w:widowControl w:val="0"/>
              <w:shd w:val="clear" w:color="auto" w:fill="auto"/>
              <w:bidi w:val="0"/>
              <w:spacing w:before="0" w:after="0" w:line="240"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、热处理板块：</w:t>
            </w:r>
            <w:r>
              <w:rPr>
                <w:rFonts w:ascii="Times New Roman" w:eastAsia="Times New Roman" w:hAnsi="Times New Roman" w:cs="Times New Roman"/>
                <w:color w:val="000000"/>
                <w:spacing w:val="0"/>
                <w:w w:val="100"/>
                <w:position w:val="0"/>
                <w:sz w:val="18"/>
                <w:szCs w:val="18"/>
              </w:rPr>
              <w:t>2,188,161.72</w:t>
            </w:r>
            <w:r>
              <w:rPr>
                <w:color w:val="000000"/>
                <w:spacing w:val="0"/>
                <w:w w:val="100"/>
                <w:position w:val="0"/>
              </w:rPr>
              <w:t xml:space="preserve">元为柘林镇财政所土地减量搬迁款； </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元为盐城市大丰区经济开发区管委会拨付的无人化智能热处 理工厂项目资金奖励；</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元为盐城市大丰区财政局拨付的</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年制造业单项冠军奖励；</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 xml:space="preserve">元为盐城市大丰区经建科拨付的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年第二批省级现代服务业专项发展资金等。</w:t>
            </w:r>
          </w:p>
        </w:tc>
      </w:tr>
      <w:tr>
        <w:trPr>
          <w:trHeight w:val="289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 有效套期保值业务外，持有交 易性金融资产、衍生金融资产、 交易性金融负债、衍生金融负 债产生的公允价值变动损益， 以及处置交易性金融资产、衍 生金融资产、交易性金融负债、 衍生金融负债和其他债权投资 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7,218,229.83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220"/>
              <w:jc w:val="left"/>
            </w:pPr>
            <w:r>
              <w:rPr>
                <w:color w:val="000000"/>
                <w:spacing w:val="0"/>
                <w:w w:val="100"/>
                <w:position w:val="0"/>
              </w:rPr>
              <w:t>主要系年初至报告期末公司使用部分暂时闲置募集资金和自有资金购 买银行保本、低风险理财产品等取得的利息收入。</w:t>
            </w: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22,091,877.67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主要系收购青岛金财的股权对价款中的剩余部分无需支付。</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6,271,616.88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3,060,393.95</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43,474,871.41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140" w:line="312" w:lineRule="exact"/>
        <w:ind w:left="0" w:right="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 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5"/>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20" w:line="240" w:lineRule="auto"/>
        <w:ind w:left="0" w:right="0" w:firstLine="46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88"/>
      <w:bookmarkEnd w:id="1889"/>
      <w:bookmarkEnd w:id="1890"/>
    </w:p>
    <w:tbl>
      <w:tblPr>
        <w:tblOverlap w:val="never"/>
        <w:jc w:val="center"/>
        <w:tblLayout w:type="fixed"/>
      </w:tblPr>
      <w:tblGrid>
        <w:gridCol w:w="3446"/>
        <w:gridCol w:w="2338"/>
        <w:gridCol w:w="1920"/>
        <w:gridCol w:w="1939"/>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58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pPr>
            <w:r>
              <w:rPr>
                <w:color w:val="000000"/>
                <w:spacing w:val="0"/>
                <w:w w:val="100"/>
                <w:position w:val="0"/>
              </w:rPr>
              <w:t>扣除非经常性损益后归属于公司普通股股 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46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3</w:t>
      </w:r>
      <w:bookmarkEnd w:id="1893"/>
      <w:r>
        <w:rPr>
          <w:color w:val="000000"/>
          <w:spacing w:val="0"/>
          <w:w w:val="100"/>
          <w:position w:val="0"/>
        </w:rPr>
        <w:t>、境内外会计准则下会计数据差异</w:t>
      </w:r>
      <w:bookmarkEnd w:id="1891"/>
      <w:bookmarkEnd w:id="1892"/>
      <w:bookmarkEnd w:id="1894"/>
    </w:p>
    <w:p>
      <w:pPr>
        <w:pStyle w:val="Style45"/>
        <w:keepNext/>
        <w:keepLines/>
        <w:widowControl w:val="0"/>
        <w:shd w:val="clear" w:color="auto" w:fill="auto"/>
        <w:bidi w:val="0"/>
        <w:spacing w:before="0" w:after="380" w:line="240" w:lineRule="auto"/>
        <w:ind w:left="0" w:right="0"/>
        <w:jc w:val="left"/>
      </w:pPr>
      <w:bookmarkStart w:id="1895" w:name="bookmark1895"/>
      <w:bookmarkStart w:id="1896" w:name="bookmark1896"/>
      <w:bookmarkStart w:id="1897" w:name="bookmark18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895"/>
      <w:bookmarkEnd w:id="1896"/>
      <w:bookmarkEnd w:id="1897"/>
    </w:p>
    <w:p>
      <w:pPr>
        <w:pStyle w:val="Style35"/>
        <w:keepNext w:val="0"/>
        <w:keepLines w:val="0"/>
        <w:widowControl w:val="0"/>
        <w:shd w:val="clear" w:color="auto" w:fill="auto"/>
        <w:bidi w:val="0"/>
        <w:spacing w:before="0" w:after="38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80" w:line="240" w:lineRule="auto"/>
        <w:ind w:left="0" w:right="0"/>
        <w:jc w:val="left"/>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898"/>
      <w:bookmarkEnd w:id="1899"/>
      <w:bookmarkEnd w:id="1900"/>
    </w:p>
    <w:p>
      <w:pPr>
        <w:pStyle w:val="Style35"/>
        <w:keepNext w:val="0"/>
        <w:keepLines w:val="0"/>
        <w:widowControl w:val="0"/>
        <w:shd w:val="clear" w:color="auto" w:fill="auto"/>
        <w:bidi w:val="0"/>
        <w:spacing w:before="0" w:after="380" w:line="240" w:lineRule="auto"/>
        <w:ind w:left="0" w:right="0"/>
        <w:jc w:val="both"/>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378" w:right="929" w:bottom="1440" w:left="939"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200"/>
        <w:jc w:val="left"/>
        <w:rPr>
          <w:sz w:val="20"/>
          <w:szCs w:val="20"/>
        </w:rPr>
      </w:pPr>
      <w:r>
        <w:rPr>
          <w:b/>
          <w:bCs/>
          <w:color w:val="E67821"/>
          <w:spacing w:val="0"/>
          <w:w w:val="100"/>
          <w:position w:val="0"/>
          <w:sz w:val="20"/>
          <w:szCs w:val="20"/>
        </w:rPr>
        <w:t>向釜财互联</w:t>
      </w:r>
    </w:p>
    <w:p>
      <w:pPr>
        <w:pStyle w:val="Style25"/>
        <w:keepNext w:val="0"/>
        <w:keepLines w:val="0"/>
        <w:widowControl w:val="0"/>
        <w:shd w:val="clear" w:color="auto" w:fill="auto"/>
        <w:bidi w:val="0"/>
        <w:spacing w:before="0" w:after="320" w:line="226" w:lineRule="auto"/>
        <w:ind w:left="0" w:right="0" w:firstLine="600"/>
        <w:jc w:val="both"/>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p>
      <w:pPr>
        <w:pStyle w:val="Style45"/>
        <w:keepNext/>
        <w:keepLines/>
        <w:widowControl w:val="0"/>
        <w:numPr>
          <w:ilvl w:val="0"/>
          <w:numId w:val="165"/>
        </w:numPr>
        <w:shd w:val="clear" w:color="auto" w:fill="auto"/>
        <w:bidi w:val="0"/>
        <w:spacing w:before="0" w:after="380" w:line="322" w:lineRule="exact"/>
        <w:ind w:left="0" w:right="0" w:firstLine="440"/>
        <w:jc w:val="left"/>
      </w:pPr>
      <w:bookmarkStart w:id="1901" w:name="bookmark1901"/>
      <w:bookmarkStart w:id="1902" w:name="bookmark1902"/>
      <w:bookmarkStart w:id="1903" w:name="bookmark1903"/>
      <w:bookmarkStart w:id="1904" w:name="bookmark1904"/>
      <w:bookmarkEnd w:id="1903"/>
      <w:r>
        <w:rPr>
          <w:color w:val="000000"/>
          <w:spacing w:val="0"/>
          <w:w w:val="100"/>
          <w:position w:val="0"/>
        </w:rPr>
        <w:t>境内外会计准则下会计数据差异原因说明，对已经境外审计机构审计的数据进行差异调节的, 应注明该境外机构的名称</w:t>
      </w:r>
      <w:bookmarkEnd w:id="1901"/>
      <w:bookmarkEnd w:id="1902"/>
      <w:bookmarkEnd w:id="1904"/>
    </w:p>
    <w:p>
      <w:pPr>
        <w:pStyle w:val="Style35"/>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after="320" w:line="336" w:lineRule="auto"/>
        <w:ind w:left="0" w:right="0" w:firstLine="44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4</w:t>
      </w:r>
      <w:bookmarkEnd w:id="1907"/>
      <w:r>
        <w:rPr>
          <w:color w:val="000000"/>
          <w:spacing w:val="0"/>
          <w:w w:val="100"/>
          <w:position w:val="0"/>
        </w:rPr>
        <w:t>、其他</w:t>
      </w:r>
      <w:bookmarkEnd w:id="1905"/>
      <w:bookmarkEnd w:id="1906"/>
      <w:bookmarkEnd w:id="1908"/>
    </w:p>
    <w:p>
      <w:pPr>
        <w:pStyle w:val="Style35"/>
        <w:keepNext w:val="0"/>
        <w:keepLines w:val="0"/>
        <w:widowControl w:val="0"/>
        <w:shd w:val="clear" w:color="auto" w:fill="auto"/>
        <w:bidi w:val="0"/>
        <w:spacing w:before="0" w:after="340" w:line="240" w:lineRule="auto"/>
        <w:ind w:left="0" w:right="0" w:firstLine="380"/>
        <w:jc w:val="left"/>
        <w:sectPr>
          <w:footnotePr>
            <w:pos w:val="pageBottom"/>
            <w:numFmt w:val="decimal"/>
            <w:numRestart w:val="continuous"/>
          </w:footnotePr>
          <w:pgSz w:w="11900" w:h="16840"/>
          <w:pgMar w:top="711" w:right="1112" w:bottom="1157" w:left="1107" w:header="0" w:footer="3" w:gutter="0"/>
          <w:cols w:space="720"/>
          <w:noEndnote/>
          <w:rtlGutter w:val="0"/>
          <w:docGrid w:linePitch="360"/>
        </w:sectPr>
      </w:pPr>
      <w:r>
        <w:rPr>
          <w:color w:val="000000"/>
          <w:spacing w:val="0"/>
          <w:w w:val="100"/>
          <w:position w:val="0"/>
        </w:rPr>
        <w:t>无</w:t>
      </w:r>
    </w:p>
    <w:p>
      <w:pPr>
        <w:pStyle w:val="Style17"/>
        <w:keepNext/>
        <w:keepLines/>
        <w:widowControl w:val="0"/>
        <w:shd w:val="clear" w:color="auto" w:fill="auto"/>
        <w:bidi w:val="0"/>
        <w:spacing w:before="0" w:after="440" w:line="240" w:lineRule="auto"/>
        <w:ind w:left="0" w:right="0" w:firstLine="0"/>
        <w:jc w:val="center"/>
      </w:pPr>
      <w:bookmarkStart w:id="1909" w:name="bookmark1909"/>
      <w:bookmarkStart w:id="1910" w:name="bookmark1910"/>
      <w:bookmarkStart w:id="1911" w:name="bookmark1911"/>
      <w:r>
        <w:rPr>
          <w:color w:val="000000"/>
          <w:spacing w:val="0"/>
          <w:w w:val="100"/>
          <w:position w:val="0"/>
        </w:rPr>
        <w:t>第十三节备查文件目录</w:t>
      </w:r>
      <w:bookmarkEnd w:id="1909"/>
      <w:bookmarkEnd w:id="1910"/>
      <w:bookmarkEnd w:id="1911"/>
    </w:p>
    <w:p>
      <w:pPr>
        <w:pStyle w:val="Style99"/>
        <w:keepNext w:val="0"/>
        <w:keepLines w:val="0"/>
        <w:widowControl w:val="0"/>
        <w:shd w:val="clear" w:color="auto" w:fill="auto"/>
        <w:tabs>
          <w:tab w:pos="1037" w:val="left"/>
        </w:tabs>
        <w:bidi w:val="0"/>
        <w:spacing w:before="0"/>
        <w:ind w:left="0" w:right="0"/>
        <w:jc w:val="left"/>
      </w:pPr>
      <w:bookmarkStart w:id="1912" w:name="bookmark1912"/>
      <w:bookmarkStart w:id="1913" w:name="bookmark1913"/>
      <w:r>
        <w:rPr>
          <w:color w:val="000000"/>
          <w:spacing w:val="0"/>
          <w:w w:val="100"/>
          <w:position w:val="0"/>
          <w:sz w:val="24"/>
          <w:szCs w:val="24"/>
        </w:rPr>
        <w:t>一</w:t>
      </w:r>
      <w:bookmarkEnd w:id="1913"/>
      <w:r>
        <w:rPr>
          <w:color w:val="000000"/>
          <w:spacing w:val="0"/>
          <w:w w:val="100"/>
          <w:position w:val="0"/>
          <w:sz w:val="24"/>
          <w:szCs w:val="24"/>
        </w:rPr>
        <w:t>、</w:t>
        <w:tab/>
        <w:t>载有公司董事长朱文明先生签名的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年年度报告。</w:t>
      </w:r>
      <w:bookmarkEnd w:id="1912"/>
    </w:p>
    <w:p>
      <w:pPr>
        <w:pStyle w:val="Style99"/>
        <w:keepNext w:val="0"/>
        <w:keepLines w:val="0"/>
        <w:widowControl w:val="0"/>
        <w:shd w:val="clear" w:color="auto" w:fill="auto"/>
        <w:tabs>
          <w:tab w:pos="992" w:val="left"/>
        </w:tabs>
        <w:bidi w:val="0"/>
        <w:spacing w:before="0"/>
        <w:ind w:left="0" w:right="0"/>
        <w:jc w:val="both"/>
      </w:pPr>
      <w:bookmarkStart w:id="1914" w:name="bookmark1914"/>
      <w:r>
        <w:rPr>
          <w:color w:val="000000"/>
          <w:spacing w:val="0"/>
          <w:w w:val="100"/>
          <w:position w:val="0"/>
          <w:sz w:val="24"/>
          <w:szCs w:val="24"/>
        </w:rPr>
        <w:t>二</w:t>
      </w:r>
      <w:bookmarkEnd w:id="1914"/>
      <w:r>
        <w:rPr>
          <w:color w:val="000000"/>
          <w:spacing w:val="0"/>
          <w:w w:val="100"/>
          <w:position w:val="0"/>
          <w:sz w:val="24"/>
          <w:szCs w:val="24"/>
        </w:rPr>
        <w:t>、</w:t>
        <w:tab/>
        <w:t>载有公司法定代表人朱文明先生、主管会计工作负责人及会计机构负责人褚文兰女 士签名并盖章的财务报表。</w:t>
      </w:r>
    </w:p>
    <w:p>
      <w:pPr>
        <w:pStyle w:val="Style99"/>
        <w:keepNext w:val="0"/>
        <w:keepLines w:val="0"/>
        <w:widowControl w:val="0"/>
        <w:shd w:val="clear" w:color="auto" w:fill="auto"/>
        <w:tabs>
          <w:tab w:pos="992" w:val="left"/>
        </w:tabs>
        <w:bidi w:val="0"/>
        <w:spacing w:before="0" w:line="662" w:lineRule="exact"/>
        <w:ind w:left="0" w:right="0"/>
        <w:jc w:val="both"/>
      </w:pPr>
      <w:bookmarkStart w:id="1915" w:name="bookmark1915"/>
      <w:r>
        <w:rPr>
          <w:color w:val="000000"/>
          <w:spacing w:val="0"/>
          <w:w w:val="100"/>
          <w:position w:val="0"/>
          <w:sz w:val="24"/>
          <w:szCs w:val="24"/>
        </w:rPr>
        <w:t>三</w:t>
      </w:r>
      <w:bookmarkEnd w:id="1915"/>
      <w:r>
        <w:rPr>
          <w:color w:val="000000"/>
          <w:spacing w:val="0"/>
          <w:w w:val="100"/>
          <w:position w:val="0"/>
          <w:sz w:val="24"/>
          <w:szCs w:val="24"/>
        </w:rPr>
        <w:t>、</w:t>
        <w:tab/>
        <w:t>载有众华会计师事务所（特殊普通合伙）盖章、注册会计师卞文漪女士、赵海蓉女 士签名并盖章的公司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年度审计报告原件。</w:t>
      </w:r>
    </w:p>
    <w:p>
      <w:pPr>
        <w:pStyle w:val="Style99"/>
        <w:keepNext w:val="0"/>
        <w:keepLines w:val="0"/>
        <w:widowControl w:val="0"/>
        <w:shd w:val="clear" w:color="auto" w:fill="auto"/>
        <w:tabs>
          <w:tab w:pos="1021" w:val="left"/>
        </w:tabs>
        <w:bidi w:val="0"/>
        <w:spacing w:before="0" w:line="682" w:lineRule="exact"/>
        <w:ind w:left="0" w:right="0"/>
        <w:jc w:val="both"/>
      </w:pPr>
      <w:bookmarkStart w:id="1916" w:name="bookmark1916"/>
      <w:r>
        <w:rPr>
          <w:color w:val="000000"/>
          <w:spacing w:val="0"/>
          <w:w w:val="100"/>
          <w:position w:val="0"/>
          <w:sz w:val="24"/>
          <w:szCs w:val="24"/>
        </w:rPr>
        <w:t>四</w:t>
      </w:r>
      <w:bookmarkEnd w:id="1916"/>
      <w:r>
        <w:rPr>
          <w:color w:val="000000"/>
          <w:spacing w:val="0"/>
          <w:w w:val="100"/>
          <w:position w:val="0"/>
          <w:sz w:val="24"/>
          <w:szCs w:val="24"/>
        </w:rPr>
        <w:t>、</w:t>
        <w:tab/>
        <w:t>报告期内在中国证券监督管理委员会指定报纸上公开披露过的所有公司文件的正本 及公告的原稿。</w:t>
      </w:r>
    </w:p>
    <w:p>
      <w:pPr>
        <w:pStyle w:val="Style99"/>
        <w:keepNext w:val="0"/>
        <w:keepLines w:val="0"/>
        <w:widowControl w:val="0"/>
        <w:shd w:val="clear" w:color="auto" w:fill="auto"/>
        <w:bidi w:val="0"/>
        <w:spacing w:before="0" w:after="2220"/>
        <w:ind w:left="0" w:right="0" w:firstLine="620"/>
        <w:jc w:val="left"/>
      </w:pPr>
      <w:r>
        <w:rPr>
          <w:b w:val="0"/>
          <w:bCs w:val="0"/>
          <w:color w:val="000000"/>
          <w:spacing w:val="0"/>
          <w:w w:val="100"/>
          <w:position w:val="0"/>
          <w:sz w:val="24"/>
          <w:szCs w:val="24"/>
        </w:rPr>
        <w:t>以上文件的原件备置于公司证券部备查。</w:t>
      </w:r>
    </w:p>
    <w:p>
      <w:pPr>
        <w:pStyle w:val="Style99"/>
        <w:keepNext w:val="0"/>
        <w:keepLines w:val="0"/>
        <w:widowControl w:val="0"/>
        <w:shd w:val="clear" w:color="auto" w:fill="auto"/>
        <w:bidi w:val="0"/>
        <w:spacing w:before="0" w:after="300" w:line="240" w:lineRule="auto"/>
        <w:ind w:left="6260" w:right="0" w:firstLine="0"/>
        <w:jc w:val="left"/>
      </w:pPr>
      <w:r>
        <w:rPr>
          <w:color w:val="000000"/>
          <w:spacing w:val="0"/>
          <w:w w:val="100"/>
          <w:position w:val="0"/>
          <w:sz w:val="24"/>
          <w:szCs w:val="24"/>
        </w:rPr>
        <w:t>法定代表人：朱文明</w:t>
      </w:r>
    </w:p>
    <w:p>
      <w:pPr>
        <w:pStyle w:val="Style99"/>
        <w:keepNext w:val="0"/>
        <w:keepLines w:val="0"/>
        <w:widowControl w:val="0"/>
        <w:shd w:val="clear" w:color="auto" w:fill="auto"/>
        <w:bidi w:val="0"/>
        <w:spacing w:before="0" w:after="300" w:line="240" w:lineRule="auto"/>
        <w:ind w:left="5980" w:right="0" w:firstLine="0"/>
        <w:jc w:val="left"/>
      </w:pPr>
      <w:r>
        <w:rPr>
          <w:color w:val="000000"/>
          <w:spacing w:val="0"/>
          <w:w w:val="100"/>
          <w:position w:val="0"/>
          <w:sz w:val="24"/>
          <w:szCs w:val="24"/>
        </w:rPr>
        <w:t>金财互联控股股份有限公司</w:t>
      </w:r>
    </w:p>
    <w:p>
      <w:pPr>
        <w:pStyle w:val="Style99"/>
        <w:keepNext w:val="0"/>
        <w:keepLines w:val="0"/>
        <w:widowControl w:val="0"/>
        <w:shd w:val="clear" w:color="auto" w:fill="auto"/>
        <w:bidi w:val="0"/>
        <w:spacing w:before="0" w:after="240" w:line="240" w:lineRule="auto"/>
        <w:ind w:left="0" w:right="960" w:firstLine="0"/>
        <w:jc w:val="right"/>
      </w:pP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O</w:t>
      </w:r>
      <w:r>
        <w:rPr>
          <w:color w:val="000000"/>
          <w:spacing w:val="0"/>
          <w:w w:val="100"/>
          <w:position w:val="0"/>
          <w:sz w:val="24"/>
          <w:szCs w:val="24"/>
        </w:rPr>
        <w:t>二一年四月二十六日</w:t>
      </w:r>
    </w:p>
    <w:sectPr>
      <w:footnotePr>
        <w:pos w:val="pageBottom"/>
        <w:numFmt w:val="decimal"/>
        <w:numRestart w:val="continuous"/>
      </w:footnotePr>
      <w:pgSz w:w="11900" w:h="16840"/>
      <w:pgMar w:top="2007" w:right="1068" w:bottom="2007" w:left="107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6795770</wp:posOffset>
              </wp:positionH>
              <wp:positionV relativeFrom="page">
                <wp:posOffset>10132060</wp:posOffset>
              </wp:positionV>
              <wp:extent cx="30480" cy="79375"/>
              <wp:wrapNone/>
              <wp:docPr id="6" name="Shape 6"/>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35.10000000000002pt;margin-top:797.80000000000007pt;width:2.3999999999999999pt;height:6.25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6729730</wp:posOffset>
              </wp:positionH>
              <wp:positionV relativeFrom="page">
                <wp:posOffset>9979660</wp:posOffset>
              </wp:positionV>
              <wp:extent cx="106680" cy="79375"/>
              <wp:wrapNone/>
              <wp:docPr id="57" name="Shape 5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9.89999999999998pt;margin-top:785.80000000000007pt;width:8.4000000000000004pt;height:6.2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6729730</wp:posOffset>
              </wp:positionH>
              <wp:positionV relativeFrom="page">
                <wp:posOffset>9979660</wp:posOffset>
              </wp:positionV>
              <wp:extent cx="106680" cy="79375"/>
              <wp:wrapNone/>
              <wp:docPr id="593" name="Shape 59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9" type="#_x0000_t202" style="position:absolute;margin-left:529.89999999999998pt;margin-top:785.80000000000007pt;width:8.4000000000000004pt;height:6.25pt;z-index:-1887436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6729730</wp:posOffset>
              </wp:positionH>
              <wp:positionV relativeFrom="page">
                <wp:posOffset>9979660</wp:posOffset>
              </wp:positionV>
              <wp:extent cx="106680" cy="79375"/>
              <wp:wrapNone/>
              <wp:docPr id="598" name="Shape 59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4" type="#_x0000_t202" style="position:absolute;margin-left:529.89999999999998pt;margin-top:785.80000000000007pt;width:8.4000000000000004pt;height:6.25pt;z-index:-1887436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6656070</wp:posOffset>
              </wp:positionH>
              <wp:positionV relativeFrom="page">
                <wp:posOffset>9958070</wp:posOffset>
              </wp:positionV>
              <wp:extent cx="146050" cy="79375"/>
              <wp:wrapNone/>
              <wp:docPr id="605" name="Shape 60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1" type="#_x0000_t202" style="position:absolute;margin-left:524.10000000000002pt;margin-top:784.10000000000002pt;width:11.5pt;height:6.25pt;z-index:-1887436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6729730</wp:posOffset>
              </wp:positionH>
              <wp:positionV relativeFrom="page">
                <wp:posOffset>9979660</wp:posOffset>
              </wp:positionV>
              <wp:extent cx="106680" cy="79375"/>
              <wp:wrapNone/>
              <wp:docPr id="610" name="Shape 61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6" type="#_x0000_t202" style="position:absolute;margin-left:529.89999999999998pt;margin-top:785.80000000000007pt;width:8.4000000000000004pt;height:6.25pt;z-index:-1887436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6729730</wp:posOffset>
              </wp:positionH>
              <wp:positionV relativeFrom="page">
                <wp:posOffset>9979660</wp:posOffset>
              </wp:positionV>
              <wp:extent cx="106680" cy="79375"/>
              <wp:wrapNone/>
              <wp:docPr id="615" name="Shape 61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1" type="#_x0000_t202" style="position:absolute;margin-left:529.89999999999998pt;margin-top:785.80000000000007pt;width:8.4000000000000004pt;height:6.25pt;z-index:-1887436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6656070</wp:posOffset>
              </wp:positionH>
              <wp:positionV relativeFrom="page">
                <wp:posOffset>9958070</wp:posOffset>
              </wp:positionV>
              <wp:extent cx="146050" cy="79375"/>
              <wp:wrapNone/>
              <wp:docPr id="622" name="Shape 62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8" type="#_x0000_t202" style="position:absolute;margin-left:524.10000000000002pt;margin-top:784.10000000000002pt;width:11.5pt;height:6.25pt;z-index:-18874361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6656070</wp:posOffset>
              </wp:positionH>
              <wp:positionV relativeFrom="page">
                <wp:posOffset>9958070</wp:posOffset>
              </wp:positionV>
              <wp:extent cx="146050" cy="79375"/>
              <wp:wrapNone/>
              <wp:docPr id="629" name="Shape 62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5" type="#_x0000_t202" style="position:absolute;margin-left:524.10000000000002pt;margin-top:784.10000000000002pt;width:11.5pt;height:6.25pt;z-index:-18874360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6656070</wp:posOffset>
              </wp:positionH>
              <wp:positionV relativeFrom="page">
                <wp:posOffset>9958070</wp:posOffset>
              </wp:positionV>
              <wp:extent cx="146050" cy="79375"/>
              <wp:wrapNone/>
              <wp:docPr id="636" name="Shape 63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524.10000000000002pt;margin-top:784.10000000000002pt;width:11.5pt;height:6.25pt;z-index:-18874359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6656070</wp:posOffset>
              </wp:positionH>
              <wp:positionV relativeFrom="page">
                <wp:posOffset>9958070</wp:posOffset>
              </wp:positionV>
              <wp:extent cx="146050" cy="79375"/>
              <wp:wrapNone/>
              <wp:docPr id="643" name="Shape 64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9" type="#_x0000_t202" style="position:absolute;margin-left:524.10000000000002pt;margin-top:784.10000000000002pt;width:11.5pt;height:6.25pt;z-index:-18874359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6729730</wp:posOffset>
              </wp:positionH>
              <wp:positionV relativeFrom="page">
                <wp:posOffset>9979660</wp:posOffset>
              </wp:positionV>
              <wp:extent cx="106680" cy="79375"/>
              <wp:wrapNone/>
              <wp:docPr id="648" name="Shape 6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4" type="#_x0000_t202" style="position:absolute;margin-left:529.89999999999998pt;margin-top:785.80000000000007pt;width:8.4000000000000004pt;height:6.25pt;z-index:-1887435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6786880</wp:posOffset>
              </wp:positionH>
              <wp:positionV relativeFrom="page">
                <wp:posOffset>9958070</wp:posOffset>
              </wp:positionV>
              <wp:extent cx="45720" cy="79375"/>
              <wp:wrapNone/>
              <wp:docPr id="64" name="Shape 64"/>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4.39999999999998pt;margin-top:784.10000000000002pt;width:3.6000000000000001pt;height:6.25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6729730</wp:posOffset>
              </wp:positionH>
              <wp:positionV relativeFrom="page">
                <wp:posOffset>9979660</wp:posOffset>
              </wp:positionV>
              <wp:extent cx="106680" cy="79375"/>
              <wp:wrapNone/>
              <wp:docPr id="653" name="Shape 6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9" type="#_x0000_t202" style="position:absolute;margin-left:529.89999999999998pt;margin-top:785.80000000000007pt;width:8.4000000000000004pt;height:6.25pt;z-index:-1887435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6729730</wp:posOffset>
              </wp:positionH>
              <wp:positionV relativeFrom="page">
                <wp:posOffset>9979660</wp:posOffset>
              </wp:positionV>
              <wp:extent cx="106680" cy="79375"/>
              <wp:wrapNone/>
              <wp:docPr id="658" name="Shape 6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529.89999999999998pt;margin-top:785.80000000000007pt;width:8.4000000000000004pt;height:6.25pt;z-index:-1887435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6729730</wp:posOffset>
              </wp:positionH>
              <wp:positionV relativeFrom="page">
                <wp:posOffset>9979660</wp:posOffset>
              </wp:positionV>
              <wp:extent cx="106680" cy="79375"/>
              <wp:wrapNone/>
              <wp:docPr id="663" name="Shape 66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9" type="#_x0000_t202" style="position:absolute;margin-left:529.89999999999998pt;margin-top:785.80000000000007pt;width:8.4000000000000004pt;height:6.25pt;z-index:-1887435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6729730</wp:posOffset>
              </wp:positionH>
              <wp:positionV relativeFrom="page">
                <wp:posOffset>9979660</wp:posOffset>
              </wp:positionV>
              <wp:extent cx="106680" cy="79375"/>
              <wp:wrapNone/>
              <wp:docPr id="668" name="Shape 6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4" type="#_x0000_t202" style="position:absolute;margin-left:529.89999999999998pt;margin-top:785.80000000000007pt;width:8.4000000000000004pt;height:6.25pt;z-index:-1887435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6656070</wp:posOffset>
              </wp:positionH>
              <wp:positionV relativeFrom="page">
                <wp:posOffset>9958070</wp:posOffset>
              </wp:positionV>
              <wp:extent cx="146050" cy="79375"/>
              <wp:wrapNone/>
              <wp:docPr id="675" name="Shape 67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524.10000000000002pt;margin-top:784.10000000000002pt;width:11.5pt;height:6.25pt;z-index:-18874356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6741160</wp:posOffset>
              </wp:positionH>
              <wp:positionV relativeFrom="page">
                <wp:posOffset>9967595</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0.79999999999995pt;margin-top:784.85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6741160</wp:posOffset>
              </wp:positionH>
              <wp:positionV relativeFrom="page">
                <wp:posOffset>9967595</wp:posOffset>
              </wp:positionV>
              <wp:extent cx="97790" cy="79375"/>
              <wp:wrapNone/>
              <wp:docPr id="68" name="Shape 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30.79999999999995pt;margin-top:784.85000000000002pt;width:7.7000000000000002pt;height:6.25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6729730</wp:posOffset>
              </wp:positionH>
              <wp:positionV relativeFrom="page">
                <wp:posOffset>9979660</wp:posOffset>
              </wp:positionV>
              <wp:extent cx="106680" cy="79375"/>
              <wp:wrapNone/>
              <wp:docPr id="73" name="Shape 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9.89999999999998pt;margin-top:785.80000000000007pt;width:8.4000000000000004pt;height:6.25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6729730</wp:posOffset>
              </wp:positionH>
              <wp:positionV relativeFrom="page">
                <wp:posOffset>9979660</wp:posOffset>
              </wp:positionV>
              <wp:extent cx="106680" cy="79375"/>
              <wp:wrapNone/>
              <wp:docPr id="78" name="Shape 7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29.89999999999998pt;margin-top:785.80000000000007pt;width:8.4000000000000004pt;height:6.25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6729730</wp:posOffset>
              </wp:positionH>
              <wp:positionV relativeFrom="page">
                <wp:posOffset>9979660</wp:posOffset>
              </wp:positionV>
              <wp:extent cx="106680" cy="79375"/>
              <wp:wrapNone/>
              <wp:docPr id="83" name="Shape 8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29.89999999999998pt;margin-top:785.80000000000007pt;width:8.4000000000000004pt;height:6.25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6729730</wp:posOffset>
              </wp:positionH>
              <wp:positionV relativeFrom="page">
                <wp:posOffset>9979660</wp:posOffset>
              </wp:positionV>
              <wp:extent cx="106680" cy="79375"/>
              <wp:wrapNone/>
              <wp:docPr id="88" name="Shape 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29.89999999999998pt;margin-top:785.80000000000007pt;width:8.4000000000000004pt;height:6.25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6736080</wp:posOffset>
              </wp:positionH>
              <wp:positionV relativeFrom="page">
                <wp:posOffset>9961245</wp:posOffset>
              </wp:positionV>
              <wp:extent cx="109855" cy="79375"/>
              <wp:wrapNone/>
              <wp:docPr id="95" name="Shape 9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30.39999999999998pt;margin-top:784.35000000000002pt;width:8.6500000000000004pt;height:6.25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6741160</wp:posOffset>
              </wp:positionH>
              <wp:positionV relativeFrom="page">
                <wp:posOffset>9967595</wp:posOffset>
              </wp:positionV>
              <wp:extent cx="97790" cy="79375"/>
              <wp:wrapNone/>
              <wp:docPr id="97" name="Shape 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30.79999999999995pt;margin-top:784.85000000000002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6795770</wp:posOffset>
              </wp:positionH>
              <wp:positionV relativeFrom="page">
                <wp:posOffset>10132060</wp:posOffset>
              </wp:positionV>
              <wp:extent cx="30480" cy="79375"/>
              <wp:wrapNone/>
              <wp:docPr id="13" name="Shape 1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5.10000000000002pt;margin-top:797.80000000000007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6741160</wp:posOffset>
              </wp:positionH>
              <wp:positionV relativeFrom="page">
                <wp:posOffset>9967595</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30.79999999999995pt;margin-top:784.85000000000002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6729730</wp:posOffset>
              </wp:positionH>
              <wp:positionV relativeFrom="page">
                <wp:posOffset>9979660</wp:posOffset>
              </wp:positionV>
              <wp:extent cx="106680" cy="79375"/>
              <wp:wrapNone/>
              <wp:docPr id="130" name="Shape 1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29.89999999999998pt;margin-top:785.80000000000007pt;width:8.4000000000000004pt;height:6.25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6729730</wp:posOffset>
              </wp:positionH>
              <wp:positionV relativeFrom="page">
                <wp:posOffset>9979660</wp:posOffset>
              </wp:positionV>
              <wp:extent cx="106680" cy="79375"/>
              <wp:wrapNone/>
              <wp:docPr id="135" name="Shape 13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529.89999999999998pt;margin-top:785.80000000000007pt;width:8.4000000000000004pt;height:6.25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6736080</wp:posOffset>
              </wp:positionH>
              <wp:positionV relativeFrom="page">
                <wp:posOffset>9961245</wp:posOffset>
              </wp:positionV>
              <wp:extent cx="109855" cy="79375"/>
              <wp:wrapNone/>
              <wp:docPr id="142" name="Shape 1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8" type="#_x0000_t202" style="position:absolute;margin-left:530.39999999999998pt;margin-top:784.35000000000002pt;width:8.6500000000000004pt;height:6.25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6736080</wp:posOffset>
              </wp:positionH>
              <wp:positionV relativeFrom="page">
                <wp:posOffset>9961245</wp:posOffset>
              </wp:positionV>
              <wp:extent cx="109855" cy="79375"/>
              <wp:wrapNone/>
              <wp:docPr id="155" name="Shape 15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530.39999999999998pt;margin-top:784.35000000000002pt;width:8.6500000000000004pt;height:6.25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6729730</wp:posOffset>
              </wp:positionH>
              <wp:positionV relativeFrom="page">
                <wp:posOffset>9979660</wp:posOffset>
              </wp:positionV>
              <wp:extent cx="106680" cy="79375"/>
              <wp:wrapNone/>
              <wp:docPr id="160" name="Shape 16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529.89999999999998pt;margin-top:785.80000000000007pt;width:8.4000000000000004pt;height:6.25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6729730</wp:posOffset>
              </wp:positionH>
              <wp:positionV relativeFrom="page">
                <wp:posOffset>9979660</wp:posOffset>
              </wp:positionV>
              <wp:extent cx="106680" cy="79375"/>
              <wp:wrapNone/>
              <wp:docPr id="165" name="Shape 16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529.89999999999998pt;margin-top:785.80000000000007pt;width:8.4000000000000004pt;height:6.25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6729730</wp:posOffset>
              </wp:positionH>
              <wp:positionV relativeFrom="page">
                <wp:posOffset>9979660</wp:posOffset>
              </wp:positionV>
              <wp:extent cx="106680" cy="79375"/>
              <wp:wrapNone/>
              <wp:docPr id="170" name="Shape 17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529.89999999999998pt;margin-top:785.80000000000007pt;width:8.4000000000000004pt;height:6.25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6741160</wp:posOffset>
              </wp:positionH>
              <wp:positionV relativeFrom="page">
                <wp:posOffset>9967595</wp:posOffset>
              </wp:positionV>
              <wp:extent cx="97790" cy="79375"/>
              <wp:wrapNone/>
              <wp:docPr id="172" name="Shape 1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530.79999999999995pt;margin-top:784.85000000000002pt;width:7.7000000000000002pt;height:6.25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6741160</wp:posOffset>
              </wp:positionH>
              <wp:positionV relativeFrom="page">
                <wp:posOffset>9967595</wp:posOffset>
              </wp:positionV>
              <wp:extent cx="97790" cy="79375"/>
              <wp:wrapNone/>
              <wp:docPr id="174" name="Shape 1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0" type="#_x0000_t202" style="position:absolute;margin-left:530.79999999999995pt;margin-top:784.85000000000002pt;width:7.7000000000000002pt;height:6.25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6729730</wp:posOffset>
              </wp:positionH>
              <wp:positionV relativeFrom="page">
                <wp:posOffset>9979660</wp:posOffset>
              </wp:positionV>
              <wp:extent cx="106680" cy="79375"/>
              <wp:wrapNone/>
              <wp:docPr id="18" name="Shape 1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29.89999999999998pt;margin-top:785.80000000000007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6729730</wp:posOffset>
              </wp:positionH>
              <wp:positionV relativeFrom="page">
                <wp:posOffset>9979660</wp:posOffset>
              </wp:positionV>
              <wp:extent cx="106680" cy="79375"/>
              <wp:wrapNone/>
              <wp:docPr id="179" name="Shape 17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529.89999999999998pt;margin-top:785.80000000000007pt;width:8.4000000000000004pt;height:6.25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6729730</wp:posOffset>
              </wp:positionH>
              <wp:positionV relativeFrom="page">
                <wp:posOffset>9979660</wp:posOffset>
              </wp:positionV>
              <wp:extent cx="106680" cy="79375"/>
              <wp:wrapNone/>
              <wp:docPr id="184" name="Shape 18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29.89999999999998pt;margin-top:785.80000000000007pt;width:8.4000000000000004pt;height:6.2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6735445</wp:posOffset>
              </wp:positionH>
              <wp:positionV relativeFrom="page">
                <wp:posOffset>9958070</wp:posOffset>
              </wp:positionV>
              <wp:extent cx="103505" cy="79375"/>
              <wp:wrapNone/>
              <wp:docPr id="191" name="Shape 19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530.35000000000002pt;margin-top:784.10000000000002pt;width:8.1500000000000004pt;height:6.25pt;z-index:-18874393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6735445</wp:posOffset>
              </wp:positionH>
              <wp:positionV relativeFrom="page">
                <wp:posOffset>9958070</wp:posOffset>
              </wp:positionV>
              <wp:extent cx="103505" cy="79375"/>
              <wp:wrapNone/>
              <wp:docPr id="198" name="Shape 19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530.35000000000002pt;margin-top:784.10000000000002pt;width:8.1500000000000004pt;height:6.25pt;z-index:-1887439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6729730</wp:posOffset>
              </wp:positionH>
              <wp:positionV relativeFrom="page">
                <wp:posOffset>9979660</wp:posOffset>
              </wp:positionV>
              <wp:extent cx="106680" cy="79375"/>
              <wp:wrapNone/>
              <wp:docPr id="203" name="Shape 2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529.89999999999998pt;margin-top:785.80000000000007pt;width:8.4000000000000004pt;height:6.25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6729730</wp:posOffset>
              </wp:positionH>
              <wp:positionV relativeFrom="page">
                <wp:posOffset>9979660</wp:posOffset>
              </wp:positionV>
              <wp:extent cx="106680" cy="79375"/>
              <wp:wrapNone/>
              <wp:docPr id="208" name="Shape 2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529.89999999999998pt;margin-top:785.80000000000007pt;width:8.4000000000000004pt;height:6.25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6735445</wp:posOffset>
              </wp:positionH>
              <wp:positionV relativeFrom="page">
                <wp:posOffset>9958070</wp:posOffset>
              </wp:positionV>
              <wp:extent cx="103505" cy="79375"/>
              <wp:wrapNone/>
              <wp:docPr id="219" name="Shape 2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530.35000000000002pt;margin-top:784.10000000000002pt;width:8.1500000000000004pt;height:6.25pt;z-index:-18874391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6729730</wp:posOffset>
              </wp:positionH>
              <wp:positionV relativeFrom="page">
                <wp:posOffset>9979660</wp:posOffset>
              </wp:positionV>
              <wp:extent cx="106680" cy="79375"/>
              <wp:wrapNone/>
              <wp:docPr id="224" name="Shape 2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0" type="#_x0000_t202" style="position:absolute;margin-left:529.89999999999998pt;margin-top:785.80000000000007pt;width:8.4000000000000004pt;height:6.25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6741160</wp:posOffset>
              </wp:positionH>
              <wp:positionV relativeFrom="page">
                <wp:posOffset>9967595</wp:posOffset>
              </wp:positionV>
              <wp:extent cx="97790" cy="79375"/>
              <wp:wrapNone/>
              <wp:docPr id="226" name="Shape 2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530.79999999999995pt;margin-top:784.85000000000002pt;width:7.7000000000000002pt;height:6.25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6741160</wp:posOffset>
              </wp:positionH>
              <wp:positionV relativeFrom="page">
                <wp:posOffset>9967595</wp:posOffset>
              </wp:positionV>
              <wp:extent cx="97790" cy="79375"/>
              <wp:wrapNone/>
              <wp:docPr id="228" name="Shape 2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30.79999999999995pt;margin-top:784.85000000000002pt;width:7.7000000000000002pt;height:6.25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6729730</wp:posOffset>
              </wp:positionH>
              <wp:positionV relativeFrom="page">
                <wp:posOffset>9979660</wp:posOffset>
              </wp:positionV>
              <wp:extent cx="106680" cy="79375"/>
              <wp:wrapNone/>
              <wp:docPr id="23" name="Shape 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29.89999999999998pt;margin-top:785.80000000000007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6735445</wp:posOffset>
              </wp:positionH>
              <wp:positionV relativeFrom="page">
                <wp:posOffset>9958070</wp:posOffset>
              </wp:positionV>
              <wp:extent cx="103505" cy="79375"/>
              <wp:wrapNone/>
              <wp:docPr id="235" name="Shape 2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30.35000000000002pt;margin-top:784.10000000000002pt;width:8.1500000000000004pt;height:6.25pt;z-index:-18874389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6729730</wp:posOffset>
              </wp:positionH>
              <wp:positionV relativeFrom="page">
                <wp:posOffset>9979660</wp:posOffset>
              </wp:positionV>
              <wp:extent cx="106680" cy="79375"/>
              <wp:wrapNone/>
              <wp:docPr id="240" name="Shape 2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529.89999999999998pt;margin-top:785.80000000000007pt;width:8.4000000000000004pt;height:6.25pt;z-index:-1887438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6735445</wp:posOffset>
              </wp:positionH>
              <wp:positionV relativeFrom="page">
                <wp:posOffset>9958070</wp:posOffset>
              </wp:positionV>
              <wp:extent cx="103505" cy="79375"/>
              <wp:wrapNone/>
              <wp:docPr id="280" name="Shape 28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6" type="#_x0000_t202" style="position:absolute;margin-left:530.35000000000002pt;margin-top:784.10000000000002pt;width:8.1500000000000004pt;height:6.25pt;z-index:-18874388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6735445</wp:posOffset>
              </wp:positionH>
              <wp:positionV relativeFrom="page">
                <wp:posOffset>9958070</wp:posOffset>
              </wp:positionV>
              <wp:extent cx="103505" cy="79375"/>
              <wp:wrapNone/>
              <wp:docPr id="287" name="Shape 28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3" type="#_x0000_t202" style="position:absolute;margin-left:530.35000000000002pt;margin-top:784.10000000000002pt;width:8.1500000000000004pt;height:6.25pt;z-index:-18874388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6741160</wp:posOffset>
              </wp:positionH>
              <wp:positionV relativeFrom="page">
                <wp:posOffset>9967595</wp:posOffset>
              </wp:positionV>
              <wp:extent cx="97790" cy="79375"/>
              <wp:wrapNone/>
              <wp:docPr id="289" name="Shape 2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530.79999999999995pt;margin-top:784.85000000000002pt;width:7.7000000000000002pt;height:6.25pt;z-index:-1887438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6741160</wp:posOffset>
              </wp:positionH>
              <wp:positionV relativeFrom="page">
                <wp:posOffset>9967595</wp:posOffset>
              </wp:positionV>
              <wp:extent cx="97790" cy="79375"/>
              <wp:wrapNone/>
              <wp:docPr id="291" name="Shape 2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530.79999999999995pt;margin-top:784.85000000000002pt;width:7.7000000000000002pt;height:6.25pt;z-index:-1887438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6729730</wp:posOffset>
              </wp:positionH>
              <wp:positionV relativeFrom="page">
                <wp:posOffset>9979660</wp:posOffset>
              </wp:positionV>
              <wp:extent cx="106680" cy="79375"/>
              <wp:wrapNone/>
              <wp:docPr id="296" name="Shape 2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529.89999999999998pt;margin-top:785.80000000000007pt;width:8.4000000000000004pt;height:6.25pt;z-index:-1887438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6735445</wp:posOffset>
              </wp:positionH>
              <wp:positionV relativeFrom="page">
                <wp:posOffset>9958070</wp:posOffset>
              </wp:positionV>
              <wp:extent cx="103505" cy="79375"/>
              <wp:wrapNone/>
              <wp:docPr id="303" name="Shape 3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530.35000000000002pt;margin-top:784.10000000000002pt;width:8.1500000000000004pt;height:6.25pt;z-index:-18874386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6729730</wp:posOffset>
              </wp:positionH>
              <wp:positionV relativeFrom="page">
                <wp:posOffset>9979660</wp:posOffset>
              </wp:positionV>
              <wp:extent cx="106680" cy="79375"/>
              <wp:wrapNone/>
              <wp:docPr id="308" name="Shape 3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4" type="#_x0000_t202" style="position:absolute;margin-left:529.89999999999998pt;margin-top:785.80000000000007pt;width:8.4000000000000004pt;height:6.25pt;z-index:-1887438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6729730</wp:posOffset>
              </wp:positionH>
              <wp:positionV relativeFrom="page">
                <wp:posOffset>9979660</wp:posOffset>
              </wp:positionV>
              <wp:extent cx="106680" cy="79375"/>
              <wp:wrapNone/>
              <wp:docPr id="313" name="Shape 3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9" type="#_x0000_t202" style="position:absolute;margin-left:529.89999999999998pt;margin-top:785.80000000000007pt;width:8.4000000000000004pt;height:6.25pt;z-index:-1887438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6786880</wp:posOffset>
              </wp:positionH>
              <wp:positionV relativeFrom="page">
                <wp:posOffset>9958070</wp:posOffset>
              </wp:positionV>
              <wp:extent cx="45720" cy="79375"/>
              <wp:wrapNone/>
              <wp:docPr id="30" name="Shape 30"/>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34.39999999999998pt;margin-top:784.10000000000002pt;width:3.6000000000000001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6741160</wp:posOffset>
              </wp:positionH>
              <wp:positionV relativeFrom="page">
                <wp:posOffset>9967595</wp:posOffset>
              </wp:positionV>
              <wp:extent cx="97790" cy="79375"/>
              <wp:wrapNone/>
              <wp:docPr id="315" name="Shape 3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530.79999999999995pt;margin-top:784.85000000000002pt;width:7.7000000000000002pt;height:6.25pt;z-index:-1887438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6741160</wp:posOffset>
              </wp:positionH>
              <wp:positionV relativeFrom="page">
                <wp:posOffset>9967595</wp:posOffset>
              </wp:positionV>
              <wp:extent cx="97790" cy="79375"/>
              <wp:wrapNone/>
              <wp:docPr id="317" name="Shape 3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3" type="#_x0000_t202" style="position:absolute;margin-left:530.79999999999995pt;margin-top:784.85000000000002pt;width:7.7000000000000002pt;height:6.25pt;z-index:-1887438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6729730</wp:posOffset>
              </wp:positionH>
              <wp:positionV relativeFrom="page">
                <wp:posOffset>9979660</wp:posOffset>
              </wp:positionV>
              <wp:extent cx="106680" cy="79375"/>
              <wp:wrapNone/>
              <wp:docPr id="322" name="Shape 3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529.89999999999998pt;margin-top:785.80000000000007pt;width:8.4000000000000004pt;height:6.25pt;z-index:-1887438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6729730</wp:posOffset>
              </wp:positionH>
              <wp:positionV relativeFrom="page">
                <wp:posOffset>9979660</wp:posOffset>
              </wp:positionV>
              <wp:extent cx="106680" cy="79375"/>
              <wp:wrapNone/>
              <wp:docPr id="327" name="Shape 32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529.89999999999998pt;margin-top:785.80000000000007pt;width:8.4000000000000004pt;height:6.25pt;z-index:-1887438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6735445</wp:posOffset>
              </wp:positionH>
              <wp:positionV relativeFrom="page">
                <wp:posOffset>9958070</wp:posOffset>
              </wp:positionV>
              <wp:extent cx="103505" cy="79375"/>
              <wp:wrapNone/>
              <wp:docPr id="334" name="Shape 33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0" type="#_x0000_t202" style="position:absolute;margin-left:530.35000000000002pt;margin-top:784.10000000000002pt;width:8.1500000000000004pt;height:6.25pt;z-index:-18874384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6741160</wp:posOffset>
              </wp:positionH>
              <wp:positionV relativeFrom="page">
                <wp:posOffset>9967595</wp:posOffset>
              </wp:positionV>
              <wp:extent cx="97790" cy="79375"/>
              <wp:wrapNone/>
              <wp:docPr id="342" name="Shape 3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8" type="#_x0000_t202" style="position:absolute;margin-left:530.79999999999995pt;margin-top:784.85000000000002pt;width:7.7000000000000002pt;height:6.25pt;z-index:-1887438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6741160</wp:posOffset>
              </wp:positionH>
              <wp:positionV relativeFrom="page">
                <wp:posOffset>9967595</wp:posOffset>
              </wp:positionV>
              <wp:extent cx="97790" cy="79375"/>
              <wp:wrapNone/>
              <wp:docPr id="344" name="Shape 3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0" type="#_x0000_t202" style="position:absolute;margin-left:530.79999999999995pt;margin-top:784.85000000000002pt;width:7.7000000000000002pt;height:6.25pt;z-index:-1887438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6729730</wp:posOffset>
              </wp:positionH>
              <wp:positionV relativeFrom="page">
                <wp:posOffset>9979660</wp:posOffset>
              </wp:positionV>
              <wp:extent cx="106680" cy="79375"/>
              <wp:wrapNone/>
              <wp:docPr id="349" name="Shape 3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529.89999999999998pt;margin-top:785.80000000000007pt;width:8.4000000000000004pt;height:6.25pt;z-index:-1887438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6729730</wp:posOffset>
              </wp:positionH>
              <wp:positionV relativeFrom="page">
                <wp:posOffset>9979660</wp:posOffset>
              </wp:positionV>
              <wp:extent cx="106680" cy="79375"/>
              <wp:wrapNone/>
              <wp:docPr id="354" name="Shape 35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0" type="#_x0000_t202" style="position:absolute;margin-left:529.89999999999998pt;margin-top:785.80000000000007pt;width:8.4000000000000004pt;height:6.25pt;z-index:-1887438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6731635</wp:posOffset>
              </wp:positionH>
              <wp:positionV relativeFrom="page">
                <wp:posOffset>9979660</wp:posOffset>
              </wp:positionV>
              <wp:extent cx="97790" cy="79375"/>
              <wp:wrapNone/>
              <wp:docPr id="361" name="Shape 3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530.04999999999995pt;margin-top:785.80000000000007pt;width:7.7000000000000002pt;height:6.25pt;z-index:-18874382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6786880</wp:posOffset>
              </wp:positionH>
              <wp:positionV relativeFrom="page">
                <wp:posOffset>9958070</wp:posOffset>
              </wp:positionV>
              <wp:extent cx="45720" cy="79375"/>
              <wp:wrapNone/>
              <wp:docPr id="37" name="Shape 37"/>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34.39999999999998pt;margin-top:784.10000000000002pt;width:3.6000000000000001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6731635</wp:posOffset>
              </wp:positionH>
              <wp:positionV relativeFrom="page">
                <wp:posOffset>9979660</wp:posOffset>
              </wp:positionV>
              <wp:extent cx="97790" cy="79375"/>
              <wp:wrapNone/>
              <wp:docPr id="368" name="Shape 3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4" type="#_x0000_t202" style="position:absolute;margin-left:530.04999999999995pt;margin-top:785.80000000000007pt;width:7.7000000000000002pt;height:6.25pt;z-index:-18874381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6729730</wp:posOffset>
              </wp:positionH>
              <wp:positionV relativeFrom="page">
                <wp:posOffset>9979660</wp:posOffset>
              </wp:positionV>
              <wp:extent cx="106680" cy="79375"/>
              <wp:wrapNone/>
              <wp:docPr id="373" name="Shape 3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9" type="#_x0000_t202" style="position:absolute;margin-left:529.89999999999998pt;margin-top:785.80000000000007pt;width:8.4000000000000004pt;height:6.25pt;z-index:-1887438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6729730</wp:posOffset>
              </wp:positionH>
              <wp:positionV relativeFrom="page">
                <wp:posOffset>9979660</wp:posOffset>
              </wp:positionV>
              <wp:extent cx="106680" cy="79375"/>
              <wp:wrapNone/>
              <wp:docPr id="378" name="Shape 37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4" type="#_x0000_t202" style="position:absolute;margin-left:529.89999999999998pt;margin-top:785.80000000000007pt;width:8.4000000000000004pt;height:6.25pt;z-index:-1887438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6731635</wp:posOffset>
              </wp:positionH>
              <wp:positionV relativeFrom="page">
                <wp:posOffset>9979660</wp:posOffset>
              </wp:positionV>
              <wp:extent cx="97790" cy="79375"/>
              <wp:wrapNone/>
              <wp:docPr id="391" name="Shape 3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7" type="#_x0000_t202" style="position:absolute;margin-left:530.04999999999995pt;margin-top:785.80000000000007pt;width:7.7000000000000002pt;height:6.25pt;z-index:-18874380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6729730</wp:posOffset>
              </wp:positionH>
              <wp:positionV relativeFrom="page">
                <wp:posOffset>9979660</wp:posOffset>
              </wp:positionV>
              <wp:extent cx="106680" cy="79375"/>
              <wp:wrapNone/>
              <wp:docPr id="396" name="Shape 3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2" type="#_x0000_t202" style="position:absolute;margin-left:529.89999999999998pt;margin-top:785.80000000000007pt;width:8.4000000000000004pt;height:6.25pt;z-index:-1887437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6729730</wp:posOffset>
              </wp:positionH>
              <wp:positionV relativeFrom="page">
                <wp:posOffset>9979660</wp:posOffset>
              </wp:positionV>
              <wp:extent cx="106680" cy="79375"/>
              <wp:wrapNone/>
              <wp:docPr id="401" name="Shape 4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7" type="#_x0000_t202" style="position:absolute;margin-left:529.89999999999998pt;margin-top:785.80000000000007pt;width:8.4000000000000004pt;height:6.25pt;z-index:-1887437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6729730</wp:posOffset>
              </wp:positionH>
              <wp:positionV relativeFrom="page">
                <wp:posOffset>9979660</wp:posOffset>
              </wp:positionV>
              <wp:extent cx="106680" cy="79375"/>
              <wp:wrapNone/>
              <wp:docPr id="406" name="Shape 40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2" type="#_x0000_t202" style="position:absolute;margin-left:529.89999999999998pt;margin-top:785.80000000000007pt;width:8.4000000000000004pt;height:6.25pt;z-index:-1887437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6731635</wp:posOffset>
              </wp:positionH>
              <wp:positionV relativeFrom="page">
                <wp:posOffset>9979660</wp:posOffset>
              </wp:positionV>
              <wp:extent cx="97790" cy="79375"/>
              <wp:wrapNone/>
              <wp:docPr id="413" name="Shape 4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9" type="#_x0000_t202" style="position:absolute;margin-left:530.04999999999995pt;margin-top:785.80000000000007pt;width:7.7000000000000002pt;height:6.25pt;z-index:-18874378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6731635</wp:posOffset>
              </wp:positionH>
              <wp:positionV relativeFrom="page">
                <wp:posOffset>9979660</wp:posOffset>
              </wp:positionV>
              <wp:extent cx="97790" cy="79375"/>
              <wp:wrapNone/>
              <wp:docPr id="420" name="Shape 4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530.04999999999995pt;margin-top:785.80000000000007pt;width:7.7000000000000002pt;height:6.25pt;z-index:-18874377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6731635</wp:posOffset>
              </wp:positionH>
              <wp:positionV relativeFrom="page">
                <wp:posOffset>9979660</wp:posOffset>
              </wp:positionV>
              <wp:extent cx="97790" cy="79375"/>
              <wp:wrapNone/>
              <wp:docPr id="427" name="Shape 4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3" type="#_x0000_t202" style="position:absolute;margin-left:530.04999999999995pt;margin-top:785.80000000000007pt;width:7.7000000000000002pt;height:6.25pt;z-index:-18874377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6729730</wp:posOffset>
              </wp:positionH>
              <wp:positionV relativeFrom="page">
                <wp:posOffset>9979660</wp:posOffset>
              </wp:positionV>
              <wp:extent cx="106680" cy="79375"/>
              <wp:wrapNone/>
              <wp:docPr id="42" name="Shape 4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29.89999999999998pt;margin-top:785.80000000000007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6729730</wp:posOffset>
              </wp:positionH>
              <wp:positionV relativeFrom="page">
                <wp:posOffset>9979660</wp:posOffset>
              </wp:positionV>
              <wp:extent cx="106680" cy="79375"/>
              <wp:wrapNone/>
              <wp:docPr id="432" name="Shape 4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8" type="#_x0000_t202" style="position:absolute;margin-left:529.89999999999998pt;margin-top:785.80000000000007pt;width:8.4000000000000004pt;height:6.25pt;z-index:-1887437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6729730</wp:posOffset>
              </wp:positionH>
              <wp:positionV relativeFrom="page">
                <wp:posOffset>9979660</wp:posOffset>
              </wp:positionV>
              <wp:extent cx="106680" cy="79375"/>
              <wp:wrapNone/>
              <wp:docPr id="437" name="Shape 43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3" type="#_x0000_t202" style="position:absolute;margin-left:529.89999999999998pt;margin-top:785.80000000000007pt;width:8.4000000000000004pt;height:6.25pt;z-index:-1887437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6728460</wp:posOffset>
              </wp:positionH>
              <wp:positionV relativeFrom="page">
                <wp:posOffset>9735820</wp:posOffset>
              </wp:positionV>
              <wp:extent cx="103505" cy="79375"/>
              <wp:wrapNone/>
              <wp:docPr id="444" name="Shape 4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0" type="#_x0000_t202" style="position:absolute;margin-left:529.79999999999995pt;margin-top:766.60000000000002pt;width:8.1500000000000004pt;height:6.25pt;z-index:-18874375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6728460</wp:posOffset>
              </wp:positionH>
              <wp:positionV relativeFrom="page">
                <wp:posOffset>9735820</wp:posOffset>
              </wp:positionV>
              <wp:extent cx="103505" cy="79375"/>
              <wp:wrapNone/>
              <wp:docPr id="451" name="Shape 4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7" type="#_x0000_t202" style="position:absolute;margin-left:529.79999999999995pt;margin-top:766.60000000000002pt;width:8.1500000000000004pt;height:6.25pt;z-index:-18874375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6731635</wp:posOffset>
              </wp:positionH>
              <wp:positionV relativeFrom="page">
                <wp:posOffset>9979660</wp:posOffset>
              </wp:positionV>
              <wp:extent cx="97790" cy="79375"/>
              <wp:wrapNone/>
              <wp:docPr id="458" name="Shape 4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4" type="#_x0000_t202" style="position:absolute;margin-left:530.04999999999995pt;margin-top:785.80000000000007pt;width:7.7000000000000002pt;height:6.25pt;z-index:-18874374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6731635</wp:posOffset>
              </wp:positionH>
              <wp:positionV relativeFrom="page">
                <wp:posOffset>9979660</wp:posOffset>
              </wp:positionV>
              <wp:extent cx="97790" cy="79375"/>
              <wp:wrapNone/>
              <wp:docPr id="465" name="Shape 4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1" type="#_x0000_t202" style="position:absolute;margin-left:530.04999999999995pt;margin-top:785.80000000000007pt;width:7.7000000000000002pt;height:6.25pt;z-index:-18874374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6731635</wp:posOffset>
              </wp:positionH>
              <wp:positionV relativeFrom="page">
                <wp:posOffset>9979660</wp:posOffset>
              </wp:positionV>
              <wp:extent cx="97790" cy="79375"/>
              <wp:wrapNone/>
              <wp:docPr id="472" name="Shape 4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8" type="#_x0000_t202" style="position:absolute;margin-left:530.04999999999995pt;margin-top:785.80000000000007pt;width:7.7000000000000002pt;height:6.25pt;z-index:-18874373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6729730</wp:posOffset>
              </wp:positionH>
              <wp:positionV relativeFrom="page">
                <wp:posOffset>9979660</wp:posOffset>
              </wp:positionV>
              <wp:extent cx="106680" cy="79375"/>
              <wp:wrapNone/>
              <wp:docPr id="477" name="Shape 47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3" type="#_x0000_t202" style="position:absolute;margin-left:529.89999999999998pt;margin-top:785.80000000000007pt;width:8.4000000000000004pt;height:6.25pt;z-index:-1887437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6729730</wp:posOffset>
              </wp:positionH>
              <wp:positionV relativeFrom="page">
                <wp:posOffset>9979660</wp:posOffset>
              </wp:positionV>
              <wp:extent cx="106680" cy="79375"/>
              <wp:wrapNone/>
              <wp:docPr id="482" name="Shape 4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8" type="#_x0000_t202" style="position:absolute;margin-left:529.89999999999998pt;margin-top:785.80000000000007pt;width:8.4000000000000004pt;height:6.25pt;z-index:-1887437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6729730</wp:posOffset>
              </wp:positionH>
              <wp:positionV relativeFrom="page">
                <wp:posOffset>9979660</wp:posOffset>
              </wp:positionV>
              <wp:extent cx="106680" cy="79375"/>
              <wp:wrapNone/>
              <wp:docPr id="487" name="Shape 4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3" type="#_x0000_t202" style="position:absolute;margin-left:529.89999999999998pt;margin-top:785.80000000000007pt;width:8.4000000000000004pt;height:6.25pt;z-index:-1887437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6729730</wp:posOffset>
              </wp:positionH>
              <wp:positionV relativeFrom="page">
                <wp:posOffset>9979660</wp:posOffset>
              </wp:positionV>
              <wp:extent cx="106680" cy="79375"/>
              <wp:wrapNone/>
              <wp:docPr id="47" name="Shape 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29.89999999999998pt;margin-top:785.80000000000007pt;width:8.4000000000000004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6728460</wp:posOffset>
              </wp:positionH>
              <wp:positionV relativeFrom="page">
                <wp:posOffset>9735820</wp:posOffset>
              </wp:positionV>
              <wp:extent cx="103505" cy="79375"/>
              <wp:wrapNone/>
              <wp:docPr id="494" name="Shape 49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0" type="#_x0000_t202" style="position:absolute;margin-left:529.79999999999995pt;margin-top:766.60000000000002pt;width:8.1500000000000004pt;height:6.25pt;z-index:-18874371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6741160</wp:posOffset>
              </wp:positionH>
              <wp:positionV relativeFrom="page">
                <wp:posOffset>9967595</wp:posOffset>
              </wp:positionV>
              <wp:extent cx="97790" cy="79375"/>
              <wp:wrapNone/>
              <wp:docPr id="496" name="Shape 4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2" type="#_x0000_t202" style="position:absolute;margin-left:530.79999999999995pt;margin-top:784.85000000000002pt;width:7.7000000000000002pt;height:6.25pt;z-index:-1887437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6729730</wp:posOffset>
              </wp:positionH>
              <wp:positionV relativeFrom="page">
                <wp:posOffset>9979660</wp:posOffset>
              </wp:positionV>
              <wp:extent cx="106680" cy="79375"/>
              <wp:wrapNone/>
              <wp:docPr id="501" name="Shape 5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7" type="#_x0000_t202" style="position:absolute;margin-left:529.89999999999998pt;margin-top:785.80000000000007pt;width:8.4000000000000004pt;height:6.25pt;z-index:-1887437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6729730</wp:posOffset>
              </wp:positionH>
              <wp:positionV relativeFrom="page">
                <wp:posOffset>9979660</wp:posOffset>
              </wp:positionV>
              <wp:extent cx="106680" cy="79375"/>
              <wp:wrapNone/>
              <wp:docPr id="506" name="Shape 50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2" type="#_x0000_t202" style="position:absolute;margin-left:529.89999999999998pt;margin-top:785.80000000000007pt;width:8.4000000000000004pt;height:6.25pt;z-index:-1887437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6729730</wp:posOffset>
              </wp:positionH>
              <wp:positionV relativeFrom="page">
                <wp:posOffset>9979660</wp:posOffset>
              </wp:positionV>
              <wp:extent cx="106680" cy="79375"/>
              <wp:wrapNone/>
              <wp:docPr id="511" name="Shape 51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7" type="#_x0000_t202" style="position:absolute;margin-left:529.89999999999998pt;margin-top:785.80000000000007pt;width:8.4000000000000004pt;height:6.25pt;z-index:-1887437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6741160</wp:posOffset>
              </wp:positionH>
              <wp:positionV relativeFrom="page">
                <wp:posOffset>9967595</wp:posOffset>
              </wp:positionV>
              <wp:extent cx="97790" cy="79375"/>
              <wp:wrapNone/>
              <wp:docPr id="513" name="Shape 5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9" type="#_x0000_t202" style="position:absolute;margin-left:530.79999999999995pt;margin-top:784.85000000000002pt;width:7.7000000000000002pt;height:6.25pt;z-index:-1887437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6741160</wp:posOffset>
              </wp:positionH>
              <wp:positionV relativeFrom="page">
                <wp:posOffset>9967595</wp:posOffset>
              </wp:positionV>
              <wp:extent cx="97790" cy="79375"/>
              <wp:wrapNone/>
              <wp:docPr id="515" name="Shape 5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1" type="#_x0000_t202" style="position:absolute;margin-left:530.79999999999995pt;margin-top:784.85000000000002pt;width:7.7000000000000002pt;height:6.25pt;z-index:-1887436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6729730</wp:posOffset>
              </wp:positionH>
              <wp:positionV relativeFrom="page">
                <wp:posOffset>9979660</wp:posOffset>
              </wp:positionV>
              <wp:extent cx="106680" cy="79375"/>
              <wp:wrapNone/>
              <wp:docPr id="520" name="Shape 5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6" type="#_x0000_t202" style="position:absolute;margin-left:529.89999999999998pt;margin-top:785.80000000000007pt;width:8.4000000000000004pt;height:6.25pt;z-index:-1887436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6729730</wp:posOffset>
              </wp:positionH>
              <wp:positionV relativeFrom="page">
                <wp:posOffset>9979660</wp:posOffset>
              </wp:positionV>
              <wp:extent cx="106680" cy="79375"/>
              <wp:wrapNone/>
              <wp:docPr id="525" name="Shape 5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1" type="#_x0000_t202" style="position:absolute;margin-left:529.89999999999998pt;margin-top:785.80000000000007pt;width:8.4000000000000004pt;height:6.25pt;z-index:-1887436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6729730</wp:posOffset>
              </wp:positionH>
              <wp:positionV relativeFrom="page">
                <wp:posOffset>9979660</wp:posOffset>
              </wp:positionV>
              <wp:extent cx="106680" cy="79375"/>
              <wp:wrapNone/>
              <wp:docPr id="530" name="Shape 5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529.89999999999998pt;margin-top:785.80000000000007pt;width:8.4000000000000004pt;height:6.25pt;z-index:-1887436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6729730</wp:posOffset>
              </wp:positionH>
              <wp:positionV relativeFrom="page">
                <wp:posOffset>9979660</wp:posOffset>
              </wp:positionV>
              <wp:extent cx="106680" cy="79375"/>
              <wp:wrapNone/>
              <wp:docPr id="52" name="Shape 5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9.89999999999998pt;margin-top:785.80000000000007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6729730</wp:posOffset>
              </wp:positionH>
              <wp:positionV relativeFrom="page">
                <wp:posOffset>9979660</wp:posOffset>
              </wp:positionV>
              <wp:extent cx="106680" cy="79375"/>
              <wp:wrapNone/>
              <wp:docPr id="535" name="Shape 53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1" type="#_x0000_t202" style="position:absolute;margin-left:529.89999999999998pt;margin-top:785.80000000000007pt;width:8.4000000000000004pt;height:6.25pt;z-index:-1887436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6669405</wp:posOffset>
              </wp:positionH>
              <wp:positionV relativeFrom="page">
                <wp:posOffset>9958070</wp:posOffset>
              </wp:positionV>
              <wp:extent cx="158750" cy="79375"/>
              <wp:wrapNone/>
              <wp:docPr id="542" name="Shape 54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8" type="#_x0000_t202" style="position:absolute;margin-left:525.14999999999998pt;margin-top:784.10000000000002pt;width:12.5pt;height:6.25pt;z-index:-18874367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6729730</wp:posOffset>
              </wp:positionH>
              <wp:positionV relativeFrom="page">
                <wp:posOffset>9979660</wp:posOffset>
              </wp:positionV>
              <wp:extent cx="106680" cy="79375"/>
              <wp:wrapNone/>
              <wp:docPr id="547" name="Shape 5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3" type="#_x0000_t202" style="position:absolute;margin-left:529.89999999999998pt;margin-top:785.80000000000007pt;width:8.4000000000000004pt;height:6.25pt;z-index:-1887436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6717665</wp:posOffset>
              </wp:positionH>
              <wp:positionV relativeFrom="page">
                <wp:posOffset>9958070</wp:posOffset>
              </wp:positionV>
              <wp:extent cx="152400" cy="79375"/>
              <wp:wrapNone/>
              <wp:docPr id="554" name="Shape 5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0" type="#_x0000_t202" style="position:absolute;margin-left:528.95000000000005pt;margin-top:784.10000000000002pt;width:12.pt;height:6.25pt;z-index:-18874366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6729730</wp:posOffset>
              </wp:positionH>
              <wp:positionV relativeFrom="page">
                <wp:posOffset>9979660</wp:posOffset>
              </wp:positionV>
              <wp:extent cx="106680" cy="79375"/>
              <wp:wrapNone/>
              <wp:docPr id="559" name="Shape 55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5" type="#_x0000_t202" style="position:absolute;margin-left:529.89999999999998pt;margin-top:785.80000000000007pt;width:8.4000000000000004pt;height:6.25pt;z-index:-1887436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6729730</wp:posOffset>
              </wp:positionH>
              <wp:positionV relativeFrom="page">
                <wp:posOffset>9979660</wp:posOffset>
              </wp:positionV>
              <wp:extent cx="106680" cy="79375"/>
              <wp:wrapNone/>
              <wp:docPr id="564" name="Shape 56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0" type="#_x0000_t202" style="position:absolute;margin-left:529.89999999999998pt;margin-top:785.80000000000007pt;width:8.4000000000000004pt;height:6.25pt;z-index:-1887436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6656070</wp:posOffset>
              </wp:positionH>
              <wp:positionV relativeFrom="page">
                <wp:posOffset>9958070</wp:posOffset>
              </wp:positionV>
              <wp:extent cx="146050" cy="79375"/>
              <wp:wrapNone/>
              <wp:docPr id="571" name="Shape 5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7" type="#_x0000_t202" style="position:absolute;margin-left:524.10000000000002pt;margin-top:784.10000000000002pt;width:11.5pt;height:6.25pt;z-index:-18874365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6656070</wp:posOffset>
              </wp:positionH>
              <wp:positionV relativeFrom="page">
                <wp:posOffset>9958070</wp:posOffset>
              </wp:positionV>
              <wp:extent cx="146050" cy="79375"/>
              <wp:wrapNone/>
              <wp:docPr id="578" name="Shape 5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524.10000000000002pt;margin-top:784.10000000000002pt;width:11.5pt;height:6.25pt;z-index:-18874364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6729730</wp:posOffset>
              </wp:positionH>
              <wp:positionV relativeFrom="page">
                <wp:posOffset>9979660</wp:posOffset>
              </wp:positionV>
              <wp:extent cx="106680" cy="79375"/>
              <wp:wrapNone/>
              <wp:docPr id="583" name="Shape 58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529.89999999999998pt;margin-top:785.80000000000007pt;width:8.4000000000000004pt;height:6.25pt;z-index:-1887436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6729730</wp:posOffset>
              </wp:positionH>
              <wp:positionV relativeFrom="page">
                <wp:posOffset>9979660</wp:posOffset>
              </wp:positionV>
              <wp:extent cx="106680" cy="79375"/>
              <wp:wrapNone/>
              <wp:docPr id="588" name="Shape 5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4" type="#_x0000_t202" style="position:absolute;margin-left:529.89999999999998pt;margin-top:785.80000000000007pt;width:8.4000000000000004pt;height:6.25pt;z-index:-1887436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1096010</wp:posOffset>
              </wp:positionH>
              <wp:positionV relativeFrom="page">
                <wp:posOffset>408940</wp:posOffset>
              </wp:positionV>
              <wp:extent cx="557530" cy="173990"/>
              <wp:wrapNone/>
              <wp:docPr id="1" name="Shape 1"/>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金财互联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6.299999999999997pt;margin-top:32.200000000000003pt;width:43.899999999999999pt;height:13.700000000000001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金财互联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4387850</wp:posOffset>
              </wp:positionH>
              <wp:positionV relativeFrom="page">
                <wp:posOffset>476250</wp:posOffset>
              </wp:positionV>
              <wp:extent cx="2450465" cy="106680"/>
              <wp:wrapNone/>
              <wp:docPr id="3" name="Shape 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29" type="#_x0000_t202" style="position:absolute;margin-left:345.5pt;margin-top:37.5pt;width:192.95000000000002pt;height:8.4000000000000004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5" name="Shape 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4389120</wp:posOffset>
              </wp:positionH>
              <wp:positionV relativeFrom="page">
                <wp:posOffset>558165</wp:posOffset>
              </wp:positionV>
              <wp:extent cx="2450465" cy="106680"/>
              <wp:wrapNone/>
              <wp:docPr id="54" name="Shape 5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0" type="#_x0000_t202" style="position:absolute;margin-left:345.60000000000002pt;margin-top:43.950000000000003pt;width:192.95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6" name="Shape 5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4389120</wp:posOffset>
              </wp:positionH>
              <wp:positionV relativeFrom="page">
                <wp:posOffset>558165</wp:posOffset>
              </wp:positionV>
              <wp:extent cx="2450465" cy="106680"/>
              <wp:wrapNone/>
              <wp:docPr id="590" name="Shape 59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16" type="#_x0000_t202" style="position:absolute;margin-left:345.60000000000002pt;margin-top:43.950000000000003pt;width:192.95000000000002pt;height:8.4000000000000004pt;z-index:-1887436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92" name="Shape 59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4389120</wp:posOffset>
              </wp:positionH>
              <wp:positionV relativeFrom="page">
                <wp:posOffset>558165</wp:posOffset>
              </wp:positionV>
              <wp:extent cx="2450465" cy="106680"/>
              <wp:wrapNone/>
              <wp:docPr id="595" name="Shape 59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21" type="#_x0000_t202" style="position:absolute;margin-left:345.60000000000002pt;margin-top:43.950000000000003pt;width:192.95000000000002pt;height:8.4000000000000004pt;z-index:-1887436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97" name="Shape 59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1068705</wp:posOffset>
              </wp:positionH>
              <wp:positionV relativeFrom="page">
                <wp:posOffset>488315</wp:posOffset>
              </wp:positionV>
              <wp:extent cx="557530" cy="173990"/>
              <wp:wrapNone/>
              <wp:docPr id="600" name="Shape 600"/>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626" type="#_x0000_t202" style="position:absolute;margin-left:84.150000000000006pt;margin-top:38.450000000000003pt;width:43.899999999999999pt;height:13.700000000000001pt;z-index:-18874362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126" behindDoc="1" locked="0" layoutInCell="1" allowOverlap="1">
              <wp:simplePos x="0" y="0"/>
              <wp:positionH relativeFrom="page">
                <wp:posOffset>4360545</wp:posOffset>
              </wp:positionH>
              <wp:positionV relativeFrom="page">
                <wp:posOffset>558165</wp:posOffset>
              </wp:positionV>
              <wp:extent cx="2450465" cy="106680"/>
              <wp:wrapNone/>
              <wp:docPr id="602" name="Shape 60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8" type="#_x0000_t202" style="position:absolute;margin-left:343.35000000000002pt;margin-top:43.950000000000003pt;width:192.95000000000002pt;height:8.4000000000000004pt;z-index:-1887436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0135" cy="0"/>
              <wp:wrapNone/>
              <wp:docPr id="604" name="Shape 6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05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4389120</wp:posOffset>
              </wp:positionH>
              <wp:positionV relativeFrom="page">
                <wp:posOffset>558165</wp:posOffset>
              </wp:positionV>
              <wp:extent cx="2450465" cy="106680"/>
              <wp:wrapNone/>
              <wp:docPr id="607" name="Shape 60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33" type="#_x0000_t202" style="position:absolute;margin-left:345.60000000000002pt;margin-top:43.950000000000003pt;width:192.95000000000002pt;height:8.4000000000000004pt;z-index:-1887436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609" name="Shape 60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4389120</wp:posOffset>
              </wp:positionH>
              <wp:positionV relativeFrom="page">
                <wp:posOffset>558165</wp:posOffset>
              </wp:positionV>
              <wp:extent cx="2450465" cy="106680"/>
              <wp:wrapNone/>
              <wp:docPr id="612" name="Shape 61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38" type="#_x0000_t202" style="position:absolute;margin-left:345.60000000000002pt;margin-top:43.950000000000003pt;width:192.95000000000002pt;height:8.4000000000000004pt;z-index:-1887436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614" name="Shape 6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1068705</wp:posOffset>
              </wp:positionH>
              <wp:positionV relativeFrom="page">
                <wp:posOffset>488315</wp:posOffset>
              </wp:positionV>
              <wp:extent cx="557530" cy="173990"/>
              <wp:wrapNone/>
              <wp:docPr id="617" name="Shape 617"/>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643" type="#_x0000_t202" style="position:absolute;margin-left:84.150000000000006pt;margin-top:38.450000000000003pt;width:43.899999999999999pt;height:13.700000000000001pt;z-index:-18874361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4360545</wp:posOffset>
              </wp:positionH>
              <wp:positionV relativeFrom="page">
                <wp:posOffset>558165</wp:posOffset>
              </wp:positionV>
              <wp:extent cx="2450465" cy="106680"/>
              <wp:wrapNone/>
              <wp:docPr id="619" name="Shape 61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5" type="#_x0000_t202" style="position:absolute;margin-left:343.35000000000002pt;margin-top:43.950000000000003pt;width:192.95000000000002pt;height:8.4000000000000004pt;z-index:-18874361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0135" cy="0"/>
              <wp:wrapNone/>
              <wp:docPr id="621" name="Shape 62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05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1068705</wp:posOffset>
              </wp:positionH>
              <wp:positionV relativeFrom="page">
                <wp:posOffset>488315</wp:posOffset>
              </wp:positionV>
              <wp:extent cx="557530" cy="173990"/>
              <wp:wrapNone/>
              <wp:docPr id="624" name="Shape 624"/>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650" type="#_x0000_t202" style="position:absolute;margin-left:84.150000000000006pt;margin-top:38.450000000000003pt;width:43.899999999999999pt;height:13.700000000000001pt;z-index:-18874360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4360545</wp:posOffset>
              </wp:positionH>
              <wp:positionV relativeFrom="page">
                <wp:posOffset>558165</wp:posOffset>
              </wp:positionV>
              <wp:extent cx="2450465" cy="106680"/>
              <wp:wrapNone/>
              <wp:docPr id="626" name="Shape 62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2" type="#_x0000_t202" style="position:absolute;margin-left:343.35000000000002pt;margin-top:43.950000000000003pt;width:192.95000000000002pt;height:8.4000000000000004pt;z-index:-18874360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0135" cy="0"/>
              <wp:wrapNone/>
              <wp:docPr id="628" name="Shape 6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05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1068705</wp:posOffset>
              </wp:positionH>
              <wp:positionV relativeFrom="page">
                <wp:posOffset>488315</wp:posOffset>
              </wp:positionV>
              <wp:extent cx="557530" cy="173990"/>
              <wp:wrapNone/>
              <wp:docPr id="631" name="Shape 631"/>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657" type="#_x0000_t202" style="position:absolute;margin-left:84.150000000000006pt;margin-top:38.450000000000003pt;width:43.899999999999999pt;height:13.700000000000001pt;z-index:-18874360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4360545</wp:posOffset>
              </wp:positionH>
              <wp:positionV relativeFrom="page">
                <wp:posOffset>558165</wp:posOffset>
              </wp:positionV>
              <wp:extent cx="2450465" cy="106680"/>
              <wp:wrapNone/>
              <wp:docPr id="633" name="Shape 63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9" type="#_x0000_t202" style="position:absolute;margin-left:343.35000000000002pt;margin-top:43.950000000000003pt;width:192.95000000000002pt;height:8.4000000000000004pt;z-index:-18874360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0135" cy="0"/>
              <wp:wrapNone/>
              <wp:docPr id="635" name="Shape 6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05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1068705</wp:posOffset>
              </wp:positionH>
              <wp:positionV relativeFrom="page">
                <wp:posOffset>488315</wp:posOffset>
              </wp:positionV>
              <wp:extent cx="557530" cy="173990"/>
              <wp:wrapNone/>
              <wp:docPr id="638" name="Shape 638"/>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664" type="#_x0000_t202" style="position:absolute;margin-left:84.150000000000006pt;margin-top:38.450000000000003pt;width:43.899999999999999pt;height:13.700000000000001pt;z-index:-18874359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4360545</wp:posOffset>
              </wp:positionH>
              <wp:positionV relativeFrom="page">
                <wp:posOffset>558165</wp:posOffset>
              </wp:positionV>
              <wp:extent cx="2450465" cy="106680"/>
              <wp:wrapNone/>
              <wp:docPr id="640" name="Shape 64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6" type="#_x0000_t202" style="position:absolute;margin-left:343.35000000000002pt;margin-top:43.950000000000003pt;width:192.95000000000002pt;height:8.4000000000000004pt;z-index:-18874359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0135" cy="0"/>
              <wp:wrapNone/>
              <wp:docPr id="642" name="Shape 6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05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4389120</wp:posOffset>
              </wp:positionH>
              <wp:positionV relativeFrom="page">
                <wp:posOffset>558165</wp:posOffset>
              </wp:positionV>
              <wp:extent cx="2450465" cy="106680"/>
              <wp:wrapNone/>
              <wp:docPr id="645" name="Shape 64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71" type="#_x0000_t202" style="position:absolute;margin-left:345.60000000000002pt;margin-top:43.950000000000003pt;width:192.95000000000002pt;height:8.4000000000000004pt;z-index:-1887435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647" name="Shape 64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1092835</wp:posOffset>
              </wp:positionH>
              <wp:positionV relativeFrom="page">
                <wp:posOffset>488315</wp:posOffset>
              </wp:positionV>
              <wp:extent cx="557530" cy="173990"/>
              <wp:wrapNone/>
              <wp:docPr id="59" name="Shape 59"/>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085" type="#_x0000_t202" style="position:absolute;margin-left:86.049999999999997pt;margin-top:38.450000000000003pt;width:43.899999999999999pt;height:13.700000000000001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4384675</wp:posOffset>
              </wp:positionH>
              <wp:positionV relativeFrom="page">
                <wp:posOffset>558165</wp:posOffset>
              </wp:positionV>
              <wp:extent cx="2450465" cy="106680"/>
              <wp:wrapNone/>
              <wp:docPr id="61" name="Shape 6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7" type="#_x0000_t202" style="position:absolute;margin-left:345.25pt;margin-top:43.950000000000003pt;width:192.95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63" name="Shape 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4389120</wp:posOffset>
              </wp:positionH>
              <wp:positionV relativeFrom="page">
                <wp:posOffset>558165</wp:posOffset>
              </wp:positionV>
              <wp:extent cx="2450465" cy="106680"/>
              <wp:wrapNone/>
              <wp:docPr id="650" name="Shape 65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76" type="#_x0000_t202" style="position:absolute;margin-left:345.60000000000002pt;margin-top:43.950000000000003pt;width:192.95000000000002pt;height:8.4000000000000004pt;z-index:-1887435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652" name="Shape 6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4389120</wp:posOffset>
              </wp:positionH>
              <wp:positionV relativeFrom="page">
                <wp:posOffset>558165</wp:posOffset>
              </wp:positionV>
              <wp:extent cx="2450465" cy="106680"/>
              <wp:wrapNone/>
              <wp:docPr id="655" name="Shape 65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81" type="#_x0000_t202" style="position:absolute;margin-left:345.60000000000002pt;margin-top:43.950000000000003pt;width:192.95000000000002pt;height:8.4000000000000004pt;z-index:-1887435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657" name="Shape 6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4389120</wp:posOffset>
              </wp:positionH>
              <wp:positionV relativeFrom="page">
                <wp:posOffset>558165</wp:posOffset>
              </wp:positionV>
              <wp:extent cx="2450465" cy="106680"/>
              <wp:wrapNone/>
              <wp:docPr id="660" name="Shape 66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86" type="#_x0000_t202" style="position:absolute;margin-left:345.60000000000002pt;margin-top:43.950000000000003pt;width:192.95000000000002pt;height:8.4000000000000004pt;z-index:-1887435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662" name="Shape 66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4389120</wp:posOffset>
              </wp:positionH>
              <wp:positionV relativeFrom="page">
                <wp:posOffset>558165</wp:posOffset>
              </wp:positionV>
              <wp:extent cx="2450465" cy="106680"/>
              <wp:wrapNone/>
              <wp:docPr id="665" name="Shape 66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91" type="#_x0000_t202" style="position:absolute;margin-left:345.60000000000002pt;margin-top:43.950000000000003pt;width:192.95000000000002pt;height:8.4000000000000004pt;z-index:-1887435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667" name="Shape 66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1068705</wp:posOffset>
              </wp:positionH>
              <wp:positionV relativeFrom="page">
                <wp:posOffset>488315</wp:posOffset>
              </wp:positionV>
              <wp:extent cx="557530" cy="173990"/>
              <wp:wrapNone/>
              <wp:docPr id="670" name="Shape 670"/>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696" type="#_x0000_t202" style="position:absolute;margin-left:84.150000000000006pt;margin-top:38.450000000000003pt;width:43.899999999999999pt;height:13.700000000000001pt;z-index:-18874357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4360545</wp:posOffset>
              </wp:positionH>
              <wp:positionV relativeFrom="page">
                <wp:posOffset>558165</wp:posOffset>
              </wp:positionV>
              <wp:extent cx="2450465" cy="106680"/>
              <wp:wrapNone/>
              <wp:docPr id="672" name="Shape 67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8" type="#_x0000_t202" style="position:absolute;margin-left:343.35000000000002pt;margin-top:43.950000000000003pt;width:192.95000000000002pt;height:8.4000000000000004pt;z-index:-18874356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0135" cy="0"/>
              <wp:wrapNone/>
              <wp:docPr id="674" name="Shape 6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4389120</wp:posOffset>
              </wp:positionH>
              <wp:positionV relativeFrom="page">
                <wp:posOffset>558165</wp:posOffset>
              </wp:positionV>
              <wp:extent cx="2450465" cy="106680"/>
              <wp:wrapNone/>
              <wp:docPr id="70" name="Shape 7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6" type="#_x0000_t202" style="position:absolute;margin-left:345.60000000000002pt;margin-top:43.950000000000003pt;width:192.95000000000002pt;height:8.4000000000000004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72" name="Shape 7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4389120</wp:posOffset>
              </wp:positionH>
              <wp:positionV relativeFrom="page">
                <wp:posOffset>558165</wp:posOffset>
              </wp:positionV>
              <wp:extent cx="2450465" cy="106680"/>
              <wp:wrapNone/>
              <wp:docPr id="75" name="Shape 7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1" type="#_x0000_t202" style="position:absolute;margin-left:345.60000000000002pt;margin-top:43.950000000000003pt;width:192.95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77" name="Shape 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4389120</wp:posOffset>
              </wp:positionH>
              <wp:positionV relativeFrom="page">
                <wp:posOffset>558165</wp:posOffset>
              </wp:positionV>
              <wp:extent cx="2450465" cy="106680"/>
              <wp:wrapNone/>
              <wp:docPr id="80" name="Shape 8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6" type="#_x0000_t202" style="position:absolute;margin-left:345.60000000000002pt;margin-top:43.950000000000003pt;width:192.95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82" name="Shape 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4389120</wp:posOffset>
              </wp:positionH>
              <wp:positionV relativeFrom="page">
                <wp:posOffset>558165</wp:posOffset>
              </wp:positionV>
              <wp:extent cx="2450465" cy="106680"/>
              <wp:wrapNone/>
              <wp:docPr id="85" name="Shape 8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1" type="#_x0000_t202" style="position:absolute;margin-left:345.60000000000002pt;margin-top:43.950000000000003pt;width:192.95000000000002pt;height:8.4000000000000004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87" name="Shape 8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1102995</wp:posOffset>
              </wp:positionH>
              <wp:positionV relativeFrom="page">
                <wp:posOffset>488315</wp:posOffset>
              </wp:positionV>
              <wp:extent cx="557530" cy="173990"/>
              <wp:wrapNone/>
              <wp:docPr id="90" name="Shape 90"/>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116" type="#_x0000_t202" style="position:absolute;margin-left:86.850000000000009pt;margin-top:38.450000000000003pt;width:43.899999999999999pt;height:13.700000000000001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4394835</wp:posOffset>
              </wp:positionH>
              <wp:positionV relativeFrom="page">
                <wp:posOffset>558165</wp:posOffset>
              </wp:positionV>
              <wp:extent cx="2450465" cy="106680"/>
              <wp:wrapNone/>
              <wp:docPr id="92" name="Shape 9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346.05000000000001pt;margin-top:43.950000000000003pt;width:192.95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60135" cy="0"/>
              <wp:wrapNone/>
              <wp:docPr id="94" name="Shape 9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1096010</wp:posOffset>
              </wp:positionH>
              <wp:positionV relativeFrom="page">
                <wp:posOffset>408940</wp:posOffset>
              </wp:positionV>
              <wp:extent cx="557530" cy="173990"/>
              <wp:wrapNone/>
              <wp:docPr id="8" name="Shape 8"/>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金财互联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034" type="#_x0000_t202" style="position:absolute;margin-left:86.299999999999997pt;margin-top:32.200000000000003pt;width:43.899999999999999pt;height:13.700000000000001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金财互联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4387850</wp:posOffset>
              </wp:positionH>
              <wp:positionV relativeFrom="page">
                <wp:posOffset>476250</wp:posOffset>
              </wp:positionV>
              <wp:extent cx="2450465" cy="106680"/>
              <wp:wrapNone/>
              <wp:docPr id="10" name="Shape 1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345.5pt;margin-top:37.5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12" name="Shape 1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4389120</wp:posOffset>
              </wp:positionH>
              <wp:positionV relativeFrom="page">
                <wp:posOffset>558165</wp:posOffset>
              </wp:positionV>
              <wp:extent cx="2450465" cy="106680"/>
              <wp:wrapNone/>
              <wp:docPr id="127" name="Shape 12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3" type="#_x0000_t202" style="position:absolute;margin-left:345.60000000000002pt;margin-top:43.950000000000003pt;width:192.95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129" name="Shape 1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4389120</wp:posOffset>
              </wp:positionH>
              <wp:positionV relativeFrom="page">
                <wp:posOffset>558165</wp:posOffset>
              </wp:positionV>
              <wp:extent cx="2450465" cy="106680"/>
              <wp:wrapNone/>
              <wp:docPr id="132" name="Shape 13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8" type="#_x0000_t202" style="position:absolute;margin-left:345.60000000000002pt;margin-top:43.950000000000003pt;width:192.95000000000002pt;height:8.4000000000000004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134" name="Shape 1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1102995</wp:posOffset>
              </wp:positionH>
              <wp:positionV relativeFrom="page">
                <wp:posOffset>488315</wp:posOffset>
              </wp:positionV>
              <wp:extent cx="557530" cy="173990"/>
              <wp:wrapNone/>
              <wp:docPr id="137" name="Shape 137"/>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163" type="#_x0000_t202" style="position:absolute;margin-left:86.850000000000009pt;margin-top:38.450000000000003pt;width:43.899999999999999pt;height:13.700000000000001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4394835</wp:posOffset>
              </wp:positionH>
              <wp:positionV relativeFrom="page">
                <wp:posOffset>558165</wp:posOffset>
              </wp:positionV>
              <wp:extent cx="2450465" cy="106680"/>
              <wp:wrapNone/>
              <wp:docPr id="139" name="Shape 13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5" type="#_x0000_t202" style="position:absolute;margin-left:346.05000000000001pt;margin-top:43.950000000000003pt;width:192.95000000000002pt;height:8.4000000000000004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60135" cy="0"/>
              <wp:wrapNone/>
              <wp:docPr id="141" name="Shape 14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5.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1102995</wp:posOffset>
              </wp:positionH>
              <wp:positionV relativeFrom="page">
                <wp:posOffset>488315</wp:posOffset>
              </wp:positionV>
              <wp:extent cx="557530" cy="173990"/>
              <wp:wrapNone/>
              <wp:docPr id="150" name="Shape 150"/>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176" type="#_x0000_t202" style="position:absolute;margin-left:86.850000000000009pt;margin-top:38.450000000000003pt;width:43.899999999999999pt;height:13.700000000000001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4394835</wp:posOffset>
              </wp:positionH>
              <wp:positionV relativeFrom="page">
                <wp:posOffset>558165</wp:posOffset>
              </wp:positionV>
              <wp:extent cx="2450465" cy="106680"/>
              <wp:wrapNone/>
              <wp:docPr id="152" name="Shape 15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8" type="#_x0000_t202" style="position:absolute;margin-left:346.05000000000001pt;margin-top:43.950000000000003pt;width:192.95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707390</wp:posOffset>
              </wp:positionV>
              <wp:extent cx="6160135" cy="0"/>
              <wp:wrapNone/>
              <wp:docPr id="154" name="Shape 1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49999999999999pt;margin-top:55.700000000000003pt;width:485.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4389120</wp:posOffset>
              </wp:positionH>
              <wp:positionV relativeFrom="page">
                <wp:posOffset>558165</wp:posOffset>
              </wp:positionV>
              <wp:extent cx="2450465" cy="106680"/>
              <wp:wrapNone/>
              <wp:docPr id="157" name="Shape 15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3" type="#_x0000_t202" style="position:absolute;margin-left:345.60000000000002pt;margin-top:43.950000000000003pt;width:192.95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159" name="Shape 15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4389120</wp:posOffset>
              </wp:positionH>
              <wp:positionV relativeFrom="page">
                <wp:posOffset>558165</wp:posOffset>
              </wp:positionV>
              <wp:extent cx="2450465" cy="106680"/>
              <wp:wrapNone/>
              <wp:docPr id="162" name="Shape 16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8" type="#_x0000_t202" style="position:absolute;margin-left:345.60000000000002pt;margin-top:43.950000000000003pt;width:192.95000000000002pt;height:8.4000000000000004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164" name="Shape 1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4389120</wp:posOffset>
              </wp:positionH>
              <wp:positionV relativeFrom="page">
                <wp:posOffset>558165</wp:posOffset>
              </wp:positionV>
              <wp:extent cx="2450465" cy="106680"/>
              <wp:wrapNone/>
              <wp:docPr id="167" name="Shape 16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3" type="#_x0000_t202" style="position:absolute;margin-left:345.60000000000002pt;margin-top:43.950000000000003pt;width:192.95000000000002pt;height:8.4000000000000004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169" name="Shape 1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4389120</wp:posOffset>
              </wp:positionH>
              <wp:positionV relativeFrom="page">
                <wp:posOffset>558165</wp:posOffset>
              </wp:positionV>
              <wp:extent cx="2450465" cy="106680"/>
              <wp:wrapNone/>
              <wp:docPr id="15" name="Shape 1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1" type="#_x0000_t202" style="position:absolute;margin-left:345.60000000000002pt;margin-top:43.950000000000003pt;width:192.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17" name="Shape 1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4389120</wp:posOffset>
              </wp:positionH>
              <wp:positionV relativeFrom="page">
                <wp:posOffset>558165</wp:posOffset>
              </wp:positionV>
              <wp:extent cx="2450465" cy="106680"/>
              <wp:wrapNone/>
              <wp:docPr id="176" name="Shape 17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2" type="#_x0000_t202" style="position:absolute;margin-left:345.60000000000002pt;margin-top:43.950000000000003pt;width:192.95000000000002pt;height:8.4000000000000004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178" name="Shape 17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4389120</wp:posOffset>
              </wp:positionH>
              <wp:positionV relativeFrom="page">
                <wp:posOffset>558165</wp:posOffset>
              </wp:positionV>
              <wp:extent cx="2450465" cy="106680"/>
              <wp:wrapNone/>
              <wp:docPr id="181" name="Shape 18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7" type="#_x0000_t202" style="position:absolute;margin-left:345.60000000000002pt;margin-top:43.950000000000003pt;width:192.95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183" name="Shape 18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1096645</wp:posOffset>
              </wp:positionH>
              <wp:positionV relativeFrom="page">
                <wp:posOffset>488315</wp:posOffset>
              </wp:positionV>
              <wp:extent cx="557530" cy="173990"/>
              <wp:wrapNone/>
              <wp:docPr id="186" name="Shape 186"/>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212" type="#_x0000_t202" style="position:absolute;margin-left:86.350000000000009pt;margin-top:38.450000000000003pt;width:43.899999999999999pt;height:13.700000000000001pt;z-index:-18874393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4388485</wp:posOffset>
              </wp:positionH>
              <wp:positionV relativeFrom="page">
                <wp:posOffset>558165</wp:posOffset>
              </wp:positionV>
              <wp:extent cx="2450465" cy="106680"/>
              <wp:wrapNone/>
              <wp:docPr id="188" name="Shape 18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4" type="#_x0000_t202" style="position:absolute;margin-left:345.55000000000001pt;margin-top:43.950000000000003pt;width:192.95000000000002pt;height:8.4000000000000004pt;z-index:-18874393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190" name="Shape 19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1096645</wp:posOffset>
              </wp:positionH>
              <wp:positionV relativeFrom="page">
                <wp:posOffset>488315</wp:posOffset>
              </wp:positionV>
              <wp:extent cx="557530" cy="173990"/>
              <wp:wrapNone/>
              <wp:docPr id="193" name="Shape 193"/>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219" type="#_x0000_t202" style="position:absolute;margin-left:86.350000000000009pt;margin-top:38.450000000000003pt;width:43.899999999999999pt;height:13.700000000000001pt;z-index:-18874392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4388485</wp:posOffset>
              </wp:positionH>
              <wp:positionV relativeFrom="page">
                <wp:posOffset>558165</wp:posOffset>
              </wp:positionV>
              <wp:extent cx="2450465" cy="106680"/>
              <wp:wrapNone/>
              <wp:docPr id="195" name="Shape 19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1" type="#_x0000_t202" style="position:absolute;margin-left:345.55000000000001pt;margin-top:43.950000000000003pt;width:192.95000000000002pt;height:8.4000000000000004pt;z-index:-1887439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197" name="Shape 19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4389120</wp:posOffset>
              </wp:positionH>
              <wp:positionV relativeFrom="page">
                <wp:posOffset>558165</wp:posOffset>
              </wp:positionV>
              <wp:extent cx="2450465" cy="106680"/>
              <wp:wrapNone/>
              <wp:docPr id="200" name="Shape 20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6" type="#_x0000_t202" style="position:absolute;margin-left:345.60000000000002pt;margin-top:43.950000000000003pt;width:192.95000000000002pt;height:8.4000000000000004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202" name="Shape 20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4389120</wp:posOffset>
              </wp:positionH>
              <wp:positionV relativeFrom="page">
                <wp:posOffset>558165</wp:posOffset>
              </wp:positionV>
              <wp:extent cx="2450465" cy="106680"/>
              <wp:wrapNone/>
              <wp:docPr id="205" name="Shape 20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1" type="#_x0000_t202" style="position:absolute;margin-left:345.60000000000002pt;margin-top:43.950000000000003pt;width:192.95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207" name="Shape 20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1096645</wp:posOffset>
              </wp:positionH>
              <wp:positionV relativeFrom="page">
                <wp:posOffset>488315</wp:posOffset>
              </wp:positionV>
              <wp:extent cx="557530" cy="173990"/>
              <wp:wrapNone/>
              <wp:docPr id="214" name="Shape 214"/>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240" type="#_x0000_t202" style="position:absolute;margin-left:86.350000000000009pt;margin-top:38.450000000000003pt;width:43.899999999999999pt;height:13.700000000000001pt;z-index:-18874391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4388485</wp:posOffset>
              </wp:positionH>
              <wp:positionV relativeFrom="page">
                <wp:posOffset>558165</wp:posOffset>
              </wp:positionV>
              <wp:extent cx="2450465" cy="106680"/>
              <wp:wrapNone/>
              <wp:docPr id="216" name="Shape 21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2" type="#_x0000_t202" style="position:absolute;margin-left:345.55000000000001pt;margin-top:43.950000000000003pt;width:192.95000000000002pt;height:8.4000000000000004pt;z-index:-18874391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218" name="Shape 2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4389120</wp:posOffset>
              </wp:positionH>
              <wp:positionV relativeFrom="page">
                <wp:posOffset>558165</wp:posOffset>
              </wp:positionV>
              <wp:extent cx="2450465" cy="106680"/>
              <wp:wrapNone/>
              <wp:docPr id="221" name="Shape 22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7" type="#_x0000_t202" style="position:absolute;margin-left:345.60000000000002pt;margin-top:43.950000000000003pt;width:192.95000000000002pt;height:8.4000000000000004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223" name="Shape 2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4389120</wp:posOffset>
              </wp:positionH>
              <wp:positionV relativeFrom="page">
                <wp:posOffset>558165</wp:posOffset>
              </wp:positionV>
              <wp:extent cx="2450465" cy="106680"/>
              <wp:wrapNone/>
              <wp:docPr id="20" name="Shape 2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6" type="#_x0000_t202" style="position:absolute;margin-left:345.60000000000002pt;margin-top:43.950000000000003pt;width:192.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22" name="Shape 2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1096645</wp:posOffset>
              </wp:positionH>
              <wp:positionV relativeFrom="page">
                <wp:posOffset>488315</wp:posOffset>
              </wp:positionV>
              <wp:extent cx="557530" cy="173990"/>
              <wp:wrapNone/>
              <wp:docPr id="230" name="Shape 230"/>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256" type="#_x0000_t202" style="position:absolute;margin-left:86.350000000000009pt;margin-top:38.450000000000003pt;width:43.899999999999999pt;height:13.700000000000001pt;z-index:-18874390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4388485</wp:posOffset>
              </wp:positionH>
              <wp:positionV relativeFrom="page">
                <wp:posOffset>558165</wp:posOffset>
              </wp:positionV>
              <wp:extent cx="2450465" cy="106680"/>
              <wp:wrapNone/>
              <wp:docPr id="232" name="Shape 23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8" type="#_x0000_t202" style="position:absolute;margin-left:345.55000000000001pt;margin-top:43.950000000000003pt;width:192.95000000000002pt;height:8.4000000000000004pt;z-index:-18874389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234" name="Shape 2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4389120</wp:posOffset>
              </wp:positionH>
              <wp:positionV relativeFrom="page">
                <wp:posOffset>558165</wp:posOffset>
              </wp:positionV>
              <wp:extent cx="2450465" cy="106680"/>
              <wp:wrapNone/>
              <wp:docPr id="237" name="Shape 23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63" type="#_x0000_t202" style="position:absolute;margin-left:345.60000000000002pt;margin-top:43.950000000000003pt;width:192.95000000000002pt;height:8.4000000000000004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239" name="Shape 2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1096645</wp:posOffset>
              </wp:positionH>
              <wp:positionV relativeFrom="page">
                <wp:posOffset>488315</wp:posOffset>
              </wp:positionV>
              <wp:extent cx="557530" cy="173990"/>
              <wp:wrapNone/>
              <wp:docPr id="275" name="Shape 275"/>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301" type="#_x0000_t202" style="position:absolute;margin-left:86.350000000000009pt;margin-top:38.450000000000003pt;width:43.899999999999999pt;height:13.700000000000001pt;z-index:-18874389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4388485</wp:posOffset>
              </wp:positionH>
              <wp:positionV relativeFrom="page">
                <wp:posOffset>558165</wp:posOffset>
              </wp:positionV>
              <wp:extent cx="2450465" cy="106680"/>
              <wp:wrapNone/>
              <wp:docPr id="277" name="Shape 27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3" type="#_x0000_t202" style="position:absolute;margin-left:345.55000000000001pt;margin-top:43.950000000000003pt;width:192.95000000000002pt;height:8.4000000000000004pt;z-index:-18874388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279" name="Shape 27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1096645</wp:posOffset>
              </wp:positionH>
              <wp:positionV relativeFrom="page">
                <wp:posOffset>488315</wp:posOffset>
              </wp:positionV>
              <wp:extent cx="557530" cy="173990"/>
              <wp:wrapNone/>
              <wp:docPr id="282" name="Shape 282"/>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308" type="#_x0000_t202" style="position:absolute;margin-left:86.350000000000009pt;margin-top:38.450000000000003pt;width:43.899999999999999pt;height:13.700000000000001pt;z-index:-18874388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4388485</wp:posOffset>
              </wp:positionH>
              <wp:positionV relativeFrom="page">
                <wp:posOffset>558165</wp:posOffset>
              </wp:positionV>
              <wp:extent cx="2450465" cy="106680"/>
              <wp:wrapNone/>
              <wp:docPr id="284" name="Shape 28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0" type="#_x0000_t202" style="position:absolute;margin-left:345.55000000000001pt;margin-top:43.950000000000003pt;width:192.95000000000002pt;height:8.4000000000000004pt;z-index:-18874388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286" name="Shape 28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4389120</wp:posOffset>
              </wp:positionH>
              <wp:positionV relativeFrom="page">
                <wp:posOffset>558165</wp:posOffset>
              </wp:positionV>
              <wp:extent cx="2450465" cy="106680"/>
              <wp:wrapNone/>
              <wp:docPr id="293" name="Shape 29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9" type="#_x0000_t202" style="position:absolute;margin-left:345.60000000000002pt;margin-top:43.950000000000003pt;width:192.95000000000002pt;height:8.4000000000000004pt;z-index:-1887438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295" name="Shape 29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1096645</wp:posOffset>
              </wp:positionH>
              <wp:positionV relativeFrom="page">
                <wp:posOffset>488315</wp:posOffset>
              </wp:positionV>
              <wp:extent cx="557530" cy="173990"/>
              <wp:wrapNone/>
              <wp:docPr id="298" name="Shape 298"/>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324" type="#_x0000_t202" style="position:absolute;margin-left:86.350000000000009pt;margin-top:38.450000000000003pt;width:43.899999999999999pt;height:13.700000000000001pt;z-index:-18874387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4388485</wp:posOffset>
              </wp:positionH>
              <wp:positionV relativeFrom="page">
                <wp:posOffset>558165</wp:posOffset>
              </wp:positionV>
              <wp:extent cx="2450465" cy="106680"/>
              <wp:wrapNone/>
              <wp:docPr id="300" name="Shape 30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6" type="#_x0000_t202" style="position:absolute;margin-left:345.55000000000001pt;margin-top:43.950000000000003pt;width:192.95000000000002pt;height:8.4000000000000004pt;z-index:-18874386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302" name="Shape 30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4389120</wp:posOffset>
              </wp:positionH>
              <wp:positionV relativeFrom="page">
                <wp:posOffset>558165</wp:posOffset>
              </wp:positionV>
              <wp:extent cx="2450465" cy="106680"/>
              <wp:wrapNone/>
              <wp:docPr id="305" name="Shape 30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31" type="#_x0000_t202" style="position:absolute;margin-left:345.60000000000002pt;margin-top:43.950000000000003pt;width:192.95000000000002pt;height:8.4000000000000004pt;z-index:-1887438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07" name="Shape 30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4389120</wp:posOffset>
              </wp:positionH>
              <wp:positionV relativeFrom="page">
                <wp:posOffset>558165</wp:posOffset>
              </wp:positionV>
              <wp:extent cx="2450465" cy="106680"/>
              <wp:wrapNone/>
              <wp:docPr id="310" name="Shape 31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36" type="#_x0000_t202" style="position:absolute;margin-left:345.60000000000002pt;margin-top:43.950000000000003pt;width:192.95000000000002pt;height:8.4000000000000004pt;z-index:-1887438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12" name="Shape 31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1092835</wp:posOffset>
              </wp:positionH>
              <wp:positionV relativeFrom="page">
                <wp:posOffset>488315</wp:posOffset>
              </wp:positionV>
              <wp:extent cx="557530" cy="173990"/>
              <wp:wrapNone/>
              <wp:docPr id="25" name="Shape 25"/>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051" type="#_x0000_t202" style="position:absolute;margin-left:86.049999999999997pt;margin-top:38.450000000000003pt;width:43.899999999999999pt;height:13.700000000000001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4384675</wp:posOffset>
              </wp:positionH>
              <wp:positionV relativeFrom="page">
                <wp:posOffset>558165</wp:posOffset>
              </wp:positionV>
              <wp:extent cx="2450465" cy="106680"/>
              <wp:wrapNone/>
              <wp:docPr id="27" name="Shape 2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345.25pt;margin-top:43.950000000000003pt;width:192.95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29" name="Shape 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4389120</wp:posOffset>
              </wp:positionH>
              <wp:positionV relativeFrom="page">
                <wp:posOffset>558165</wp:posOffset>
              </wp:positionV>
              <wp:extent cx="2450465" cy="106680"/>
              <wp:wrapNone/>
              <wp:docPr id="319" name="Shape 31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45" type="#_x0000_t202" style="position:absolute;margin-left:345.60000000000002pt;margin-top:43.950000000000003pt;width:192.95000000000002pt;height:8.4000000000000004pt;z-index:-1887438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21" name="Shape 32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4389120</wp:posOffset>
              </wp:positionH>
              <wp:positionV relativeFrom="page">
                <wp:posOffset>558165</wp:posOffset>
              </wp:positionV>
              <wp:extent cx="2450465" cy="106680"/>
              <wp:wrapNone/>
              <wp:docPr id="324" name="Shape 32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0" type="#_x0000_t202" style="position:absolute;margin-left:345.60000000000002pt;margin-top:43.950000000000003pt;width:192.95000000000002pt;height:8.4000000000000004pt;z-index:-1887438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26" name="Shape 32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1096645</wp:posOffset>
              </wp:positionH>
              <wp:positionV relativeFrom="page">
                <wp:posOffset>488315</wp:posOffset>
              </wp:positionV>
              <wp:extent cx="557530" cy="173990"/>
              <wp:wrapNone/>
              <wp:docPr id="329" name="Shape 329"/>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355" type="#_x0000_t202" style="position:absolute;margin-left:86.350000000000009pt;margin-top:38.450000000000003pt;width:43.899999999999999pt;height:13.700000000000001pt;z-index:-18874384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4388485</wp:posOffset>
              </wp:positionH>
              <wp:positionV relativeFrom="page">
                <wp:posOffset>558165</wp:posOffset>
              </wp:positionV>
              <wp:extent cx="2450465" cy="106680"/>
              <wp:wrapNone/>
              <wp:docPr id="331" name="Shape 33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7" type="#_x0000_t202" style="position:absolute;margin-left:345.55000000000001pt;margin-top:43.950000000000003pt;width:192.95000000000002pt;height:8.4000000000000004pt;z-index:-18874384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333" name="Shape 3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4389120</wp:posOffset>
              </wp:positionH>
              <wp:positionV relativeFrom="page">
                <wp:posOffset>558165</wp:posOffset>
              </wp:positionV>
              <wp:extent cx="2450465" cy="106680"/>
              <wp:wrapNone/>
              <wp:docPr id="346" name="Shape 34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2" type="#_x0000_t202" style="position:absolute;margin-left:345.60000000000002pt;margin-top:43.950000000000003pt;width:192.95000000000002pt;height:8.4000000000000004pt;z-index:-1887438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48" name="Shape 3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4389120</wp:posOffset>
              </wp:positionH>
              <wp:positionV relativeFrom="page">
                <wp:posOffset>558165</wp:posOffset>
              </wp:positionV>
              <wp:extent cx="2450465" cy="106680"/>
              <wp:wrapNone/>
              <wp:docPr id="351" name="Shape 35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7" type="#_x0000_t202" style="position:absolute;margin-left:345.60000000000002pt;margin-top:43.950000000000003pt;width:192.95000000000002pt;height:8.4000000000000004pt;z-index:-1887438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53" name="Shape 3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1096010</wp:posOffset>
              </wp:positionH>
              <wp:positionV relativeFrom="page">
                <wp:posOffset>488315</wp:posOffset>
              </wp:positionV>
              <wp:extent cx="557530" cy="173990"/>
              <wp:wrapNone/>
              <wp:docPr id="356" name="Shape 356"/>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382" type="#_x0000_t202" style="position:absolute;margin-left:86.299999999999997pt;margin-top:38.450000000000003pt;width:43.899999999999999pt;height:13.700000000000001pt;z-index:-1887438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4387850</wp:posOffset>
              </wp:positionH>
              <wp:positionV relativeFrom="page">
                <wp:posOffset>558165</wp:posOffset>
              </wp:positionV>
              <wp:extent cx="2450465" cy="106680"/>
              <wp:wrapNone/>
              <wp:docPr id="358" name="Shape 35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4" type="#_x0000_t202" style="position:absolute;margin-left:345.5pt;margin-top:43.950000000000003pt;width:192.95000000000002pt;height:8.4000000000000004pt;z-index:-1887438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60" name="Shape 36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1092835</wp:posOffset>
              </wp:positionH>
              <wp:positionV relativeFrom="page">
                <wp:posOffset>488315</wp:posOffset>
              </wp:positionV>
              <wp:extent cx="557530" cy="173990"/>
              <wp:wrapNone/>
              <wp:docPr id="32" name="Shape 32"/>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058" type="#_x0000_t202" style="position:absolute;margin-left:86.049999999999997pt;margin-top:38.450000000000003pt;width:43.899999999999999pt;height:13.700000000000001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E67821"/>
                        <w:spacing w:val="0"/>
                        <w:w w:val="100"/>
                        <w:position w:val="0"/>
                      </w:rPr>
                      <w:t>釜财互联</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4384675</wp:posOffset>
              </wp:positionH>
              <wp:positionV relativeFrom="page">
                <wp:posOffset>558165</wp:posOffset>
              </wp:positionV>
              <wp:extent cx="2450465" cy="106680"/>
              <wp:wrapNone/>
              <wp:docPr id="34" name="Shape 3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0" type="#_x0000_t202" style="position:absolute;margin-left:345.25pt;margin-top:43.950000000000003pt;width:192.95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0135" cy="0"/>
              <wp:wrapNone/>
              <wp:docPr id="36" name="Shape 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05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1096010</wp:posOffset>
              </wp:positionH>
              <wp:positionV relativeFrom="page">
                <wp:posOffset>488315</wp:posOffset>
              </wp:positionV>
              <wp:extent cx="557530" cy="173990"/>
              <wp:wrapNone/>
              <wp:docPr id="363" name="Shape 363"/>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389" type="#_x0000_t202" style="position:absolute;margin-left:86.299999999999997pt;margin-top:38.450000000000003pt;width:43.899999999999999pt;height:13.700000000000001pt;z-index:-18874382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4387850</wp:posOffset>
              </wp:positionH>
              <wp:positionV relativeFrom="page">
                <wp:posOffset>558165</wp:posOffset>
              </wp:positionV>
              <wp:extent cx="2450465" cy="106680"/>
              <wp:wrapNone/>
              <wp:docPr id="365" name="Shape 36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1" type="#_x0000_t202" style="position:absolute;margin-left:345.5pt;margin-top:43.950000000000003pt;width:192.95000000000002pt;height:8.4000000000000004pt;z-index:-1887438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67" name="Shape 36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4389120</wp:posOffset>
              </wp:positionH>
              <wp:positionV relativeFrom="page">
                <wp:posOffset>558165</wp:posOffset>
              </wp:positionV>
              <wp:extent cx="2450465" cy="106680"/>
              <wp:wrapNone/>
              <wp:docPr id="370" name="Shape 37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96" type="#_x0000_t202" style="position:absolute;margin-left:345.60000000000002pt;margin-top:43.950000000000003pt;width:192.95000000000002pt;height:8.4000000000000004pt;z-index:-1887438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72" name="Shape 37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4389120</wp:posOffset>
              </wp:positionH>
              <wp:positionV relativeFrom="page">
                <wp:posOffset>558165</wp:posOffset>
              </wp:positionV>
              <wp:extent cx="2450465" cy="106680"/>
              <wp:wrapNone/>
              <wp:docPr id="375" name="Shape 37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01" type="#_x0000_t202" style="position:absolute;margin-left:345.60000000000002pt;margin-top:43.950000000000003pt;width:192.95000000000002pt;height:8.4000000000000004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77" name="Shape 3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1096010</wp:posOffset>
              </wp:positionH>
              <wp:positionV relativeFrom="page">
                <wp:posOffset>488315</wp:posOffset>
              </wp:positionV>
              <wp:extent cx="557530" cy="173990"/>
              <wp:wrapNone/>
              <wp:docPr id="386" name="Shape 386"/>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412" type="#_x0000_t202" style="position:absolute;margin-left:86.299999999999997pt;margin-top:38.450000000000003pt;width:43.899999999999999pt;height:13.700000000000001pt;z-index:-18874380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4387850</wp:posOffset>
              </wp:positionH>
              <wp:positionV relativeFrom="page">
                <wp:posOffset>558165</wp:posOffset>
              </wp:positionV>
              <wp:extent cx="2450465" cy="106680"/>
              <wp:wrapNone/>
              <wp:docPr id="388" name="Shape 38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4" type="#_x0000_t202" style="position:absolute;margin-left:345.5pt;margin-top:43.950000000000003pt;width:192.95000000000002pt;height:8.4000000000000004pt;z-index:-18874380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90" name="Shape 39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4389120</wp:posOffset>
              </wp:positionH>
              <wp:positionV relativeFrom="page">
                <wp:posOffset>558165</wp:posOffset>
              </wp:positionV>
              <wp:extent cx="2450465" cy="106680"/>
              <wp:wrapNone/>
              <wp:docPr id="393" name="Shape 39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19" type="#_x0000_t202" style="position:absolute;margin-left:345.60000000000002pt;margin-top:43.950000000000003pt;width:192.95000000000002pt;height:8.4000000000000004pt;z-index:-1887438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395" name="Shape 39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4389120</wp:posOffset>
              </wp:positionH>
              <wp:positionV relativeFrom="page">
                <wp:posOffset>558165</wp:posOffset>
              </wp:positionV>
              <wp:extent cx="2450465" cy="106680"/>
              <wp:wrapNone/>
              <wp:docPr id="398" name="Shape 39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24" type="#_x0000_t202" style="position:absolute;margin-left:345.60000000000002pt;margin-top:43.950000000000003pt;width:192.95000000000002pt;height:8.4000000000000004pt;z-index:-1887437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00" name="Shape 40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4389120</wp:posOffset>
              </wp:positionH>
              <wp:positionV relativeFrom="page">
                <wp:posOffset>558165</wp:posOffset>
              </wp:positionV>
              <wp:extent cx="2450465" cy="106680"/>
              <wp:wrapNone/>
              <wp:docPr id="403" name="Shape 40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29" type="#_x0000_t202" style="position:absolute;margin-left:345.60000000000002pt;margin-top:43.950000000000003pt;width:192.95000000000002pt;height:8.4000000000000004pt;z-index:-1887437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05" name="Shape 40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1096010</wp:posOffset>
              </wp:positionH>
              <wp:positionV relativeFrom="page">
                <wp:posOffset>488315</wp:posOffset>
              </wp:positionV>
              <wp:extent cx="557530" cy="173990"/>
              <wp:wrapNone/>
              <wp:docPr id="408" name="Shape 408"/>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434" type="#_x0000_t202" style="position:absolute;margin-left:86.299999999999997pt;margin-top:38.450000000000003pt;width:43.899999999999999pt;height:13.700000000000001pt;z-index:-18874378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4387850</wp:posOffset>
              </wp:positionH>
              <wp:positionV relativeFrom="page">
                <wp:posOffset>558165</wp:posOffset>
              </wp:positionV>
              <wp:extent cx="2450465" cy="106680"/>
              <wp:wrapNone/>
              <wp:docPr id="410" name="Shape 41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6" type="#_x0000_t202" style="position:absolute;margin-left:345.5pt;margin-top:43.950000000000003pt;width:192.95000000000002pt;height:8.4000000000000004pt;z-index:-18874378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12" name="Shape 41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1096010</wp:posOffset>
              </wp:positionH>
              <wp:positionV relativeFrom="page">
                <wp:posOffset>488315</wp:posOffset>
              </wp:positionV>
              <wp:extent cx="557530" cy="173990"/>
              <wp:wrapNone/>
              <wp:docPr id="415" name="Shape 415"/>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441" type="#_x0000_t202" style="position:absolute;margin-left:86.299999999999997pt;margin-top:38.450000000000003pt;width:43.899999999999999pt;height:13.700000000000001pt;z-index:-18874378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972" behindDoc="1" locked="0" layoutInCell="1" allowOverlap="1">
              <wp:simplePos x="0" y="0"/>
              <wp:positionH relativeFrom="page">
                <wp:posOffset>4387850</wp:posOffset>
              </wp:positionH>
              <wp:positionV relativeFrom="page">
                <wp:posOffset>558165</wp:posOffset>
              </wp:positionV>
              <wp:extent cx="2450465" cy="106680"/>
              <wp:wrapNone/>
              <wp:docPr id="417" name="Shape 41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3" type="#_x0000_t202" style="position:absolute;margin-left:345.5pt;margin-top:43.950000000000003pt;width:192.95000000000002pt;height:8.4000000000000004pt;z-index:-18874378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19" name="Shape 4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1096010</wp:posOffset>
              </wp:positionH>
              <wp:positionV relativeFrom="page">
                <wp:posOffset>488315</wp:posOffset>
              </wp:positionV>
              <wp:extent cx="557530" cy="173990"/>
              <wp:wrapNone/>
              <wp:docPr id="422" name="Shape 422"/>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448" type="#_x0000_t202" style="position:absolute;margin-left:86.299999999999997pt;margin-top:38.450000000000003pt;width:43.899999999999999pt;height:13.700000000000001pt;z-index:-18874377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4387850</wp:posOffset>
              </wp:positionH>
              <wp:positionV relativeFrom="page">
                <wp:posOffset>558165</wp:posOffset>
              </wp:positionV>
              <wp:extent cx="2450465" cy="106680"/>
              <wp:wrapNone/>
              <wp:docPr id="424" name="Shape 42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0" type="#_x0000_t202" style="position:absolute;margin-left:345.5pt;margin-top:43.950000000000003pt;width:192.95000000000002pt;height:8.4000000000000004pt;z-index:-18874377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26" name="Shape 42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4389120</wp:posOffset>
              </wp:positionH>
              <wp:positionV relativeFrom="page">
                <wp:posOffset>558165</wp:posOffset>
              </wp:positionV>
              <wp:extent cx="2450465" cy="106680"/>
              <wp:wrapNone/>
              <wp:docPr id="39" name="Shape 3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5" type="#_x0000_t202" style="position:absolute;margin-left:345.60000000000002pt;margin-top:43.950000000000003pt;width:192.95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1" name="Shape 4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4389120</wp:posOffset>
              </wp:positionH>
              <wp:positionV relativeFrom="page">
                <wp:posOffset>558165</wp:posOffset>
              </wp:positionV>
              <wp:extent cx="2450465" cy="106680"/>
              <wp:wrapNone/>
              <wp:docPr id="429" name="Shape 42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55" type="#_x0000_t202" style="position:absolute;margin-left:345.60000000000002pt;margin-top:43.950000000000003pt;width:192.95000000000002pt;height:8.4000000000000004pt;z-index:-1887437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31" name="Shape 43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4389120</wp:posOffset>
              </wp:positionH>
              <wp:positionV relativeFrom="page">
                <wp:posOffset>558165</wp:posOffset>
              </wp:positionV>
              <wp:extent cx="2450465" cy="106680"/>
              <wp:wrapNone/>
              <wp:docPr id="434" name="Shape 43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60" type="#_x0000_t202" style="position:absolute;margin-left:345.60000000000002pt;margin-top:43.950000000000003pt;width:192.95000000000002pt;height:8.4000000000000004pt;z-index:-1887437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36" name="Shape 4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4381500</wp:posOffset>
              </wp:positionH>
              <wp:positionV relativeFrom="page">
                <wp:posOffset>335915</wp:posOffset>
              </wp:positionV>
              <wp:extent cx="2450465" cy="106680"/>
              <wp:wrapNone/>
              <wp:docPr id="439" name="Shape 43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5" type="#_x0000_t202" style="position:absolute;margin-left:345.pt;margin-top:26.449999999999999pt;width:192.95000000000002pt;height:8.4000000000000004pt;z-index:-18874376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718185</wp:posOffset>
              </wp:positionH>
              <wp:positionV relativeFrom="page">
                <wp:posOffset>741045</wp:posOffset>
              </wp:positionV>
              <wp:extent cx="448310" cy="106680"/>
              <wp:wrapNone/>
              <wp:docPr id="441" name="Shape 441"/>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wps:txbx>
                    <wps:bodyPr wrap="none" lIns="0" tIns="0" rIns="0" bIns="0">
                      <a:spAutoFit/>
                    </wps:bodyPr>
                  </wps:wsp>
                </a:graphicData>
              </a:graphic>
            </wp:anchor>
          </w:drawing>
        </mc:Choice>
        <mc:Fallback>
          <w:pict>
            <v:shape id="_x0000_s1467" type="#_x0000_t202" style="position:absolute;margin-left:56.550000000000004pt;margin-top:58.350000000000001pt;width:35.300000000000004pt;height:8.4000000000000004pt;z-index:-18874376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484505</wp:posOffset>
              </wp:positionV>
              <wp:extent cx="6160135" cy="0"/>
              <wp:wrapNone/>
              <wp:docPr id="443" name="Shape 44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600000000000001pt;margin-top:38.149999999999999pt;width:485.05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4381500</wp:posOffset>
              </wp:positionH>
              <wp:positionV relativeFrom="page">
                <wp:posOffset>335915</wp:posOffset>
              </wp:positionV>
              <wp:extent cx="2450465" cy="106680"/>
              <wp:wrapNone/>
              <wp:docPr id="446" name="Shape 44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2" type="#_x0000_t202" style="position:absolute;margin-left:345.pt;margin-top:26.449999999999999pt;width:192.95000000000002pt;height:8.4000000000000004pt;z-index:-18874375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718185</wp:posOffset>
              </wp:positionH>
              <wp:positionV relativeFrom="page">
                <wp:posOffset>741045</wp:posOffset>
              </wp:positionV>
              <wp:extent cx="448310" cy="106680"/>
              <wp:wrapNone/>
              <wp:docPr id="448" name="Shape 448"/>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wps:txbx>
                    <wps:bodyPr wrap="none" lIns="0" tIns="0" rIns="0" bIns="0">
                      <a:spAutoFit/>
                    </wps:bodyPr>
                  </wps:wsp>
                </a:graphicData>
              </a:graphic>
            </wp:anchor>
          </w:drawing>
        </mc:Choice>
        <mc:Fallback>
          <w:pict>
            <v:shape id="_x0000_s1474" type="#_x0000_t202" style="position:absolute;margin-left:56.550000000000004pt;margin-top:58.350000000000001pt;width:35.300000000000004pt;height:8.4000000000000004pt;z-index:-18874375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484505</wp:posOffset>
              </wp:positionV>
              <wp:extent cx="6160135" cy="0"/>
              <wp:wrapNone/>
              <wp:docPr id="450" name="Shape 45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600000000000001pt;margin-top:38.149999999999999pt;width:485.05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1096010</wp:posOffset>
              </wp:positionH>
              <wp:positionV relativeFrom="page">
                <wp:posOffset>488315</wp:posOffset>
              </wp:positionV>
              <wp:extent cx="557530" cy="173990"/>
              <wp:wrapNone/>
              <wp:docPr id="453" name="Shape 453"/>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479" type="#_x0000_t202" style="position:absolute;margin-left:86.299999999999997pt;margin-top:38.450000000000003pt;width:43.899999999999999pt;height:13.700000000000001pt;z-index:-18874375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4387850</wp:posOffset>
              </wp:positionH>
              <wp:positionV relativeFrom="page">
                <wp:posOffset>558165</wp:posOffset>
              </wp:positionV>
              <wp:extent cx="2450465" cy="106680"/>
              <wp:wrapNone/>
              <wp:docPr id="455" name="Shape 45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1" type="#_x0000_t202" style="position:absolute;margin-left:345.5pt;margin-top:43.950000000000003pt;width:192.95000000000002pt;height:8.4000000000000004pt;z-index:-18874374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57" name="Shape 4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1096010</wp:posOffset>
              </wp:positionH>
              <wp:positionV relativeFrom="page">
                <wp:posOffset>488315</wp:posOffset>
              </wp:positionV>
              <wp:extent cx="557530" cy="173990"/>
              <wp:wrapNone/>
              <wp:docPr id="460" name="Shape 460"/>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486" type="#_x0000_t202" style="position:absolute;margin-left:86.299999999999997pt;margin-top:38.450000000000003pt;width:43.899999999999999pt;height:13.700000000000001pt;z-index:-18874374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4387850</wp:posOffset>
              </wp:positionH>
              <wp:positionV relativeFrom="page">
                <wp:posOffset>558165</wp:posOffset>
              </wp:positionV>
              <wp:extent cx="2450465" cy="106680"/>
              <wp:wrapNone/>
              <wp:docPr id="462" name="Shape 46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8" type="#_x0000_t202" style="position:absolute;margin-left:345.5pt;margin-top:43.950000000000003pt;width:192.95000000000002pt;height:8.4000000000000004pt;z-index:-18874374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64" name="Shape 4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1096010</wp:posOffset>
              </wp:positionH>
              <wp:positionV relativeFrom="page">
                <wp:posOffset>488315</wp:posOffset>
              </wp:positionV>
              <wp:extent cx="557530" cy="173990"/>
              <wp:wrapNone/>
              <wp:docPr id="467" name="Shape 467"/>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493" type="#_x0000_t202" style="position:absolute;margin-left:86.299999999999997pt;margin-top:38.450000000000003pt;width:43.899999999999999pt;height:13.700000000000001pt;z-index:-18874373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4387850</wp:posOffset>
              </wp:positionH>
              <wp:positionV relativeFrom="page">
                <wp:posOffset>558165</wp:posOffset>
              </wp:positionV>
              <wp:extent cx="2450465" cy="106680"/>
              <wp:wrapNone/>
              <wp:docPr id="469" name="Shape 46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5" type="#_x0000_t202" style="position:absolute;margin-left:345.5pt;margin-top:43.950000000000003pt;width:192.95000000000002pt;height:8.4000000000000004pt;z-index:-1887437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71" name="Shape 47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4389120</wp:posOffset>
              </wp:positionH>
              <wp:positionV relativeFrom="page">
                <wp:posOffset>558165</wp:posOffset>
              </wp:positionV>
              <wp:extent cx="2450465" cy="106680"/>
              <wp:wrapNone/>
              <wp:docPr id="474" name="Shape 47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00" type="#_x0000_t202" style="position:absolute;margin-left:345.60000000000002pt;margin-top:43.950000000000003pt;width:192.95000000000002pt;height:8.4000000000000004pt;z-index:-1887437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76" name="Shape 47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4389120</wp:posOffset>
              </wp:positionH>
              <wp:positionV relativeFrom="page">
                <wp:posOffset>558165</wp:posOffset>
              </wp:positionV>
              <wp:extent cx="2450465" cy="106680"/>
              <wp:wrapNone/>
              <wp:docPr id="479" name="Shape 47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05" type="#_x0000_t202" style="position:absolute;margin-left:345.60000000000002pt;margin-top:43.950000000000003pt;width:192.95000000000002pt;height:8.4000000000000004pt;z-index:-1887437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81" name="Shape 48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4389120</wp:posOffset>
              </wp:positionH>
              <wp:positionV relativeFrom="page">
                <wp:posOffset>558165</wp:posOffset>
              </wp:positionV>
              <wp:extent cx="2450465" cy="106680"/>
              <wp:wrapNone/>
              <wp:docPr id="484" name="Shape 48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10" type="#_x0000_t202" style="position:absolute;margin-left:345.60000000000002pt;margin-top:43.950000000000003pt;width:192.95000000000002pt;height:8.4000000000000004pt;z-index:-1887437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86" name="Shape 48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4389120</wp:posOffset>
              </wp:positionH>
              <wp:positionV relativeFrom="page">
                <wp:posOffset>558165</wp:posOffset>
              </wp:positionV>
              <wp:extent cx="2450465" cy="106680"/>
              <wp:wrapNone/>
              <wp:docPr id="44" name="Shape 4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0" type="#_x0000_t202" style="position:absolute;margin-left:345.60000000000002pt;margin-top:43.950000000000003pt;width:192.95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46" name="Shape 4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4381500</wp:posOffset>
              </wp:positionH>
              <wp:positionV relativeFrom="page">
                <wp:posOffset>335915</wp:posOffset>
              </wp:positionV>
              <wp:extent cx="2450465" cy="106680"/>
              <wp:wrapNone/>
              <wp:docPr id="489" name="Shape 48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5" type="#_x0000_t202" style="position:absolute;margin-left:345.pt;margin-top:26.449999999999999pt;width:192.95000000000002pt;height:8.4000000000000004pt;z-index:-18874372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34" behindDoc="1" locked="0" layoutInCell="1" allowOverlap="1">
              <wp:simplePos x="0" y="0"/>
              <wp:positionH relativeFrom="page">
                <wp:posOffset>718185</wp:posOffset>
              </wp:positionH>
              <wp:positionV relativeFrom="page">
                <wp:posOffset>741045</wp:posOffset>
              </wp:positionV>
              <wp:extent cx="448310" cy="106680"/>
              <wp:wrapNone/>
              <wp:docPr id="491" name="Shape 491"/>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wps:txbx>
                    <wps:bodyPr wrap="none" lIns="0" tIns="0" rIns="0" bIns="0">
                      <a:spAutoFit/>
                    </wps:bodyPr>
                  </wps:wsp>
                </a:graphicData>
              </a:graphic>
            </wp:anchor>
          </w:drawing>
        </mc:Choice>
        <mc:Fallback>
          <w:pict>
            <v:shape id="_x0000_s1517" type="#_x0000_t202" style="position:absolute;margin-left:56.550000000000004pt;margin-top:58.350000000000001pt;width:35.300000000000004pt;height:8.4000000000000004pt;z-index:-1887437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484505</wp:posOffset>
              </wp:positionV>
              <wp:extent cx="6160135" cy="0"/>
              <wp:wrapNone/>
              <wp:docPr id="493" name="Shape 49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600000000000001pt;margin-top:38.149999999999999pt;width:485.05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4389120</wp:posOffset>
              </wp:positionH>
              <wp:positionV relativeFrom="page">
                <wp:posOffset>558165</wp:posOffset>
              </wp:positionV>
              <wp:extent cx="2450465" cy="106680"/>
              <wp:wrapNone/>
              <wp:docPr id="498" name="Shape 49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24" type="#_x0000_t202" style="position:absolute;margin-left:345.60000000000002pt;margin-top:43.950000000000003pt;width:192.95000000000002pt;height:8.4000000000000004pt;z-index:-1887437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00" name="Shape 50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4389120</wp:posOffset>
              </wp:positionH>
              <wp:positionV relativeFrom="page">
                <wp:posOffset>558165</wp:posOffset>
              </wp:positionV>
              <wp:extent cx="2450465" cy="106680"/>
              <wp:wrapNone/>
              <wp:docPr id="503" name="Shape 50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29" type="#_x0000_t202" style="position:absolute;margin-left:345.60000000000002pt;margin-top:43.950000000000003pt;width:192.95000000000002pt;height:8.4000000000000004pt;z-index:-1887437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05" name="Shape 50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4389120</wp:posOffset>
              </wp:positionH>
              <wp:positionV relativeFrom="page">
                <wp:posOffset>558165</wp:posOffset>
              </wp:positionV>
              <wp:extent cx="2450465" cy="106680"/>
              <wp:wrapNone/>
              <wp:docPr id="508" name="Shape 50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34" type="#_x0000_t202" style="position:absolute;margin-left:345.60000000000002pt;margin-top:43.950000000000003pt;width:192.95000000000002pt;height:8.4000000000000004pt;z-index:-1887437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10" name="Shape 5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4389120</wp:posOffset>
              </wp:positionH>
              <wp:positionV relativeFrom="page">
                <wp:posOffset>558165</wp:posOffset>
              </wp:positionV>
              <wp:extent cx="2450465" cy="106680"/>
              <wp:wrapNone/>
              <wp:docPr id="517" name="Shape 51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43" type="#_x0000_t202" style="position:absolute;margin-left:345.60000000000002pt;margin-top:43.950000000000003pt;width:192.95000000000002pt;height:8.4000000000000004pt;z-index:-1887436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19" name="Shape 5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4389120</wp:posOffset>
              </wp:positionH>
              <wp:positionV relativeFrom="page">
                <wp:posOffset>558165</wp:posOffset>
              </wp:positionV>
              <wp:extent cx="2450465" cy="106680"/>
              <wp:wrapNone/>
              <wp:docPr id="522" name="Shape 52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48" type="#_x0000_t202" style="position:absolute;margin-left:345.60000000000002pt;margin-top:43.950000000000003pt;width:192.95000000000002pt;height:8.4000000000000004pt;z-index:-1887436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24" name="Shape 5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4389120</wp:posOffset>
              </wp:positionH>
              <wp:positionV relativeFrom="page">
                <wp:posOffset>558165</wp:posOffset>
              </wp:positionV>
              <wp:extent cx="2450465" cy="106680"/>
              <wp:wrapNone/>
              <wp:docPr id="527" name="Shape 52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53" type="#_x0000_t202" style="position:absolute;margin-left:345.60000000000002pt;margin-top:43.950000000000003pt;width:192.95000000000002pt;height:8.4000000000000004pt;z-index:-1887436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29" name="Shape 5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4389120</wp:posOffset>
              </wp:positionH>
              <wp:positionV relativeFrom="page">
                <wp:posOffset>558165</wp:posOffset>
              </wp:positionV>
              <wp:extent cx="2450465" cy="106680"/>
              <wp:wrapNone/>
              <wp:docPr id="49" name="Shape 4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45.60000000000002pt;margin-top:43.950000000000003pt;width:192.95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1" name="Shape 5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4389120</wp:posOffset>
              </wp:positionH>
              <wp:positionV relativeFrom="page">
                <wp:posOffset>558165</wp:posOffset>
              </wp:positionV>
              <wp:extent cx="2450465" cy="106680"/>
              <wp:wrapNone/>
              <wp:docPr id="532" name="Shape 53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58" type="#_x0000_t202" style="position:absolute;margin-left:345.60000000000002pt;margin-top:43.950000000000003pt;width:192.95000000000002pt;height:8.4000000000000004pt;z-index:-1887436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34" name="Shape 5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1082040</wp:posOffset>
              </wp:positionH>
              <wp:positionV relativeFrom="page">
                <wp:posOffset>488315</wp:posOffset>
              </wp:positionV>
              <wp:extent cx="557530" cy="173990"/>
              <wp:wrapNone/>
              <wp:docPr id="537" name="Shape 537"/>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563" type="#_x0000_t202" style="position:absolute;margin-left:85.200000000000003pt;margin-top:38.450000000000003pt;width:43.899999999999999pt;height:13.700000000000001pt;z-index:-18874368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4373880</wp:posOffset>
              </wp:positionH>
              <wp:positionV relativeFrom="page">
                <wp:posOffset>558165</wp:posOffset>
              </wp:positionV>
              <wp:extent cx="2450465" cy="106680"/>
              <wp:wrapNone/>
              <wp:docPr id="539" name="Shape 53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5" type="#_x0000_t202" style="position:absolute;margin-left:344.40000000000003pt;margin-top:43.950000000000003pt;width:192.95000000000002pt;height:8.4000000000000004pt;z-index:-18874367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707390</wp:posOffset>
              </wp:positionV>
              <wp:extent cx="6160135" cy="0"/>
              <wp:wrapNone/>
              <wp:docPr id="541" name="Shape 54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pt;margin-top:55.700000000000003pt;width:485.05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4389120</wp:posOffset>
              </wp:positionH>
              <wp:positionV relativeFrom="page">
                <wp:posOffset>558165</wp:posOffset>
              </wp:positionV>
              <wp:extent cx="2450465" cy="106680"/>
              <wp:wrapNone/>
              <wp:docPr id="544" name="Shape 54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70" type="#_x0000_t202" style="position:absolute;margin-left:345.60000000000002pt;margin-top:43.950000000000003pt;width:192.95000000000002pt;height:8.4000000000000004pt;z-index:-1887436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46" name="Shape 54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1127760</wp:posOffset>
              </wp:positionH>
              <wp:positionV relativeFrom="page">
                <wp:posOffset>488315</wp:posOffset>
              </wp:positionV>
              <wp:extent cx="557530" cy="173990"/>
              <wp:wrapNone/>
              <wp:docPr id="549" name="Shape 549"/>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575" type="#_x0000_t202" style="position:absolute;margin-left:88.799999999999997pt;margin-top:38.450000000000003pt;width:43.899999999999999pt;height:13.700000000000001pt;z-index:-18874367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4419600</wp:posOffset>
              </wp:positionH>
              <wp:positionV relativeFrom="page">
                <wp:posOffset>558165</wp:posOffset>
              </wp:positionV>
              <wp:extent cx="2450465" cy="106680"/>
              <wp:wrapNone/>
              <wp:docPr id="551" name="Shape 55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7" type="#_x0000_t202" style="position:absolute;margin-left:348.pt;margin-top:43.950000000000003pt;width:192.95000000000002pt;height:8.4000000000000004pt;z-index:-18874366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707390</wp:posOffset>
              </wp:positionV>
              <wp:extent cx="6160135" cy="0"/>
              <wp:wrapNone/>
              <wp:docPr id="553" name="Shape 5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55.700000000000003pt;width:485.05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4389120</wp:posOffset>
              </wp:positionH>
              <wp:positionV relativeFrom="page">
                <wp:posOffset>558165</wp:posOffset>
              </wp:positionV>
              <wp:extent cx="2450465" cy="106680"/>
              <wp:wrapNone/>
              <wp:docPr id="556" name="Shape 55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82" type="#_x0000_t202" style="position:absolute;margin-left:345.60000000000002pt;margin-top:43.950000000000003pt;width:192.95000000000002pt;height:8.4000000000000004pt;z-index:-1887436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58" name="Shape 5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4389120</wp:posOffset>
              </wp:positionH>
              <wp:positionV relativeFrom="page">
                <wp:posOffset>558165</wp:posOffset>
              </wp:positionV>
              <wp:extent cx="2450465" cy="106680"/>
              <wp:wrapNone/>
              <wp:docPr id="561" name="Shape 56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87" type="#_x0000_t202" style="position:absolute;margin-left:345.60000000000002pt;margin-top:43.950000000000003pt;width:192.95000000000002pt;height:8.4000000000000004pt;z-index:-1887436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63" name="Shape 5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1068705</wp:posOffset>
              </wp:positionH>
              <wp:positionV relativeFrom="page">
                <wp:posOffset>488315</wp:posOffset>
              </wp:positionV>
              <wp:extent cx="557530" cy="173990"/>
              <wp:wrapNone/>
              <wp:docPr id="566" name="Shape 566"/>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592" type="#_x0000_t202" style="position:absolute;margin-left:84.150000000000006pt;margin-top:38.450000000000003pt;width:43.899999999999999pt;height:13.700000000000001pt;z-index:-18874365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4360545</wp:posOffset>
              </wp:positionH>
              <wp:positionV relativeFrom="page">
                <wp:posOffset>558165</wp:posOffset>
              </wp:positionV>
              <wp:extent cx="2450465" cy="106680"/>
              <wp:wrapNone/>
              <wp:docPr id="568" name="Shape 56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4" type="#_x0000_t202" style="position:absolute;margin-left:343.35000000000002pt;margin-top:43.950000000000003pt;width:192.95000000000002pt;height:8.4000000000000004pt;z-index:-18874365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0135" cy="0"/>
              <wp:wrapNone/>
              <wp:docPr id="570" name="Shape 5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05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1068705</wp:posOffset>
              </wp:positionH>
              <wp:positionV relativeFrom="page">
                <wp:posOffset>488315</wp:posOffset>
              </wp:positionV>
              <wp:extent cx="557530" cy="173990"/>
              <wp:wrapNone/>
              <wp:docPr id="573" name="Shape 573"/>
              <a:graphic xmlns:a="http://schemas.openxmlformats.org/drawingml/2006/main">
                <a:graphicData uri="http://schemas.microsoft.com/office/word/2010/wordprocessingShape">
                  <wps:wsp>
                    <wps:cNvSpPr txBox="1"/>
                    <wps:spPr>
                      <a:xfrm>
                        <a:ext cx="557530" cy="1739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wps:txbx>
                    <wps:bodyPr wrap="none" lIns="0" tIns="0" rIns="0" bIns="0">
                      <a:spAutoFit/>
                    </wps:bodyPr>
                  </wps:wsp>
                </a:graphicData>
              </a:graphic>
            </wp:anchor>
          </w:drawing>
        </mc:Choice>
        <mc:Fallback>
          <w:pict>
            <v:shape id="_x0000_s1599" type="#_x0000_t202" style="position:absolute;margin-left:84.150000000000006pt;margin-top:38.450000000000003pt;width:43.899999999999999pt;height:13.700000000000001pt;z-index:-18874365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0"/>
                        <w:szCs w:val="20"/>
                      </w:rPr>
                    </w:pPr>
                    <w:r>
                      <w:rPr>
                        <w:b/>
                        <w:bCs/>
                        <w:color w:val="E67821"/>
                        <w:spacing w:val="0"/>
                        <w:w w:val="100"/>
                        <w:position w:val="0"/>
                        <w:sz w:val="20"/>
                        <w:szCs w:val="20"/>
                      </w:rPr>
                      <w:t>釜财互联</w:t>
                    </w:r>
                  </w:p>
                  <w:p>
                    <w:pPr>
                      <w:pStyle w:val="Style67"/>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909090"/>
                        <w:spacing w:val="0"/>
                        <w:w w:val="100"/>
                        <w:position w:val="0"/>
                        <w:sz w:val="8"/>
                        <w:szCs w:val="8"/>
                      </w:rPr>
                      <w:t xml:space="preserve">K </w:t>
                    </w:r>
                    <w:r>
                      <w:rPr>
                        <w:rFonts w:ascii="Arial" w:eastAsia="Arial" w:hAnsi="Arial" w:cs="Arial"/>
                        <w:b/>
                        <w:bCs/>
                        <w:color w:val="B1B1B1"/>
                        <w:spacing w:val="0"/>
                        <w:w w:val="100"/>
                        <w:position w:val="0"/>
                        <w:sz w:val="8"/>
                        <w:szCs w:val="8"/>
                      </w:rPr>
                      <w:t xml:space="preserve">Finance </w:t>
                    </w:r>
                    <w:r>
                      <w:rPr>
                        <w:rFonts w:ascii="Arial" w:eastAsia="Arial" w:hAnsi="Arial" w:cs="Arial"/>
                        <w:b/>
                        <w:bCs/>
                        <w:color w:val="909090"/>
                        <w:spacing w:val="0"/>
                        <w:w w:val="100"/>
                        <w:position w:val="0"/>
                        <w:sz w:val="8"/>
                        <w:szCs w:val="8"/>
                      </w:rPr>
                      <w:t xml:space="preserve">&amp; </w:t>
                    </w:r>
                    <w:r>
                      <w:rPr>
                        <w:rFonts w:ascii="Arial" w:eastAsia="Arial" w:hAnsi="Arial" w:cs="Arial"/>
                        <w:b/>
                        <w:bCs/>
                        <w:color w:val="909090"/>
                        <w:spacing w:val="0"/>
                        <w:w w:val="100"/>
                        <w:position w:val="0"/>
                        <w:sz w:val="8"/>
                        <w:szCs w:val="8"/>
                      </w:rPr>
                      <w:t>lax Interconnect</w:t>
                    </w:r>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4360545</wp:posOffset>
              </wp:positionH>
              <wp:positionV relativeFrom="page">
                <wp:posOffset>558165</wp:posOffset>
              </wp:positionV>
              <wp:extent cx="2450465" cy="106680"/>
              <wp:wrapNone/>
              <wp:docPr id="575" name="Shape 57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1" type="#_x0000_t202" style="position:absolute;margin-left:343.35000000000002pt;margin-top:43.950000000000003pt;width:192.95000000000002pt;height:8.4000000000000004pt;z-index:-18874364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金财互联控股股份有限公司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707390</wp:posOffset>
              </wp:positionV>
              <wp:extent cx="6160135" cy="0"/>
              <wp:wrapNone/>
              <wp:docPr id="577" name="Shape 5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950000000000003pt;margin-top:55.700000000000003pt;width:485.05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4389120</wp:posOffset>
              </wp:positionH>
              <wp:positionV relativeFrom="page">
                <wp:posOffset>558165</wp:posOffset>
              </wp:positionV>
              <wp:extent cx="2450465" cy="106680"/>
              <wp:wrapNone/>
              <wp:docPr id="580" name="Shape 58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06" type="#_x0000_t202" style="position:absolute;margin-left:345.60000000000002pt;margin-top:43.950000000000003pt;width:192.95000000000002pt;height:8.4000000000000004pt;z-index:-1887436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82" name="Shape 5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4389120</wp:posOffset>
              </wp:positionH>
              <wp:positionV relativeFrom="page">
                <wp:posOffset>558165</wp:posOffset>
              </wp:positionV>
              <wp:extent cx="2450465" cy="106680"/>
              <wp:wrapNone/>
              <wp:docPr id="585" name="Shape 58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11" type="#_x0000_t202" style="position:absolute;margin-left:345.60000000000002pt;margin-top:43.950000000000003pt;width:192.95000000000002pt;height:8.4000000000000004pt;z-index:-1887436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金财互联控股股份有限公司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707390</wp:posOffset>
              </wp:positionV>
              <wp:extent cx="6160135" cy="0"/>
              <wp:wrapNone/>
              <wp:docPr id="587" name="Shape 58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200000000000003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正文文本 (5)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6)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标题 #3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6">
    <w:name w:val="标题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3)_"/>
    <w:basedOn w:val="DefaultParagraphFont"/>
    <w:link w:val="Style51"/>
    <w:rPr>
      <w:rFonts w:ascii="SimSun" w:eastAsia="SimSun" w:hAnsi="SimSun" w:cs="SimSun"/>
      <w:b w:val="0"/>
      <w:bCs w:val="0"/>
      <w:i w:val="0"/>
      <w:iCs w:val="0"/>
      <w:smallCaps w:val="0"/>
      <w:strike w:val="0"/>
      <w:sz w:val="15"/>
      <w:szCs w:val="15"/>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character" w:customStyle="1" w:styleId="CharStyle93">
    <w:name w:val="标题 #5_"/>
    <w:basedOn w:val="DefaultParagraphFont"/>
    <w:link w:val="Style92"/>
    <w:rPr>
      <w:rFonts w:ascii="SimSun" w:eastAsia="SimSun" w:hAnsi="SimSun" w:cs="SimSun"/>
      <w:b/>
      <w:bCs/>
      <w:i w:val="0"/>
      <w:iCs w:val="0"/>
      <w:smallCaps w:val="0"/>
      <w:strike w:val="0"/>
      <w:sz w:val="20"/>
      <w:szCs w:val="20"/>
      <w:u w:val="none"/>
      <w:shd w:val="clear" w:color="auto" w:fill="auto"/>
    </w:rPr>
  </w:style>
  <w:style w:type="character" w:customStyle="1" w:styleId="CharStyle100">
    <w:name w:val="正文文本 (9)_"/>
    <w:basedOn w:val="DefaultParagraphFont"/>
    <w:link w:val="Style99"/>
    <w:rPr>
      <w:rFonts w:ascii="SimSun" w:eastAsia="SimSun" w:hAnsi="SimSun" w:cs="SimSun"/>
      <w:b/>
      <w:bCs/>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spacing w:before="700" w:after="8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1">
    <w:name w:val="正文文本 (5)"/>
    <w:basedOn w:val="Normal"/>
    <w:link w:val="CharStyle12"/>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6)"/>
    <w:basedOn w:val="Normal"/>
    <w:link w:val="CharStyle15"/>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1"/>
    <w:basedOn w:val="Normal"/>
    <w:link w:val="CharStyle18"/>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6" w:lineRule="exact"/>
      <w:ind w:firstLine="60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2"/>
    <w:basedOn w:val="Normal"/>
    <w:link w:val="CharStyle30"/>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3">
    <w:name w:val="表格标题"/>
    <w:basedOn w:val="Normal"/>
    <w:link w:val="CharStyle34"/>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正文文本"/>
    <w:basedOn w:val="Normal"/>
    <w:link w:val="CharStyle36"/>
    <w:pPr>
      <w:widowControl w:val="0"/>
      <w:shd w:val="clear" w:color="auto" w:fill="auto"/>
      <w:spacing w:line="386"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标题 #3"/>
    <w:basedOn w:val="Normal"/>
    <w:link w:val="CharStyle40"/>
    <w:pPr>
      <w:widowControl w:val="0"/>
      <w:shd w:val="clear" w:color="auto" w:fill="auto"/>
      <w:spacing w:after="360"/>
      <w:ind w:firstLine="4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5">
    <w:name w:val="标题 #4"/>
    <w:basedOn w:val="Normal"/>
    <w:link w:val="CharStyle46"/>
    <w:pPr>
      <w:widowControl w:val="0"/>
      <w:shd w:val="clear" w:color="auto" w:fill="auto"/>
      <w:spacing w:after="370"/>
      <w:ind w:firstLine="4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3)"/>
    <w:basedOn w:val="Normal"/>
    <w:link w:val="CharStyle52"/>
    <w:pPr>
      <w:widowControl w:val="0"/>
      <w:shd w:val="clear" w:color="auto" w:fill="auto"/>
      <w:spacing w:line="245" w:lineRule="exact"/>
    </w:pPr>
    <w:rPr>
      <w:rFonts w:ascii="SimSun" w:eastAsia="SimSun" w:hAnsi="SimSun" w:cs="SimSun"/>
      <w:b w:val="0"/>
      <w:bCs w:val="0"/>
      <w:i w:val="0"/>
      <w:iCs w:val="0"/>
      <w:smallCaps w:val="0"/>
      <w:strike w:val="0"/>
      <w:sz w:val="15"/>
      <w:szCs w:val="15"/>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2">
    <w:name w:val="标题 #5"/>
    <w:basedOn w:val="Normal"/>
    <w:link w:val="CharStyle93"/>
    <w:pPr>
      <w:widowControl w:val="0"/>
      <w:shd w:val="clear" w:color="auto" w:fill="auto"/>
      <w:spacing w:after="380"/>
      <w:ind w:firstLine="4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9">
    <w:name w:val="正文文本 (9)"/>
    <w:basedOn w:val="Normal"/>
    <w:link w:val="CharStyle100"/>
    <w:pPr>
      <w:widowControl w:val="0"/>
      <w:shd w:val="clear" w:color="auto" w:fill="auto"/>
      <w:spacing w:after="160" w:line="677" w:lineRule="exact"/>
      <w:ind w:firstLine="52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image" Target="media/image1.jpeg"/><Relationship Id="rId88" Type="http://schemas.openxmlformats.org/officeDocument/2006/relationships/image" Target="media/image1.jpeg" TargetMode="Externa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footer" Target="footer64.xml"/><Relationship Id="rId135" Type="http://schemas.openxmlformats.org/officeDocument/2006/relationships/header" Target="header65.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40" Type="http://schemas.openxmlformats.org/officeDocument/2006/relationships/footer" Target="footer67.xml"/><Relationship Id="rId141" Type="http://schemas.openxmlformats.org/officeDocument/2006/relationships/header" Target="header68.xml"/><Relationship Id="rId142" Type="http://schemas.openxmlformats.org/officeDocument/2006/relationships/footer" Target="footer68.xml"/><Relationship Id="rId143" Type="http://schemas.openxmlformats.org/officeDocument/2006/relationships/header" Target="header69.xml"/><Relationship Id="rId144" Type="http://schemas.openxmlformats.org/officeDocument/2006/relationships/footer" Target="foot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header" Target="header71.xml"/><Relationship Id="rId148" Type="http://schemas.openxmlformats.org/officeDocument/2006/relationships/footer" Target="footer71.xml"/><Relationship Id="rId149" Type="http://schemas.openxmlformats.org/officeDocument/2006/relationships/header" Target="header72.xml"/><Relationship Id="rId150" Type="http://schemas.openxmlformats.org/officeDocument/2006/relationships/footer" Target="foot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header" Target="header74.xml"/><Relationship Id="rId154" Type="http://schemas.openxmlformats.org/officeDocument/2006/relationships/footer" Target="footer74.xml"/><Relationship Id="rId155" Type="http://schemas.openxmlformats.org/officeDocument/2006/relationships/header" Target="header75.xml"/><Relationship Id="rId156" Type="http://schemas.openxmlformats.org/officeDocument/2006/relationships/footer" Target="footer75.xml"/><Relationship Id="rId157" Type="http://schemas.openxmlformats.org/officeDocument/2006/relationships/header" Target="header76.xml"/><Relationship Id="rId158" Type="http://schemas.openxmlformats.org/officeDocument/2006/relationships/footer" Target="footer76.xml"/><Relationship Id="rId159" Type="http://schemas.openxmlformats.org/officeDocument/2006/relationships/header" Target="header77.xml"/><Relationship Id="rId160" Type="http://schemas.openxmlformats.org/officeDocument/2006/relationships/footer" Target="footer77.xml"/><Relationship Id="rId161" Type="http://schemas.openxmlformats.org/officeDocument/2006/relationships/header" Target="header78.xml"/><Relationship Id="rId162" Type="http://schemas.openxmlformats.org/officeDocument/2006/relationships/footer" Target="footer78.xml"/><Relationship Id="rId163" Type="http://schemas.openxmlformats.org/officeDocument/2006/relationships/header" Target="header79.xml"/><Relationship Id="rId164" Type="http://schemas.openxmlformats.org/officeDocument/2006/relationships/footer" Target="footer79.xml"/><Relationship Id="rId165" Type="http://schemas.openxmlformats.org/officeDocument/2006/relationships/header" Target="header80.xml"/><Relationship Id="rId166" Type="http://schemas.openxmlformats.org/officeDocument/2006/relationships/footer" Target="footer80.xml"/><Relationship Id="rId167" Type="http://schemas.openxmlformats.org/officeDocument/2006/relationships/header" Target="header81.xml"/><Relationship Id="rId168" Type="http://schemas.openxmlformats.org/officeDocument/2006/relationships/footer" Target="footer81.xml"/><Relationship Id="rId169" Type="http://schemas.openxmlformats.org/officeDocument/2006/relationships/header" Target="header82.xml"/><Relationship Id="rId170" Type="http://schemas.openxmlformats.org/officeDocument/2006/relationships/footer" Target="footer82.xml"/><Relationship Id="rId171" Type="http://schemas.openxmlformats.org/officeDocument/2006/relationships/header" Target="header83.xml"/><Relationship Id="rId172" Type="http://schemas.openxmlformats.org/officeDocument/2006/relationships/footer" Target="footer83.xml"/><Relationship Id="rId173" Type="http://schemas.openxmlformats.org/officeDocument/2006/relationships/header" Target="header84.xml"/><Relationship Id="rId174" Type="http://schemas.openxmlformats.org/officeDocument/2006/relationships/footer" Target="footer84.xml"/><Relationship Id="rId175" Type="http://schemas.openxmlformats.org/officeDocument/2006/relationships/header" Target="header85.xml"/><Relationship Id="rId176" Type="http://schemas.openxmlformats.org/officeDocument/2006/relationships/footer" Target="footer85.xml"/><Relationship Id="rId177" Type="http://schemas.openxmlformats.org/officeDocument/2006/relationships/header" Target="header86.xml"/><Relationship Id="rId178" Type="http://schemas.openxmlformats.org/officeDocument/2006/relationships/footer" Target="footer86.xml"/><Relationship Id="rId179" Type="http://schemas.openxmlformats.org/officeDocument/2006/relationships/header" Target="header87.xml"/><Relationship Id="rId180" Type="http://schemas.openxmlformats.org/officeDocument/2006/relationships/footer" Target="footer87.xml"/><Relationship Id="rId181" Type="http://schemas.openxmlformats.org/officeDocument/2006/relationships/header" Target="header88.xml"/><Relationship Id="rId182" Type="http://schemas.openxmlformats.org/officeDocument/2006/relationships/footer" Target="footer88.xml"/><Relationship Id="rId183" Type="http://schemas.openxmlformats.org/officeDocument/2006/relationships/header" Target="header89.xml"/><Relationship Id="rId184" Type="http://schemas.openxmlformats.org/officeDocument/2006/relationships/footer" Target="footer89.xml"/><Relationship Id="rId185" Type="http://schemas.openxmlformats.org/officeDocument/2006/relationships/header" Target="header90.xml"/><Relationship Id="rId186" Type="http://schemas.openxmlformats.org/officeDocument/2006/relationships/footer" Target="footer90.xml"/><Relationship Id="rId187" Type="http://schemas.openxmlformats.org/officeDocument/2006/relationships/header" Target="header91.xml"/><Relationship Id="rId188" Type="http://schemas.openxmlformats.org/officeDocument/2006/relationships/footer" Target="footer91.xml"/><Relationship Id="rId189" Type="http://schemas.openxmlformats.org/officeDocument/2006/relationships/header" Target="header92.xml"/><Relationship Id="rId190" Type="http://schemas.openxmlformats.org/officeDocument/2006/relationships/footer" Target="footer92.xml"/><Relationship Id="rId191" Type="http://schemas.openxmlformats.org/officeDocument/2006/relationships/header" Target="header93.xml"/><Relationship Id="rId192" Type="http://schemas.openxmlformats.org/officeDocument/2006/relationships/footer" Target="footer93.xml"/><Relationship Id="rId193" Type="http://schemas.openxmlformats.org/officeDocument/2006/relationships/header" Target="header94.xml"/><Relationship Id="rId194" Type="http://schemas.openxmlformats.org/officeDocument/2006/relationships/footer" Target="footer94.xml"/><Relationship Id="rId195" Type="http://schemas.openxmlformats.org/officeDocument/2006/relationships/header" Target="header95.xml"/><Relationship Id="rId196" Type="http://schemas.openxmlformats.org/officeDocument/2006/relationships/footer" Target="footer95.xml"/><Relationship Id="rId197" Type="http://schemas.openxmlformats.org/officeDocument/2006/relationships/header" Target="header96.xml"/><Relationship Id="rId198" Type="http://schemas.openxmlformats.org/officeDocument/2006/relationships/footer" Target="footer96.xml"/><Relationship Id="rId199" Type="http://schemas.openxmlformats.org/officeDocument/2006/relationships/header" Target="header97.xml"/><Relationship Id="rId200" Type="http://schemas.openxmlformats.org/officeDocument/2006/relationships/footer" Target="footer97.xml"/><Relationship Id="rId201" Type="http://schemas.openxmlformats.org/officeDocument/2006/relationships/header" Target="header98.xml"/><Relationship Id="rId202" Type="http://schemas.openxmlformats.org/officeDocument/2006/relationships/footer" Target="footer98.xml"/><Relationship Id="rId203" Type="http://schemas.openxmlformats.org/officeDocument/2006/relationships/header" Target="header99.xml"/><Relationship Id="rId204" Type="http://schemas.openxmlformats.org/officeDocument/2006/relationships/footer" Target="footer99.xml"/><Relationship Id="rId205" Type="http://schemas.openxmlformats.org/officeDocument/2006/relationships/header" Target="header100.xml"/><Relationship Id="rId206" Type="http://schemas.openxmlformats.org/officeDocument/2006/relationships/footer" Target="footer100.xml"/><Relationship Id="rId207" Type="http://schemas.openxmlformats.org/officeDocument/2006/relationships/header" Target="header101.xml"/><Relationship Id="rId208" Type="http://schemas.openxmlformats.org/officeDocument/2006/relationships/footer" Target="footer101.xml"/><Relationship Id="rId209" Type="http://schemas.openxmlformats.org/officeDocument/2006/relationships/header" Target="header102.xml"/><Relationship Id="rId210" Type="http://schemas.openxmlformats.org/officeDocument/2006/relationships/footer" Target="footer102.xml"/><Relationship Id="rId211" Type="http://schemas.openxmlformats.org/officeDocument/2006/relationships/header" Target="header103.xml"/><Relationship Id="rId212" Type="http://schemas.openxmlformats.org/officeDocument/2006/relationships/footer" Target="footer103.xml"/><Relationship Id="rId213" Type="http://schemas.openxmlformats.org/officeDocument/2006/relationships/header" Target="header104.xml"/><Relationship Id="rId214" Type="http://schemas.openxmlformats.org/officeDocument/2006/relationships/footer" Target="footer104.xml"/><Relationship Id="rId215" Type="http://schemas.openxmlformats.org/officeDocument/2006/relationships/header" Target="header105.xml"/><Relationship Id="rId216" Type="http://schemas.openxmlformats.org/officeDocument/2006/relationships/footer" Target="footer105.xml"/><Relationship Id="rId217" Type="http://schemas.openxmlformats.org/officeDocument/2006/relationships/header" Target="header106.xml"/><Relationship Id="rId218" Type="http://schemas.openxmlformats.org/officeDocument/2006/relationships/footer" Target="footer106.xml"/><Relationship Id="rId219" Type="http://schemas.openxmlformats.org/officeDocument/2006/relationships/header" Target="header107.xml"/><Relationship Id="rId220" Type="http://schemas.openxmlformats.org/officeDocument/2006/relationships/footer" Target="footer107.xml"/><Relationship Id="rId221" Type="http://schemas.openxmlformats.org/officeDocument/2006/relationships/header" Target="header108.xml"/><Relationship Id="rId222" Type="http://schemas.openxmlformats.org/officeDocument/2006/relationships/footer" Target="footer108.xml"/><Relationship Id="rId223" Type="http://schemas.openxmlformats.org/officeDocument/2006/relationships/header" Target="header109.xml"/><Relationship Id="rId224" Type="http://schemas.openxmlformats.org/officeDocument/2006/relationships/footer" Target="footer109.xml"/><Relationship Id="rId225" Type="http://schemas.openxmlformats.org/officeDocument/2006/relationships/header" Target="header110.xml"/><Relationship Id="rId226" Type="http://schemas.openxmlformats.org/officeDocument/2006/relationships/footer" Target="footer110.xml"/><Relationship Id="rId227" Type="http://schemas.openxmlformats.org/officeDocument/2006/relationships/header" Target="header111.xml"/><Relationship Id="rId228" Type="http://schemas.openxmlformats.org/officeDocument/2006/relationships/footer" Target="footer111.xml"/><Relationship Id="rId229" Type="http://schemas.openxmlformats.org/officeDocument/2006/relationships/header" Target="header112.xml"/><Relationship Id="rId230" Type="http://schemas.openxmlformats.org/officeDocument/2006/relationships/footer" Target="footer112.xml"/><Relationship Id="rId231" Type="http://schemas.openxmlformats.org/officeDocument/2006/relationships/header" Target="header113.xml"/><Relationship Id="rId232" Type="http://schemas.openxmlformats.org/officeDocument/2006/relationships/footer" Target="footer113.xml"/><Relationship Id="rId233" Type="http://schemas.openxmlformats.org/officeDocument/2006/relationships/header" Target="header114.xml"/><Relationship Id="rId234" Type="http://schemas.openxmlformats.org/officeDocument/2006/relationships/footer" Target="footer114.xml"/></Relationships>
</file>

<file path=docProps/core.xml><?xml version="1.0" encoding="utf-8"?>
<cp:coreProperties xmlns:cp="http://schemas.openxmlformats.org/package/2006/metadata/core-properties" xmlns:dc="http://purl.org/dc/elements/1.1/">
  <dc:title>金财互联控股股份有限公司2020年年度报告全文</dc:title>
  <dc:subject/>
  <dc:creator>金财互联控股股份有限公司</dc:creator>
  <cp:keywords/>
</cp:coreProperties>
</file>